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bidi w:val="0"/>
        <w:adjustRightInd/>
        <w:snapToGrid/>
        <w:spacing w:before="0" w:beforeLines="0" w:beforeAutospacing="0" w:after="0" w:afterLines="0" w:afterAutospacing="0" w:line="240" w:lineRule="auto"/>
        <w:jc w:val="center"/>
        <w:textAlignment w:val="auto"/>
        <w:rPr>
          <w:rFonts w:hint="eastAsia" w:ascii="方正小标宋简体" w:hAnsi="方正小标宋简体" w:eastAsia="方正小标宋简体" w:cs="方正小标宋简体"/>
          <w:kern w:val="2"/>
          <w:sz w:val="44"/>
          <w:szCs w:val="44"/>
          <w:highlight w:val="none"/>
          <w:u w:val="none" w:color="auto"/>
          <w:lang w:val="en-US" w:eastAsia="zh-CN" w:bidi="ar-SA"/>
        </w:rPr>
      </w:pPr>
      <w:bookmarkStart w:id="0" w:name="_GoBack"/>
      <w:bookmarkEnd w:id="0"/>
      <w:r>
        <w:rPr>
          <w:rFonts w:hint="eastAsia" w:ascii="方正小标宋简体" w:hAnsi="方正小标宋简体" w:eastAsia="方正小标宋简体" w:cs="方正小标宋简体"/>
          <w:kern w:val="2"/>
          <w:sz w:val="44"/>
          <w:szCs w:val="44"/>
          <w:highlight w:val="none"/>
          <w:u w:val="none" w:color="auto"/>
          <w:lang w:val="en-US" w:eastAsia="zh-CN" w:bidi="ar-SA"/>
        </w:rPr>
        <w:t>湖里区临时救助工作规范</w:t>
      </w:r>
    </w:p>
    <w:p>
      <w:pPr>
        <w:keepNext w:val="0"/>
        <w:keepLines w:val="0"/>
        <w:pageBreakBefore w:val="0"/>
        <w:kinsoku/>
        <w:wordWrap/>
        <w:overflowPunct/>
        <w:topLinePunct w:val="0"/>
        <w:autoSpaceDE/>
        <w:autoSpaceDN w:val="0"/>
        <w:bidi w:val="0"/>
        <w:adjustRightInd/>
        <w:snapToGrid/>
        <w:spacing w:line="240" w:lineRule="auto"/>
        <w:jc w:val="center"/>
        <w:textAlignment w:val="auto"/>
        <w:rPr>
          <w:rFonts w:hint="eastAsia" w:ascii="黑体" w:hAnsi="宋体" w:eastAsia="黑体" w:cs="Times New Roman"/>
          <w:color w:val="000000"/>
          <w:szCs w:val="32"/>
          <w:u w:val="none" w:color="auto"/>
          <w:lang w:val="en-US" w:eastAsia="zh-CN"/>
        </w:rPr>
      </w:pPr>
      <w:r>
        <w:rPr>
          <w:rFonts w:hint="eastAsia" w:ascii="黑体" w:hAnsi="宋体" w:eastAsia="黑体" w:cs="Times New Roman"/>
          <w:color w:val="000000"/>
          <w:szCs w:val="32"/>
          <w:u w:val="none" w:color="auto"/>
          <w:lang w:val="en-US" w:eastAsia="zh-CN"/>
        </w:rPr>
        <w:t>（征求意见稿）</w:t>
      </w:r>
    </w:p>
    <w:p>
      <w:pPr>
        <w:pStyle w:val="2"/>
        <w:rPr>
          <w:rFonts w:hint="eastAsia"/>
          <w:u w:val="none" w:color="auto"/>
          <w:lang w:val="en-US" w:eastAsia="zh-CN"/>
        </w:rPr>
      </w:pPr>
    </w:p>
    <w:p>
      <w:pPr>
        <w:autoSpaceDN w:val="0"/>
        <w:spacing w:line="480" w:lineRule="exact"/>
        <w:jc w:val="center"/>
        <w:rPr>
          <w:rFonts w:hint="eastAsia" w:ascii="黑体" w:hAnsi="宋体" w:eastAsia="黑体" w:cs="Times New Roman"/>
          <w:color w:val="000000"/>
          <w:szCs w:val="32"/>
          <w:u w:val="none" w:color="auto"/>
        </w:rPr>
      </w:pPr>
      <w:r>
        <w:rPr>
          <w:rFonts w:hint="eastAsia" w:ascii="黑体" w:hAnsi="宋体" w:eastAsia="黑体" w:cs="Times New Roman"/>
          <w:color w:val="000000"/>
          <w:szCs w:val="32"/>
          <w:u w:val="none" w:color="auto"/>
        </w:rPr>
        <w:t>第一章  总　　则</w:t>
      </w:r>
    </w:p>
    <w:p>
      <w:pPr>
        <w:autoSpaceDN w:val="0"/>
        <w:spacing w:line="480" w:lineRule="exact"/>
        <w:jc w:val="center"/>
        <w:rPr>
          <w:rFonts w:hint="eastAsia" w:ascii="黑体" w:hAnsi="宋体" w:eastAsia="黑体" w:cs="Times New Roman"/>
          <w:color w:val="000000"/>
          <w:szCs w:val="32"/>
          <w:u w:val="none" w:color="auto"/>
        </w:rPr>
      </w:pPr>
    </w:p>
    <w:p>
      <w:pPr>
        <w:kinsoku w:val="0"/>
        <w:spacing w:line="600" w:lineRule="exact"/>
        <w:jc w:val="left"/>
        <w:rPr>
          <w:rFonts w:hint="eastAsia"/>
          <w:color w:val="auto"/>
          <w:szCs w:val="32"/>
          <w:u w:val="none" w:color="auto"/>
        </w:rPr>
      </w:pPr>
      <w:r>
        <w:rPr>
          <w:rFonts w:hint="eastAsia"/>
          <w:color w:val="auto"/>
          <w:szCs w:val="32"/>
          <w:u w:val="none" w:color="auto"/>
        </w:rPr>
        <w:t>　　</w:t>
      </w:r>
      <w:r>
        <w:rPr>
          <w:rFonts w:hint="eastAsia"/>
          <w:b/>
          <w:bCs/>
          <w:color w:val="auto"/>
          <w:szCs w:val="32"/>
          <w:u w:val="none" w:color="auto"/>
        </w:rPr>
        <w:t>第一条</w:t>
      </w:r>
      <w:r>
        <w:rPr>
          <w:rFonts w:hint="eastAsia"/>
          <w:b/>
          <w:bCs/>
          <w:color w:val="auto"/>
          <w:szCs w:val="32"/>
          <w:u w:val="none" w:color="auto"/>
          <w:lang w:val="en-US" w:eastAsia="zh-CN"/>
        </w:rPr>
        <w:t xml:space="preserve"> </w:t>
      </w:r>
      <w:r>
        <w:rPr>
          <w:rFonts w:hint="eastAsia"/>
          <w:color w:val="auto"/>
          <w:szCs w:val="32"/>
          <w:u w:val="none" w:color="auto"/>
        </w:rPr>
        <w:t>为进一步规范临时救助工作，根据《社会救助暂行办法》（国务院令第649号）、《福建省民政厅 福建省财政厅关于进一步加强和改进临时救助工作的实施意见》（闽民保〔2018〕121号）、《福建省临时救助工作规范》（闽民保〔2019〕121号）和《厦门市临时救助工作规范》（厦民规〔2021〕1号）等规定，结合我区实际，制定本规范。</w:t>
      </w:r>
    </w:p>
    <w:p>
      <w:pPr>
        <w:kinsoku w:val="0"/>
        <w:spacing w:line="600" w:lineRule="exact"/>
        <w:jc w:val="left"/>
        <w:rPr>
          <w:rFonts w:hint="eastAsia"/>
          <w:color w:val="auto"/>
          <w:szCs w:val="32"/>
          <w:u w:val="none" w:color="auto"/>
        </w:rPr>
      </w:pPr>
      <w:r>
        <w:rPr>
          <w:rFonts w:hint="eastAsia"/>
          <w:color w:val="auto"/>
          <w:szCs w:val="32"/>
          <w:u w:val="none" w:color="auto"/>
        </w:rPr>
        <w:t>　　</w:t>
      </w:r>
      <w:r>
        <w:rPr>
          <w:rFonts w:hint="eastAsia"/>
          <w:b/>
          <w:bCs/>
          <w:color w:val="auto"/>
          <w:szCs w:val="32"/>
          <w:u w:val="none" w:color="auto"/>
        </w:rPr>
        <w:t>第二条</w:t>
      </w:r>
      <w:r>
        <w:rPr>
          <w:rFonts w:hint="eastAsia"/>
          <w:b/>
          <w:bCs/>
          <w:color w:val="auto"/>
          <w:szCs w:val="32"/>
          <w:u w:val="none" w:color="auto"/>
          <w:lang w:val="en-US" w:eastAsia="zh-CN"/>
        </w:rPr>
        <w:t xml:space="preserve"> </w:t>
      </w:r>
      <w:r>
        <w:rPr>
          <w:rFonts w:hint="eastAsia"/>
          <w:color w:val="auto"/>
          <w:szCs w:val="32"/>
          <w:u w:val="none" w:color="auto"/>
        </w:rPr>
        <w:t>本规范所称临时救助，是指政府对遭遇突发事件、意外伤害、重大疾病或其他特殊原因导致基本生活陷入困境，其他社会救助制度暂时无法覆盖或救助之后基本生活暂时仍有严重困难的家庭或个人给予的应急性、过渡性救助。</w:t>
      </w:r>
    </w:p>
    <w:p>
      <w:pPr>
        <w:kinsoku w:val="0"/>
        <w:spacing w:line="600" w:lineRule="exact"/>
        <w:jc w:val="left"/>
        <w:rPr>
          <w:rFonts w:hint="eastAsia"/>
          <w:color w:val="auto"/>
          <w:szCs w:val="32"/>
          <w:u w:val="none" w:color="auto"/>
        </w:rPr>
      </w:pPr>
      <w:r>
        <w:rPr>
          <w:rFonts w:hint="eastAsia"/>
          <w:color w:val="auto"/>
          <w:szCs w:val="32"/>
          <w:u w:val="none" w:color="auto"/>
        </w:rPr>
        <w:t>　　因自然灾害、事故灾难、公共卫生、社会安全等突发公共事件，需要开展紧急转移安置和基本生活救助，以及属于疾病应急救助范围的，按照有关规定执行。</w:t>
      </w:r>
    </w:p>
    <w:p>
      <w:pPr>
        <w:kinsoku w:val="0"/>
        <w:spacing w:line="600" w:lineRule="exact"/>
        <w:jc w:val="left"/>
        <w:rPr>
          <w:rFonts w:hint="eastAsia"/>
          <w:color w:val="auto"/>
          <w:szCs w:val="32"/>
          <w:u w:val="none" w:color="auto"/>
        </w:rPr>
      </w:pPr>
      <w:r>
        <w:rPr>
          <w:rFonts w:hint="eastAsia"/>
          <w:color w:val="auto"/>
          <w:szCs w:val="32"/>
          <w:u w:val="none" w:color="auto"/>
        </w:rPr>
        <w:t>　　</w:t>
      </w:r>
      <w:r>
        <w:rPr>
          <w:rFonts w:hint="eastAsia"/>
          <w:b/>
          <w:bCs/>
          <w:color w:val="auto"/>
          <w:szCs w:val="32"/>
          <w:u w:val="none" w:color="auto"/>
        </w:rPr>
        <w:t>第三条</w:t>
      </w:r>
      <w:r>
        <w:rPr>
          <w:rFonts w:hint="eastAsia"/>
          <w:b/>
          <w:bCs/>
          <w:color w:val="auto"/>
          <w:szCs w:val="32"/>
          <w:u w:val="none" w:color="auto"/>
          <w:lang w:val="en-US" w:eastAsia="zh-CN"/>
        </w:rPr>
        <w:t xml:space="preserve"> </w:t>
      </w:r>
      <w:r>
        <w:rPr>
          <w:rFonts w:hint="eastAsia"/>
          <w:color w:val="auto"/>
          <w:szCs w:val="32"/>
          <w:u w:val="none" w:color="auto"/>
        </w:rPr>
        <w:t>临时救助应遵循以下原则：</w:t>
      </w:r>
    </w:p>
    <w:p>
      <w:pPr>
        <w:kinsoku w:val="0"/>
        <w:spacing w:line="600" w:lineRule="exact"/>
        <w:jc w:val="left"/>
        <w:rPr>
          <w:rFonts w:hint="eastAsia"/>
          <w:color w:val="auto"/>
          <w:szCs w:val="32"/>
          <w:u w:val="none" w:color="auto"/>
        </w:rPr>
      </w:pPr>
      <w:r>
        <w:rPr>
          <w:rFonts w:hint="eastAsia"/>
          <w:color w:val="auto"/>
          <w:szCs w:val="32"/>
          <w:u w:val="none" w:color="auto"/>
        </w:rPr>
        <w:t>　　（一）人民至上，应救尽救；</w:t>
      </w:r>
    </w:p>
    <w:p>
      <w:pPr>
        <w:kinsoku w:val="0"/>
        <w:spacing w:line="600" w:lineRule="exact"/>
        <w:jc w:val="left"/>
        <w:rPr>
          <w:rFonts w:hint="eastAsia"/>
          <w:color w:val="auto"/>
          <w:szCs w:val="32"/>
          <w:u w:val="none" w:color="auto"/>
        </w:rPr>
      </w:pPr>
      <w:r>
        <w:rPr>
          <w:rFonts w:hint="eastAsia"/>
          <w:color w:val="auto"/>
          <w:szCs w:val="32"/>
          <w:u w:val="none" w:color="auto"/>
        </w:rPr>
        <w:t>　　（二）快速响应，救急兜底；</w:t>
      </w:r>
    </w:p>
    <w:p>
      <w:pPr>
        <w:kinsoku w:val="0"/>
        <w:spacing w:line="600" w:lineRule="exact"/>
        <w:jc w:val="left"/>
        <w:rPr>
          <w:rFonts w:hint="eastAsia"/>
          <w:color w:val="auto"/>
          <w:szCs w:val="32"/>
          <w:u w:val="none" w:color="auto"/>
        </w:rPr>
      </w:pPr>
      <w:r>
        <w:rPr>
          <w:rFonts w:hint="eastAsia"/>
          <w:color w:val="auto"/>
          <w:szCs w:val="32"/>
          <w:u w:val="none" w:color="auto"/>
        </w:rPr>
        <w:t>　　（三）精准公正，公开透明；</w:t>
      </w:r>
    </w:p>
    <w:p>
      <w:pPr>
        <w:kinsoku w:val="0"/>
        <w:spacing w:line="600" w:lineRule="exact"/>
        <w:jc w:val="left"/>
        <w:rPr>
          <w:rFonts w:hint="eastAsia"/>
          <w:color w:val="auto"/>
          <w:szCs w:val="32"/>
          <w:u w:val="none" w:color="auto"/>
        </w:rPr>
      </w:pPr>
      <w:r>
        <w:rPr>
          <w:rFonts w:hint="eastAsia"/>
          <w:color w:val="auto"/>
          <w:szCs w:val="32"/>
          <w:u w:val="none" w:color="auto"/>
        </w:rPr>
        <w:t>　　（四）政府救助，社会帮扶。</w:t>
      </w:r>
    </w:p>
    <w:p>
      <w:pPr>
        <w:autoSpaceDN w:val="0"/>
        <w:spacing w:line="590" w:lineRule="exact"/>
        <w:jc w:val="center"/>
        <w:rPr>
          <w:rFonts w:hint="eastAsia" w:ascii="黑体" w:hAnsi="Times New Roman" w:eastAsia="黑体"/>
          <w:bCs/>
          <w:color w:val="auto"/>
          <w:szCs w:val="32"/>
          <w:u w:val="none" w:color="auto"/>
        </w:rPr>
      </w:pPr>
      <w:r>
        <w:rPr>
          <w:rFonts w:hint="eastAsia" w:ascii="黑体" w:hAnsi="Times New Roman" w:eastAsia="黑体"/>
          <w:bCs/>
          <w:color w:val="auto"/>
          <w:szCs w:val="32"/>
          <w:u w:val="none" w:color="auto"/>
        </w:rPr>
        <w:t>第二章  临时救助对象</w:t>
      </w:r>
    </w:p>
    <w:p>
      <w:pPr>
        <w:autoSpaceDN w:val="0"/>
        <w:spacing w:line="590" w:lineRule="exact"/>
        <w:jc w:val="center"/>
        <w:rPr>
          <w:rFonts w:hint="eastAsia" w:ascii="Times New Roman" w:hAnsi="Times New Roman"/>
          <w:b/>
          <w:bCs/>
          <w:color w:val="auto"/>
          <w:szCs w:val="32"/>
          <w:u w:val="none" w:color="auto"/>
        </w:rPr>
      </w:pP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bCs/>
          <w:color w:val="auto"/>
          <w:sz w:val="32"/>
          <w:szCs w:val="32"/>
          <w:u w:val="none" w:color="auto"/>
        </w:rPr>
        <w:t>　</w:t>
      </w:r>
      <w:r>
        <w:rPr>
          <w:rFonts w:hint="eastAsia" w:ascii="Times New Roman" w:eastAsia="仿宋_GB2312"/>
          <w:b w:val="0"/>
          <w:bCs w:val="0"/>
          <w:color w:val="auto"/>
          <w:sz w:val="32"/>
          <w:szCs w:val="32"/>
          <w:u w:val="none" w:color="auto"/>
        </w:rPr>
        <w:t>　</w:t>
      </w:r>
      <w:r>
        <w:rPr>
          <w:rFonts w:hint="eastAsia" w:ascii="仿宋_GB2312" w:hAnsi="宋体" w:eastAsia="仿宋_GB2312" w:cs="Times New Roman"/>
          <w:b/>
          <w:bCs/>
          <w:color w:val="auto"/>
          <w:kern w:val="96"/>
          <w:sz w:val="32"/>
          <w:szCs w:val="32"/>
          <w:u w:val="none" w:color="auto"/>
          <w:lang w:val="en-US" w:eastAsia="zh-CN" w:bidi="ar-SA"/>
        </w:rPr>
        <w:t xml:space="preserve">第四条 </w:t>
      </w:r>
      <w:r>
        <w:rPr>
          <w:rFonts w:hint="eastAsia" w:ascii="Times New Roman" w:eastAsia="仿宋_GB2312"/>
          <w:b w:val="0"/>
          <w:bCs w:val="0"/>
          <w:color w:val="auto"/>
          <w:sz w:val="32"/>
          <w:szCs w:val="32"/>
          <w:u w:val="none" w:color="auto"/>
        </w:rPr>
        <w:t>符合下列情形之一，导致基本生活陷入困境、需要立即采取救助措施的家庭或个人，可以申请急难型临时救助：</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（一）因遭遇火灾、溺水、交通事故、人身伤害等意外事件，突发重大疾病，家庭主要劳动力死亡或重度伤残等特殊情况的；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（二）因刑满释放（社区矫正），失业后未享受失业保险待遇等原因造成无生活来源的；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（三）在困难群众基本生活保障待遇审核认定期间的；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（四）因其他原因造成基本生活出现严重困难的。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w:t>
      </w:r>
      <w:r>
        <w:rPr>
          <w:rFonts w:hint="eastAsia" w:ascii="仿宋_GB2312" w:hAnsi="宋体" w:eastAsia="仿宋_GB2312" w:cs="Times New Roman"/>
          <w:b/>
          <w:bCs/>
          <w:color w:val="auto"/>
          <w:kern w:val="96"/>
          <w:sz w:val="32"/>
          <w:szCs w:val="32"/>
          <w:u w:val="none" w:color="auto"/>
          <w:lang w:val="en-US" w:eastAsia="zh-CN" w:bidi="ar-SA"/>
        </w:rPr>
        <w:t xml:space="preserve">第五条 </w:t>
      </w:r>
      <w:r>
        <w:rPr>
          <w:rFonts w:hint="eastAsia" w:ascii="Times New Roman" w:eastAsia="仿宋_GB2312"/>
          <w:b w:val="0"/>
          <w:bCs w:val="0"/>
          <w:color w:val="auto"/>
          <w:sz w:val="32"/>
          <w:szCs w:val="32"/>
          <w:u w:val="none" w:color="auto"/>
        </w:rPr>
        <w:t>符合下列情形之一，导致基本生活一定时期内陷入严重困难的本市常住家庭或个人，可以申请支出型临时救助：</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（一）已纳入困难群众基本生活保障范围，因医疗、教育等生活必需支出突然增加超出家庭承受能力的；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二）未纳入困难群众基本生活保障范围，因医疗、教育等生活必需支出突然增加超出家庭承受能力，根据《厦门市人民政府办公厅关于印发社会救助家庭经济状况核对办法的通知》（厦府办规〔2020〕11号，以下简称“核对办法”）认定，共同居住家庭成员人均收入低于上年度本市居民人均可支配收入，家庭人均金融资产低于本市月低保标准96倍，且不存在以下情形：</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①拒绝履行申请手续、配合经办机构或者经办人员按规定对其家庭状况进行调查的；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②故意隐瞒家庭人口、收入和财产状况，承诺严重不实的；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③实际拥有2套及以上产权住房且人均住房面积在当地住房困难标准面积2倍及以上，以及拥有非普通住宅的。</w:t>
      </w:r>
    </w:p>
    <w:p>
      <w:pPr>
        <w:pStyle w:val="6"/>
        <w:widowControl w:val="0"/>
        <w:spacing w:before="0" w:beforeLines="0" w:beforeAutospacing="0" w:after="0" w:afterLines="0" w:afterAutospacing="0" w:line="590" w:lineRule="exact"/>
        <w:rPr>
          <w:rFonts w:hint="eastAsia" w:ascii="Times New Roman" w:eastAsia="仿宋_GB2312"/>
          <w:b w:val="0"/>
          <w:bCs w:val="0"/>
          <w:color w:val="auto"/>
          <w:sz w:val="32"/>
          <w:szCs w:val="32"/>
          <w:u w:val="none" w:color="auto"/>
        </w:rPr>
      </w:pPr>
      <w:r>
        <w:rPr>
          <w:rFonts w:hint="eastAsia" w:ascii="Times New Roman" w:eastAsia="仿宋_GB2312"/>
          <w:b w:val="0"/>
          <w:bCs w:val="0"/>
          <w:color w:val="auto"/>
          <w:sz w:val="32"/>
          <w:szCs w:val="32"/>
          <w:u w:val="none" w:color="auto"/>
        </w:rPr>
        <w:t>　　（三）特困人员在定点医疗机构诊治疾病期间需住院护理，经政府医疗救助后仍需负担护工费的。</w:t>
      </w:r>
    </w:p>
    <w:p>
      <w:pPr>
        <w:pStyle w:val="6"/>
        <w:widowControl w:val="0"/>
        <w:spacing w:before="0" w:beforeLines="0" w:beforeAutospacing="0" w:after="0" w:afterLines="0" w:afterAutospacing="0" w:line="590" w:lineRule="exact"/>
        <w:ind w:firstLine="632" w:firstLineChars="200"/>
        <w:rPr>
          <w:rFonts w:hint="eastAsia" w:ascii="Times New Roman" w:eastAsia="仿宋_GB2312"/>
          <w:b w:val="0"/>
          <w:bCs w:val="0"/>
          <w:color w:val="auto"/>
          <w:sz w:val="32"/>
          <w:szCs w:val="32"/>
          <w:u w:val="none" w:color="auto"/>
          <w:lang w:eastAsia="zh-CN"/>
        </w:rPr>
      </w:pPr>
      <w:r>
        <w:rPr>
          <w:rFonts w:hint="eastAsia" w:ascii="Times New Roman" w:hAnsi="Times New Roman" w:eastAsia="仿宋_GB2312" w:cs="Times New Roman"/>
          <w:b w:val="0"/>
          <w:bCs w:val="0"/>
          <w:color w:val="auto"/>
          <w:sz w:val="32"/>
          <w:szCs w:val="32"/>
          <w:u w:val="none" w:color="auto"/>
        </w:rPr>
        <w:t>（四）</w:t>
      </w:r>
      <w:r>
        <w:rPr>
          <w:rFonts w:hint="eastAsia" w:ascii="Times New Roman" w:eastAsia="仿宋_GB2312"/>
          <w:b w:val="0"/>
          <w:bCs w:val="0"/>
          <w:color w:val="auto"/>
          <w:sz w:val="32"/>
          <w:szCs w:val="32"/>
          <w:u w:val="none" w:color="auto"/>
        </w:rPr>
        <w:t>已纳入困难群众基本生活保障范围，</w:t>
      </w:r>
      <w:r>
        <w:rPr>
          <w:rFonts w:hint="eastAsia" w:ascii="Times New Roman" w:eastAsia="仿宋_GB2312"/>
          <w:b w:val="0"/>
          <w:bCs w:val="0"/>
          <w:color w:val="auto"/>
          <w:sz w:val="32"/>
          <w:szCs w:val="32"/>
          <w:u w:val="none" w:color="auto"/>
          <w:lang w:eastAsia="zh-CN"/>
        </w:rPr>
        <w:t>除医疗救助外仍需长期自费购买药品，超出承受能力的。</w:t>
      </w:r>
    </w:p>
    <w:p>
      <w:pPr>
        <w:pStyle w:val="3"/>
        <w:rPr>
          <w:rFonts w:hint="eastAsia"/>
          <w:u w:val="none" w:color="auto"/>
          <w:lang w:eastAsia="zh-CN"/>
        </w:rPr>
      </w:pPr>
    </w:p>
    <w:p>
      <w:pPr>
        <w:numPr>
          <w:ilvl w:val="0"/>
          <w:numId w:val="1"/>
        </w:numPr>
        <w:autoSpaceDN w:val="0"/>
        <w:spacing w:line="590" w:lineRule="exact"/>
        <w:jc w:val="center"/>
        <w:rPr>
          <w:rFonts w:hint="eastAsia" w:ascii="黑体" w:hAnsi="Times New Roman" w:eastAsia="黑体"/>
          <w:color w:val="auto"/>
          <w:szCs w:val="32"/>
          <w:u w:val="none" w:color="auto"/>
        </w:rPr>
      </w:pPr>
      <w:r>
        <w:rPr>
          <w:rFonts w:hint="eastAsia" w:ascii="黑体" w:hAnsi="Times New Roman" w:eastAsia="黑体"/>
          <w:color w:val="auto"/>
          <w:szCs w:val="32"/>
          <w:u w:val="none" w:color="auto"/>
        </w:rPr>
        <w:t xml:space="preserve"> 临时救助申请审批程序</w:t>
      </w:r>
    </w:p>
    <w:p>
      <w:pPr>
        <w:pStyle w:val="2"/>
        <w:numPr>
          <w:ilvl w:val="0"/>
          <w:numId w:val="0"/>
        </w:numPr>
        <w:rPr>
          <w:rFonts w:hint="eastAsia"/>
          <w:u w:val="none" w:color="auto"/>
        </w:rPr>
      </w:pP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第六条 </w:t>
      </w:r>
      <w:r>
        <w:rPr>
          <w:rFonts w:hint="eastAsia" w:ascii="Times New Roman" w:eastAsia="仿宋_GB2312"/>
          <w:color w:val="auto"/>
          <w:sz w:val="32"/>
          <w:szCs w:val="32"/>
          <w:u w:val="none" w:color="auto"/>
        </w:rPr>
        <w:t>临时救助原则上按家庭或个人申请，</w:t>
      </w:r>
      <w:r>
        <w:rPr>
          <w:rFonts w:hint="eastAsia" w:ascii="Times New Roman" w:eastAsia="仿宋_GB2312"/>
          <w:color w:val="auto"/>
          <w:sz w:val="32"/>
          <w:szCs w:val="32"/>
          <w:u w:val="none" w:color="auto"/>
          <w:lang w:eastAsia="zh-CN"/>
        </w:rPr>
        <w:t>街道</w:t>
      </w:r>
      <w:r>
        <w:rPr>
          <w:rFonts w:hint="eastAsia" w:ascii="Times New Roman" w:eastAsia="仿宋_GB2312"/>
          <w:color w:val="auto"/>
          <w:sz w:val="32"/>
          <w:szCs w:val="32"/>
          <w:u w:val="none" w:color="auto"/>
        </w:rPr>
        <w:t>审核、区民政局确认的操作程序组织实施。</w:t>
      </w:r>
      <w:r>
        <w:rPr>
          <w:rFonts w:hint="eastAsia" w:ascii="Times New Roman" w:eastAsia="仿宋_GB2312"/>
          <w:color w:val="auto"/>
          <w:sz w:val="32"/>
          <w:szCs w:val="32"/>
          <w:u w:val="none" w:color="auto"/>
          <w:lang w:eastAsia="zh-CN"/>
        </w:rPr>
        <w:t>依据</w:t>
      </w:r>
      <w:r>
        <w:rPr>
          <w:rFonts w:hint="eastAsia" w:ascii="仿宋_GB2312" w:eastAsia="仿宋_GB2312" w:cs="仿宋_GB2312"/>
          <w:color w:val="auto"/>
          <w:sz w:val="32"/>
          <w:szCs w:val="32"/>
          <w:highlight w:val="none"/>
          <w:u w:val="none" w:color="auto"/>
          <w:lang w:val="en-US" w:eastAsia="zh-CN" w:bidi="ar-SA"/>
        </w:rPr>
        <w:t>《湖里区民政局 湖里区财政局转发市民政局 市财政局关于进一步加强社会救助兜底保障工作的通知》（厦湖民〔2018〕93号），</w:t>
      </w:r>
      <w:r>
        <w:rPr>
          <w:rFonts w:hint="eastAsia" w:ascii="仿宋_GB2312" w:eastAsia="仿宋_GB2312" w:cs="仿宋_GB2312"/>
          <w:sz w:val="32"/>
          <w:szCs w:val="32"/>
          <w:highlight w:val="none"/>
          <w:u w:val="none" w:color="auto"/>
          <w:lang w:val="en-US" w:eastAsia="zh-CN" w:bidi="ar-SA"/>
        </w:rPr>
        <w:t>继续授权委托各街道开展临时救助的审批工作，</w:t>
      </w:r>
      <w:r>
        <w:rPr>
          <w:rStyle w:val="10"/>
          <w:rFonts w:hint="eastAsia" w:ascii="仿宋_GB2312" w:hAnsi="仿宋_GB2312" w:eastAsia="仿宋_GB2312" w:cs="仿宋_GB2312"/>
          <w:b w:val="0"/>
          <w:bCs/>
          <w:color w:val="242424"/>
          <w:sz w:val="32"/>
          <w:szCs w:val="32"/>
          <w:u w:val="none" w:color="auto"/>
          <w:lang w:val="en-US" w:eastAsia="zh-CN"/>
        </w:rPr>
        <w:t>区民政局加强检查督促和业务指导。</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第七条 </w:t>
      </w:r>
      <w:r>
        <w:rPr>
          <w:rFonts w:hint="eastAsia" w:ascii="Times New Roman" w:eastAsia="仿宋_GB2312"/>
          <w:color w:val="auto"/>
          <w:sz w:val="32"/>
          <w:szCs w:val="32"/>
          <w:u w:val="none" w:color="auto"/>
        </w:rPr>
        <w:t>凡认为符合救助条件的居民家庭或个人均可以向户籍（居住）所在地的</w:t>
      </w:r>
      <w:r>
        <w:rPr>
          <w:rFonts w:hint="eastAsia" w:ascii="Times New Roman" w:eastAsia="仿宋_GB2312"/>
          <w:color w:val="auto"/>
          <w:sz w:val="32"/>
          <w:szCs w:val="32"/>
          <w:u w:val="none" w:color="auto"/>
          <w:lang w:eastAsia="zh-CN"/>
        </w:rPr>
        <w:t>街道</w:t>
      </w:r>
      <w:r>
        <w:rPr>
          <w:rFonts w:hint="eastAsia" w:ascii="Times New Roman" w:eastAsia="仿宋_GB2312"/>
          <w:color w:val="auto"/>
          <w:sz w:val="32"/>
          <w:szCs w:val="32"/>
          <w:u w:val="none" w:color="auto"/>
        </w:rPr>
        <w:t>提交书面申请及查询授权等相关材料；受申请人委托，</w:t>
      </w:r>
      <w:r>
        <w:rPr>
          <w:rFonts w:hint="eastAsia" w:ascii="Times New Roman" w:eastAsia="仿宋_GB2312"/>
          <w:color w:val="auto"/>
          <w:sz w:val="32"/>
          <w:szCs w:val="32"/>
          <w:u w:val="none" w:color="auto"/>
          <w:lang w:eastAsia="zh-CN"/>
        </w:rPr>
        <w:t>居</w:t>
      </w:r>
      <w:r>
        <w:rPr>
          <w:rFonts w:hint="eastAsia" w:ascii="Times New Roman" w:eastAsia="仿宋_GB2312"/>
          <w:color w:val="auto"/>
          <w:sz w:val="32"/>
          <w:szCs w:val="32"/>
          <w:u w:val="none" w:color="auto"/>
        </w:rPr>
        <w:t>民委员会或其他单位、个人可以代为提出申请；网上受理条件具备时，也可以通过网上申请。</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第八条 </w:t>
      </w:r>
      <w:r>
        <w:rPr>
          <w:rFonts w:hint="eastAsia" w:ascii="Times New Roman" w:eastAsia="仿宋_GB2312"/>
          <w:color w:val="auto"/>
          <w:sz w:val="32"/>
          <w:szCs w:val="32"/>
          <w:u w:val="none" w:color="auto"/>
          <w:lang w:eastAsia="zh-CN"/>
        </w:rPr>
        <w:t>街道</w:t>
      </w:r>
      <w:r>
        <w:rPr>
          <w:rFonts w:hint="eastAsia" w:ascii="Times New Roman" w:eastAsia="仿宋_GB2312"/>
          <w:color w:val="auto"/>
          <w:sz w:val="32"/>
          <w:szCs w:val="32"/>
          <w:u w:val="none" w:color="auto"/>
        </w:rPr>
        <w:t>、</w:t>
      </w:r>
      <w:r>
        <w:rPr>
          <w:rFonts w:hint="eastAsia" w:ascii="Times New Roman" w:eastAsia="仿宋_GB2312"/>
          <w:color w:val="auto"/>
          <w:sz w:val="32"/>
          <w:szCs w:val="32"/>
          <w:u w:val="none" w:color="auto"/>
          <w:lang w:eastAsia="zh-CN"/>
        </w:rPr>
        <w:t>社区</w:t>
      </w:r>
      <w:r>
        <w:rPr>
          <w:rFonts w:hint="eastAsia" w:ascii="Times New Roman" w:eastAsia="仿宋_GB2312"/>
          <w:color w:val="auto"/>
          <w:sz w:val="32"/>
          <w:szCs w:val="32"/>
          <w:u w:val="none" w:color="auto"/>
        </w:rPr>
        <w:t>要建立困难群众巡访制度，健全主动发现网络，开展定期巡访、排查，并帮助有困难的家庭或个人提出救助申请。</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第九条 </w:t>
      </w:r>
      <w:r>
        <w:rPr>
          <w:rFonts w:hint="eastAsia" w:ascii="Times New Roman" w:eastAsia="仿宋_GB2312"/>
          <w:color w:val="auto"/>
          <w:sz w:val="32"/>
          <w:szCs w:val="32"/>
          <w:u w:val="none" w:color="auto"/>
        </w:rPr>
        <w:t>申请时应提供以下材料：</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Times New Roman" w:eastAsia="仿宋_GB2312"/>
          <w:b w:val="0"/>
          <w:bCs w:val="0"/>
          <w:color w:val="auto"/>
          <w:sz w:val="32"/>
          <w:szCs w:val="32"/>
          <w:u w:val="none" w:color="auto"/>
        </w:rPr>
        <w:t>（一）</w:t>
      </w:r>
      <w:r>
        <w:rPr>
          <w:rFonts w:hint="eastAsia" w:ascii="Times New Roman" w:eastAsia="仿宋_GB2312"/>
          <w:color w:val="auto"/>
          <w:sz w:val="32"/>
          <w:szCs w:val="32"/>
          <w:u w:val="none" w:color="auto"/>
        </w:rPr>
        <w:t>居民身份证、户口簿或居住证；</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Times New Roman" w:eastAsia="仿宋_GB2312"/>
          <w:color w:val="auto"/>
          <w:sz w:val="32"/>
          <w:szCs w:val="32"/>
          <w:u w:val="none" w:color="auto"/>
        </w:rPr>
        <w:t>（二）临时救助申请审批表；</w:t>
      </w:r>
    </w:p>
    <w:p>
      <w:pPr>
        <w:pStyle w:val="6"/>
        <w:widowControl w:val="0"/>
        <w:spacing w:before="0" w:beforeLines="0" w:beforeAutospacing="0" w:after="0" w:afterLines="0" w:afterAutospacing="0" w:line="590" w:lineRule="exact"/>
        <w:ind w:firstLine="629"/>
        <w:rPr>
          <w:rFonts w:hint="eastAsia" w:ascii="仿宋_GB2312" w:hAnsi="仿宋_GB2312" w:eastAsia="仿宋_GB2312" w:cs="仿宋_GB2312"/>
          <w:sz w:val="32"/>
          <w:szCs w:val="32"/>
          <w:highlight w:val="none"/>
          <w:u w:val="none" w:color="auto"/>
          <w:lang w:eastAsia="zh-CN"/>
        </w:rPr>
      </w:pPr>
      <w:r>
        <w:rPr>
          <w:rFonts w:hint="eastAsia" w:ascii="Times New Roman" w:eastAsia="仿宋_GB2312"/>
          <w:color w:val="auto"/>
          <w:sz w:val="32"/>
          <w:szCs w:val="32"/>
          <w:u w:val="none" w:color="auto"/>
        </w:rPr>
        <w:t>（三）</w:t>
      </w:r>
      <w:r>
        <w:rPr>
          <w:rFonts w:hint="eastAsia" w:ascii="仿宋_GB2312" w:hAnsi="仿宋_GB2312" w:eastAsia="仿宋_GB2312" w:cs="仿宋_GB2312"/>
          <w:sz w:val="32"/>
          <w:szCs w:val="32"/>
          <w:highlight w:val="none"/>
          <w:u w:val="none" w:color="auto"/>
          <w:lang w:eastAsia="zh-CN"/>
        </w:rPr>
        <w:t>申请对象家庭经济状况诚信申报承诺书、导致基本生活严重困难的相关证明材料；</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Times New Roman" w:eastAsia="仿宋_GB2312"/>
          <w:color w:val="auto"/>
          <w:sz w:val="32"/>
          <w:szCs w:val="32"/>
          <w:u w:val="none" w:color="auto"/>
        </w:rPr>
        <w:t>（四）</w:t>
      </w:r>
      <w:r>
        <w:rPr>
          <w:rFonts w:hint="eastAsia" w:ascii="仿宋_GB2312" w:hAnsi="仿宋_GB2312" w:eastAsia="仿宋_GB2312" w:cs="仿宋_GB2312"/>
          <w:sz w:val="32"/>
          <w:szCs w:val="32"/>
          <w:highlight w:val="none"/>
          <w:u w:val="none" w:color="auto"/>
        </w:rPr>
        <w:t>申请社会救助居民家庭经济状况声明及查询授权书（已纳入困难群众基本生活保障范围，无需提供家庭经济状况核查授权书）</w:t>
      </w:r>
      <w:r>
        <w:rPr>
          <w:rFonts w:hint="eastAsia" w:ascii="仿宋_GB2312" w:hAnsi="仿宋_GB2312" w:eastAsia="仿宋_GB2312" w:cs="仿宋_GB2312"/>
          <w:sz w:val="32"/>
          <w:szCs w:val="32"/>
          <w:highlight w:val="none"/>
          <w:u w:val="none" w:color="auto"/>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32" w:firstLineChars="200"/>
        <w:jc w:val="both"/>
        <w:textAlignment w:val="auto"/>
        <w:outlineLvl w:val="9"/>
        <w:rPr>
          <w:rFonts w:hint="eastAsia"/>
          <w:color w:val="auto"/>
          <w:u w:val="none" w:color="auto"/>
        </w:rPr>
      </w:pPr>
      <w:r>
        <w:rPr>
          <w:rFonts w:hint="eastAsia" w:ascii="仿宋_GB2312" w:hAnsi="仿宋_GB2312" w:eastAsia="仿宋_GB2312" w:cs="仿宋_GB2312"/>
          <w:color w:val="auto"/>
          <w:sz w:val="32"/>
          <w:szCs w:val="32"/>
          <w:highlight w:val="none"/>
          <w:u w:val="none" w:color="auto"/>
          <w:lang w:eastAsia="zh-CN"/>
        </w:rPr>
        <w:t>申</w:t>
      </w:r>
      <w:r>
        <w:rPr>
          <w:rFonts w:hint="eastAsia" w:ascii="仿宋_GB2312" w:hAnsi="仿宋_GB2312" w:eastAsia="仿宋_GB2312" w:cs="仿宋_GB2312"/>
          <w:color w:val="auto"/>
          <w:kern w:val="2"/>
          <w:sz w:val="32"/>
          <w:szCs w:val="32"/>
          <w:highlight w:val="none"/>
          <w:u w:val="none" w:color="auto"/>
          <w:lang w:val="en-US" w:eastAsia="zh-CN" w:bidi="ar-SA"/>
        </w:rPr>
        <w:t>请急难型临时救助的，需提交（一）至（三）所列申请材料，对暂时无法提供申请材料（一）的可由社区证明替代；申请支出型临时救助的，需提交（一）至（四）所列申请材料。</w:t>
      </w:r>
    </w:p>
    <w:p>
      <w:pPr>
        <w:pStyle w:val="6"/>
        <w:widowControl w:val="0"/>
        <w:spacing w:before="0" w:beforeLines="0" w:beforeAutospacing="0" w:after="0" w:afterLines="0" w:afterAutospacing="0" w:line="590" w:lineRule="exact"/>
        <w:ind w:firstLine="629"/>
        <w:rPr>
          <w:rFonts w:hint="eastAsia" w:ascii="Times New Roman" w:eastAsia="仿宋_GB2312"/>
          <w:b w:val="0"/>
          <w:bCs w:val="0"/>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第十条 </w:t>
      </w:r>
      <w:r>
        <w:rPr>
          <w:rFonts w:hint="eastAsia" w:ascii="Times New Roman" w:eastAsia="仿宋_GB2312"/>
          <w:b w:val="0"/>
          <w:bCs w:val="0"/>
          <w:color w:val="auto"/>
          <w:sz w:val="32"/>
          <w:szCs w:val="32"/>
          <w:u w:val="none" w:color="auto"/>
        </w:rPr>
        <w:t>急难型救助对象审核认定，按照直接受理申请、先行救助、补办手续的程序办理。</w:t>
      </w:r>
      <w:r>
        <w:rPr>
          <w:rFonts w:hint="eastAsia" w:ascii="Times New Roman" w:eastAsia="仿宋_GB2312"/>
          <w:b w:val="0"/>
          <w:bCs w:val="0"/>
          <w:color w:val="auto"/>
          <w:sz w:val="32"/>
          <w:szCs w:val="32"/>
          <w:u w:val="none" w:color="auto"/>
          <w:lang w:eastAsia="zh-CN"/>
        </w:rPr>
        <w:t>街道</w:t>
      </w:r>
      <w:r>
        <w:rPr>
          <w:rFonts w:hint="eastAsia" w:ascii="Times New Roman" w:eastAsia="仿宋_GB2312"/>
          <w:b w:val="0"/>
          <w:bCs w:val="0"/>
          <w:color w:val="auto"/>
          <w:sz w:val="32"/>
          <w:szCs w:val="32"/>
          <w:u w:val="none" w:color="auto"/>
        </w:rPr>
        <w:t>应当在5个工作日内，完成入户调查核实（无需进行家庭经济状况核对），予以先行救助；急难情况缓解后，要及时登记救助对象、救助事由、救助金额等信息，补齐经办人员、相关负责人签字、盖章手续。</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eastAsia" w:ascii="仿宋_GB2312" w:hAnsi="仿宋_GB2312" w:eastAsia="仿宋_GB2312" w:cs="仿宋_GB2312"/>
          <w:sz w:val="32"/>
          <w:szCs w:val="32"/>
          <w:highlight w:val="none"/>
          <w:u w:val="none" w:color="auto"/>
          <w:lang w:val="en-US" w:eastAsia="zh-CN"/>
        </w:rPr>
      </w:pPr>
      <w:r>
        <w:rPr>
          <w:rFonts w:hint="eastAsia" w:ascii="仿宋_GB2312" w:hAnsi="宋体" w:eastAsia="仿宋_GB2312" w:cs="Times New Roman"/>
          <w:b/>
          <w:bCs/>
          <w:color w:val="auto"/>
          <w:kern w:val="96"/>
          <w:sz w:val="32"/>
          <w:szCs w:val="32"/>
          <w:u w:val="none" w:color="auto"/>
          <w:lang w:val="en-US" w:eastAsia="zh-CN" w:bidi="ar-SA"/>
        </w:rPr>
        <w:t xml:space="preserve">第十一条 </w:t>
      </w:r>
      <w:r>
        <w:rPr>
          <w:rFonts w:hint="eastAsia" w:ascii="仿宋_GB2312" w:hAnsi="仿宋_GB2312" w:eastAsia="仿宋_GB2312" w:cs="仿宋_GB2312"/>
          <w:sz w:val="32"/>
          <w:szCs w:val="32"/>
          <w:highlight w:val="none"/>
          <w:u w:val="none" w:color="auto"/>
        </w:rPr>
        <w:t>支出型救助</w:t>
      </w:r>
      <w:r>
        <w:rPr>
          <w:rFonts w:hint="eastAsia" w:ascii="仿宋_GB2312" w:hAnsi="仿宋_GB2312" w:eastAsia="仿宋_GB2312" w:cs="仿宋_GB2312"/>
          <w:sz w:val="32"/>
          <w:szCs w:val="32"/>
          <w:highlight w:val="none"/>
          <w:u w:val="none" w:color="auto"/>
          <w:lang w:eastAsia="zh-CN"/>
        </w:rPr>
        <w:t>对象按照信息核对、申请受理、调查核实、张榜公示、审核认定的</w:t>
      </w:r>
      <w:r>
        <w:rPr>
          <w:rFonts w:hint="eastAsia" w:ascii="仿宋_GB2312" w:hAnsi="仿宋_GB2312" w:eastAsia="仿宋_GB2312" w:cs="仿宋_GB2312"/>
          <w:sz w:val="32"/>
          <w:szCs w:val="32"/>
          <w:highlight w:val="none"/>
          <w:u w:val="none" w:color="auto"/>
        </w:rPr>
        <w:t>程序</w:t>
      </w:r>
      <w:r>
        <w:rPr>
          <w:rFonts w:hint="eastAsia" w:ascii="仿宋_GB2312" w:hAnsi="仿宋_GB2312" w:eastAsia="仿宋_GB2312" w:cs="仿宋_GB2312"/>
          <w:sz w:val="32"/>
          <w:szCs w:val="32"/>
          <w:highlight w:val="none"/>
          <w:u w:val="none" w:color="auto"/>
          <w:lang w:eastAsia="zh-CN"/>
        </w:rPr>
        <w:t>办理。街道应当自受理申请材料之日起</w:t>
      </w:r>
      <w:r>
        <w:rPr>
          <w:rFonts w:hint="eastAsia" w:ascii="仿宋_GB2312" w:hAnsi="仿宋_GB2312" w:eastAsia="仿宋_GB2312" w:cs="仿宋_GB2312"/>
          <w:sz w:val="32"/>
          <w:szCs w:val="32"/>
          <w:highlight w:val="none"/>
          <w:u w:val="none" w:color="auto"/>
          <w:lang w:val="en-US" w:eastAsia="zh-CN"/>
        </w:rPr>
        <w:t>7个工作日内提出审核意见。</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eastAsia" w:ascii="仿宋_GB2312" w:hAnsi="仿宋_GB2312" w:eastAsia="仿宋_GB2312" w:cs="仿宋_GB2312"/>
          <w:sz w:val="32"/>
          <w:szCs w:val="32"/>
          <w:highlight w:val="none"/>
          <w:u w:val="none" w:color="auto"/>
        </w:rPr>
      </w:pPr>
      <w:r>
        <w:rPr>
          <w:rFonts w:hint="eastAsia" w:ascii="仿宋_GB2312" w:hAnsi="仿宋_GB2312" w:eastAsia="仿宋_GB2312" w:cs="仿宋_GB2312"/>
          <w:sz w:val="32"/>
          <w:szCs w:val="32"/>
          <w:highlight w:val="none"/>
          <w:u w:val="none" w:color="auto"/>
          <w:lang w:val="en-US" w:eastAsia="zh-CN"/>
        </w:rPr>
        <w:t>认定符合救助条件的，应当确定救助金额，在公示栏或政府网站对申请人申报情况、调查核实情况和审核结果等相关信息进行公示，公示不少于5天。街道在公示结束后的3个工作日内，对于救助金额</w:t>
      </w:r>
      <w:r>
        <w:rPr>
          <w:rFonts w:hint="eastAsia" w:hAnsi="仿宋_GB2312" w:cs="仿宋_GB2312"/>
          <w:sz w:val="32"/>
          <w:szCs w:val="32"/>
          <w:highlight w:val="none"/>
          <w:u w:val="none" w:color="auto"/>
          <w:lang w:val="en-US" w:eastAsia="zh-CN"/>
        </w:rPr>
        <w:t>进行</w:t>
      </w:r>
      <w:r>
        <w:rPr>
          <w:rFonts w:hint="eastAsia" w:ascii="仿宋_GB2312" w:hAnsi="仿宋_GB2312" w:eastAsia="仿宋_GB2312" w:cs="仿宋_GB2312"/>
          <w:sz w:val="32"/>
          <w:szCs w:val="32"/>
          <w:highlight w:val="none"/>
          <w:u w:val="none" w:color="auto"/>
          <w:lang w:val="en-US" w:eastAsia="zh-CN"/>
        </w:rPr>
        <w:t>确认并予</w:t>
      </w:r>
      <w:r>
        <w:rPr>
          <w:rFonts w:hint="eastAsia" w:ascii="仿宋_GB2312" w:hAnsi="仿宋_GB2312" w:eastAsia="仿宋_GB2312" w:cs="仿宋_GB2312"/>
          <w:sz w:val="32"/>
          <w:szCs w:val="32"/>
          <w:highlight w:val="none"/>
          <w:u w:val="none" w:color="auto"/>
        </w:rPr>
        <w:t>救助。</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第十二条 </w:t>
      </w:r>
      <w:r>
        <w:rPr>
          <w:rFonts w:hint="eastAsia" w:ascii="Times New Roman" w:eastAsia="仿宋_GB2312"/>
          <w:color w:val="auto"/>
          <w:sz w:val="32"/>
          <w:szCs w:val="32"/>
          <w:u w:val="none" w:color="auto"/>
        </w:rPr>
        <w:t>对需采取“一事一议”方式研究决定的救助申请，自受理申请之日起，在30个工作日内办结。</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第十三条 </w:t>
      </w:r>
      <w:r>
        <w:rPr>
          <w:rFonts w:hint="eastAsia" w:ascii="Times New Roman" w:eastAsia="仿宋_GB2312"/>
          <w:color w:val="auto"/>
          <w:sz w:val="32"/>
          <w:szCs w:val="32"/>
          <w:u w:val="none" w:color="auto"/>
        </w:rPr>
        <w:t>对不符合条件的申请，应当作出不予批准的决定，且在作出决定过后的5个工作日内，书面告知申请人或者其代理人并说明理由。对有异议的，应进行复核并反馈。</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shd w:val="solid" w:color="969696" w:fill="FFFFFF"/>
        </w:rPr>
      </w:pPr>
    </w:p>
    <w:p>
      <w:pPr>
        <w:autoSpaceDN w:val="0"/>
        <w:spacing w:line="590" w:lineRule="exact"/>
        <w:jc w:val="center"/>
        <w:rPr>
          <w:rFonts w:hint="eastAsia" w:ascii="黑体" w:hAnsi="Times New Roman" w:eastAsia="黑体" w:cs="Times New Roman"/>
          <w:color w:val="000000"/>
          <w:szCs w:val="32"/>
          <w:u w:val="none" w:color="auto"/>
        </w:rPr>
      </w:pPr>
      <w:r>
        <w:rPr>
          <w:rFonts w:hint="eastAsia" w:ascii="黑体" w:hAnsi="Times New Roman" w:eastAsia="黑体" w:cs="Times New Roman"/>
          <w:color w:val="000000"/>
          <w:szCs w:val="32"/>
          <w:u w:val="none" w:color="auto"/>
        </w:rPr>
        <w:t>第四章  临时救助方式及标准</w:t>
      </w:r>
    </w:p>
    <w:p>
      <w:pPr>
        <w:autoSpaceDN w:val="0"/>
        <w:spacing w:line="590" w:lineRule="exact"/>
        <w:jc w:val="center"/>
        <w:rPr>
          <w:rFonts w:hint="eastAsia" w:ascii="黑体" w:hAnsi="Times New Roman" w:eastAsia="黑体" w:cs="Times New Roman"/>
          <w:color w:val="000000"/>
          <w:szCs w:val="32"/>
          <w:u w:val="none" w:color="auto"/>
        </w:rPr>
      </w:pP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第十四条 </w:t>
      </w:r>
      <w:r>
        <w:rPr>
          <w:rFonts w:hint="eastAsia" w:ascii="Times New Roman" w:eastAsia="仿宋_GB2312"/>
          <w:color w:val="auto"/>
          <w:sz w:val="32"/>
          <w:szCs w:val="32"/>
          <w:u w:val="none" w:color="auto"/>
        </w:rPr>
        <w:t>对符合条件的救助对象，可采取以下救助方式：</w:t>
      </w:r>
    </w:p>
    <w:p>
      <w:pPr>
        <w:pStyle w:val="6"/>
        <w:widowControl w:val="0"/>
        <w:spacing w:before="0" w:beforeLines="0" w:beforeAutospacing="0" w:after="0" w:afterLines="0" w:afterAutospacing="0" w:line="590" w:lineRule="exact"/>
        <w:ind w:firstLine="632" w:firstLineChars="200"/>
        <w:rPr>
          <w:rFonts w:hint="eastAsia" w:ascii="Times New Roman" w:eastAsia="仿宋_GB2312"/>
          <w:color w:val="auto"/>
          <w:sz w:val="32"/>
          <w:szCs w:val="32"/>
          <w:u w:val="none" w:color="auto"/>
        </w:rPr>
      </w:pPr>
      <w:r>
        <w:rPr>
          <w:rFonts w:hint="eastAsia" w:ascii="Times New Roman" w:eastAsia="仿宋_GB2312"/>
          <w:color w:val="auto"/>
          <w:sz w:val="32"/>
          <w:szCs w:val="32"/>
          <w:u w:val="none" w:color="auto"/>
        </w:rPr>
        <w:t>（一）发放临时救助金。严格推行临时救助金社会化发放，将临时救助金直接支付到救助对象个人账户，确保救助金</w:t>
      </w:r>
      <w:r>
        <w:rPr>
          <w:rFonts w:hint="eastAsia" w:ascii="Times New Roman" w:eastAsia="仿宋_GB2312"/>
          <w:color w:val="auto"/>
          <w:sz w:val="32"/>
          <w:szCs w:val="32"/>
          <w:u w:val="none" w:color="auto"/>
          <w:lang w:eastAsia="zh-CN"/>
        </w:rPr>
        <w:t>精准、</w:t>
      </w:r>
      <w:r>
        <w:rPr>
          <w:rFonts w:hint="eastAsia" w:ascii="Times New Roman" w:eastAsia="仿宋_GB2312"/>
          <w:color w:val="auto"/>
          <w:sz w:val="32"/>
          <w:szCs w:val="32"/>
          <w:u w:val="none" w:color="auto"/>
        </w:rPr>
        <w:t>足额、及时发放到位。</w:t>
      </w:r>
      <w:r>
        <w:rPr>
          <w:rFonts w:hint="eastAsia" w:ascii="仿宋_GB2312" w:hAnsi="仿宋_GB2312" w:eastAsia="仿宋_GB2312" w:cs="仿宋_GB2312"/>
          <w:color w:val="auto"/>
          <w:sz w:val="32"/>
          <w:szCs w:val="32"/>
          <w:highlight w:val="none"/>
          <w:u w:val="none" w:color="auto"/>
        </w:rPr>
        <w:t>必要时，可直接发放现金。</w:t>
      </w:r>
    </w:p>
    <w:p>
      <w:pPr>
        <w:pStyle w:val="6"/>
        <w:widowControl w:val="0"/>
        <w:spacing w:before="0" w:beforeLines="0" w:beforeAutospacing="0" w:after="0" w:afterLines="0" w:afterAutospacing="0" w:line="590" w:lineRule="exact"/>
        <w:ind w:firstLine="632" w:firstLineChars="200"/>
        <w:rPr>
          <w:rFonts w:hint="eastAsia" w:ascii="Times New Roman" w:eastAsia="仿宋_GB2312"/>
          <w:color w:val="auto"/>
          <w:sz w:val="32"/>
          <w:szCs w:val="32"/>
          <w:u w:val="none" w:color="auto"/>
        </w:rPr>
      </w:pPr>
      <w:r>
        <w:rPr>
          <w:rFonts w:hint="eastAsia" w:ascii="Times New Roman" w:eastAsia="仿宋_GB2312"/>
          <w:color w:val="auto"/>
          <w:sz w:val="32"/>
          <w:szCs w:val="32"/>
          <w:u w:val="none" w:color="auto"/>
        </w:rPr>
        <w:t>（二）发放实物。根据临时救助标准和救助对象基本生活需要，可采取发放衣物、食品、饮用水</w:t>
      </w:r>
      <w:r>
        <w:rPr>
          <w:rFonts w:hint="eastAsia" w:ascii="Times New Roman" w:eastAsia="仿宋_GB2312"/>
          <w:color w:val="auto"/>
          <w:sz w:val="32"/>
          <w:szCs w:val="32"/>
          <w:u w:val="none" w:color="auto"/>
          <w:lang w:eastAsia="zh-CN"/>
        </w:rPr>
        <w:t>、防护用品</w:t>
      </w:r>
      <w:r>
        <w:rPr>
          <w:rFonts w:hint="eastAsia" w:ascii="Times New Roman" w:eastAsia="仿宋_GB2312"/>
          <w:color w:val="auto"/>
          <w:sz w:val="32"/>
          <w:szCs w:val="32"/>
          <w:u w:val="none" w:color="auto"/>
        </w:rPr>
        <w:t>，提供临时住所等方式予以救助。对于采取实物发放形式的，除</w:t>
      </w:r>
      <w:r>
        <w:rPr>
          <w:rFonts w:hint="eastAsia" w:ascii="Times New Roman" w:eastAsia="仿宋_GB2312"/>
          <w:color w:val="auto"/>
          <w:sz w:val="32"/>
          <w:szCs w:val="32"/>
          <w:u w:val="none" w:color="auto"/>
          <w:lang w:eastAsia="zh-CN"/>
        </w:rPr>
        <w:t>紧急</w:t>
      </w:r>
      <w:r>
        <w:rPr>
          <w:rFonts w:hint="eastAsia" w:ascii="Times New Roman" w:eastAsia="仿宋_GB2312"/>
          <w:color w:val="auto"/>
          <w:sz w:val="32"/>
          <w:szCs w:val="32"/>
          <w:u w:val="none" w:color="auto"/>
        </w:rPr>
        <w:t>情况外，要严格按照政府采购制度的有关规定执行。</w:t>
      </w:r>
    </w:p>
    <w:p>
      <w:pPr>
        <w:pStyle w:val="6"/>
        <w:widowControl w:val="0"/>
        <w:spacing w:before="0" w:beforeLines="0" w:beforeAutospacing="0" w:after="0" w:afterLines="0" w:afterAutospacing="0" w:line="590" w:lineRule="exact"/>
        <w:ind w:firstLine="632" w:firstLineChars="200"/>
        <w:rPr>
          <w:rFonts w:hint="eastAsia" w:ascii="Times New Roman" w:eastAsia="仿宋_GB2312"/>
          <w:color w:val="auto"/>
          <w:sz w:val="32"/>
          <w:szCs w:val="32"/>
          <w:u w:val="none" w:color="auto"/>
        </w:rPr>
      </w:pPr>
      <w:r>
        <w:rPr>
          <w:rFonts w:hint="eastAsia" w:ascii="Times New Roman" w:eastAsia="仿宋_GB2312"/>
          <w:color w:val="auto"/>
          <w:sz w:val="32"/>
          <w:szCs w:val="32"/>
          <w:u w:val="none" w:color="auto"/>
        </w:rPr>
        <w:t>（三）提供转介服务。对给予临时救助金、实物救助后，仍不能解决临时救助对象困难的，可分情况提供转介服务</w:t>
      </w:r>
      <w:r>
        <w:rPr>
          <w:rFonts w:hint="eastAsia" w:ascii="Times New Roman" w:eastAsia="仿宋_GB2312"/>
          <w:color w:val="auto"/>
          <w:sz w:val="32"/>
          <w:szCs w:val="32"/>
          <w:u w:val="none" w:color="auto"/>
          <w:lang w:eastAsia="zh-CN"/>
        </w:rPr>
        <w:t>并跟踪办理结果</w:t>
      </w:r>
      <w:r>
        <w:rPr>
          <w:rFonts w:hint="eastAsia" w:ascii="Times New Roman" w:eastAsia="仿宋_GB2312"/>
          <w:color w:val="auto"/>
          <w:sz w:val="32"/>
          <w:szCs w:val="32"/>
          <w:u w:val="none" w:color="auto"/>
        </w:rPr>
        <w:t>。对符合最低生活保障或医疗、教育、住房、就业等专项救助条件的，要协助其申请；对可以通过公益慈善组织、社会工作服务机构等以慈善项目、发动社会募捐、提供专业服务、志愿服务等形式给予帮扶的，要及时转介。</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第十五条 </w:t>
      </w:r>
      <w:r>
        <w:rPr>
          <w:rFonts w:hint="eastAsia" w:ascii="仿宋_GB2312" w:hAnsi="仿宋_GB2312" w:eastAsia="仿宋_GB2312" w:cs="仿宋_GB2312"/>
          <w:color w:val="auto"/>
          <w:sz w:val="32"/>
          <w:szCs w:val="32"/>
          <w:highlight w:val="none"/>
          <w:u w:val="none" w:color="auto"/>
        </w:rPr>
        <w:t>临时救助标准与</w:t>
      </w:r>
      <w:r>
        <w:rPr>
          <w:rFonts w:hint="eastAsia" w:ascii="仿宋_GB2312" w:hAnsi="仿宋_GB2312" w:eastAsia="仿宋_GB2312" w:cs="仿宋_GB2312"/>
          <w:color w:val="auto"/>
          <w:sz w:val="32"/>
          <w:szCs w:val="32"/>
          <w:highlight w:val="none"/>
          <w:u w:val="none" w:color="auto"/>
          <w:lang w:eastAsia="zh-CN"/>
        </w:rPr>
        <w:t>本市</w:t>
      </w:r>
      <w:r>
        <w:rPr>
          <w:rFonts w:hint="eastAsia" w:ascii="仿宋_GB2312" w:hAnsi="仿宋_GB2312" w:eastAsia="仿宋_GB2312" w:cs="仿宋_GB2312"/>
          <w:color w:val="auto"/>
          <w:sz w:val="32"/>
          <w:szCs w:val="32"/>
          <w:highlight w:val="none"/>
          <w:u w:val="none" w:color="auto"/>
        </w:rPr>
        <w:t>最低生活保障标准相衔接，一般按</w:t>
      </w:r>
      <w:r>
        <w:rPr>
          <w:rFonts w:hint="eastAsia" w:ascii="仿宋_GB2312" w:hAnsi="仿宋_GB2312" w:eastAsia="仿宋_GB2312" w:cs="仿宋_GB2312"/>
          <w:color w:val="auto"/>
          <w:sz w:val="32"/>
          <w:szCs w:val="32"/>
          <w:highlight w:val="none"/>
          <w:u w:val="none" w:color="auto"/>
          <w:lang w:eastAsia="zh-CN"/>
        </w:rPr>
        <w:t>救助人数</w:t>
      </w:r>
      <w:r>
        <w:rPr>
          <w:rFonts w:hint="eastAsia" w:ascii="仿宋_GB2312" w:hAnsi="仿宋_GB2312" w:eastAsia="仿宋_GB2312" w:cs="仿宋_GB2312"/>
          <w:color w:val="auto"/>
          <w:sz w:val="32"/>
          <w:szCs w:val="32"/>
          <w:highlight w:val="none"/>
          <w:u w:val="none" w:color="auto"/>
        </w:rPr>
        <w:t>、救助时长（按月）计算核定，</w:t>
      </w:r>
      <w:r>
        <w:rPr>
          <w:rFonts w:hint="eastAsia" w:ascii="Times New Roman" w:eastAsia="仿宋_GB2312"/>
          <w:color w:val="auto"/>
          <w:sz w:val="32"/>
          <w:szCs w:val="32"/>
          <w:u w:val="none" w:color="auto"/>
        </w:rPr>
        <w:t>同一家庭在1个自然年度内临时救助金额累计最高不得超过60个月低保标准</w:t>
      </w:r>
      <w:r>
        <w:rPr>
          <w:rFonts w:hint="eastAsia" w:ascii="Times New Roman" w:eastAsia="仿宋_GB2312"/>
          <w:color w:val="auto"/>
          <w:sz w:val="32"/>
          <w:szCs w:val="32"/>
          <w:u w:val="none" w:color="auto"/>
          <w:lang w:eastAsia="zh-CN"/>
        </w:rPr>
        <w:t>（低保标准可上浮</w:t>
      </w:r>
      <w:r>
        <w:rPr>
          <w:rFonts w:hint="eastAsia" w:ascii="Times New Roman" w:eastAsia="仿宋_GB2312"/>
          <w:color w:val="auto"/>
          <w:sz w:val="32"/>
          <w:szCs w:val="32"/>
          <w:u w:val="none" w:color="auto"/>
          <w:lang w:val="en-US" w:eastAsia="zh-CN"/>
        </w:rPr>
        <w:t>25%</w:t>
      </w:r>
      <w:r>
        <w:rPr>
          <w:rFonts w:hint="eastAsia" w:ascii="Times New Roman" w:eastAsia="仿宋_GB2312"/>
          <w:color w:val="auto"/>
          <w:sz w:val="32"/>
          <w:szCs w:val="32"/>
          <w:u w:val="none" w:color="auto"/>
          <w:lang w:eastAsia="zh-CN"/>
        </w:rPr>
        <w:t>）</w:t>
      </w:r>
      <w:r>
        <w:rPr>
          <w:rFonts w:hint="eastAsia" w:ascii="Times New Roman" w:eastAsia="仿宋_GB2312"/>
          <w:color w:val="auto"/>
          <w:sz w:val="32"/>
          <w:szCs w:val="32"/>
          <w:u w:val="none" w:color="auto"/>
        </w:rPr>
        <w:t>。申请人</w:t>
      </w:r>
      <w:r>
        <w:rPr>
          <w:rFonts w:hint="eastAsia" w:ascii="Times New Roman" w:eastAsia="仿宋_GB2312"/>
          <w:color w:val="auto"/>
          <w:sz w:val="32"/>
          <w:szCs w:val="32"/>
          <w:u w:val="none" w:color="auto"/>
          <w:lang w:val="en-US" w:eastAsia="zh-CN"/>
        </w:rPr>
        <w:t>1个自然年度内</w:t>
      </w:r>
      <w:r>
        <w:rPr>
          <w:rFonts w:hint="eastAsia" w:ascii="Times New Roman" w:eastAsia="仿宋_GB2312"/>
          <w:color w:val="auto"/>
          <w:sz w:val="32"/>
          <w:szCs w:val="32"/>
          <w:u w:val="none" w:color="auto"/>
        </w:rPr>
        <w:t>不得以同一事由重复申请</w:t>
      </w:r>
      <w:r>
        <w:rPr>
          <w:rFonts w:hint="eastAsia" w:ascii="Times New Roman" w:eastAsia="仿宋_GB2312"/>
          <w:color w:val="auto"/>
          <w:sz w:val="32"/>
          <w:szCs w:val="32"/>
          <w:u w:val="none" w:color="auto"/>
          <w:lang w:eastAsia="zh-CN"/>
        </w:rPr>
        <w:t>同一类型的临时</w:t>
      </w:r>
      <w:r>
        <w:rPr>
          <w:rFonts w:hint="eastAsia" w:ascii="Times New Roman" w:eastAsia="仿宋_GB2312"/>
          <w:color w:val="auto"/>
          <w:sz w:val="32"/>
          <w:szCs w:val="32"/>
          <w:u w:val="none" w:color="auto"/>
        </w:rPr>
        <w:t>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left="0" w:right="0" w:firstLine="0"/>
        <w:jc w:val="both"/>
        <w:rPr>
          <w:rFonts w:hint="eastAsia" w:ascii="Times New Roman" w:eastAsia="仿宋_GB2312"/>
          <w:color w:val="auto"/>
          <w:sz w:val="32"/>
          <w:szCs w:val="32"/>
          <w:u w:val="none" w:color="auto"/>
          <w:lang w:eastAsia="zh-CN"/>
        </w:rPr>
      </w:pPr>
      <w:r>
        <w:rPr>
          <w:rFonts w:hint="eastAsia" w:ascii="宋体" w:hAnsi="宋体" w:eastAsia="宋体" w:cs="宋体"/>
          <w:i w:val="0"/>
          <w:caps w:val="0"/>
          <w:color w:val="auto"/>
          <w:spacing w:val="0"/>
          <w:sz w:val="24"/>
          <w:szCs w:val="24"/>
          <w:u w:val="none" w:color="auto"/>
          <w:shd w:val="clear" w:color="auto" w:fill="FFFFFF"/>
        </w:rPr>
        <w:t>　　</w:t>
      </w:r>
      <w:r>
        <w:rPr>
          <w:rFonts w:hint="eastAsia" w:hAnsi="宋体" w:eastAsia="宋体" w:cs="宋体"/>
          <w:i w:val="0"/>
          <w:caps w:val="0"/>
          <w:color w:val="auto"/>
          <w:spacing w:val="0"/>
          <w:sz w:val="24"/>
          <w:szCs w:val="24"/>
          <w:u w:val="none" w:color="auto"/>
          <w:shd w:val="clear" w:color="auto" w:fill="FFFFFF"/>
          <w:lang w:val="en-US" w:eastAsia="zh-CN"/>
        </w:rPr>
        <w:t xml:space="preserve">  </w:t>
      </w:r>
      <w:r>
        <w:rPr>
          <w:rFonts w:hint="eastAsia" w:ascii="仿宋_GB2312" w:hAnsi="宋体" w:eastAsia="仿宋_GB2312" w:cs="Times New Roman"/>
          <w:b/>
          <w:bCs/>
          <w:color w:val="auto"/>
          <w:kern w:val="96"/>
          <w:sz w:val="32"/>
          <w:szCs w:val="32"/>
          <w:u w:val="none" w:color="auto"/>
          <w:lang w:val="en-US" w:eastAsia="zh-CN" w:bidi="ar-SA"/>
        </w:rPr>
        <w:t xml:space="preserve">第十六条 </w:t>
      </w:r>
      <w:r>
        <w:rPr>
          <w:rFonts w:hint="eastAsia" w:ascii="Times New Roman" w:eastAsia="仿宋_GB2312"/>
          <w:color w:val="auto"/>
          <w:sz w:val="32"/>
          <w:szCs w:val="32"/>
          <w:u w:val="none" w:color="auto"/>
        </w:rPr>
        <w:t>急难型救助对象</w:t>
      </w:r>
      <w:r>
        <w:rPr>
          <w:rFonts w:hint="eastAsia" w:ascii="Times New Roman" w:eastAsia="仿宋_GB2312"/>
          <w:color w:val="auto"/>
          <w:sz w:val="32"/>
          <w:szCs w:val="32"/>
          <w:u w:val="none" w:color="auto"/>
          <w:lang w:eastAsia="zh-CN"/>
        </w:rPr>
        <w:t>，</w:t>
      </w:r>
      <w:r>
        <w:rPr>
          <w:rFonts w:hint="eastAsia" w:ascii="Times New Roman" w:eastAsia="仿宋_GB2312"/>
          <w:color w:val="auto"/>
          <w:sz w:val="32"/>
          <w:szCs w:val="32"/>
          <w:u w:val="none" w:color="auto"/>
        </w:rPr>
        <w:t>可采取一次认定、分阶段救助的方式进行救助，原则上人均不低于1个月、不超过3个月救助时长。因事件产生的后果仍然在延续，并导致申请人家庭经济支出较大的，可适当提高救助标准，人均最高不超过6个月救助时长。对困难持续时间较长、后续支出压力较大的急难型救助对象，可在给予急难型救助后转为支出型救助对象，并按支出型救助对象审核认定程序进行二次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right="0" w:firstLine="632" w:firstLineChars="200"/>
        <w:jc w:val="both"/>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第十七条 </w:t>
      </w:r>
      <w:r>
        <w:rPr>
          <w:rFonts w:hint="eastAsia" w:ascii="Times New Roman" w:eastAsia="仿宋_GB2312"/>
          <w:color w:val="auto"/>
          <w:sz w:val="32"/>
          <w:szCs w:val="32"/>
          <w:u w:val="none" w:color="auto"/>
        </w:rPr>
        <w:t>支出型临时救助对象，原则上人均不超过</w:t>
      </w:r>
      <w:r>
        <w:rPr>
          <w:rFonts w:hint="eastAsia" w:ascii="Times New Roman" w:eastAsia="仿宋_GB2312"/>
          <w:color w:val="auto"/>
          <w:sz w:val="32"/>
          <w:szCs w:val="32"/>
          <w:u w:val="none" w:color="auto"/>
          <w:lang w:val="en-US" w:eastAsia="zh-CN"/>
        </w:rPr>
        <w:t>12</w:t>
      </w:r>
      <w:r>
        <w:rPr>
          <w:rFonts w:hint="eastAsia" w:ascii="Times New Roman" w:eastAsia="仿宋_GB2312"/>
          <w:color w:val="auto"/>
          <w:sz w:val="32"/>
          <w:szCs w:val="32"/>
          <w:u w:val="none" w:color="auto"/>
        </w:rPr>
        <w:t>个月救助时长，不得超过申请人实际支出金额</w:t>
      </w:r>
      <w:r>
        <w:rPr>
          <w:rFonts w:hint="eastAsia" w:ascii="Times New Roman" w:eastAsia="仿宋_GB2312"/>
          <w:color w:val="auto"/>
          <w:sz w:val="32"/>
          <w:szCs w:val="32"/>
          <w:u w:val="none" w:color="auto"/>
          <w:lang w:eastAsia="zh-CN"/>
        </w:rPr>
        <w:t>（费用产生时限为申请前一年周期内）</w:t>
      </w:r>
      <w:r>
        <w:rPr>
          <w:rFonts w:hint="eastAsia" w:ascii="Times New Roman" w:eastAsia="仿宋_GB2312"/>
          <w:color w:val="auto"/>
          <w:sz w:val="32"/>
          <w:szCs w:val="32"/>
          <w:u w:val="none" w:color="auto"/>
        </w:rPr>
        <w:t>。</w:t>
      </w:r>
    </w:p>
    <w:p>
      <w:pPr>
        <w:pStyle w:val="3"/>
        <w:rPr>
          <w:rFonts w:hint="eastAsia" w:eastAsia="仿宋_GB2312"/>
          <w:color w:val="auto"/>
          <w:u w:val="none" w:color="auto"/>
          <w:lang w:eastAsia="zh-CN"/>
        </w:rPr>
      </w:pPr>
      <w:r>
        <w:rPr>
          <w:rFonts w:hint="eastAsia" w:ascii="Times New Roman" w:eastAsia="仿宋_GB2312"/>
          <w:color w:val="auto"/>
          <w:sz w:val="32"/>
          <w:szCs w:val="32"/>
          <w:u w:val="none" w:color="auto"/>
        </w:rPr>
        <w:t>（一）</w:t>
      </w:r>
      <w:r>
        <w:rPr>
          <w:rFonts w:hint="eastAsia" w:ascii="Times New Roman" w:eastAsia="仿宋_GB2312"/>
          <w:color w:val="auto"/>
          <w:sz w:val="32"/>
          <w:szCs w:val="32"/>
          <w:u w:val="none" w:color="auto"/>
          <w:lang w:eastAsia="zh-CN"/>
        </w:rPr>
        <w:t>医疗支出救助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left="0" w:right="0" w:firstLine="473"/>
        <w:jc w:val="both"/>
        <w:rPr>
          <w:rFonts w:hint="eastAsia" w:ascii="Times New Roman" w:eastAsia="仿宋_GB2312"/>
          <w:color w:val="auto"/>
          <w:sz w:val="32"/>
          <w:szCs w:val="32"/>
          <w:u w:val="none" w:color="auto"/>
        </w:rPr>
      </w:pPr>
      <w:r>
        <w:rPr>
          <w:rFonts w:hint="eastAsia" w:ascii="Times New Roman" w:eastAsia="仿宋_GB2312"/>
          <w:color w:val="auto"/>
          <w:sz w:val="32"/>
          <w:szCs w:val="32"/>
          <w:u w:val="none" w:color="auto"/>
          <w:lang w:val="en-US" w:eastAsia="zh-CN"/>
        </w:rPr>
        <w:t xml:space="preserve">1. </w:t>
      </w:r>
      <w:r>
        <w:rPr>
          <w:rFonts w:hint="eastAsia" w:ascii="Times New Roman" w:eastAsia="仿宋_GB2312"/>
          <w:color w:val="auto"/>
          <w:sz w:val="32"/>
          <w:szCs w:val="32"/>
          <w:u w:val="none" w:color="auto"/>
        </w:rPr>
        <w:t>已纳入困难群众基本生活保障范围的支出型临时救助对象，特困人员按实际支出金额的100%予以补助</w:t>
      </w:r>
      <w:r>
        <w:rPr>
          <w:rFonts w:hint="eastAsia" w:ascii="Times New Roman" w:eastAsia="仿宋_GB2312"/>
          <w:color w:val="auto"/>
          <w:sz w:val="32"/>
          <w:szCs w:val="32"/>
          <w:u w:val="none" w:color="auto"/>
          <w:lang w:eastAsia="zh-CN"/>
        </w:rPr>
        <w:t>；</w:t>
      </w:r>
      <w:r>
        <w:rPr>
          <w:rFonts w:hint="eastAsia" w:ascii="Times New Roman" w:eastAsia="仿宋_GB2312"/>
          <w:color w:val="auto"/>
          <w:sz w:val="32"/>
          <w:szCs w:val="32"/>
          <w:u w:val="none" w:color="auto"/>
        </w:rPr>
        <w:t>低保、低收入家庭，</w:t>
      </w:r>
      <w:r>
        <w:rPr>
          <w:rFonts w:hint="eastAsia" w:ascii="Times New Roman" w:eastAsia="仿宋_GB2312"/>
          <w:color w:val="auto"/>
          <w:sz w:val="32"/>
          <w:szCs w:val="32"/>
          <w:u w:val="none" w:color="auto"/>
          <w:lang w:eastAsia="zh-CN"/>
        </w:rPr>
        <w:t>个人自付医疗费用扣除获得相关保险补偿、赔偿、大病医疗保险、医疗救助、职能部门相关救助后，仍超最低生活保障标准的，按超出部分的个人自付医疗费用</w:t>
      </w:r>
      <w:r>
        <w:rPr>
          <w:rFonts w:hint="eastAsia" w:ascii="Times New Roman" w:eastAsia="仿宋_GB2312"/>
          <w:color w:val="auto"/>
          <w:sz w:val="32"/>
          <w:szCs w:val="32"/>
          <w:u w:val="none" w:color="auto"/>
        </w:rPr>
        <w:t>的</w:t>
      </w:r>
      <w:r>
        <w:rPr>
          <w:rFonts w:hint="eastAsia" w:ascii="Times New Roman" w:eastAsia="仿宋_GB2312"/>
          <w:color w:val="auto"/>
          <w:sz w:val="32"/>
          <w:szCs w:val="32"/>
          <w:u w:val="none" w:color="auto"/>
          <w:lang w:val="en-US" w:eastAsia="zh-CN"/>
        </w:rPr>
        <w:t>85</w:t>
      </w:r>
      <w:r>
        <w:rPr>
          <w:rFonts w:hint="eastAsia" w:ascii="Times New Roman" w:eastAsia="仿宋_GB2312"/>
          <w:color w:val="auto"/>
          <w:sz w:val="32"/>
          <w:szCs w:val="32"/>
          <w:u w:val="none" w:color="auto"/>
        </w:rPr>
        <w:t>%予以救助</w:t>
      </w:r>
      <w:r>
        <w:rPr>
          <w:rFonts w:hint="eastAsia" w:ascii="Times New Roman" w:eastAsia="仿宋_GB2312"/>
          <w:color w:val="auto"/>
          <w:sz w:val="32"/>
          <w:szCs w:val="32"/>
          <w:u w:val="none" w:color="auto"/>
          <w:lang w:eastAsia="zh-CN"/>
        </w:rPr>
        <w:t>；</w:t>
      </w:r>
      <w:r>
        <w:rPr>
          <w:rFonts w:hint="eastAsia" w:ascii="Times New Roman" w:eastAsia="仿宋_GB2312"/>
          <w:color w:val="auto"/>
          <w:sz w:val="32"/>
          <w:szCs w:val="32"/>
          <w:u w:val="none" w:color="auto"/>
        </w:rPr>
        <w:t>支出型贫困家庭，</w:t>
      </w:r>
      <w:r>
        <w:rPr>
          <w:rFonts w:hint="eastAsia" w:ascii="Times New Roman" w:eastAsia="仿宋_GB2312"/>
          <w:color w:val="auto"/>
          <w:sz w:val="32"/>
          <w:szCs w:val="32"/>
          <w:u w:val="none" w:color="auto"/>
          <w:lang w:eastAsia="zh-CN"/>
        </w:rPr>
        <w:t>个人自付医疗费用扣除获得相关保险补偿、赔偿、大病医疗保险、医疗救助、职能部门相关救助后超过10000元的，</w:t>
      </w:r>
      <w:r>
        <w:rPr>
          <w:rFonts w:hint="eastAsia" w:ascii="Times New Roman" w:eastAsia="仿宋_GB2312"/>
          <w:color w:val="auto"/>
          <w:sz w:val="32"/>
          <w:szCs w:val="32"/>
          <w:u w:val="none" w:color="auto"/>
        </w:rPr>
        <w:t>按超出部分的</w:t>
      </w:r>
      <w:r>
        <w:rPr>
          <w:rFonts w:hint="eastAsia" w:ascii="Times New Roman" w:eastAsia="仿宋_GB2312"/>
          <w:color w:val="auto"/>
          <w:sz w:val="32"/>
          <w:szCs w:val="32"/>
          <w:u w:val="none" w:color="auto"/>
          <w:lang w:eastAsia="zh-CN"/>
        </w:rPr>
        <w:t>个人自付医疗费用</w:t>
      </w:r>
      <w:r>
        <w:rPr>
          <w:rFonts w:hint="eastAsia" w:ascii="Times New Roman" w:eastAsia="仿宋_GB2312"/>
          <w:color w:val="auto"/>
          <w:sz w:val="32"/>
          <w:szCs w:val="32"/>
          <w:u w:val="none" w:color="auto"/>
        </w:rPr>
        <w:t>的7</w:t>
      </w:r>
      <w:r>
        <w:rPr>
          <w:rFonts w:hint="eastAsia" w:ascii="Times New Roman" w:eastAsia="仿宋_GB2312"/>
          <w:color w:val="auto"/>
          <w:sz w:val="32"/>
          <w:szCs w:val="32"/>
          <w:u w:val="none" w:color="auto"/>
          <w:lang w:val="en-US" w:eastAsia="zh-CN"/>
        </w:rPr>
        <w:t>5</w:t>
      </w:r>
      <w:r>
        <w:rPr>
          <w:rFonts w:hint="eastAsia" w:ascii="Times New Roman" w:eastAsia="仿宋_GB2312"/>
          <w:color w:val="auto"/>
          <w:sz w:val="32"/>
          <w:szCs w:val="32"/>
          <w:u w:val="none" w:color="auto"/>
        </w:rPr>
        <w:t>%予以救助。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left="0" w:right="0" w:firstLine="473"/>
        <w:jc w:val="both"/>
        <w:rPr>
          <w:rFonts w:hint="eastAsia" w:ascii="Times New Roman" w:eastAsia="仿宋_GB2312"/>
          <w:color w:val="auto"/>
          <w:sz w:val="32"/>
          <w:szCs w:val="32"/>
          <w:u w:val="none" w:color="auto"/>
          <w:lang w:eastAsia="zh-CN"/>
        </w:rPr>
      </w:pPr>
      <w:r>
        <w:rPr>
          <w:rFonts w:hint="eastAsia" w:ascii="Times New Roman" w:eastAsia="仿宋_GB2312"/>
          <w:color w:val="auto"/>
          <w:sz w:val="32"/>
          <w:szCs w:val="32"/>
          <w:u w:val="none" w:color="auto"/>
          <w:lang w:val="en-US" w:eastAsia="zh-CN"/>
        </w:rPr>
        <w:t xml:space="preserve">2. </w:t>
      </w:r>
      <w:r>
        <w:rPr>
          <w:rFonts w:hint="eastAsia" w:ascii="Times New Roman" w:eastAsia="仿宋_GB2312"/>
          <w:color w:val="auto"/>
          <w:sz w:val="32"/>
          <w:szCs w:val="32"/>
          <w:u w:val="none" w:color="auto"/>
        </w:rPr>
        <w:t>未纳入困难群众基本生活保障范围的支出型临时救助对象，</w:t>
      </w:r>
      <w:r>
        <w:rPr>
          <w:rFonts w:hint="eastAsia" w:ascii="Times New Roman" w:eastAsia="仿宋_GB2312"/>
          <w:color w:val="auto"/>
          <w:sz w:val="32"/>
          <w:szCs w:val="32"/>
          <w:u w:val="none" w:color="auto"/>
          <w:lang w:eastAsia="zh-CN"/>
        </w:rPr>
        <w:t>个人自付医疗费用扣除获得相关保险补偿、赔偿、大病医疗保险、医疗救助、职能部门相关救助后超过10000元的，按超出部分的个人自付医疗费用</w:t>
      </w:r>
      <w:r>
        <w:rPr>
          <w:rFonts w:hint="eastAsia" w:ascii="Times New Roman" w:eastAsia="仿宋_GB2312"/>
          <w:color w:val="auto"/>
          <w:sz w:val="32"/>
          <w:szCs w:val="32"/>
          <w:u w:val="none" w:color="auto"/>
        </w:rPr>
        <w:t>的</w:t>
      </w:r>
      <w:r>
        <w:rPr>
          <w:rFonts w:hint="eastAsia" w:ascii="Times New Roman" w:eastAsia="仿宋_GB2312"/>
          <w:color w:val="auto"/>
          <w:sz w:val="32"/>
          <w:szCs w:val="32"/>
          <w:u w:val="none" w:color="auto"/>
          <w:lang w:eastAsia="zh-CN"/>
        </w:rPr>
        <w:t>50%给予救助。</w:t>
      </w:r>
    </w:p>
    <w:p>
      <w:pPr>
        <w:pStyle w:val="3"/>
        <w:rPr>
          <w:rFonts w:hint="eastAsia" w:ascii="Times New Roman" w:eastAsia="仿宋_GB2312"/>
          <w:color w:val="auto"/>
          <w:sz w:val="32"/>
          <w:szCs w:val="32"/>
          <w:u w:val="none" w:color="auto"/>
          <w:lang w:eastAsia="zh-CN"/>
        </w:rPr>
      </w:pPr>
      <w:r>
        <w:rPr>
          <w:rFonts w:hint="eastAsia" w:ascii="Times New Roman" w:eastAsia="仿宋_GB2312"/>
          <w:color w:val="auto"/>
          <w:sz w:val="32"/>
          <w:szCs w:val="32"/>
          <w:u w:val="none" w:color="auto"/>
        </w:rPr>
        <w:t>（二）</w:t>
      </w:r>
      <w:r>
        <w:rPr>
          <w:rFonts w:hint="eastAsia" w:ascii="Times New Roman" w:eastAsia="仿宋_GB2312"/>
          <w:color w:val="auto"/>
          <w:sz w:val="32"/>
          <w:szCs w:val="32"/>
          <w:u w:val="none" w:color="auto"/>
          <w:lang w:eastAsia="zh-CN"/>
        </w:rPr>
        <w:t>教育支出救助</w:t>
      </w:r>
    </w:p>
    <w:p>
      <w:pPr>
        <w:ind w:firstLine="632" w:firstLineChars="200"/>
        <w:rPr>
          <w:rFonts w:hint="eastAsia"/>
          <w:color w:val="auto"/>
          <w:u w:val="none" w:color="auto"/>
          <w:lang w:eastAsia="zh-CN"/>
        </w:rPr>
      </w:pPr>
      <w:r>
        <w:rPr>
          <w:rFonts w:hint="eastAsia"/>
          <w:color w:val="auto"/>
          <w:u w:val="none" w:color="auto"/>
          <w:lang w:eastAsia="zh-CN"/>
        </w:rPr>
        <w:t>已纳入困难群众基本生活保障范围的救助对象，家庭成员身患重病、家庭遇到重大突发事件及特大自然灾害或其他原因而可能辍学的高中（中专）、大学全日制学历学生，每人每学年按教育学籍费用给予80%</w:t>
      </w:r>
      <w:r>
        <w:rPr>
          <w:rFonts w:hint="eastAsia"/>
          <w:color w:val="auto"/>
          <w:u w:val="none" w:color="auto"/>
          <w:lang w:val="en-US" w:eastAsia="zh-CN"/>
        </w:rPr>
        <w:t>-100%</w:t>
      </w:r>
      <w:r>
        <w:rPr>
          <w:rFonts w:hint="eastAsia"/>
          <w:color w:val="auto"/>
          <w:u w:val="none" w:color="auto"/>
          <w:lang w:eastAsia="zh-CN"/>
        </w:rPr>
        <w:t>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right="0" w:firstLine="632" w:firstLineChars="200"/>
        <w:jc w:val="both"/>
        <w:rPr>
          <w:rFonts w:hint="eastAsia" w:ascii="Times New Roman" w:eastAsia="仿宋_GB2312"/>
          <w:color w:val="auto"/>
          <w:sz w:val="32"/>
          <w:szCs w:val="32"/>
          <w:u w:val="none" w:color="auto"/>
          <w:lang w:eastAsia="zh-CN"/>
        </w:rPr>
      </w:pPr>
      <w:r>
        <w:rPr>
          <w:rFonts w:hint="eastAsia" w:ascii="仿宋_GB2312" w:hAnsi="宋体" w:eastAsia="仿宋_GB2312" w:cs="Times New Roman"/>
          <w:b/>
          <w:bCs/>
          <w:color w:val="auto"/>
          <w:kern w:val="96"/>
          <w:sz w:val="32"/>
          <w:szCs w:val="32"/>
          <w:u w:val="none" w:color="auto"/>
          <w:lang w:val="en-US" w:eastAsia="zh-CN" w:bidi="ar-SA"/>
        </w:rPr>
        <w:t xml:space="preserve">第十八条 </w:t>
      </w:r>
      <w:r>
        <w:rPr>
          <w:rFonts w:hint="eastAsia" w:ascii="Times New Roman" w:eastAsia="仿宋_GB2312"/>
          <w:color w:val="auto"/>
          <w:sz w:val="32"/>
          <w:szCs w:val="32"/>
          <w:u w:val="none" w:color="auto"/>
          <w:lang w:eastAsia="zh-CN"/>
        </w:rPr>
        <w:t>对本区医疗救助对象，医疗救助费用未实行“一站式”即时结算服务、且医疗保险经办机构无法报销，需申请临时救助的，按照医疗救助标准确定救助金额。</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right="0" w:rightChars="0" w:firstLine="632" w:firstLineChars="200"/>
        <w:jc w:val="both"/>
        <w:rPr>
          <w:rFonts w:hint="eastAsia" w:ascii="Times New Roman" w:eastAsia="仿宋_GB2312"/>
          <w:color w:val="auto"/>
          <w:sz w:val="32"/>
          <w:szCs w:val="32"/>
          <w:u w:val="none" w:color="auto"/>
          <w:lang w:eastAsia="zh-CN"/>
        </w:rPr>
      </w:pPr>
      <w:r>
        <w:rPr>
          <w:rFonts w:hint="eastAsia" w:ascii="仿宋_GB2312" w:hAnsi="宋体" w:eastAsia="仿宋_GB2312" w:cs="Times New Roman"/>
          <w:b/>
          <w:bCs/>
          <w:color w:val="auto"/>
          <w:kern w:val="96"/>
          <w:sz w:val="32"/>
          <w:szCs w:val="32"/>
          <w:u w:val="none" w:color="auto"/>
          <w:lang w:val="en-US" w:eastAsia="zh-CN" w:bidi="ar-SA"/>
        </w:rPr>
        <w:t xml:space="preserve">第十九条 </w:t>
      </w:r>
      <w:r>
        <w:rPr>
          <w:rFonts w:hint="eastAsia" w:ascii="Times New Roman" w:eastAsia="仿宋_GB2312"/>
          <w:color w:val="auto"/>
          <w:sz w:val="32"/>
          <w:szCs w:val="32"/>
          <w:u w:val="none" w:color="auto"/>
        </w:rPr>
        <w:t>特困人员住院护工费临时救助标准分全护理、非全护理两档，每天分别按照最低工资标准13%、7%确定</w:t>
      </w:r>
      <w:r>
        <w:rPr>
          <w:rFonts w:hint="eastAsia" w:ascii="Times New Roman" w:eastAsia="仿宋_GB2312"/>
          <w:color w:val="auto"/>
          <w:sz w:val="32"/>
          <w:szCs w:val="32"/>
          <w:u w:val="none" w:color="auto"/>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right="0" w:rightChars="0" w:firstLine="632" w:firstLineChars="200"/>
        <w:jc w:val="both"/>
        <w:rPr>
          <w:rFonts w:hint="eastAsia" w:ascii="Times New Roman" w:eastAsia="仿宋_GB2312"/>
          <w:color w:val="auto"/>
          <w:sz w:val="32"/>
          <w:szCs w:val="32"/>
          <w:u w:val="none" w:color="auto"/>
          <w:lang w:eastAsia="zh-CN"/>
        </w:rPr>
      </w:pPr>
      <w:r>
        <w:rPr>
          <w:rFonts w:hint="eastAsia" w:ascii="仿宋_GB2312" w:hAnsi="宋体" w:eastAsia="仿宋_GB2312" w:cs="Times New Roman"/>
          <w:b/>
          <w:bCs/>
          <w:color w:val="auto"/>
          <w:kern w:val="96"/>
          <w:sz w:val="32"/>
          <w:szCs w:val="32"/>
          <w:u w:val="none" w:color="auto"/>
          <w:lang w:val="en-US" w:eastAsia="zh-CN" w:bidi="ar-SA"/>
        </w:rPr>
        <w:t xml:space="preserve">第二十条 </w:t>
      </w:r>
      <w:r>
        <w:rPr>
          <w:rFonts w:hint="eastAsia" w:ascii="Times New Roman" w:eastAsia="仿宋_GB2312"/>
          <w:color w:val="auto"/>
          <w:sz w:val="32"/>
          <w:szCs w:val="32"/>
          <w:u w:val="none" w:color="auto"/>
          <w:lang w:eastAsia="zh-CN"/>
        </w:rPr>
        <w:t>对基本生活陷入极度困难，根据上述救助标准确定的救助金额已达上限仍不能缓解的特殊个案，可由街道采取“一事一议”方式研究决定,适当提高救助额度。</w:t>
      </w:r>
    </w:p>
    <w:p>
      <w:pPr>
        <w:autoSpaceDN w:val="0"/>
        <w:spacing w:line="590" w:lineRule="exact"/>
        <w:jc w:val="center"/>
        <w:rPr>
          <w:rFonts w:hint="eastAsia" w:ascii="Times New Roman" w:hAnsi="Times New Roman" w:cs="Times New Roman"/>
          <w:color w:val="000000"/>
          <w:szCs w:val="32"/>
          <w:u w:val="none" w:color="auto"/>
          <w:lang w:eastAsia="zh-CN"/>
        </w:rPr>
      </w:pPr>
    </w:p>
    <w:p>
      <w:pPr>
        <w:autoSpaceDN w:val="0"/>
        <w:spacing w:line="590" w:lineRule="exact"/>
        <w:jc w:val="center"/>
        <w:rPr>
          <w:rFonts w:hint="eastAsia" w:ascii="黑体" w:hAnsi="Times New Roman" w:eastAsia="黑体" w:cs="Times New Roman"/>
          <w:color w:val="000000"/>
          <w:szCs w:val="32"/>
          <w:u w:val="none" w:color="auto"/>
        </w:rPr>
      </w:pPr>
      <w:r>
        <w:rPr>
          <w:rFonts w:hint="eastAsia" w:ascii="黑体" w:hAnsi="Times New Roman" w:eastAsia="黑体" w:cs="Times New Roman"/>
          <w:color w:val="000000"/>
          <w:szCs w:val="32"/>
          <w:u w:val="none" w:color="auto"/>
        </w:rPr>
        <w:t>第五章　临时救助工作机制</w:t>
      </w:r>
    </w:p>
    <w:p>
      <w:pPr>
        <w:autoSpaceDN w:val="0"/>
        <w:spacing w:line="590" w:lineRule="exact"/>
        <w:jc w:val="center"/>
        <w:rPr>
          <w:rFonts w:hint="eastAsia" w:ascii="Times New Roman" w:hAnsi="Times New Roman" w:cs="Times New Roman"/>
          <w:color w:val="000000"/>
          <w:szCs w:val="32"/>
          <w:u w:val="none" w:color="auto"/>
        </w:rPr>
      </w:pPr>
    </w:p>
    <w:p>
      <w:pPr>
        <w:pStyle w:val="6"/>
        <w:widowControl w:val="0"/>
        <w:snapToGrid w:val="0"/>
        <w:spacing w:before="0" w:beforeLines="0" w:beforeAutospacing="0" w:after="0" w:afterLines="0" w:afterAutospacing="0" w:line="590" w:lineRule="exact"/>
        <w:ind w:firstLine="632" w:firstLineChars="200"/>
        <w:jc w:val="both"/>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第二十一条 </w:t>
      </w:r>
      <w:r>
        <w:rPr>
          <w:rFonts w:hint="eastAsia" w:ascii="Times New Roman" w:eastAsia="仿宋_GB2312" w:cs="仿宋_GB2312"/>
          <w:bCs/>
          <w:color w:val="auto"/>
          <w:sz w:val="32"/>
          <w:szCs w:val="32"/>
          <w:u w:val="none" w:color="auto"/>
        </w:rPr>
        <w:t>临时救助的受理与审批遵循“一门受理、协同办理”的机制。</w:t>
      </w:r>
      <w:r>
        <w:rPr>
          <w:rFonts w:hint="eastAsia" w:ascii="Times New Roman" w:eastAsia="仿宋_GB2312" w:cs="仿宋_GB2312"/>
          <w:bCs/>
          <w:color w:val="auto"/>
          <w:sz w:val="32"/>
          <w:szCs w:val="32"/>
          <w:u w:val="none" w:color="auto"/>
          <w:lang w:eastAsia="zh-CN"/>
        </w:rPr>
        <w:t>街道</w:t>
      </w:r>
      <w:r>
        <w:rPr>
          <w:rFonts w:hint="eastAsia" w:ascii="Times New Roman" w:eastAsia="仿宋_GB2312" w:cs="仿宋_GB2312"/>
          <w:bCs/>
          <w:color w:val="auto"/>
          <w:sz w:val="32"/>
          <w:szCs w:val="32"/>
          <w:u w:val="none" w:color="auto"/>
        </w:rPr>
        <w:t>要进一步完善社会救助工作协调机制，规范社会救助受理窗口规程。</w:t>
      </w:r>
      <w:r>
        <w:rPr>
          <w:rFonts w:hint="eastAsia" w:ascii="Times New Roman" w:eastAsia="仿宋_GB2312" w:cs="仿宋_GB2312"/>
          <w:color w:val="auto"/>
          <w:sz w:val="32"/>
          <w:szCs w:val="32"/>
          <w:u w:val="none" w:color="auto"/>
        </w:rPr>
        <w:t>为</w:t>
      </w:r>
      <w:r>
        <w:rPr>
          <w:rFonts w:hint="eastAsia" w:ascii="Times New Roman" w:eastAsia="仿宋_GB2312"/>
          <w:color w:val="auto"/>
          <w:sz w:val="32"/>
          <w:szCs w:val="32"/>
          <w:u w:val="none" w:color="auto"/>
        </w:rPr>
        <w:t>方便群众求助，各街道要公布社会救助热线，畅通求助、报告渠道。</w:t>
      </w:r>
    </w:p>
    <w:p>
      <w:pPr>
        <w:pStyle w:val="6"/>
        <w:widowControl w:val="0"/>
        <w:snapToGrid w:val="0"/>
        <w:spacing w:before="0" w:beforeLines="0" w:beforeAutospacing="0" w:after="0" w:afterLines="0" w:afterAutospacing="0" w:line="590" w:lineRule="exact"/>
        <w:ind w:firstLine="632" w:firstLineChars="200"/>
        <w:jc w:val="both"/>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第二十二条 </w:t>
      </w:r>
      <w:r>
        <w:rPr>
          <w:rFonts w:hint="eastAsia" w:ascii="Times New Roman" w:eastAsia="仿宋_GB2312"/>
          <w:bCs/>
          <w:color w:val="auto"/>
          <w:sz w:val="32"/>
          <w:szCs w:val="32"/>
          <w:u w:val="none" w:color="auto"/>
        </w:rPr>
        <w:t>完善社会力量参与机制。</w:t>
      </w:r>
      <w:r>
        <w:rPr>
          <w:rFonts w:hint="eastAsia" w:ascii="Times New Roman" w:eastAsia="仿宋_GB2312"/>
          <w:color w:val="auto"/>
          <w:sz w:val="32"/>
          <w:szCs w:val="32"/>
          <w:u w:val="none" w:color="auto"/>
          <w:lang w:eastAsia="zh-CN"/>
        </w:rPr>
        <w:t>街道</w:t>
      </w:r>
      <w:r>
        <w:rPr>
          <w:rFonts w:hint="eastAsia" w:ascii="Times New Roman" w:eastAsia="仿宋_GB2312"/>
          <w:color w:val="auto"/>
          <w:sz w:val="32"/>
          <w:szCs w:val="32"/>
          <w:u w:val="none" w:color="auto"/>
        </w:rPr>
        <w:t>可通过委托、承包、采购等方式向社会力量购买服务，支持和鼓励</w:t>
      </w:r>
      <w:r>
        <w:rPr>
          <w:rFonts w:hint="eastAsia" w:ascii="Times New Roman" w:eastAsia="仿宋_GB2312"/>
          <w:bCs/>
          <w:color w:val="auto"/>
          <w:sz w:val="32"/>
          <w:szCs w:val="32"/>
          <w:u w:val="none" w:color="auto"/>
        </w:rPr>
        <w:t>社会力量参与临时救助工作。街道、社区居委会要主动与有意从事救助工作的</w:t>
      </w:r>
      <w:r>
        <w:rPr>
          <w:rFonts w:hint="eastAsia" w:ascii="Times New Roman" w:eastAsia="仿宋_GB2312"/>
          <w:color w:val="auto"/>
          <w:sz w:val="32"/>
          <w:szCs w:val="32"/>
          <w:u w:val="none" w:color="auto"/>
        </w:rPr>
        <w:t>公益慈善组织、社会工作服务机构和企事业单位、志愿者队伍等社会力量取得联系，采取对口帮扶、款物捐助等形式参与临时救助，各社区要发挥慈善驿站和志愿服务的作用，及时发现、帮扶受助者。</w:t>
      </w:r>
    </w:p>
    <w:p>
      <w:pPr>
        <w:autoSpaceDN w:val="0"/>
        <w:spacing w:line="590" w:lineRule="exact"/>
        <w:jc w:val="center"/>
        <w:rPr>
          <w:rFonts w:hint="eastAsia" w:ascii="黑体" w:hAnsi="Times New Roman" w:eastAsia="黑体"/>
          <w:color w:val="auto"/>
          <w:szCs w:val="32"/>
          <w:u w:val="none" w:color="auto"/>
        </w:rPr>
      </w:pPr>
      <w:r>
        <w:rPr>
          <w:rFonts w:hint="eastAsia" w:ascii="黑体" w:hAnsi="Times New Roman" w:eastAsia="黑体"/>
          <w:color w:val="auto"/>
          <w:szCs w:val="32"/>
          <w:u w:val="none" w:color="auto"/>
        </w:rPr>
        <w:t>第</w:t>
      </w:r>
      <w:r>
        <w:rPr>
          <w:rFonts w:hint="eastAsia" w:ascii="黑体" w:hAnsi="Times New Roman" w:eastAsia="黑体"/>
          <w:color w:val="auto"/>
          <w:szCs w:val="32"/>
          <w:u w:val="none" w:color="auto"/>
          <w:lang w:eastAsia="zh-CN"/>
        </w:rPr>
        <w:t>六</w:t>
      </w:r>
      <w:r>
        <w:rPr>
          <w:rFonts w:hint="eastAsia" w:ascii="黑体" w:hAnsi="Times New Roman" w:eastAsia="黑体"/>
          <w:color w:val="auto"/>
          <w:szCs w:val="32"/>
          <w:u w:val="none" w:color="auto"/>
        </w:rPr>
        <w:t>章　临时救助资金筹集与监管</w:t>
      </w:r>
    </w:p>
    <w:p>
      <w:pPr>
        <w:spacing w:line="590" w:lineRule="exact"/>
        <w:rPr>
          <w:rFonts w:ascii="Times New Roman" w:hAnsi="Times New Roman"/>
          <w:color w:val="auto"/>
          <w:u w:val="none" w:color="auto"/>
        </w:rPr>
      </w:pP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eastAsia" w:ascii="Times New Roman" w:eastAsia="仿宋_GB2312"/>
          <w:color w:val="auto"/>
          <w:sz w:val="32"/>
          <w:szCs w:val="32"/>
          <w:u w:val="none" w:color="auto"/>
          <w:lang w:eastAsia="zh-CN"/>
        </w:rPr>
      </w:pPr>
      <w:r>
        <w:rPr>
          <w:rFonts w:hint="eastAsia" w:ascii="仿宋_GB2312" w:hAnsi="宋体" w:eastAsia="仿宋_GB2312" w:cs="Times New Roman"/>
          <w:b/>
          <w:bCs/>
          <w:color w:val="auto"/>
          <w:kern w:val="96"/>
          <w:sz w:val="32"/>
          <w:szCs w:val="32"/>
          <w:u w:val="none" w:color="auto"/>
          <w:lang w:val="en-US" w:eastAsia="zh-CN" w:bidi="ar-SA"/>
        </w:rPr>
        <w:t xml:space="preserve">第二十三条 </w:t>
      </w:r>
      <w:r>
        <w:rPr>
          <w:rFonts w:hint="eastAsia" w:ascii="仿宋_GB2312" w:hAnsi="仿宋_GB2312" w:eastAsia="仿宋_GB2312" w:cs="仿宋_GB2312"/>
          <w:color w:val="auto"/>
          <w:sz w:val="32"/>
          <w:szCs w:val="32"/>
          <w:highlight w:val="none"/>
          <w:u w:val="none" w:color="auto"/>
        </w:rPr>
        <w:t>临时救助资金按照户籍人口每人每年不少于7元的标准列入财政预算，</w:t>
      </w:r>
      <w:r>
        <w:rPr>
          <w:rFonts w:hint="eastAsia" w:hAnsi="仿宋_GB2312" w:cs="仿宋_GB2312"/>
          <w:color w:val="auto"/>
          <w:sz w:val="32"/>
          <w:szCs w:val="32"/>
          <w:highlight w:val="none"/>
          <w:u w:val="none" w:color="auto"/>
          <w:lang w:eastAsia="zh-CN"/>
        </w:rPr>
        <w:t>并</w:t>
      </w:r>
      <w:r>
        <w:rPr>
          <w:rFonts w:hint="eastAsia" w:ascii="Times New Roman" w:eastAsia="仿宋_GB2312"/>
          <w:color w:val="auto"/>
          <w:sz w:val="32"/>
          <w:szCs w:val="32"/>
          <w:u w:val="none" w:color="auto"/>
        </w:rPr>
        <w:t>依据上年度临时救助支出额，适当调整本年临时救助金的预算，做到足额保障</w:t>
      </w:r>
      <w:r>
        <w:rPr>
          <w:rFonts w:hint="eastAsia" w:ascii="Times New Roman"/>
          <w:color w:val="auto"/>
          <w:sz w:val="32"/>
          <w:szCs w:val="32"/>
          <w:u w:val="none" w:color="auto"/>
          <w:lang w:eastAsia="zh-CN"/>
        </w:rPr>
        <w:t>。</w:t>
      </w:r>
    </w:p>
    <w:p>
      <w:pPr>
        <w:pStyle w:val="6"/>
        <w:widowControl w:val="0"/>
        <w:spacing w:before="0" w:beforeLines="0" w:beforeAutospacing="0" w:after="0" w:afterLines="0" w:afterAutospacing="0" w:line="590" w:lineRule="exact"/>
        <w:ind w:firstLine="629"/>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第二十四条 </w:t>
      </w:r>
      <w:r>
        <w:rPr>
          <w:rFonts w:hint="eastAsia" w:ascii="Times New Roman" w:eastAsia="仿宋_GB2312"/>
          <w:color w:val="auto"/>
          <w:sz w:val="32"/>
          <w:szCs w:val="32"/>
          <w:u w:val="none" w:color="auto"/>
        </w:rPr>
        <w:t>街道应建立救助对象审批材料、资金及物资进出台账、发放名册等临时救助工作档案，并加强档案管理，做到资料完整，方便查询使用。</w:t>
      </w:r>
    </w:p>
    <w:p>
      <w:pPr>
        <w:pStyle w:val="3"/>
        <w:spacing w:line="590" w:lineRule="exact"/>
        <w:ind w:firstLine="632" w:firstLineChars="200"/>
        <w:jc w:val="both"/>
        <w:rPr>
          <w:rFonts w:hint="eastAsia"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第二十五条 </w:t>
      </w:r>
      <w:r>
        <w:rPr>
          <w:rFonts w:hint="eastAsia" w:eastAsia="仿宋_GB2312"/>
          <w:color w:val="auto"/>
          <w:sz w:val="32"/>
          <w:szCs w:val="32"/>
          <w:u w:val="none" w:color="auto"/>
        </w:rPr>
        <w:t>临时救助资金管理严格按照《福建省财政厅、民政厅关于印发&lt;福建省困难群众救助补助资金管理办法&gt;的通知》（闽财社〔2017〕34号）执行，实行专款专用、调剂使用，不得擅自扩大救助资金支出范围，不得以任何形式挤占、挪用、截留和滞留补助资金。</w:t>
      </w:r>
      <w:r>
        <w:rPr>
          <w:rFonts w:hint="eastAsia" w:ascii="仿宋_GB2312" w:hAnsi="仿宋_GB2312" w:eastAsia="仿宋_GB2312" w:cs="仿宋_GB2312"/>
          <w:sz w:val="32"/>
          <w:szCs w:val="32"/>
          <w:highlight w:val="none"/>
          <w:u w:val="none" w:color="auto"/>
        </w:rPr>
        <w:t>区财政</w:t>
      </w:r>
      <w:r>
        <w:rPr>
          <w:rFonts w:hint="eastAsia" w:ascii="仿宋_GB2312" w:hAnsi="仿宋_GB2312" w:eastAsia="仿宋_GB2312" w:cs="仿宋_GB2312"/>
          <w:sz w:val="32"/>
          <w:szCs w:val="32"/>
          <w:highlight w:val="none"/>
          <w:u w:val="none" w:color="auto"/>
          <w:lang w:eastAsia="zh-CN"/>
        </w:rPr>
        <w:t>局</w:t>
      </w:r>
      <w:r>
        <w:rPr>
          <w:rFonts w:hint="eastAsia" w:ascii="仿宋_GB2312" w:hAnsi="仿宋_GB2312" w:eastAsia="仿宋_GB2312" w:cs="仿宋_GB2312"/>
          <w:sz w:val="32"/>
          <w:szCs w:val="32"/>
          <w:highlight w:val="none"/>
          <w:u w:val="none" w:color="auto"/>
        </w:rPr>
        <w:t>、</w:t>
      </w:r>
      <w:r>
        <w:rPr>
          <w:rFonts w:hint="eastAsia" w:ascii="仿宋_GB2312" w:hAnsi="仿宋_GB2312" w:eastAsia="仿宋_GB2312" w:cs="仿宋_GB2312"/>
          <w:sz w:val="32"/>
          <w:szCs w:val="32"/>
          <w:highlight w:val="none"/>
          <w:u w:val="none" w:color="auto"/>
          <w:lang w:eastAsia="zh-CN"/>
        </w:rPr>
        <w:t>区</w:t>
      </w:r>
      <w:r>
        <w:rPr>
          <w:rFonts w:hint="eastAsia" w:ascii="仿宋_GB2312" w:hAnsi="仿宋_GB2312" w:eastAsia="仿宋_GB2312" w:cs="仿宋_GB2312"/>
          <w:sz w:val="32"/>
          <w:szCs w:val="32"/>
          <w:highlight w:val="none"/>
          <w:u w:val="none" w:color="auto"/>
        </w:rPr>
        <w:t>民政</w:t>
      </w:r>
      <w:r>
        <w:rPr>
          <w:rFonts w:hint="eastAsia" w:ascii="仿宋_GB2312" w:hAnsi="仿宋_GB2312" w:eastAsia="仿宋_GB2312" w:cs="仿宋_GB2312"/>
          <w:sz w:val="32"/>
          <w:szCs w:val="32"/>
          <w:highlight w:val="none"/>
          <w:u w:val="none" w:color="auto"/>
          <w:lang w:eastAsia="zh-CN"/>
        </w:rPr>
        <w:t>局按要求</w:t>
      </w:r>
      <w:r>
        <w:rPr>
          <w:rFonts w:hint="eastAsia" w:eastAsia="仿宋_GB2312"/>
          <w:color w:val="auto"/>
          <w:sz w:val="32"/>
          <w:szCs w:val="32"/>
          <w:u w:val="none" w:color="auto"/>
        </w:rPr>
        <w:t>加强对临时救助资金的监督检查和绩效评价，切实提高资金使用效益。</w:t>
      </w:r>
    </w:p>
    <w:p>
      <w:pPr>
        <w:ind w:firstLine="632" w:firstLineChars="200"/>
        <w:rPr>
          <w:rFonts w:hint="eastAsia"/>
          <w:color w:val="auto"/>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第二十六条 </w:t>
      </w:r>
      <w:r>
        <w:rPr>
          <w:rFonts w:hint="eastAsia"/>
          <w:color w:val="auto"/>
          <w:u w:val="none" w:color="auto"/>
        </w:rPr>
        <w:t>临时救助实施情况要定期向社会公开，接受社会监督、群众监督。各</w:t>
      </w:r>
      <w:r>
        <w:rPr>
          <w:rFonts w:hint="eastAsia"/>
          <w:color w:val="auto"/>
          <w:u w:val="none" w:color="auto"/>
          <w:lang w:eastAsia="zh-CN"/>
        </w:rPr>
        <w:t>街道</w:t>
      </w:r>
      <w:r>
        <w:rPr>
          <w:rFonts w:hint="eastAsia"/>
          <w:color w:val="auto"/>
          <w:u w:val="none" w:color="auto"/>
        </w:rPr>
        <w:t>要加强扶贫（惠民）资金在线监管系统数据维护，对临时救助资金的“流向、流量、流速”实行全程跟踪监管，防止挤占、挪用、套取等违纪违法问题发生。</w:t>
      </w:r>
    </w:p>
    <w:p>
      <w:pPr>
        <w:pStyle w:val="2"/>
        <w:ind w:firstLine="632" w:firstLineChars="200"/>
        <w:rPr>
          <w:rFonts w:hint="eastAsia"/>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第二十七条 </w:t>
      </w:r>
      <w:r>
        <w:rPr>
          <w:rFonts w:hint="eastAsia"/>
          <w:u w:val="none" w:color="auto"/>
        </w:rPr>
        <w:t>审核确认经办人员在救助工作中有贪污侵占、虚报冒领、挪用套取、截留私分、失职渎职、滥用职权、徇私舞弊等情形，由有权机关依法依规处理；涉嫌构成犯罪的，依法移送司法机关处理。</w:t>
      </w:r>
    </w:p>
    <w:p>
      <w:pPr>
        <w:pStyle w:val="6"/>
        <w:widowControl w:val="0"/>
        <w:spacing w:before="0" w:beforeLines="0" w:beforeAutospacing="0" w:after="0" w:afterLines="0" w:afterAutospacing="0" w:line="590" w:lineRule="exact"/>
        <w:ind w:firstLine="620" w:firstLineChars="196"/>
        <w:rPr>
          <w:rFonts w:hint="eastAsia" w:ascii="Times New Roman" w:eastAsia="仿宋_GB2312"/>
          <w:color w:val="auto"/>
          <w:sz w:val="32"/>
          <w:szCs w:val="32"/>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第二十八条 </w:t>
      </w:r>
      <w:r>
        <w:rPr>
          <w:rFonts w:hint="eastAsia" w:ascii="Times New Roman" w:eastAsia="仿宋_GB2312"/>
          <w:color w:val="auto"/>
          <w:sz w:val="32"/>
          <w:szCs w:val="32"/>
          <w:u w:val="none" w:color="auto"/>
        </w:rPr>
        <w:t>申请临时救助的困难家庭或个人应自觉接受民政部门的调查，并如实反映相关情况。</w:t>
      </w:r>
      <w:r>
        <w:rPr>
          <w:rFonts w:hint="eastAsia" w:ascii="仿宋_GB2312" w:hAnsi="仿宋_GB2312" w:eastAsia="仿宋_GB2312" w:cs="仿宋_GB2312"/>
          <w:color w:val="auto"/>
          <w:sz w:val="32"/>
          <w:szCs w:val="32"/>
          <w:highlight w:val="none"/>
          <w:u w:val="none" w:color="auto"/>
          <w:lang w:val="zh-CN"/>
        </w:rPr>
        <w:t>申请人采取虚报、隐瞒、伪造等手段骗取救助资金的，由审批主体负责追回已领取的资金，并视情纳入征信系统予以联合惩戒；涉嫌构成犯罪的，依法移送司法机关处理。</w:t>
      </w:r>
    </w:p>
    <w:p>
      <w:pPr>
        <w:autoSpaceDN w:val="0"/>
        <w:spacing w:line="590" w:lineRule="exact"/>
        <w:jc w:val="center"/>
        <w:rPr>
          <w:rFonts w:hint="eastAsia" w:ascii="黑体" w:hAnsi="Times New Roman" w:eastAsia="黑体" w:cs="Times New Roman"/>
          <w:color w:val="000000"/>
          <w:szCs w:val="32"/>
          <w:u w:val="none" w:color="auto"/>
        </w:rPr>
      </w:pPr>
      <w:r>
        <w:rPr>
          <w:rFonts w:hint="eastAsia" w:ascii="黑体" w:hAnsi="Times New Roman" w:eastAsia="黑体" w:cs="Times New Roman"/>
          <w:color w:val="000000"/>
          <w:szCs w:val="32"/>
          <w:u w:val="none" w:color="auto"/>
        </w:rPr>
        <w:t>第七章　附　　则</w:t>
      </w:r>
    </w:p>
    <w:p>
      <w:pPr>
        <w:pStyle w:val="3"/>
        <w:spacing w:line="590" w:lineRule="exact"/>
        <w:ind w:firstLine="629"/>
        <w:rPr>
          <w:rFonts w:eastAsia="仿宋_GB2312"/>
          <w:color w:val="auto"/>
          <w:u w:val="none" w:color="auto"/>
        </w:rPr>
      </w:pPr>
    </w:p>
    <w:p>
      <w:pPr>
        <w:pStyle w:val="6"/>
        <w:widowControl w:val="0"/>
        <w:spacing w:before="0" w:beforeLines="0" w:beforeAutospacing="0" w:after="0" w:afterLines="0" w:afterAutospacing="0" w:line="590" w:lineRule="exact"/>
        <w:rPr>
          <w:rFonts w:hint="eastAsia" w:ascii="Times New Roman" w:eastAsia="仿宋_GB2312"/>
          <w:color w:val="auto"/>
          <w:sz w:val="32"/>
          <w:szCs w:val="32"/>
          <w:u w:val="none" w:color="auto"/>
        </w:rPr>
      </w:pPr>
      <w:r>
        <w:rPr>
          <w:rFonts w:hint="eastAsia" w:ascii="Times New Roman" w:eastAsia="仿宋_GB2312"/>
          <w:color w:val="auto"/>
          <w:sz w:val="32"/>
          <w:szCs w:val="32"/>
          <w:u w:val="none" w:color="auto"/>
        </w:rPr>
        <w:t>　　</w:t>
      </w:r>
      <w:r>
        <w:rPr>
          <w:rFonts w:hint="eastAsia" w:ascii="仿宋_GB2312" w:hAnsi="宋体" w:eastAsia="仿宋_GB2312" w:cs="Times New Roman"/>
          <w:b/>
          <w:bCs/>
          <w:color w:val="auto"/>
          <w:kern w:val="96"/>
          <w:sz w:val="32"/>
          <w:szCs w:val="32"/>
          <w:u w:val="none" w:color="auto"/>
          <w:lang w:val="en-US" w:eastAsia="zh-CN" w:bidi="ar-SA"/>
        </w:rPr>
        <w:t xml:space="preserve">第二十九条 </w:t>
      </w:r>
      <w:r>
        <w:rPr>
          <w:rFonts w:hint="eastAsia" w:ascii="Times New Roman" w:eastAsia="仿宋_GB2312"/>
          <w:color w:val="auto"/>
          <w:sz w:val="32"/>
          <w:szCs w:val="32"/>
          <w:u w:val="none" w:color="auto"/>
        </w:rPr>
        <w:t>本</w:t>
      </w:r>
      <w:r>
        <w:rPr>
          <w:rFonts w:hint="eastAsia" w:ascii="Times New Roman" w:eastAsia="仿宋_GB2312"/>
          <w:color w:val="auto"/>
          <w:sz w:val="32"/>
          <w:szCs w:val="32"/>
          <w:u w:val="none" w:color="auto"/>
          <w:lang w:eastAsia="zh-CN"/>
        </w:rPr>
        <w:t>规范</w:t>
      </w:r>
      <w:r>
        <w:rPr>
          <w:rFonts w:hint="eastAsia" w:ascii="Times New Roman" w:eastAsia="仿宋_GB2312"/>
          <w:color w:val="auto"/>
          <w:sz w:val="32"/>
          <w:szCs w:val="32"/>
          <w:u w:val="none" w:color="auto"/>
        </w:rPr>
        <w:t>由区民政局负责解释。</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宋体" w:eastAsia="仿宋_GB2312" w:cs="Times New Roman"/>
          <w:b/>
          <w:bCs/>
          <w:color w:val="auto"/>
          <w:kern w:val="96"/>
          <w:sz w:val="32"/>
          <w:szCs w:val="32"/>
          <w:u w:val="none" w:color="auto"/>
          <w:lang w:val="en-US" w:eastAsia="zh-CN" w:bidi="ar-SA"/>
        </w:rPr>
        <w:t xml:space="preserve">第三十条 </w:t>
      </w:r>
      <w:r>
        <w:rPr>
          <w:rFonts w:hint="eastAsia" w:ascii="Times New Roman" w:hAnsi="Times New Roman"/>
          <w:color w:val="auto"/>
          <w:szCs w:val="32"/>
          <w:u w:val="none" w:color="auto"/>
        </w:rPr>
        <w:t>本</w:t>
      </w:r>
      <w:r>
        <w:rPr>
          <w:rFonts w:hint="eastAsia" w:ascii="Times New Roman" w:hAnsi="Times New Roman"/>
          <w:color w:val="auto"/>
          <w:szCs w:val="32"/>
          <w:u w:val="none" w:color="auto"/>
          <w:lang w:eastAsia="zh-CN"/>
        </w:rPr>
        <w:t>规范</w:t>
      </w:r>
      <w:r>
        <w:rPr>
          <w:rFonts w:hint="eastAsia" w:ascii="Times New Roman" w:hAnsi="Times New Roman"/>
          <w:color w:val="auto"/>
          <w:szCs w:val="32"/>
          <w:u w:val="none" w:color="auto"/>
        </w:rPr>
        <w:t>自印发之日起施行，有效期5年。</w:t>
      </w:r>
      <w:r>
        <w:rPr>
          <w:rFonts w:hint="eastAsia" w:ascii="仿宋_GB2312" w:hAnsi="仿宋_GB2312" w:eastAsia="仿宋_GB2312" w:cs="仿宋_GB2312"/>
          <w:color w:val="auto"/>
          <w:sz w:val="32"/>
          <w:szCs w:val="32"/>
          <w:highlight w:val="none"/>
          <w:u w:val="none" w:color="auto"/>
        </w:rPr>
        <w:t>以往有关文件规定与本规范不一致的，按照本规范执行。</w:t>
      </w:r>
    </w:p>
    <w:p>
      <w:pPr>
        <w:adjustRightInd w:val="0"/>
        <w:spacing w:line="590" w:lineRule="exact"/>
        <w:ind w:firstLine="632" w:firstLineChars="200"/>
        <w:rPr>
          <w:rFonts w:hint="eastAsia" w:ascii="Times New Roman" w:hAnsi="Times New Roman"/>
          <w:color w:val="auto"/>
          <w:szCs w:val="32"/>
          <w:u w:val="none" w:color="auto"/>
        </w:rPr>
      </w:pPr>
    </w:p>
    <w:p>
      <w:pPr>
        <w:adjustRightInd w:val="0"/>
        <w:spacing w:line="590" w:lineRule="exact"/>
        <w:rPr>
          <w:rFonts w:hint="eastAsia" w:ascii="Times New Roman" w:hAnsi="Times New Roman"/>
          <w:color w:val="auto"/>
          <w:szCs w:val="32"/>
          <w:u w:val="none" w:color="auto"/>
        </w:rPr>
      </w:pPr>
    </w:p>
    <w:p>
      <w:pPr>
        <w:adjustRightInd w:val="0"/>
        <w:rPr>
          <w:rFonts w:hint="eastAsia" w:ascii="Times New Roman" w:hAnsi="Times New Roman"/>
          <w:color w:val="auto"/>
          <w:szCs w:val="32"/>
          <w:u w:val="none" w:color="auto"/>
        </w:rPr>
      </w:pPr>
    </w:p>
    <w:p>
      <w:pPr>
        <w:pStyle w:val="2"/>
        <w:rPr>
          <w:rFonts w:hint="eastAsia" w:ascii="Times New Roman" w:hAnsi="Times New Roman"/>
          <w:color w:val="auto"/>
          <w:szCs w:val="32"/>
          <w:u w:val="none" w:color="auto"/>
        </w:rPr>
      </w:pPr>
      <w:r>
        <w:rPr>
          <w:rFonts w:hint="eastAsia" w:ascii="Times New Roman" w:hAnsi="Times New Roman"/>
          <w:color w:val="auto"/>
          <w:szCs w:val="32"/>
          <w:u w:val="none" w:color="auto"/>
          <w:lang w:val="en-US" w:eastAsia="zh-CN"/>
        </w:rPr>
        <w:t xml:space="preserve">                                      </w:t>
      </w:r>
    </w:p>
    <w:p>
      <w:pPr>
        <w:pStyle w:val="2"/>
        <w:rPr>
          <w:rFonts w:hint="eastAsia" w:ascii="Times New Roman" w:hAnsi="Times New Roman"/>
          <w:color w:val="auto"/>
          <w:szCs w:val="32"/>
          <w:u w:val="none" w:color="auto"/>
        </w:rPr>
      </w:pPr>
    </w:p>
    <w:p>
      <w:pPr>
        <w:pStyle w:val="2"/>
        <w:rPr>
          <w:rFonts w:hint="eastAsia" w:ascii="Times New Roman" w:hAnsi="Times New Roman"/>
          <w:color w:val="auto"/>
          <w:szCs w:val="32"/>
          <w:u w:val="none" w:color="auto"/>
        </w:rPr>
      </w:pPr>
    </w:p>
    <w:p>
      <w:pPr>
        <w:tabs>
          <w:tab w:val="left" w:pos="8690"/>
        </w:tabs>
        <w:adjustRightInd w:val="0"/>
        <w:ind w:right="366" w:rightChars="116" w:firstLine="271" w:firstLineChars="98"/>
        <w:rPr>
          <w:rFonts w:hint="eastAsia" w:ascii="Times New Roman" w:hAnsi="Times New Roman"/>
          <w:color w:val="auto"/>
          <w:sz w:val="28"/>
          <w:szCs w:val="28"/>
          <w:u w:val="none" w:color="auto"/>
        </w:rPr>
      </w:pPr>
    </w:p>
    <w:p>
      <w:pPr>
        <w:rPr>
          <w:u w:val="none" w:color="auto"/>
        </w:rPr>
      </w:pPr>
    </w:p>
    <w:p>
      <w:pPr>
        <w:pStyle w:val="2"/>
        <w:rPr>
          <w:u w:val="none" w:color="auto"/>
        </w:rPr>
      </w:pPr>
    </w:p>
    <w:p>
      <w:pPr>
        <w:pStyle w:val="2"/>
        <w:rPr>
          <w:u w:val="none" w:color="auto"/>
        </w:rPr>
      </w:pPr>
    </w:p>
    <w:p>
      <w:pPr>
        <w:pStyle w:val="2"/>
        <w:rPr>
          <w:u w:val="none" w:color="auto"/>
        </w:rPr>
      </w:pPr>
    </w:p>
    <w:p>
      <w:pPr>
        <w:pStyle w:val="2"/>
        <w:rPr>
          <w:u w:val="none" w:color="auto"/>
        </w:rPr>
      </w:pPr>
    </w:p>
    <w:p>
      <w:pPr>
        <w:pStyle w:val="2"/>
        <w:rPr>
          <w:rFonts w:hint="eastAsia" w:ascii="仿宋_GB2312" w:hAnsi="仿宋_GB2312" w:eastAsia="仿宋_GB2312" w:cs="仿宋_GB2312"/>
          <w:sz w:val="32"/>
          <w:szCs w:val="32"/>
          <w:highlight w:val="none"/>
          <w:u w:val="none" w:color="auto"/>
        </w:rPr>
      </w:pPr>
    </w:p>
    <w:p>
      <w:pPr>
        <w:pStyle w:val="2"/>
        <w:rPr>
          <w:rFonts w:hint="eastAsia" w:ascii="仿宋_GB2312" w:hAnsi="仿宋_GB2312" w:eastAsia="仿宋_GB2312" w:cs="仿宋_GB2312"/>
          <w:sz w:val="32"/>
          <w:szCs w:val="32"/>
          <w:highlight w:val="none"/>
          <w:u w:val="none" w:color="auto"/>
        </w:rPr>
      </w:pPr>
    </w:p>
    <w:p>
      <w:pPr>
        <w:pStyle w:val="2"/>
        <w:rPr>
          <w:rFonts w:hint="eastAsia" w:ascii="仿宋_GB2312" w:hAnsi="仿宋_GB2312" w:eastAsia="仿宋_GB2312" w:cs="仿宋_GB2312"/>
          <w:sz w:val="32"/>
          <w:szCs w:val="32"/>
          <w:highlight w:val="none"/>
          <w:u w:val="none" w:color="auto"/>
        </w:rPr>
      </w:pPr>
    </w:p>
    <w:p>
      <w:pPr>
        <w:pStyle w:val="2"/>
        <w:rPr>
          <w:rFonts w:hint="eastAsia" w:ascii="仿宋_GB2312" w:hAnsi="仿宋_GB2312" w:eastAsia="仿宋_GB2312" w:cs="仿宋_GB2312"/>
          <w:sz w:val="32"/>
          <w:szCs w:val="32"/>
          <w:highlight w:val="none"/>
          <w:u w:val="none" w:color="auto"/>
        </w:rPr>
      </w:pPr>
    </w:p>
    <w:p>
      <w:pPr>
        <w:pStyle w:val="2"/>
        <w:rPr>
          <w:rFonts w:hint="eastAsia" w:ascii="仿宋_GB2312" w:hAnsi="仿宋_GB2312" w:eastAsia="仿宋_GB2312" w:cs="仿宋_GB2312"/>
          <w:sz w:val="32"/>
          <w:szCs w:val="32"/>
          <w:highlight w:val="none"/>
          <w:u w:val="none" w:color="auto"/>
        </w:rPr>
      </w:pPr>
    </w:p>
    <w:p>
      <w:pPr>
        <w:pStyle w:val="2"/>
        <w:rPr>
          <w:u w:val="none" w:color="auto"/>
        </w:rPr>
      </w:pPr>
    </w:p>
    <w:sectPr>
      <w:headerReference r:id="rId3" w:type="default"/>
      <w:footerReference r:id="rId5" w:type="default"/>
      <w:headerReference r:id="rId4" w:type="even"/>
      <w:footerReference r:id="rId6" w:type="even"/>
      <w:pgSz w:w="11906" w:h="16838"/>
      <w:pgMar w:top="1928" w:right="1361" w:bottom="1871" w:left="1588" w:header="1134" w:footer="1531"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48" w:wrap="around" w:vAnchor="text" w:hAnchor="page" w:x="9069" w:y="1"/>
      <w:wordWrap w:val="0"/>
      <w:spacing w:line="330" w:lineRule="exact"/>
      <w:jc w:val="right"/>
      <w:rPr>
        <w:rStyle w:val="11"/>
        <w:rFonts w:hint="eastAsia" w:ascii="宋体" w:eastAsia="宋体"/>
        <w:sz w:val="28"/>
        <w:szCs w:val="28"/>
      </w:rPr>
    </w:pPr>
    <w:r>
      <w:rPr>
        <w:rStyle w:val="11"/>
        <w:rFonts w:hint="eastAsia" w:ascii="宋体" w:eastAsia="宋体"/>
        <w:sz w:val="28"/>
        <w:szCs w:val="28"/>
      </w:rPr>
      <w:t xml:space="preserve">— </w:t>
    </w:r>
    <w:r>
      <w:rPr>
        <w:rFonts w:ascii="宋体" w:eastAsia="宋体"/>
        <w:sz w:val="28"/>
        <w:szCs w:val="28"/>
      </w:rPr>
      <w:fldChar w:fldCharType="begin"/>
    </w:r>
    <w:r>
      <w:rPr>
        <w:rStyle w:val="11"/>
        <w:rFonts w:ascii="宋体" w:eastAsia="宋体"/>
        <w:sz w:val="28"/>
        <w:szCs w:val="28"/>
      </w:rPr>
      <w:instrText xml:space="preserve">PAGE  </w:instrText>
    </w:r>
    <w:r>
      <w:rPr>
        <w:rFonts w:ascii="宋体" w:eastAsia="宋体"/>
        <w:sz w:val="28"/>
        <w:szCs w:val="28"/>
      </w:rPr>
      <w:fldChar w:fldCharType="separate"/>
    </w:r>
    <w:r>
      <w:rPr>
        <w:rStyle w:val="11"/>
        <w:rFonts w:ascii="宋体" w:eastAsia="宋体"/>
        <w:sz w:val="28"/>
        <w:szCs w:val="28"/>
      </w:rPr>
      <w:t>1</w:t>
    </w:r>
    <w:r>
      <w:rPr>
        <w:rFonts w:ascii="宋体" w:eastAsia="宋体"/>
        <w:sz w:val="28"/>
        <w:szCs w:val="28"/>
      </w:rPr>
      <w:fldChar w:fldCharType="end"/>
    </w:r>
    <w:r>
      <w:rPr>
        <w:rStyle w:val="11"/>
        <w:rFonts w:hint="eastAsia" w:ascii="宋体" w:eastAsia="宋体"/>
        <w:sz w:val="28"/>
        <w:szCs w:val="28"/>
      </w:rPr>
      <w:t xml:space="preserve"> —</w:t>
    </w:r>
    <w:r>
      <w:rPr>
        <w:rStyle w:val="11"/>
        <w:rFonts w:hint="eastAsia" w:ascii="宋体" w:eastAsia="宋体"/>
        <w:spacing w:val="4"/>
        <w:sz w:val="28"/>
        <w:szCs w:val="28"/>
      </w:rPr>
      <w:t xml:space="preserve">  </w:t>
    </w:r>
  </w:p>
  <w:p>
    <w:pPr>
      <w:pStyle w:val="4"/>
      <w:tabs>
        <w:tab w:val="left" w:pos="3285"/>
        <w:tab w:val="clear" w:pos="4153"/>
        <w:tab w:val="clear"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spacing w:line="360" w:lineRule="exact"/>
      <w:ind w:firstLine="196" w:firstLineChars="70"/>
      <w:rPr>
        <w:rStyle w:val="11"/>
        <w:sz w:val="28"/>
        <w:szCs w:val="28"/>
      </w:rPr>
    </w:pPr>
    <w:r>
      <w:rPr>
        <w:rStyle w:val="11"/>
        <w:rFonts w:hint="eastAsia" w:ascii="宋体" w:eastAsia="宋体"/>
        <w:sz w:val="28"/>
        <w:szCs w:val="28"/>
      </w:rPr>
      <w:t>—</w:t>
    </w:r>
    <w:r>
      <w:rPr>
        <w:rStyle w:val="11"/>
        <w:rFonts w:hint="eastAsia"/>
        <w:sz w:val="28"/>
        <w:szCs w:val="28"/>
      </w:rPr>
      <w:t xml:space="preserve"> </w:t>
    </w:r>
    <w:r>
      <w:rPr>
        <w:rFonts w:hint="eastAsia" w:ascii="宋体" w:eastAsia="宋体"/>
        <w:sz w:val="28"/>
        <w:szCs w:val="28"/>
      </w:rPr>
      <w:fldChar w:fldCharType="begin"/>
    </w:r>
    <w:r>
      <w:rPr>
        <w:rStyle w:val="11"/>
        <w:rFonts w:hint="eastAsia" w:ascii="宋体" w:eastAsia="宋体"/>
        <w:sz w:val="28"/>
        <w:szCs w:val="28"/>
      </w:rPr>
      <w:instrText xml:space="preserve">PAGE  </w:instrText>
    </w:r>
    <w:r>
      <w:rPr>
        <w:rFonts w:ascii="宋体" w:eastAsia="宋体"/>
        <w:sz w:val="28"/>
        <w:szCs w:val="28"/>
      </w:rPr>
      <w:fldChar w:fldCharType="separate"/>
    </w:r>
    <w:r>
      <w:rPr>
        <w:rStyle w:val="11"/>
        <w:rFonts w:ascii="宋体" w:eastAsia="宋体"/>
        <w:sz w:val="28"/>
        <w:szCs w:val="28"/>
      </w:rPr>
      <w:t>2</w:t>
    </w:r>
    <w:r>
      <w:rPr>
        <w:rFonts w:hint="eastAsia" w:ascii="宋体" w:eastAsia="宋体"/>
        <w:sz w:val="28"/>
        <w:szCs w:val="28"/>
      </w:rPr>
      <w:fldChar w:fldCharType="end"/>
    </w:r>
    <w:r>
      <w:rPr>
        <w:rStyle w:val="11"/>
        <w:rFonts w:hint="eastAsia"/>
        <w:sz w:val="28"/>
        <w:szCs w:val="28"/>
      </w:rPr>
      <w:t xml:space="preserve"> </w:t>
    </w:r>
    <w:r>
      <w:rPr>
        <w:rStyle w:val="11"/>
        <w:rFonts w:hint="eastAsia" w:ascii="宋体" w:eastAsia="宋体"/>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97CDB"/>
    <w:multiLevelType w:val="singleLevel"/>
    <w:tmpl w:val="06097CD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A7D4F"/>
    <w:rsid w:val="05332C80"/>
    <w:rsid w:val="057253F4"/>
    <w:rsid w:val="08151E61"/>
    <w:rsid w:val="0A6B0D96"/>
    <w:rsid w:val="0B88748B"/>
    <w:rsid w:val="153D614F"/>
    <w:rsid w:val="190A5AF8"/>
    <w:rsid w:val="199364E6"/>
    <w:rsid w:val="21426E36"/>
    <w:rsid w:val="25A23999"/>
    <w:rsid w:val="282A5A05"/>
    <w:rsid w:val="289F2C78"/>
    <w:rsid w:val="2A62561F"/>
    <w:rsid w:val="2A9E5087"/>
    <w:rsid w:val="314A7D4F"/>
    <w:rsid w:val="38123E1B"/>
    <w:rsid w:val="3CAF2CCA"/>
    <w:rsid w:val="3EFE4635"/>
    <w:rsid w:val="3F576CC7"/>
    <w:rsid w:val="40AB6C5C"/>
    <w:rsid w:val="44120B5D"/>
    <w:rsid w:val="447302DF"/>
    <w:rsid w:val="47AF47FB"/>
    <w:rsid w:val="4946791D"/>
    <w:rsid w:val="49DF34E0"/>
    <w:rsid w:val="533D0E8F"/>
    <w:rsid w:val="53B6597D"/>
    <w:rsid w:val="5EF31E9F"/>
    <w:rsid w:val="6B0F45A3"/>
    <w:rsid w:val="74130DC3"/>
    <w:rsid w:val="74CF0FE1"/>
    <w:rsid w:val="D67F08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96"/>
      <w:sz w:val="32"/>
      <w:szCs w:val="24"/>
      <w:lang w:val="en-US" w:eastAsia="zh-CN" w:bidi="ar-SA"/>
    </w:rPr>
  </w:style>
  <w:style w:type="character" w:default="1" w:styleId="8">
    <w:name w:val="Default Paragraph Font"/>
    <w:link w:val="9"/>
    <w:semiHidden/>
    <w:qFormat/>
    <w:uiPriority w:val="0"/>
    <w:rPr>
      <w:rFonts w:ascii="Times New Roman" w:hAnsi="Times New Roman" w:eastAsia="宋体"/>
      <w:kern w:val="2"/>
      <w:sz w:val="21"/>
      <w:szCs w:val="20"/>
    </w:rPr>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rPr>
      <w:rFonts w:ascii="??_GB2312" w:hAnsi="Times New Roman" w:cs="??_GB2312"/>
      <w:szCs w:val="21"/>
    </w:rPr>
  </w:style>
  <w:style w:type="paragraph" w:styleId="3">
    <w:name w:val="index 5"/>
    <w:next w:val="1"/>
    <w:qFormat/>
    <w:uiPriority w:val="0"/>
    <w:pPr>
      <w:widowControl w:val="0"/>
      <w:ind w:firstLine="630"/>
    </w:pPr>
    <w:rPr>
      <w:rFonts w:ascii="Times New Roman" w:hAnsi="Times New Roman" w:eastAsia="宋体" w:cs="Times New Roman"/>
      <w:kern w:val="2"/>
      <w:sz w:val="21"/>
      <w:szCs w:val="22"/>
      <w:u w:val="single"/>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next w:val="3"/>
    <w:qFormat/>
    <w:uiPriority w:val="0"/>
    <w:pPr>
      <w:spacing w:before="100" w:beforeLines="0" w:beforeAutospacing="1" w:after="100" w:afterLines="0" w:afterAutospacing="1" w:line="269" w:lineRule="atLeast"/>
    </w:pPr>
    <w:rPr>
      <w:rFonts w:ascii="宋体" w:hAnsi="Times New Roman" w:eastAsia="宋体" w:cs="Times New Roman"/>
      <w:sz w:val="24"/>
      <w:szCs w:val="22"/>
      <w:lang w:val="en-US" w:eastAsia="zh-CN" w:bidi="ar-SA"/>
    </w:rPr>
  </w:style>
  <w:style w:type="paragraph" w:customStyle="1" w:styleId="9">
    <w:name w:val="_Style 6"/>
    <w:basedOn w:val="1"/>
    <w:link w:val="8"/>
    <w:qFormat/>
    <w:uiPriority w:val="0"/>
    <w:rPr>
      <w:rFonts w:ascii="Times New Roman" w:hAnsi="Times New Roman" w:eastAsia="宋体"/>
      <w:kern w:val="2"/>
      <w:sz w:val="21"/>
      <w:szCs w:val="20"/>
    </w:rPr>
  </w:style>
  <w:style w:type="character" w:styleId="10">
    <w:name w:val="Strong"/>
    <w:qFormat/>
    <w:uiPriority w:val="0"/>
    <w:rPr>
      <w:b/>
    </w:rPr>
  </w:style>
  <w:style w:type="character" w:styleId="11">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2022-03-11T09:15:00Z</dcterms:created>
  <dc:creator>lih</dc:creator>
  <cp:lastModifiedBy>xmadmin</cp:lastModifiedBy>
  <cp:lastPrinted>2022-03-18T16:22:00Z</cp:lastPrinted>
  <dcterms:modified xsi:type="dcterms:W3CDTF">2022-03-18T16:35:29Z</dcterms:modified>
  <dc:title>湖里区临时救助工作规范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