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关于《湖里区</w:t>
      </w:r>
      <w:r>
        <w:rPr>
          <w:rFonts w:hint="eastAsia" w:ascii="Times New Roman" w:hAnsi="Times New Roman" w:eastAsia="方正小标宋简体" w:cs="仿宋_GB2312"/>
          <w:sz w:val="44"/>
          <w:szCs w:val="44"/>
          <w:lang w:eastAsia="zh-CN"/>
        </w:rPr>
        <w:t>临时救助工作规范</w:t>
      </w:r>
      <w:r>
        <w:rPr>
          <w:rFonts w:hint="eastAsia" w:ascii="Times New Roman" w:hAnsi="Times New Roman" w:eastAsia="方正小标宋简体" w:cs="仿宋_GB2312"/>
          <w:sz w:val="44"/>
          <w:szCs w:val="44"/>
        </w:rPr>
        <w:t>》的说明</w:t>
      </w:r>
    </w:p>
    <w:p>
      <w:p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一、制定的背景和依据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1.制定的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背景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临时救助是社会救助兜底保障体系的重要组成部分，也是“救急难”机制的主要承接制度，在社会救助体系中起着重要作用，对有效解决城乡困难群众突发性、紧迫性、临时性基本生活困难、筑牢社会救助体系的最后一道防线，切实维护好困难群众的基本生活权益有重要意义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2016年以来，我区相继发布了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湖里区人民政府办公室关于印发湖里区临时救助实施细则的通知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》（厦湖府办〔2016〕64号，</w:t>
      </w:r>
      <w:r>
        <w:rPr>
          <w:rFonts w:hint="eastAsia" w:ascii="Times New Roman" w:hAnsi="仿宋_GB2312" w:eastAsia="仿宋_GB2312" w:cs="仿宋_GB2312"/>
          <w:sz w:val="32"/>
          <w:szCs w:val="32"/>
        </w:rPr>
        <w:t>以下简称《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实施细则</w:t>
      </w:r>
      <w:r>
        <w:rPr>
          <w:rFonts w:hint="eastAsia" w:ascii="Times New Roman" w:hAnsi="仿宋_GB2312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 w:color="auto"/>
          <w:lang w:val="en-US" w:eastAsia="zh-CN" w:bidi="ar-SA"/>
        </w:rPr>
        <w:t>《湖里区民政局 湖里区财政局转发市民政局 市财政局关于进一步加强社会救助兜底保障工作的通知》（厦湖民〔2018〕93号）、《湖里区民政局 湖里区财政局关于加强困难群众临时救助工作的通知》（厦湖民〔2019〕24号）等文件，对我区临时救助工作进行规范。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Times New Roman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仿宋_GB2312" w:eastAsia="仿宋_GB2312" w:cs="仿宋_GB2312"/>
          <w:sz w:val="32"/>
          <w:szCs w:val="32"/>
        </w:rPr>
        <w:t>日，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厦门市民政局</w:t>
      </w:r>
      <w:r>
        <w:rPr>
          <w:rFonts w:hint="eastAsia" w:ascii="Times New Roman" w:hAnsi="仿宋_GB2312" w:eastAsia="仿宋_GB2312" w:cs="仿宋_GB2312"/>
          <w:sz w:val="32"/>
          <w:szCs w:val="32"/>
        </w:rPr>
        <w:t>印发《厦门市临时救助工作规范》（厦民规〔2021〕1号），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为我市临时救助工作制定了新的规范，其中关于临时救助审核认定程序与我区现行程序不同，救助金额相较我区标准较低，且我区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临时救助指导文件</w:t>
      </w:r>
      <w:r>
        <w:rPr>
          <w:rFonts w:hint="eastAsia" w:ascii="Times New Roman" w:hAnsi="仿宋_GB2312" w:eastAsia="仿宋_GB2312" w:cs="仿宋_GB2312"/>
          <w:sz w:val="32"/>
          <w:szCs w:val="32"/>
        </w:rPr>
        <w:t>《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实施细则</w:t>
      </w:r>
      <w:r>
        <w:rPr>
          <w:rFonts w:hint="eastAsia" w:ascii="Times New Roman" w:hAnsi="仿宋_GB2312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已于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2021年8月8日过期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为进一步保障我区临时救助政策的延续性，高效发挥临时救助政策的兜底保障作用，特此制定</w:t>
      </w:r>
      <w:r>
        <w:rPr>
          <w:rFonts w:hint="eastAsia" w:ascii="Times New Roman" w:hAnsi="仿宋_GB2312" w:eastAsia="仿宋_GB2312" w:cs="仿宋_GB2312"/>
          <w:sz w:val="32"/>
          <w:szCs w:val="32"/>
        </w:rPr>
        <w:t>《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湖里区</w:t>
      </w:r>
      <w:r>
        <w:rPr>
          <w:rFonts w:hint="eastAsia" w:ascii="Times New Roman" w:hAnsi="仿宋_GB2312" w:eastAsia="仿宋_GB2312" w:cs="仿宋_GB2312"/>
          <w:sz w:val="32"/>
          <w:szCs w:val="32"/>
        </w:rPr>
        <w:t>临时救助工作规范》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2.制定的依据。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依据《社会救助暂行办法》（国务院令第649号）、《福建省民政厅 福建省财政厅关于进一步加强和改进临时救助工作的实施意见》（闽民保〔2018〕121号）、《福建省临时救助工作规范》（闽民保〔2019〕121号）和《厦门市临时救助工作规范》（厦民规〔2021〕1号）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有关规定，结合本区实际制定。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二、制定过程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1.起草单位。区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民政</w:t>
      </w:r>
      <w:r>
        <w:rPr>
          <w:rFonts w:hint="eastAsia" w:ascii="Times New Roman" w:hAnsi="仿宋_GB2312" w:eastAsia="仿宋_GB2312" w:cs="仿宋_GB2312"/>
          <w:sz w:val="32"/>
          <w:szCs w:val="32"/>
        </w:rPr>
        <w:t>局结合我区实际，草拟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工作规范</w:t>
      </w:r>
      <w:r>
        <w:rPr>
          <w:rFonts w:hint="eastAsia" w:ascii="Times New Roman" w:hAnsi="Times New Roman" w:eastAsia="仿宋_GB2312"/>
          <w:sz w:val="32"/>
          <w:szCs w:val="32"/>
        </w:rPr>
        <w:t>》。</w:t>
      </w:r>
    </w:p>
    <w:p>
      <w:pPr>
        <w:spacing w:line="560" w:lineRule="exact"/>
        <w:ind w:firstLine="640" w:firstLineChars="200"/>
        <w:rPr>
          <w:rFonts w:hint="default" w:ascii="Times New Roman" w:hAnsi="仿宋_GB2312" w:eastAsia="仿宋_GB2312" w:cs="仿宋_GB2312"/>
          <w:sz w:val="32"/>
          <w:szCs w:val="32"/>
          <w:lang w:val="en"/>
        </w:rPr>
      </w:pPr>
      <w:r>
        <w:rPr>
          <w:rFonts w:hint="eastAsia" w:ascii="Times New Roman" w:hAnsi="Times New Roman" w:eastAsia="仿宋_GB2312"/>
          <w:sz w:val="32"/>
          <w:szCs w:val="32"/>
        </w:rPr>
        <w:t>2.征求意见。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仿宋_GB2312" w:eastAsia="仿宋_GB2312" w:cs="仿宋_GB2312"/>
          <w:sz w:val="32"/>
          <w:szCs w:val="32"/>
        </w:rPr>
        <w:t>通过OA征求各街道办和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区财政局</w:t>
      </w:r>
      <w:r>
        <w:rPr>
          <w:rFonts w:hint="eastAsia" w:ascii="Times New Roman" w:hAnsi="仿宋_GB2312" w:eastAsia="仿宋_GB2312" w:cs="仿宋_GB2312"/>
          <w:sz w:val="32"/>
          <w:szCs w:val="32"/>
        </w:rPr>
        <w:t>的意见。收到反馈意见2条，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Times New Roman" w:hAnsi="仿宋_GB2312" w:eastAsia="仿宋_GB2312" w:cs="仿宋_GB2312"/>
          <w:sz w:val="32"/>
          <w:szCs w:val="32"/>
        </w:rPr>
        <w:t>是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建议将“超出部分按个人自付医疗费用的50%给予救助”改为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“按超出部分的个人自付医疗费用的50%给予救助”</w:t>
      </w:r>
      <w:r>
        <w:rPr>
          <w:rFonts w:hint="eastAsia" w:ascii="Times New Roman" w:hAnsi="仿宋_GB2312" w:eastAsia="仿宋_GB2312" w:cs="仿宋_GB2312"/>
          <w:sz w:val="32"/>
          <w:szCs w:val="32"/>
        </w:rPr>
        <w:t>，该条意见已采纳。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二是建议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提高低保、低收入家庭的救助比例，避免 “一事一议”案例大幅增加及按收支差实施分档救助，经与其他街道探讨及比对相关文件后，此条意见未采纳。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3.合法性审查情况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仿宋_GB2312" w:eastAsia="仿宋_GB2312" w:cs="仿宋_GB2312"/>
          <w:sz w:val="32"/>
          <w:szCs w:val="32"/>
        </w:rPr>
        <w:t>文件已经区司法局审查合格，按审查意见进行修改完善。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sz w:val="32"/>
          <w:szCs w:val="32"/>
        </w:rPr>
        <w:t>.评估论证结论。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文件制定符合相关程序，能够进一步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发挥临时救助救急难作用，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有效解决城乡困难群众突发性、紧迫性、临时性基本生活困难</w:t>
      </w:r>
      <w:r>
        <w:rPr>
          <w:rFonts w:hint="eastAsia" w:ascii="Times New Roman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黑体" w:eastAsia="黑体" w:cs="仿宋_GB2312"/>
          <w:sz w:val="32"/>
          <w:szCs w:val="32"/>
        </w:rPr>
        <w:t>三、主要内容</w:t>
      </w:r>
    </w:p>
    <w:p>
      <w:pPr>
        <w:spacing w:line="560" w:lineRule="exact"/>
        <w:ind w:firstLine="480" w:firstLineChars="15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《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工作规范</w:t>
      </w:r>
      <w:r>
        <w:rPr>
          <w:rFonts w:hint="eastAsia" w:ascii="Times New Roman" w:hAnsi="仿宋_GB2312" w:eastAsia="仿宋_GB2312" w:cs="仿宋_GB2312"/>
          <w:sz w:val="32"/>
          <w:szCs w:val="32"/>
        </w:rPr>
        <w:t>》共七章，三十条，主要从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救助对象认定、审批程序、救助方式及标准、工作机制</w:t>
      </w:r>
      <w:r>
        <w:rPr>
          <w:rFonts w:hint="eastAsia" w:ascii="Times New Roman" w:hAnsi="仿宋_GB2312" w:eastAsia="仿宋_GB2312" w:cs="仿宋_GB2312"/>
          <w:sz w:val="32"/>
          <w:szCs w:val="32"/>
        </w:rPr>
        <w:t>等方面，对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临时救助工作</w:t>
      </w:r>
      <w:r>
        <w:rPr>
          <w:rFonts w:hint="eastAsia" w:ascii="Times New Roman" w:hAnsi="仿宋_GB2312" w:eastAsia="仿宋_GB2312" w:cs="仿宋_GB2312"/>
          <w:sz w:val="32"/>
          <w:szCs w:val="32"/>
        </w:rPr>
        <w:t>进行规范。主要内容如下：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楷体_GB2312" w:cs="仿宋_GB2312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仿宋_GB2312"/>
          <w:b/>
          <w:sz w:val="32"/>
          <w:szCs w:val="32"/>
        </w:rPr>
        <w:t>（一）</w:t>
      </w:r>
      <w:r>
        <w:rPr>
          <w:rFonts w:hint="eastAsia" w:ascii="Times New Roman" w:hAnsi="Times New Roman" w:eastAsia="楷体_GB2312" w:cs="仿宋_GB2312"/>
          <w:b/>
          <w:sz w:val="32"/>
          <w:szCs w:val="32"/>
          <w:lang w:eastAsia="zh-CN"/>
        </w:rPr>
        <w:t>明确临时救助对象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参照省市文件，将临时救助对象按照困难情形，分为急难型临时救助和支出型临时救助两类。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 支出型临时救助对象，增加“</w:t>
      </w:r>
      <w:r>
        <w:rPr>
          <w:rFonts w:hint="eastAsia" w:ascii="Times New Roman" w:eastAsia="仿宋_GB2312"/>
          <w:b w:val="0"/>
          <w:bCs w:val="0"/>
          <w:color w:val="auto"/>
          <w:sz w:val="32"/>
          <w:szCs w:val="32"/>
          <w:u w:val="none" w:color="auto"/>
        </w:rPr>
        <w:t>已纳入困难群众基本生活保障范围，</w:t>
      </w:r>
      <w:r>
        <w:rPr>
          <w:rFonts w:hint="eastAsia" w:ascii="Times New Roman" w:eastAsia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除医疗救助外仍需长期自费购买药品，超出承受能力的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”一项。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楷体_GB2312" w:cs="仿宋_GB2312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仿宋_GB2312"/>
          <w:b/>
          <w:sz w:val="32"/>
          <w:szCs w:val="32"/>
        </w:rPr>
        <w:t>（二）</w:t>
      </w:r>
      <w:r>
        <w:rPr>
          <w:rFonts w:hint="eastAsia" w:ascii="Times New Roman" w:hAnsi="Times New Roman" w:eastAsia="楷体_GB2312" w:cs="仿宋_GB2312"/>
          <w:b/>
          <w:sz w:val="32"/>
          <w:szCs w:val="32"/>
          <w:lang w:eastAsia="zh-CN"/>
        </w:rPr>
        <w:t>下放审批权限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eastAsia="仿宋_GB2312"/>
          <w:color w:val="auto"/>
          <w:sz w:val="32"/>
          <w:szCs w:val="32"/>
          <w:u w:val="none" w:color="auto"/>
          <w:lang w:eastAsia="zh-CN"/>
        </w:rPr>
        <w:t>依据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 w:bidi="ar-SA"/>
        </w:rPr>
        <w:t>《湖里区民政局 湖里区财政局转发市民政局 市财政局关于进一步加强社会救助兜底保障工作的通知》（厦湖民〔2018〕93号），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 w:color="auto"/>
          <w:lang w:val="en-US" w:eastAsia="zh-CN" w:bidi="ar-SA"/>
        </w:rPr>
        <w:t>继续授权委托各街道开展临时救助的审批工作，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42424"/>
          <w:sz w:val="32"/>
          <w:szCs w:val="32"/>
          <w:u w:val="none" w:color="auto"/>
          <w:lang w:val="en-US" w:eastAsia="zh-CN"/>
        </w:rPr>
        <w:t>区民政局加强检查督促和业务指导。</w:t>
      </w:r>
    </w:p>
    <w:p>
      <w:pPr>
        <w:spacing w:line="560" w:lineRule="exact"/>
        <w:ind w:firstLine="629" w:firstLineChars="196"/>
        <w:rPr>
          <w:rFonts w:hint="eastAsia" w:ascii="Times New Roman" w:hAnsi="Times New Roman" w:eastAsia="楷体_GB2312" w:cs="仿宋_GB2312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仿宋_GB2312"/>
          <w:b/>
          <w:sz w:val="32"/>
          <w:szCs w:val="32"/>
        </w:rPr>
        <w:t>（三）</w:t>
      </w:r>
      <w:r>
        <w:rPr>
          <w:rFonts w:hint="eastAsia" w:ascii="Times New Roman" w:hAnsi="Times New Roman" w:eastAsia="楷体_GB2312" w:cs="仿宋_GB2312"/>
          <w:b/>
          <w:sz w:val="32"/>
          <w:szCs w:val="32"/>
          <w:lang w:eastAsia="zh-CN"/>
        </w:rPr>
        <w:t>细化救助标准</w:t>
      </w:r>
    </w:p>
    <w:p>
      <w:pPr>
        <w:spacing w:line="560" w:lineRule="exact"/>
        <w:ind w:firstLine="640" w:firstLineChars="200"/>
        <w:rPr>
          <w:rFonts w:hint="eastAsia" w:ascii="Times New Roman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临时救助标准与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最低生活保障标准相衔接，</w:t>
      </w:r>
      <w:r>
        <w:rPr>
          <w:rFonts w:hint="eastAsia" w:ascii="Times New Roman" w:eastAsia="仿宋_GB2312"/>
          <w:color w:val="auto"/>
          <w:sz w:val="32"/>
          <w:szCs w:val="32"/>
          <w:u w:val="none" w:color="auto"/>
          <w:lang w:eastAsia="zh-CN"/>
        </w:rPr>
        <w:t>明确救助标准可参照低保标准上浮</w:t>
      </w:r>
      <w:r>
        <w:rPr>
          <w:rFonts w:hint="eastAsia" w:ascii="Times New Roman" w:eastAsia="仿宋_GB2312"/>
          <w:color w:val="auto"/>
          <w:sz w:val="32"/>
          <w:szCs w:val="32"/>
          <w:u w:val="none" w:color="auto"/>
          <w:lang w:val="en-US" w:eastAsia="zh-CN"/>
        </w:rPr>
        <w:t>25%，且人均不超过12个月救助时长。</w:t>
      </w:r>
    </w:p>
    <w:p>
      <w:pPr>
        <w:spacing w:line="560" w:lineRule="exact"/>
        <w:ind w:firstLine="640" w:firstLineChars="200"/>
        <w:rPr>
          <w:rFonts w:hint="eastAsia" w:ascii="Times New Roman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u w:val="none" w:color="auto"/>
          <w:lang w:val="en-US" w:eastAsia="zh-CN"/>
        </w:rPr>
        <w:t>2. 在救助标准范围内，将支出型临时救助类型细分为医疗支出救助与教育支出救助两类。并针对</w:t>
      </w:r>
      <w:r>
        <w:rPr>
          <w:rFonts w:hint="eastAsia" w:ascii="Times New Roman" w:eastAsia="仿宋_GB2312"/>
          <w:color w:val="auto"/>
          <w:sz w:val="32"/>
          <w:szCs w:val="32"/>
          <w:u w:val="none" w:color="auto"/>
        </w:rPr>
        <w:t>已纳入困难群众基本生活保障范围的</w:t>
      </w:r>
      <w:r>
        <w:rPr>
          <w:rFonts w:hint="eastAsia" w:ascii="Times New Roman" w:eastAsia="仿宋_GB2312"/>
          <w:color w:val="auto"/>
          <w:sz w:val="32"/>
          <w:szCs w:val="32"/>
          <w:u w:val="none" w:color="auto"/>
          <w:lang w:eastAsia="zh-CN"/>
        </w:rPr>
        <w:t>对象和</w:t>
      </w:r>
      <w:r>
        <w:rPr>
          <w:rFonts w:hint="eastAsia" w:ascii="Times New Roman" w:eastAsia="仿宋_GB2312"/>
          <w:color w:val="auto"/>
          <w:sz w:val="32"/>
          <w:szCs w:val="32"/>
          <w:u w:val="none" w:color="auto"/>
        </w:rPr>
        <w:t>未纳入困难群众基本生活保障范围的</w:t>
      </w:r>
      <w:r>
        <w:rPr>
          <w:rFonts w:hint="eastAsia" w:ascii="Times New Roman" w:eastAsia="仿宋_GB2312"/>
          <w:color w:val="auto"/>
          <w:sz w:val="32"/>
          <w:szCs w:val="32"/>
          <w:u w:val="none" w:color="auto"/>
          <w:lang w:eastAsia="zh-CN"/>
        </w:rPr>
        <w:t>对象分别制定详细救助标准。</w:t>
      </w:r>
    </w:p>
    <w:p>
      <w:pPr>
        <w:spacing w:line="560" w:lineRule="exact"/>
        <w:ind w:firstLine="481" w:firstLineChars="150"/>
        <w:rPr>
          <w:rFonts w:hint="eastAsia" w:ascii="Times New Roman" w:hAnsi="Times New Roman" w:eastAsia="楷体_GB2312" w:cs="仿宋_GB2312"/>
          <w:b/>
          <w:sz w:val="32"/>
          <w:szCs w:val="32"/>
        </w:rPr>
      </w:pPr>
    </w:p>
    <w:p>
      <w:pPr>
        <w:spacing w:line="560" w:lineRule="exact"/>
        <w:ind w:firstLine="481" w:firstLineChars="150"/>
        <w:rPr>
          <w:rFonts w:hint="eastAsia" w:ascii="Times New Roman" w:hAnsi="Times New Roman" w:eastAsia="楷体_GB2312" w:cs="仿宋_GB2312"/>
          <w:b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Times New Roman" w:hAnsi="Times New Roman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34199"/>
    <w:rsid w:val="01B97019"/>
    <w:rsid w:val="1CEB2E6C"/>
    <w:rsid w:val="3B8759A6"/>
    <w:rsid w:val="478A0C07"/>
    <w:rsid w:val="60BB3D26"/>
    <w:rsid w:val="69E34199"/>
    <w:rsid w:val="7EA912FE"/>
    <w:rsid w:val="DDFF7CBB"/>
    <w:rsid w:val="F9FFE2CA"/>
    <w:rsid w:val="FDFF4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2022-03-19T01:01:00Z</dcterms:created>
  <dc:creator>lih</dc:creator>
  <cp:lastModifiedBy>xmadmin</cp:lastModifiedBy>
  <dcterms:modified xsi:type="dcterms:W3CDTF">2022-04-19T10:02:50Z</dcterms:modified>
  <dc:title>关于《湖里区临时救助工作规范》的说明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