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widowControl/>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关于《厦门湖里区汽车智能网联系统产业</w:t>
      </w:r>
    </w:p>
    <w:p>
      <w:pPr>
        <w:widowControl/>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发展规划（2022-2025）》的起草说明</w:t>
      </w:r>
    </w:p>
    <w:p>
      <w:pPr>
        <w:widowControl/>
        <w:spacing w:line="560" w:lineRule="exact"/>
        <w:rPr>
          <w:rFonts w:ascii="仿宋_GB2312" w:hAnsi="仿宋_GB2312" w:eastAsia="仿宋_GB2312" w:cs="仿宋_GB2312"/>
          <w:sz w:val="32"/>
          <w:szCs w:val="32"/>
        </w:rPr>
      </w:pP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pStyle w:val="16"/>
        <w:ind w:firstLine="640" w:firstLineChars="200"/>
      </w:pPr>
      <w:r>
        <w:rPr>
          <w:rFonts w:hint="eastAsia" w:ascii="仿宋_GB2312" w:hAnsi="仿宋_GB2312" w:eastAsia="仿宋_GB2312" w:cs="仿宋_GB2312"/>
          <w:sz w:val="32"/>
          <w:szCs w:val="40"/>
        </w:rPr>
        <w:t>汽车产业由于市场规模大、中间投入占比高、产业链条延伸范围广，具有显著的产业链带动效应。目前，</w:t>
      </w:r>
      <w:r>
        <w:rPr>
          <w:rFonts w:hint="eastAsia" w:ascii="仿宋_GB2312" w:hAnsi="仿宋_GB2312" w:eastAsia="仿宋_GB2312" w:cs="仿宋_GB2312"/>
          <w:bCs/>
          <w:sz w:val="32"/>
          <w:szCs w:val="40"/>
        </w:rPr>
        <w:t>电动化、网联化、智能化成为全球汽车产业发展潮流和趋势</w:t>
      </w:r>
      <w:r>
        <w:rPr>
          <w:rFonts w:hint="eastAsia" w:ascii="仿宋_GB2312" w:hAnsi="仿宋_GB2312" w:eastAsia="仿宋_GB2312" w:cs="仿宋_GB2312"/>
          <w:sz w:val="32"/>
          <w:szCs w:val="40"/>
        </w:rPr>
        <w:t>，新能源汽车、智能网联汽车等产业发展方向共同激发汽车电子市场活力，庞大的国内汽车保有量规模支撑汽车后市场快速发展。</w:t>
      </w:r>
      <w:r>
        <w:rPr>
          <w:rFonts w:hint="eastAsia" w:ascii="仿宋_GB2312" w:hAnsi="仿宋_GB2312" w:eastAsia="仿宋_GB2312" w:cs="仿宋_GB2312"/>
          <w:bCs/>
          <w:sz w:val="32"/>
          <w:szCs w:val="40"/>
        </w:rPr>
        <w:t>湖里区在汽车电子、汽车总部经济、汽车后市场等领域具有一定基础</w:t>
      </w:r>
      <w:r>
        <w:rPr>
          <w:rFonts w:hint="eastAsia" w:ascii="仿宋_GB2312" w:hAnsi="仿宋_GB2312" w:eastAsia="仿宋_GB2312" w:cs="仿宋_GB2312"/>
          <w:sz w:val="32"/>
          <w:szCs w:val="40"/>
        </w:rPr>
        <w:t>。为精准把握产业发展趋势，</w:t>
      </w:r>
      <w:r>
        <w:rPr>
          <w:rFonts w:ascii="Times New Roman" w:hAnsi="Times New Roman" w:eastAsia="仿宋_GB2312"/>
          <w:color w:val="000000" w:themeColor="text1"/>
          <w:sz w:val="32"/>
          <w:szCs w:val="32"/>
          <w14:textFill>
            <w14:solidFill>
              <w14:schemeClr w14:val="tx1"/>
            </w14:solidFill>
          </w14:textFill>
        </w:rPr>
        <w:t>加快推动湖里区汽车智能网联系统产业高质量发展，提高湖里区工业核心竞争力</w:t>
      </w:r>
      <w:r>
        <w:rPr>
          <w:rFonts w:hint="eastAsia" w:ascii="仿宋_GB2312" w:hAnsi="仿宋_GB2312" w:eastAsia="仿宋_GB2312" w:cs="仿宋_GB2312"/>
          <w:sz w:val="32"/>
          <w:szCs w:val="40"/>
        </w:rPr>
        <w:t>，我局牵头开展湖里区汽车智能网联系统产业发展规划研究，拟出台《厦门湖里区汽车智能网联系统产业发展规划</w:t>
      </w:r>
      <w:r>
        <w:rPr>
          <w:rFonts w:hint="eastAsia" w:ascii="仿宋_GB2312" w:hAnsi="Times New Roman" w:eastAsia="仿宋_GB2312" w:cs="Times New Roman"/>
          <w:sz w:val="32"/>
          <w:szCs w:val="32"/>
        </w:rPr>
        <w:t>（2022-2025）</w:t>
      </w:r>
      <w:r>
        <w:rPr>
          <w:rFonts w:hint="eastAsia" w:ascii="仿宋_GB2312" w:hAnsi="仿宋_GB2312" w:eastAsia="仿宋_GB2312" w:cs="仿宋_GB2312"/>
          <w:sz w:val="32"/>
          <w:szCs w:val="40"/>
        </w:rPr>
        <w:t>》。</w:t>
      </w:r>
    </w:p>
    <w:p>
      <w:pPr>
        <w:spacing w:line="560" w:lineRule="exact"/>
        <w:ind w:firstLine="640" w:firstLineChars="200"/>
        <w:rPr>
          <w:rFonts w:ascii="黑体" w:hAnsi="黑体" w:eastAsia="黑体" w:cs="黑体"/>
          <w:sz w:val="32"/>
          <w:szCs w:val="30"/>
        </w:rPr>
      </w:pPr>
      <w:r>
        <w:rPr>
          <w:rFonts w:hint="eastAsia" w:ascii="黑体" w:hAnsi="黑体" w:eastAsia="黑体" w:cs="黑体"/>
          <w:sz w:val="32"/>
          <w:szCs w:val="30"/>
        </w:rPr>
        <w:t>二、起草过程</w:t>
      </w:r>
    </w:p>
    <w:p>
      <w:pPr>
        <w:pStyle w:val="16"/>
        <w:ind w:firstLine="640" w:firstLineChars="200"/>
        <w:rPr>
          <w:rFonts w:ascii="仿宋_GB2312" w:hAnsi="仿宋_GB2312" w:eastAsia="仿宋_GB2312" w:cs="仿宋_GB2312"/>
          <w:sz w:val="32"/>
          <w:szCs w:val="30"/>
        </w:rPr>
      </w:pPr>
      <w:r>
        <w:rPr>
          <w:rFonts w:hint="eastAsia" w:ascii="仿宋_GB2312" w:eastAsia="仿宋_GB2312"/>
          <w:sz w:val="32"/>
          <w:szCs w:val="32"/>
        </w:rPr>
        <w:t>2022年8月，我局委托咨询机构开展湖里区汽车</w:t>
      </w:r>
      <w:r>
        <w:rPr>
          <w:rFonts w:hint="eastAsia" w:ascii="仿宋_GB2312" w:hAnsi="仿宋_GB2312" w:eastAsia="仿宋_GB2312" w:cs="仿宋_GB2312"/>
          <w:sz w:val="32"/>
          <w:szCs w:val="40"/>
        </w:rPr>
        <w:t>智能网联系统</w:t>
      </w:r>
      <w:r>
        <w:rPr>
          <w:rFonts w:hint="eastAsia" w:ascii="仿宋_GB2312" w:eastAsia="仿宋_GB2312"/>
          <w:sz w:val="32"/>
          <w:szCs w:val="32"/>
        </w:rPr>
        <w:t>产业规划课题研究，经过多次的企业调研、部门座谈、政策研究，于2022年10月完成了规划初稿，《规划》历经多次修订，并在征求部门意见的基础上，不断修改完善，现向社会公开征求意见。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pStyle w:val="16"/>
        <w:ind w:firstLine="640" w:firstLineChars="200"/>
        <w:rPr>
          <w:rFonts w:ascii="Times New Roman" w:hAnsi="Times New Roman" w:cs="Times New Roman"/>
        </w:rPr>
      </w:pPr>
      <w:r>
        <w:rPr>
          <w:rFonts w:hint="eastAsia" w:ascii="仿宋_GB2312" w:hAnsi="仿宋_GB2312" w:eastAsia="仿宋_GB2312" w:cs="仿宋_GB2312"/>
          <w:sz w:val="32"/>
          <w:szCs w:val="40"/>
        </w:rPr>
        <w:t>《规划》通过把握全球产业趋势，分析福建省、厦漳泉地区以及厦门市各区汽车产业发展情况，</w:t>
      </w:r>
      <w:r>
        <w:rPr>
          <w:rFonts w:hint="eastAsia" w:ascii="仿宋_GB2312" w:hAnsi="仿宋_GB2312" w:eastAsia="仿宋_GB2312" w:cs="仿宋_GB2312"/>
          <w:bCs/>
          <w:sz w:val="32"/>
          <w:szCs w:val="40"/>
        </w:rPr>
        <w:t>明确湖里区汽车智能网联系统产业发展思路、主要目标、发展重点与空间布局、重大任务和组织保障。</w:t>
      </w:r>
      <w:r>
        <w:rPr>
          <w:rFonts w:hint="eastAsia" w:ascii="仿宋_GB2312" w:hAnsi="仿宋_GB2312" w:eastAsia="仿宋_GB2312" w:cs="仿宋_GB2312"/>
          <w:sz w:val="32"/>
          <w:szCs w:val="30"/>
        </w:rPr>
        <w:t>具体如下：</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1、汽车智能网联系统产业发展趋势研判</w:t>
      </w:r>
    </w:p>
    <w:p>
      <w:pPr>
        <w:ind w:firstLine="707" w:firstLineChars="221"/>
      </w:pPr>
      <w:r>
        <w:rPr>
          <w:rFonts w:hint="eastAsia" w:ascii="仿宋_GB2312" w:hAnsi="仿宋_GB2312" w:eastAsia="仿宋_GB2312" w:cs="仿宋_GB2312"/>
          <w:sz w:val="32"/>
          <w:szCs w:val="40"/>
        </w:rPr>
        <w:t>围绕汽车电动化、智能化、网联化趋势，重点分析全球汽车产业发展方向和市场变化趋势。围绕国内市场规模、产业集群分布和产业政策现状，重点分析我国汽车智能网联系统产业发展基础和区域布局情况。</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2、区域发展格局及对标分析</w:t>
      </w:r>
    </w:p>
    <w:p>
      <w:pPr>
        <w:ind w:firstLine="707" w:firstLineChars="221"/>
        <w:rPr>
          <w:rFonts w:eastAsia="仿宋_GB2312"/>
          <w:sz w:val="32"/>
          <w:szCs w:val="32"/>
        </w:rPr>
      </w:pPr>
      <w:r>
        <w:rPr>
          <w:rFonts w:hint="eastAsia" w:ascii="仿宋_GB2312" w:hAnsi="仿宋_GB2312" w:eastAsia="仿宋_GB2312" w:cs="仿宋_GB2312"/>
          <w:sz w:val="32"/>
          <w:szCs w:val="40"/>
        </w:rPr>
        <w:t>从“省-市-区”三个层面逐步分析本区域汽车智能网联系统产业发展现状和规划，致力</w:t>
      </w:r>
      <w:r>
        <w:rPr>
          <w:rFonts w:eastAsia="仿宋_GB2312"/>
          <w:sz w:val="32"/>
          <w:szCs w:val="32"/>
        </w:rPr>
        <w:t>与周边区域形成协同发展、错位发展</w:t>
      </w:r>
      <w:r>
        <w:rPr>
          <w:rFonts w:hint="eastAsia" w:eastAsia="仿宋_GB2312"/>
          <w:sz w:val="32"/>
          <w:szCs w:val="32"/>
        </w:rPr>
        <w:t>，</w:t>
      </w:r>
      <w:r>
        <w:rPr>
          <w:rFonts w:hint="eastAsia" w:ascii="仿宋_GB2312" w:hAnsi="仿宋_GB2312" w:eastAsia="仿宋_GB2312" w:cs="仿宋_GB2312"/>
          <w:sz w:val="32"/>
          <w:szCs w:val="40"/>
        </w:rPr>
        <w:t>明确湖里区汽车产业发展基础与产业链定位。</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3、湖里区发展基础与机遇挑战</w:t>
      </w:r>
    </w:p>
    <w:p>
      <w:pPr>
        <w:ind w:firstLine="707" w:firstLineChars="221"/>
        <w:rPr>
          <w:rFonts w:ascii="仿宋_GB2312" w:hAnsi="仿宋_GB2312" w:eastAsia="仿宋_GB2312" w:cs="仿宋_GB2312"/>
          <w:sz w:val="32"/>
          <w:szCs w:val="40"/>
        </w:rPr>
      </w:pPr>
      <w:r>
        <w:rPr>
          <w:rFonts w:hint="eastAsia" w:ascii="仿宋_GB2312" w:hAnsi="仿宋_GB2312" w:eastAsia="仿宋_GB2312" w:cs="仿宋_GB2312"/>
          <w:sz w:val="32"/>
          <w:szCs w:val="40"/>
        </w:rPr>
        <w:t>结合产业基础、发展定位以及对标分析，运用SWOT分析方法，梳理厦门市湖里区汽车产业发展的优势与劣势、面临的机遇和挑战。</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4、指导思想、基本原则及发展目标</w:t>
      </w:r>
    </w:p>
    <w:p>
      <w:pPr>
        <w:ind w:firstLine="707" w:firstLineChars="221"/>
        <w:rPr>
          <w:rFonts w:eastAsia="仿宋_GB2312"/>
          <w:color w:val="000000"/>
          <w:kern w:val="0"/>
          <w:sz w:val="32"/>
          <w:szCs w:val="32"/>
          <w:lang w:bidi="ar"/>
        </w:rPr>
      </w:pPr>
      <w:r>
        <w:rPr>
          <w:rFonts w:eastAsia="仿宋_GB2312"/>
          <w:color w:val="000000"/>
          <w:kern w:val="0"/>
          <w:sz w:val="32"/>
          <w:szCs w:val="32"/>
          <w:lang w:bidi="ar"/>
        </w:rPr>
        <w:t>以习近平新时代中国特色社会主义思想为指引</w:t>
      </w:r>
      <w:r>
        <w:rPr>
          <w:rFonts w:hint="eastAsia" w:eastAsia="仿宋_GB2312"/>
          <w:color w:val="000000"/>
          <w:kern w:val="0"/>
          <w:sz w:val="32"/>
          <w:szCs w:val="32"/>
          <w:lang w:bidi="ar"/>
        </w:rPr>
        <w:t>，</w:t>
      </w:r>
      <w:r>
        <w:rPr>
          <w:rFonts w:eastAsia="仿宋_GB2312"/>
          <w:color w:val="000000" w:themeColor="text1"/>
          <w:sz w:val="32"/>
          <w:szCs w:val="32"/>
          <w14:textFill>
            <w14:solidFill>
              <w14:schemeClr w14:val="tx1"/>
            </w14:solidFill>
          </w14:textFill>
        </w:rPr>
        <w:t>结合</w:t>
      </w:r>
      <w:r>
        <w:rPr>
          <w:rFonts w:eastAsia="仿宋_GB2312"/>
          <w:color w:val="000000"/>
          <w:kern w:val="0"/>
          <w:sz w:val="32"/>
          <w:szCs w:val="32"/>
          <w:lang w:bidi="ar"/>
        </w:rPr>
        <w:t>福建省智能网联汽车产业发展布局，以厦门“4+4+6”现代产业体系为主线，坚持电动化、智能化、网联化发展方向</w:t>
      </w:r>
      <w:r>
        <w:rPr>
          <w:rFonts w:hint="eastAsia" w:eastAsia="仿宋_GB2312"/>
          <w:color w:val="000000"/>
          <w:kern w:val="0"/>
          <w:sz w:val="32"/>
          <w:szCs w:val="32"/>
          <w:lang w:bidi="ar"/>
        </w:rPr>
        <w:t>，</w:t>
      </w:r>
      <w:r>
        <w:rPr>
          <w:rFonts w:eastAsia="仿宋_GB2312"/>
          <w:color w:val="000000"/>
          <w:kern w:val="0"/>
          <w:sz w:val="32"/>
          <w:szCs w:val="32"/>
          <w:lang w:bidi="ar"/>
        </w:rPr>
        <w:t>着力“强龙头、补链条、聚集群”，增强湖里区核心产业链环节吸附能力，大力拓展汽车智能网联系统产业链，加快形成智能网联系统、汽车电子等关键配套产业链条，打造国际知名的智能网联系统总部经济示范区、汽车电子产业集群，建成国内具有一定竞争实力的智能网联系统研发创新核心区与汽车服务先行区。</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5、产业发展重点与空间布局</w:t>
      </w:r>
    </w:p>
    <w:p>
      <w:pPr>
        <w:spacing w:line="360" w:lineRule="auto"/>
        <w:ind w:firstLine="640" w:firstLineChars="200"/>
        <w:rPr>
          <w:rFonts w:eastAsia="仿宋_GB2312"/>
          <w:sz w:val="32"/>
          <w:szCs w:val="32"/>
        </w:rPr>
      </w:pPr>
      <w:r>
        <w:rPr>
          <w:rFonts w:ascii="仿宋_GB2312" w:hAnsi="仿宋_GB2312" w:eastAsia="仿宋_GB2312" w:cs="仿宋_GB2312"/>
          <w:sz w:val="32"/>
          <w:szCs w:val="40"/>
        </w:rPr>
        <w:t>明确湖里区汽车产业未来发展方向，</w:t>
      </w:r>
      <w:r>
        <w:rPr>
          <w:rFonts w:hint="eastAsia" w:ascii="仿宋_GB2312" w:hAnsi="仿宋_GB2312" w:eastAsia="仿宋_GB2312" w:cs="仿宋_GB2312"/>
          <w:sz w:val="32"/>
          <w:szCs w:val="40"/>
        </w:rPr>
        <w:t>重点分析汽车总部经济、汽车电子、汽车后市场服务等产业发展重点与发展路径。明确</w:t>
      </w:r>
      <w:r>
        <w:rPr>
          <w:rFonts w:eastAsia="仿宋_GB2312"/>
          <w:sz w:val="32"/>
          <w:szCs w:val="32"/>
        </w:rPr>
        <w:t>分阶段逐步形成三大产业功能区，</w:t>
      </w:r>
      <w:r>
        <w:rPr>
          <w:rFonts w:hint="eastAsia" w:eastAsia="仿宋_GB2312"/>
          <w:sz w:val="32"/>
          <w:szCs w:val="32"/>
        </w:rPr>
        <w:t>即</w:t>
      </w:r>
      <w:r>
        <w:rPr>
          <w:rFonts w:eastAsia="仿宋_GB2312"/>
          <w:sz w:val="32"/>
          <w:szCs w:val="32"/>
        </w:rPr>
        <w:t>具备本地生产能力的汽车电子总部经济区，以湖里老工业区为主体的智能网联系统产业孵化区，以及围绕高崎机场区块建设的智能网联汽车场景示范区。</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6、重点任务</w:t>
      </w:r>
    </w:p>
    <w:p>
      <w:pPr>
        <w:pStyle w:val="8"/>
        <w:tabs>
          <w:tab w:val="right" w:leader="dot" w:pos="8306"/>
        </w:tabs>
        <w:ind w:left="0" w:leftChars="0"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包括</w:t>
      </w:r>
      <w:r>
        <w:fldChar w:fldCharType="begin"/>
      </w:r>
      <w:r>
        <w:instrText xml:space="preserve"> HYPERLINK \l "_Toc1766" </w:instrText>
      </w:r>
      <w:r>
        <w:fldChar w:fldCharType="separate"/>
      </w:r>
      <w:r>
        <w:rPr>
          <w:rFonts w:hint="eastAsia" w:ascii="仿宋_GB2312" w:hAnsi="Times New Roman" w:eastAsia="仿宋_GB2312" w:cs="Times New Roman"/>
          <w:sz w:val="32"/>
          <w:szCs w:val="32"/>
        </w:rPr>
        <w:t>重点企业招商引资</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w:t>
      </w:r>
      <w:r>
        <w:fldChar w:fldCharType="begin"/>
      </w:r>
      <w:r>
        <w:instrText xml:space="preserve"> HYPERLINK \l "_Toc14758" </w:instrText>
      </w:r>
      <w:r>
        <w:fldChar w:fldCharType="separate"/>
      </w:r>
      <w:r>
        <w:rPr>
          <w:rFonts w:hint="eastAsia" w:ascii="仿宋_GB2312" w:hAnsi="Times New Roman" w:eastAsia="仿宋_GB2312" w:cs="Times New Roman"/>
          <w:sz w:val="32"/>
          <w:szCs w:val="32"/>
        </w:rPr>
        <w:t>研发创新平台建设</w:t>
      </w:r>
      <w:r>
        <w:rPr>
          <w:rFonts w:hint="eastAsia" w:ascii="仿宋_GB2312" w:hAnsi="Times New Roman" w:eastAsia="仿宋_GB2312" w:cs="Times New Roman"/>
          <w:sz w:val="32"/>
          <w:szCs w:val="32"/>
        </w:rPr>
        <w:fldChar w:fldCharType="end"/>
      </w:r>
      <w:r>
        <w:fldChar w:fldCharType="begin"/>
      </w:r>
      <w:r>
        <w:instrText xml:space="preserve"> HYPERLINK \l "_Toc28971" </w:instrText>
      </w:r>
      <w:r>
        <w:fldChar w:fldCharType="separate"/>
      </w:r>
      <w:r>
        <w:rPr>
          <w:rFonts w:hint="eastAsia" w:ascii="仿宋_GB2312" w:hAnsi="Times New Roman" w:eastAsia="仿宋_GB2312" w:cs="Times New Roman"/>
          <w:sz w:val="32"/>
          <w:szCs w:val="32"/>
        </w:rPr>
        <w:t>、强化产业集群培育</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w:t>
      </w:r>
      <w:r>
        <w:fldChar w:fldCharType="begin"/>
      </w:r>
      <w:r>
        <w:instrText xml:space="preserve"> HYPERLINK \l "_Toc7422" </w:instrText>
      </w:r>
      <w:r>
        <w:fldChar w:fldCharType="separate"/>
      </w:r>
      <w:r>
        <w:rPr>
          <w:rFonts w:hint="eastAsia" w:ascii="仿宋_GB2312" w:hAnsi="Times New Roman" w:eastAsia="仿宋_GB2312" w:cs="Times New Roman"/>
          <w:sz w:val="32"/>
          <w:szCs w:val="32"/>
        </w:rPr>
        <w:t>建立区域合作机制</w:t>
      </w:r>
      <w:r>
        <w:rPr>
          <w:rFonts w:hint="eastAsia" w:ascii="仿宋_GB2312" w:hAnsi="Times New Roman" w:eastAsia="仿宋_GB2312" w:cs="Times New Roman"/>
          <w:sz w:val="32"/>
          <w:szCs w:val="32"/>
        </w:rPr>
        <w:fldChar w:fldCharType="end"/>
      </w:r>
      <w:r>
        <w:fldChar w:fldCharType="begin"/>
      </w:r>
      <w:r>
        <w:instrText xml:space="preserve"> HYPERLINK \l "_Toc7502" </w:instrText>
      </w:r>
      <w:r>
        <w:fldChar w:fldCharType="separate"/>
      </w:r>
      <w:r>
        <w:rPr>
          <w:rFonts w:hint="eastAsia" w:ascii="仿宋_GB2312" w:hAnsi="Times New Roman" w:eastAsia="仿宋_GB2312" w:cs="Times New Roman"/>
          <w:sz w:val="32"/>
          <w:szCs w:val="32"/>
        </w:rPr>
        <w:t>、聚焦企业梯队培育</w:t>
      </w:r>
      <w:r>
        <w:rPr>
          <w:rFonts w:hint="eastAsia" w:ascii="仿宋_GB2312" w:hAnsi="Times New Roman" w:eastAsia="仿宋_GB2312" w:cs="Times New Roman"/>
          <w:sz w:val="32"/>
          <w:szCs w:val="32"/>
        </w:rPr>
        <w:fldChar w:fldCharType="end"/>
      </w:r>
      <w:r>
        <w:fldChar w:fldCharType="begin"/>
      </w:r>
      <w:r>
        <w:instrText xml:space="preserve"> HYPERLINK \l "_Toc24625" </w:instrText>
      </w:r>
      <w:r>
        <w:fldChar w:fldCharType="separate"/>
      </w:r>
      <w:r>
        <w:rPr>
          <w:rFonts w:hint="eastAsia" w:ascii="仿宋_GB2312" w:hAnsi="Times New Roman" w:eastAsia="仿宋_GB2312" w:cs="Times New Roman"/>
          <w:sz w:val="32"/>
          <w:szCs w:val="32"/>
        </w:rPr>
        <w:t>、对外出口基地建设</w:t>
      </w:r>
      <w:r>
        <w:rPr>
          <w:rFonts w:hint="eastAsia" w:ascii="仿宋_GB2312" w:hAnsi="Times New Roman" w:eastAsia="仿宋_GB2312" w:cs="Times New Roman"/>
          <w:sz w:val="32"/>
          <w:szCs w:val="32"/>
        </w:rPr>
        <w:fldChar w:fldCharType="end"/>
      </w:r>
      <w:r>
        <w:rPr>
          <w:rFonts w:hint="eastAsia" w:ascii="仿宋_GB2312" w:hAnsi="仿宋_GB2312" w:eastAsia="仿宋_GB2312" w:cs="仿宋_GB2312"/>
          <w:sz w:val="32"/>
          <w:szCs w:val="32"/>
        </w:rPr>
        <w:t>等重点任务。</w:t>
      </w:r>
    </w:p>
    <w:p>
      <w:pPr>
        <w:ind w:firstLine="709" w:firstLineChars="221"/>
        <w:rPr>
          <w:rFonts w:ascii="仿宋_GB2312" w:hAnsi="仿宋_GB2312" w:eastAsia="仿宋_GB2312" w:cs="仿宋_GB2312"/>
          <w:b/>
          <w:sz w:val="32"/>
          <w:szCs w:val="40"/>
        </w:rPr>
      </w:pPr>
      <w:r>
        <w:rPr>
          <w:rFonts w:hint="eastAsia" w:ascii="仿宋_GB2312" w:hAnsi="仿宋_GB2312" w:eastAsia="仿宋_GB2312" w:cs="仿宋_GB2312"/>
          <w:b/>
          <w:sz w:val="32"/>
          <w:szCs w:val="40"/>
        </w:rPr>
        <w:t>7、保障措施</w:t>
      </w:r>
    </w:p>
    <w:p>
      <w:pPr>
        <w:ind w:firstLine="707" w:firstLineChars="221"/>
        <w:rPr>
          <w:rFonts w:ascii="仿宋_GB2312" w:hAnsi="仿宋_GB2312" w:eastAsia="仿宋_GB2312" w:cs="仿宋_GB2312"/>
          <w:sz w:val="32"/>
          <w:szCs w:val="40"/>
        </w:rPr>
      </w:pPr>
      <w:r>
        <w:rPr>
          <w:rFonts w:hint="eastAsia" w:ascii="仿宋_GB2312" w:hAnsi="仿宋_GB2312" w:eastAsia="仿宋_GB2312" w:cs="仿宋_GB2312"/>
          <w:sz w:val="32"/>
          <w:szCs w:val="40"/>
        </w:rPr>
        <w:t>围绕强化组织领导、完善政策制度、加强人才招引、优化资金与土地等要素保障提出保障措施。</w:t>
      </w:r>
    </w:p>
    <w:p>
      <w:pPr>
        <w:adjustRightInd w:val="0"/>
        <w:ind w:firstLine="42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汉仪叶叶相思体简"/>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TOwP6swEAAEwDAAAOAAAA&#10;ZHJzL2Uyb0RvYy54bWytU0tu2zAQ3RfIHQjua8kG0giC5SBFkKBAkQZIcwCaIi0C/IFDW/IF2ht0&#10;1U32OZfPkSEtOUG6K7IZDTnDN/PejJaXg9FkJwIoZxs6n5WUCMtdq+ymoY8/bz5XlEBktmXaWdHQ&#10;vQB6uTr7tOx9LRauc7oVgSCIhbr3De1i9HVRAO+EYTBzXlgMShcMi3gMm6INrEd0o4tFWX4pehda&#10;HxwXAHh7fQzSVcaXUvD4Q0oQkeiGYm8x25DtOtlitWT1JjDfKT62wf6jC8OUxaInqGsWGdkG9Q+U&#10;UTw4cDLOuDOFk1JxkTkgm3n5js1Dx7zIXFAc8CeZ4ONg+d3uPhDV4uwosczgiA5/fh/+Ph+efpF5&#10;kqf3UGPWg8e8OHx1Q0Nj2IopBHifiA8ymPRFSgRTUOv9SV8xRMLxcl4tqqrEEMfYdMASxetzHyDe&#10;CmdIchoacIBZV7b7DvGYOqWkatbdKK3zELUlPaKeVxfn+cUphOjaYpFE5Nht8uKwHkZ2a9fukVyP&#10;W9BQi2tKif5mUeS0MJMTJmc9Oqk8+KttxBZyZwn1CDUWw5FlbuN6pZ14e85Zrz/B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oaYJL0wAAAAUBAAAPAAAAAAAAAAEAIAAAADgAAABkcnMvZG93bnJl&#10;di54bWxQSwECFAAUAAAACACHTuJAkzsD+rMBAABMAwAADgAAAAAAAAABACAAAAA4AQAAZHJzL2Uy&#10;b0RvYy54bWxQSwUGAAAAAAYABgBZAQAAXQU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jE5NjNjMTEzYTU1NzI5ODNkMzMxMWI5NzMwMDcifQ=="/>
  </w:docVars>
  <w:rsids>
    <w:rsidRoot w:val="00172A27"/>
    <w:rsid w:val="00005764"/>
    <w:rsid w:val="00027E4F"/>
    <w:rsid w:val="00056C3C"/>
    <w:rsid w:val="00060A45"/>
    <w:rsid w:val="00172A27"/>
    <w:rsid w:val="00187CC1"/>
    <w:rsid w:val="00200D20"/>
    <w:rsid w:val="002310F0"/>
    <w:rsid w:val="00303491"/>
    <w:rsid w:val="00346E5E"/>
    <w:rsid w:val="00356718"/>
    <w:rsid w:val="00356A81"/>
    <w:rsid w:val="003B2971"/>
    <w:rsid w:val="00411257"/>
    <w:rsid w:val="00475AE4"/>
    <w:rsid w:val="00483CA8"/>
    <w:rsid w:val="004A18D0"/>
    <w:rsid w:val="004B3C2D"/>
    <w:rsid w:val="004E6EEB"/>
    <w:rsid w:val="005B6925"/>
    <w:rsid w:val="00675E40"/>
    <w:rsid w:val="006931BD"/>
    <w:rsid w:val="006B0178"/>
    <w:rsid w:val="006C2D52"/>
    <w:rsid w:val="0075699A"/>
    <w:rsid w:val="007B5506"/>
    <w:rsid w:val="007C3097"/>
    <w:rsid w:val="007D40D2"/>
    <w:rsid w:val="007F7316"/>
    <w:rsid w:val="0081077A"/>
    <w:rsid w:val="0086324A"/>
    <w:rsid w:val="008F4AB8"/>
    <w:rsid w:val="009220C2"/>
    <w:rsid w:val="00922593"/>
    <w:rsid w:val="009273BE"/>
    <w:rsid w:val="009C2DD8"/>
    <w:rsid w:val="009D1536"/>
    <w:rsid w:val="009E485F"/>
    <w:rsid w:val="00B03658"/>
    <w:rsid w:val="00B05A3F"/>
    <w:rsid w:val="00B14EBC"/>
    <w:rsid w:val="00B2493D"/>
    <w:rsid w:val="00B270DF"/>
    <w:rsid w:val="00B77486"/>
    <w:rsid w:val="00CD7C54"/>
    <w:rsid w:val="00D22CE8"/>
    <w:rsid w:val="00D40CD8"/>
    <w:rsid w:val="00D46C48"/>
    <w:rsid w:val="00DB6E05"/>
    <w:rsid w:val="00E55469"/>
    <w:rsid w:val="00EA3EF0"/>
    <w:rsid w:val="00EE7CF2"/>
    <w:rsid w:val="00EF18B6"/>
    <w:rsid w:val="04120771"/>
    <w:rsid w:val="04C2178E"/>
    <w:rsid w:val="05F43A50"/>
    <w:rsid w:val="068F6910"/>
    <w:rsid w:val="06D06243"/>
    <w:rsid w:val="06DE14A3"/>
    <w:rsid w:val="07742455"/>
    <w:rsid w:val="08FE670A"/>
    <w:rsid w:val="091F40A6"/>
    <w:rsid w:val="09BC7243"/>
    <w:rsid w:val="0A8841C9"/>
    <w:rsid w:val="0BD96590"/>
    <w:rsid w:val="0D172E18"/>
    <w:rsid w:val="0D880766"/>
    <w:rsid w:val="0E4B139C"/>
    <w:rsid w:val="0EF1129D"/>
    <w:rsid w:val="0F53762E"/>
    <w:rsid w:val="1170688E"/>
    <w:rsid w:val="161106AB"/>
    <w:rsid w:val="16EB0A3B"/>
    <w:rsid w:val="1DBD0194"/>
    <w:rsid w:val="1DD22ECC"/>
    <w:rsid w:val="1E473A9D"/>
    <w:rsid w:val="1F3B35ED"/>
    <w:rsid w:val="21E4152E"/>
    <w:rsid w:val="225A6FD7"/>
    <w:rsid w:val="22F16F4D"/>
    <w:rsid w:val="23243409"/>
    <w:rsid w:val="26080F5B"/>
    <w:rsid w:val="268069C6"/>
    <w:rsid w:val="27A76D5F"/>
    <w:rsid w:val="283849AF"/>
    <w:rsid w:val="291D0C8E"/>
    <w:rsid w:val="29BC6588"/>
    <w:rsid w:val="2BAC1C3E"/>
    <w:rsid w:val="2BC07D17"/>
    <w:rsid w:val="2C0B61B4"/>
    <w:rsid w:val="2CB67C7E"/>
    <w:rsid w:val="2EEDAA8E"/>
    <w:rsid w:val="2F641430"/>
    <w:rsid w:val="2FC410D5"/>
    <w:rsid w:val="307A34F3"/>
    <w:rsid w:val="30D03140"/>
    <w:rsid w:val="311848D4"/>
    <w:rsid w:val="31187CAB"/>
    <w:rsid w:val="31DC31E9"/>
    <w:rsid w:val="31EA10B9"/>
    <w:rsid w:val="381B09A2"/>
    <w:rsid w:val="39BE5D5D"/>
    <w:rsid w:val="3A494A67"/>
    <w:rsid w:val="3ACE4954"/>
    <w:rsid w:val="3AE52F7B"/>
    <w:rsid w:val="3B3D38A1"/>
    <w:rsid w:val="3BBE37AF"/>
    <w:rsid w:val="3C3E4F7E"/>
    <w:rsid w:val="3E021AB5"/>
    <w:rsid w:val="41AF49A6"/>
    <w:rsid w:val="42963976"/>
    <w:rsid w:val="436C2566"/>
    <w:rsid w:val="43DC27C7"/>
    <w:rsid w:val="45165AFA"/>
    <w:rsid w:val="464E55FC"/>
    <w:rsid w:val="46B67AC5"/>
    <w:rsid w:val="473D3E13"/>
    <w:rsid w:val="47885CD1"/>
    <w:rsid w:val="484A70EC"/>
    <w:rsid w:val="486467D3"/>
    <w:rsid w:val="487E7631"/>
    <w:rsid w:val="4B7E0F92"/>
    <w:rsid w:val="4C1F5AEA"/>
    <w:rsid w:val="4D156004"/>
    <w:rsid w:val="4DBF5404"/>
    <w:rsid w:val="4E8A1094"/>
    <w:rsid w:val="4EBE0CA1"/>
    <w:rsid w:val="4F7A7A34"/>
    <w:rsid w:val="5003345D"/>
    <w:rsid w:val="50326507"/>
    <w:rsid w:val="5061773C"/>
    <w:rsid w:val="53141D32"/>
    <w:rsid w:val="53C019C9"/>
    <w:rsid w:val="53C9011F"/>
    <w:rsid w:val="55902874"/>
    <w:rsid w:val="55FD6B16"/>
    <w:rsid w:val="56397A85"/>
    <w:rsid w:val="56471B8B"/>
    <w:rsid w:val="58E15D74"/>
    <w:rsid w:val="5A487A3C"/>
    <w:rsid w:val="5CB60D09"/>
    <w:rsid w:val="5D3C3D5A"/>
    <w:rsid w:val="5F8A5F56"/>
    <w:rsid w:val="60832FAF"/>
    <w:rsid w:val="60DE1F11"/>
    <w:rsid w:val="613371BB"/>
    <w:rsid w:val="615565DF"/>
    <w:rsid w:val="61810EAE"/>
    <w:rsid w:val="62462BAD"/>
    <w:rsid w:val="64F96543"/>
    <w:rsid w:val="654336D3"/>
    <w:rsid w:val="65495487"/>
    <w:rsid w:val="66550269"/>
    <w:rsid w:val="6755767B"/>
    <w:rsid w:val="67E319A8"/>
    <w:rsid w:val="68255C67"/>
    <w:rsid w:val="6A494C13"/>
    <w:rsid w:val="6A8B7876"/>
    <w:rsid w:val="6B3C020C"/>
    <w:rsid w:val="6BD008B0"/>
    <w:rsid w:val="6E0069BA"/>
    <w:rsid w:val="6E804DF0"/>
    <w:rsid w:val="70E627A9"/>
    <w:rsid w:val="735D3104"/>
    <w:rsid w:val="740937DA"/>
    <w:rsid w:val="75866BA5"/>
    <w:rsid w:val="758B352A"/>
    <w:rsid w:val="77C64426"/>
    <w:rsid w:val="786A5CE8"/>
    <w:rsid w:val="78847218"/>
    <w:rsid w:val="78C15ED1"/>
    <w:rsid w:val="79336070"/>
    <w:rsid w:val="7A5B7394"/>
    <w:rsid w:val="7B931BD2"/>
    <w:rsid w:val="7DA7013A"/>
    <w:rsid w:val="7DC456BA"/>
    <w:rsid w:val="7EE0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1.正文"/>
    <w:next w:val="3"/>
    <w:qFormat/>
    <w:uiPriority w:val="0"/>
    <w:pPr>
      <w:widowControl w:val="0"/>
      <w:jc w:val="both"/>
    </w:pPr>
    <w:rPr>
      <w:rFonts w:ascii="??_GB2312" w:hAnsi="Calibri" w:eastAsia="Times New Roman" w:cs="Times New Roman"/>
      <w:kern w:val="2"/>
      <w:sz w:val="21"/>
      <w:szCs w:val="30"/>
      <w:lang w:val="en-US" w:eastAsia="zh-CN" w:bidi="ar-SA"/>
    </w:rPr>
  </w:style>
  <w:style w:type="paragraph" w:styleId="3">
    <w:name w:val="index 5"/>
    <w:basedOn w:val="1"/>
    <w:next w:val="1"/>
    <w:semiHidden/>
    <w:qFormat/>
    <w:uiPriority w:val="0"/>
    <w:pPr>
      <w:ind w:left="800" w:leftChars="800"/>
    </w:pPr>
    <w:rPr>
      <w:rFonts w:ascii="Calibri" w:hAnsi="Calibri"/>
      <w:szCs w:val="24"/>
    </w:rPr>
  </w:style>
  <w:style w:type="paragraph" w:styleId="4">
    <w:name w:val="Body Text"/>
    <w:basedOn w:val="1"/>
    <w:link w:val="15"/>
    <w:semiHidden/>
    <w:unhideWhenUsed/>
    <w:qFormat/>
    <w:uiPriority w:val="99"/>
    <w:pPr>
      <w:spacing w:after="120"/>
      <w:ind w:firstLine="200" w:firstLineChars="200"/>
    </w:pPr>
    <w:rPr>
      <w:rFonts w:eastAsia="仿宋" w:cstheme="minorBidi"/>
      <w:sz w:val="32"/>
      <w:szCs w:val="2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rPr>
      <w:rFonts w:asciiTheme="minorHAnsi" w:hAnsiTheme="minorHAnsi" w:eastAsiaTheme="minorEastAsia" w:cstheme="minorBidi"/>
      <w:szCs w:val="24"/>
    </w:rPr>
  </w:style>
  <w:style w:type="paragraph" w:styleId="8">
    <w:name w:val="toc 2"/>
    <w:basedOn w:val="1"/>
    <w:next w:val="1"/>
    <w:qFormat/>
    <w:uiPriority w:val="0"/>
    <w:pPr>
      <w:ind w:left="420" w:leftChars="200"/>
    </w:pPr>
    <w:rPr>
      <w:rFonts w:asciiTheme="minorHAnsi" w:hAnsiTheme="minorHAnsi" w:eastAsiaTheme="minorEastAsia" w:cstheme="minorBidi"/>
      <w:szCs w:val="24"/>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font31"/>
    <w:basedOn w:val="12"/>
    <w:qFormat/>
    <w:uiPriority w:val="0"/>
    <w:rPr>
      <w:rFonts w:hint="eastAsia" w:ascii="仿宋_GB2312" w:eastAsia="仿宋_GB2312" w:cs="仿宋_GB2312"/>
      <w:color w:val="000000"/>
      <w:sz w:val="24"/>
      <w:szCs w:val="24"/>
      <w:u w:val="none"/>
    </w:rPr>
  </w:style>
  <w:style w:type="character" w:customStyle="1" w:styleId="15">
    <w:name w:val="正文文本 Char"/>
    <w:basedOn w:val="12"/>
    <w:link w:val="4"/>
    <w:semiHidden/>
    <w:qFormat/>
    <w:uiPriority w:val="99"/>
    <w:rPr>
      <w:rFonts w:eastAsia="仿宋" w:cstheme="minorBidi"/>
      <w:kern w:val="2"/>
      <w:sz w:val="32"/>
      <w:szCs w:val="22"/>
    </w:rPr>
  </w:style>
  <w:style w:type="paragraph" w:customStyle="1" w:styleId="16">
    <w:name w:val="p0"/>
    <w:basedOn w:val="1"/>
    <w:qFormat/>
    <w:uiPriority w:val="0"/>
    <w:pPr>
      <w:widowControl/>
      <w:spacing w:line="440" w:lineRule="atLeast"/>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1275</Words>
  <Characters>228</Characters>
  <Lines>1</Lines>
  <Paragraphs>2</Paragraphs>
  <TotalTime>3</TotalTime>
  <ScaleCrop>false</ScaleCrop>
  <LinksUpToDate>false</LinksUpToDate>
  <CharactersWithSpaces>1501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2008-12-26T16:45:00Z</dcterms:created>
  <dc:creator>123</dc:creator>
  <cp:lastModifiedBy>xmadmin</cp:lastModifiedBy>
  <cp:lastPrinted>2021-10-07T14:30:00Z</cp:lastPrinted>
  <dcterms:modified xsi:type="dcterms:W3CDTF">2022-12-20T08:55:19Z</dcterms:modified>
  <dc:title>关于受疫情影响重点行业领域的扶持政策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8C076ED8D26B424B8B65C511962195D1</vt:lpwstr>
  </property>
</Properties>
</file>