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A89FE">
      <w:pPr>
        <w:spacing w:line="360" w:lineRule="auto"/>
        <w:jc w:val="center"/>
        <w:rPr>
          <w:rFonts w:ascii="宋体" w:hAnsi="宋体"/>
          <w:sz w:val="24"/>
        </w:rPr>
      </w:pPr>
    </w:p>
    <w:p w14:paraId="51DDE260">
      <w:pPr>
        <w:spacing w:line="360" w:lineRule="auto"/>
        <w:jc w:val="center"/>
        <w:rPr>
          <w:rFonts w:ascii="宋体" w:hAnsi="宋体"/>
          <w:sz w:val="24"/>
        </w:rPr>
      </w:pPr>
    </w:p>
    <w:p w14:paraId="7E7606F9">
      <w:pPr>
        <w:spacing w:line="360" w:lineRule="auto"/>
        <w:jc w:val="center"/>
        <w:rPr>
          <w:rFonts w:ascii="宋体" w:hAnsi="宋体"/>
          <w:sz w:val="24"/>
        </w:rPr>
      </w:pPr>
    </w:p>
    <w:p w14:paraId="7D88EDD2">
      <w:pPr>
        <w:spacing w:line="360" w:lineRule="auto"/>
        <w:jc w:val="center"/>
        <w:rPr>
          <w:rFonts w:ascii="宋体" w:hAnsi="宋体"/>
          <w:sz w:val="24"/>
        </w:rPr>
      </w:pPr>
    </w:p>
    <w:p w14:paraId="702BA08C">
      <w:pPr>
        <w:widowControl/>
        <w:jc w:val="center"/>
        <w:rPr>
          <w:sz w:val="32"/>
          <w:szCs w:val="32"/>
          <w:highlight w:val="none"/>
        </w:rPr>
      </w:pPr>
    </w:p>
    <w:p w14:paraId="134F4761">
      <w:pPr>
        <w:widowControl/>
        <w:jc w:val="both"/>
        <w:rPr>
          <w:sz w:val="84"/>
          <w:szCs w:val="84"/>
          <w:highlight w:val="none"/>
        </w:rPr>
      </w:pPr>
    </w:p>
    <w:p w14:paraId="423E0A4D">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lang w:val="en-US" w:eastAsia="zh-CN"/>
        </w:rPr>
        <w:t>2024</w:t>
      </w:r>
      <w:r>
        <w:rPr>
          <w:rFonts w:hint="eastAsia" w:ascii="方正小标宋简体" w:eastAsia="方正小标宋简体"/>
          <w:b/>
          <w:bCs/>
          <w:sz w:val="84"/>
          <w:szCs w:val="84"/>
          <w:highlight w:val="none"/>
        </w:rPr>
        <w:t>年度</w:t>
      </w:r>
    </w:p>
    <w:p w14:paraId="7D79620D">
      <w:pPr>
        <w:widowControl/>
        <w:jc w:val="center"/>
        <w:rPr>
          <w:rFonts w:hint="eastAsia" w:ascii="方正小标宋简体" w:eastAsia="方正小标宋简体"/>
          <w:b/>
          <w:bCs/>
          <w:sz w:val="84"/>
          <w:szCs w:val="84"/>
          <w:highlight w:val="none"/>
        </w:rPr>
      </w:pPr>
      <w:r>
        <w:rPr>
          <w:rFonts w:hint="eastAsia" w:ascii="方正小标宋简体" w:eastAsia="方正小标宋简体"/>
          <w:b/>
          <w:bCs/>
          <w:sz w:val="84"/>
          <w:szCs w:val="84"/>
          <w:highlight w:val="none"/>
        </w:rPr>
        <w:t>厦门市湖里区劳动人事争议仲裁院</w:t>
      </w:r>
    </w:p>
    <w:p w14:paraId="38ABE4BD">
      <w:pPr>
        <w:widowControl/>
        <w:jc w:val="center"/>
        <w:rPr>
          <w:rFonts w:hint="eastAsia" w:ascii="方正小标宋简体" w:eastAsia="方正小标宋简体"/>
          <w:b/>
          <w:bCs/>
          <w:sz w:val="84"/>
          <w:szCs w:val="84"/>
          <w:highlight w:val="none"/>
          <w:lang w:val="en-US" w:eastAsia="zh-CN"/>
        </w:rPr>
        <w:sectPr>
          <w:headerReference r:id="rId3" w:type="default"/>
          <w:footerReference r:id="rId4" w:type="default"/>
          <w:pgSz w:w="11906" w:h="16838"/>
          <w:pgMar w:top="1440" w:right="1083" w:bottom="1440" w:left="1083" w:header="0" w:footer="720"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方正小标宋简体" w:eastAsia="方正小标宋简体"/>
          <w:b/>
          <w:bCs/>
          <w:sz w:val="84"/>
          <w:szCs w:val="84"/>
          <w:highlight w:val="none"/>
          <w:lang w:val="en-US" w:eastAsia="zh-CN"/>
        </w:rPr>
        <w:t>单位</w:t>
      </w:r>
      <w:r>
        <w:rPr>
          <w:rFonts w:hint="eastAsia" w:ascii="方正小标宋简体" w:eastAsia="方正小标宋简体"/>
          <w:b/>
          <w:bCs/>
          <w:sz w:val="84"/>
          <w:szCs w:val="84"/>
          <w:highlight w:val="none"/>
        </w:rPr>
        <w:t>决算</w:t>
      </w:r>
    </w:p>
    <w:sdt>
      <w:sdtPr>
        <w:rPr>
          <w:rFonts w:hint="eastAsia" w:ascii="仿宋" w:hAnsi="仿宋" w:eastAsia="仿宋" w:cs="仿宋"/>
          <w:b/>
          <w:bCs/>
          <w:kern w:val="0"/>
          <w:sz w:val="32"/>
          <w:szCs w:val="32"/>
          <w:lang w:val="en-US" w:eastAsia="zh-CN"/>
        </w:rPr>
        <w:id w:val="147456983"/>
        <w15:color w:val="DBDBDB"/>
        <w:docPartObj>
          <w:docPartGallery w:val="Table of Contents"/>
          <w:docPartUnique/>
        </w:docPartObj>
      </w:sdtPr>
      <w:sdtEndPr>
        <w:rPr>
          <w:rFonts w:hint="eastAsia" w:ascii="宋体" w:hAnsi="宋体" w:eastAsia="宋体" w:cs="Times New Roman"/>
          <w:b/>
          <w:bCs/>
          <w:kern w:val="2"/>
          <w:sz w:val="32"/>
          <w:szCs w:val="32"/>
          <w:lang w:val="en-US" w:eastAsia="zh-CN" w:bidi="ar-SA"/>
        </w:rPr>
      </w:sdtEndPr>
      <w:sdtContent>
        <w:p w14:paraId="4A1DC296">
          <w:pPr>
            <w:widowControl/>
            <w:spacing w:before="0" w:beforeLines="0" w:after="0" w:afterLines="0" w:line="240" w:lineRule="auto"/>
            <w:ind w:left="0" w:leftChars="0" w:right="0" w:rightChars="0" w:firstLine="0" w:firstLineChars="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目录</w:t>
          </w:r>
        </w:p>
        <w:p w14:paraId="42DE886D">
          <w:pPr>
            <w:pStyle w:val="17"/>
            <w:tabs>
              <w:tab w:val="right" w:leader="dot" w:pos="9730"/>
            </w:tabs>
            <w:rPr>
              <w:rFonts w:asciiTheme="minorHAnsi" w:hAnsiTheme="minorHAnsi"/>
              <w:sz w:val="22"/>
            </w:rPr>
          </w:pPr>
          <w:r>
            <w:rPr>
              <w:rFonts w:hint="eastAsia" w:ascii="仿宋" w:hAnsi="仿宋" w:eastAsia="仿宋" w:cs="仿宋"/>
              <w:b w:val="0"/>
              <w:bCs/>
              <w:kern w:val="2"/>
              <w:sz w:val="32"/>
              <w:szCs w:val="32"/>
              <w:lang w:val="en-US" w:eastAsia="zh-CN" w:bidi="ar-SA"/>
            </w:rPr>
            <w:fldChar w:fldCharType="begin"/>
          </w:r>
          <w:r>
            <w:rPr>
              <w:rFonts w:hint="eastAsia" w:ascii="仿宋" w:hAnsi="仿宋" w:eastAsia="仿宋" w:cs="仿宋"/>
              <w:b w:val="0"/>
              <w:bCs/>
              <w:kern w:val="2"/>
              <w:sz w:val="32"/>
              <w:szCs w:val="32"/>
              <w:lang w:val="en-US" w:eastAsia="zh-CN" w:bidi="ar-SA"/>
            </w:rPr>
            <w:instrText xml:space="preserve">TOC \o "1-3" \h \u </w:instrText>
          </w:r>
          <w:r>
            <w:rPr>
              <w:rFonts w:hint="eastAsia" w:ascii="仿宋" w:hAnsi="仿宋" w:eastAsia="仿宋" w:cs="仿宋"/>
              <w:b w:val="0"/>
              <w:bCs/>
              <w:kern w:val="2"/>
              <w:sz w:val="32"/>
              <w:szCs w:val="32"/>
              <w:lang w:val="en-US" w:eastAsia="zh-CN" w:bidi="ar-SA"/>
            </w:rPr>
            <w:fldChar w:fldCharType="separate"/>
          </w:r>
          <w:r>
            <w:fldChar w:fldCharType="begin"/>
          </w:r>
          <w:r>
            <w:instrText xml:space="preserve"> HYPERLINK \l "_Toc256000093" </w:instrText>
          </w:r>
          <w:r>
            <w:fldChar w:fldCharType="separate"/>
          </w:r>
          <w:r>
            <w:rPr>
              <w:rStyle w:val="22"/>
              <w:rFonts w:ascii="黑体" w:hAnsi="黑体" w:eastAsia="黑体" w:cs="黑体"/>
            </w:rPr>
            <w:t>第一部分</w:t>
          </w:r>
          <w:r>
            <w:tab/>
          </w:r>
          <w:r>
            <w:fldChar w:fldCharType="begin"/>
          </w:r>
          <w:r>
            <w:instrText xml:space="preserve"> PAGEREF _Toc256000093 \h </w:instrText>
          </w:r>
          <w:r>
            <w:fldChar w:fldCharType="separate"/>
          </w:r>
          <w:r>
            <w:t>4</w:t>
          </w:r>
          <w:r>
            <w:fldChar w:fldCharType="end"/>
          </w:r>
          <w:r>
            <w:fldChar w:fldCharType="end"/>
          </w:r>
        </w:p>
        <w:p w14:paraId="1B954B88">
          <w:pPr>
            <w:pStyle w:val="17"/>
            <w:tabs>
              <w:tab w:val="right" w:leader="dot" w:pos="9730"/>
            </w:tabs>
            <w:rPr>
              <w:rFonts w:asciiTheme="minorHAnsi" w:hAnsiTheme="minorHAnsi"/>
              <w:sz w:val="22"/>
            </w:rPr>
          </w:pPr>
          <w:r>
            <w:fldChar w:fldCharType="begin"/>
          </w:r>
          <w:r>
            <w:instrText xml:space="preserve"> HYPERLINK \l "_Toc256000094" </w:instrText>
          </w:r>
          <w:r>
            <w:fldChar w:fldCharType="separate"/>
          </w:r>
          <w:r>
            <w:rPr>
              <w:rStyle w:val="22"/>
              <w:rFonts w:ascii="黑体" w:hAnsi="黑体" w:eastAsia="黑体" w:cs="黑体"/>
            </w:rPr>
            <w:t>单位概况</w:t>
          </w:r>
          <w:r>
            <w:tab/>
          </w:r>
          <w:r>
            <w:fldChar w:fldCharType="begin"/>
          </w:r>
          <w:r>
            <w:instrText xml:space="preserve"> PAGEREF _Toc256000094 \h </w:instrText>
          </w:r>
          <w:r>
            <w:fldChar w:fldCharType="separate"/>
          </w:r>
          <w:r>
            <w:t>4</w:t>
          </w:r>
          <w:r>
            <w:fldChar w:fldCharType="end"/>
          </w:r>
          <w:r>
            <w:fldChar w:fldCharType="end"/>
          </w:r>
        </w:p>
        <w:p w14:paraId="602CE76A">
          <w:pPr>
            <w:pStyle w:val="10"/>
            <w:tabs>
              <w:tab w:val="right" w:leader="dot" w:pos="9730"/>
            </w:tabs>
            <w:rPr>
              <w:rFonts w:asciiTheme="minorHAnsi" w:hAnsiTheme="minorHAnsi"/>
              <w:sz w:val="22"/>
            </w:rPr>
          </w:pPr>
          <w:r>
            <w:fldChar w:fldCharType="begin"/>
          </w:r>
          <w:r>
            <w:instrText xml:space="preserve"> HYPERLINK \l "_Toc256000095" </w:instrText>
          </w:r>
          <w:r>
            <w:fldChar w:fldCharType="separate"/>
          </w:r>
          <w:r>
            <w:rPr>
              <w:rStyle w:val="22"/>
              <w:rFonts w:ascii="黑体" w:hAnsi="黑体" w:eastAsia="黑体" w:cs="黑体"/>
            </w:rPr>
            <w:t>一、单位主要职责</w:t>
          </w:r>
          <w:r>
            <w:tab/>
          </w:r>
          <w:r>
            <w:fldChar w:fldCharType="begin"/>
          </w:r>
          <w:r>
            <w:instrText xml:space="preserve"> PAGEREF _Toc256000095 \h </w:instrText>
          </w:r>
          <w:r>
            <w:fldChar w:fldCharType="separate"/>
          </w:r>
          <w:r>
            <w:t>5</w:t>
          </w:r>
          <w:r>
            <w:fldChar w:fldCharType="end"/>
          </w:r>
          <w:r>
            <w:fldChar w:fldCharType="end"/>
          </w:r>
        </w:p>
        <w:p w14:paraId="4DE350AA">
          <w:pPr>
            <w:pStyle w:val="10"/>
            <w:tabs>
              <w:tab w:val="right" w:leader="dot" w:pos="9730"/>
            </w:tabs>
            <w:rPr>
              <w:rFonts w:asciiTheme="minorHAnsi" w:hAnsiTheme="minorHAnsi"/>
              <w:sz w:val="22"/>
            </w:rPr>
          </w:pPr>
          <w:r>
            <w:fldChar w:fldCharType="begin"/>
          </w:r>
          <w:r>
            <w:instrText xml:space="preserve"> HYPERLINK \l "_Toc256000096" </w:instrText>
          </w:r>
          <w:r>
            <w:fldChar w:fldCharType="separate"/>
          </w:r>
          <w:r>
            <w:rPr>
              <w:rStyle w:val="22"/>
              <w:rFonts w:ascii="黑体" w:hAnsi="黑体" w:eastAsia="黑体" w:cs="黑体"/>
            </w:rPr>
            <w:t>二、单位基本情况</w:t>
          </w:r>
          <w:r>
            <w:tab/>
          </w:r>
          <w:r>
            <w:fldChar w:fldCharType="begin"/>
          </w:r>
          <w:r>
            <w:instrText xml:space="preserve"> PAGEREF _Toc256000096 \h </w:instrText>
          </w:r>
          <w:r>
            <w:fldChar w:fldCharType="separate"/>
          </w:r>
          <w:r>
            <w:t>5</w:t>
          </w:r>
          <w:r>
            <w:fldChar w:fldCharType="end"/>
          </w:r>
          <w:r>
            <w:fldChar w:fldCharType="end"/>
          </w:r>
        </w:p>
        <w:p w14:paraId="78283636">
          <w:pPr>
            <w:pStyle w:val="10"/>
            <w:tabs>
              <w:tab w:val="right" w:leader="dot" w:pos="9730"/>
            </w:tabs>
            <w:rPr>
              <w:rFonts w:asciiTheme="minorHAnsi" w:hAnsiTheme="minorHAnsi"/>
              <w:sz w:val="22"/>
            </w:rPr>
          </w:pPr>
          <w:r>
            <w:fldChar w:fldCharType="begin"/>
          </w:r>
          <w:r>
            <w:instrText xml:space="preserve"> HYPERLINK \l "_Toc256000097" </w:instrText>
          </w:r>
          <w:r>
            <w:fldChar w:fldCharType="separate"/>
          </w:r>
          <w:r>
            <w:rPr>
              <w:rStyle w:val="22"/>
              <w:rFonts w:ascii="黑体" w:hAnsi="黑体" w:eastAsia="黑体" w:cs="黑体"/>
            </w:rPr>
            <w:t>三、单位主要工作总结</w:t>
          </w:r>
          <w:r>
            <w:tab/>
          </w:r>
          <w:r>
            <w:fldChar w:fldCharType="begin"/>
          </w:r>
          <w:r>
            <w:instrText xml:space="preserve"> PAGEREF _Toc256000097 \h </w:instrText>
          </w:r>
          <w:r>
            <w:fldChar w:fldCharType="separate"/>
          </w:r>
          <w:r>
            <w:t>5</w:t>
          </w:r>
          <w:r>
            <w:fldChar w:fldCharType="end"/>
          </w:r>
          <w:r>
            <w:fldChar w:fldCharType="end"/>
          </w:r>
        </w:p>
        <w:p w14:paraId="1A790F8E">
          <w:pPr>
            <w:pStyle w:val="17"/>
            <w:tabs>
              <w:tab w:val="right" w:leader="dot" w:pos="9730"/>
            </w:tabs>
            <w:rPr>
              <w:rFonts w:asciiTheme="minorHAnsi" w:hAnsiTheme="minorHAnsi"/>
              <w:sz w:val="22"/>
            </w:rPr>
          </w:pPr>
          <w:r>
            <w:fldChar w:fldCharType="begin"/>
          </w:r>
          <w:r>
            <w:instrText xml:space="preserve"> HYPERLINK \l "_Toc256000098" </w:instrText>
          </w:r>
          <w:r>
            <w:fldChar w:fldCharType="separate"/>
          </w:r>
          <w:r>
            <w:rPr>
              <w:rStyle w:val="22"/>
              <w:rFonts w:ascii="黑体" w:hAnsi="黑体" w:eastAsia="黑体" w:cs="黑体"/>
            </w:rPr>
            <w:t>第二部分</w:t>
          </w:r>
          <w:r>
            <w:tab/>
          </w:r>
          <w:r>
            <w:fldChar w:fldCharType="begin"/>
          </w:r>
          <w:r>
            <w:instrText xml:space="preserve"> PAGEREF _Toc256000098 \h </w:instrText>
          </w:r>
          <w:r>
            <w:fldChar w:fldCharType="separate"/>
          </w:r>
          <w:r>
            <w:t>10</w:t>
          </w:r>
          <w:r>
            <w:fldChar w:fldCharType="end"/>
          </w:r>
          <w:r>
            <w:fldChar w:fldCharType="end"/>
          </w:r>
        </w:p>
        <w:p w14:paraId="01132910">
          <w:pPr>
            <w:pStyle w:val="17"/>
            <w:tabs>
              <w:tab w:val="right" w:leader="dot" w:pos="9730"/>
            </w:tabs>
            <w:rPr>
              <w:rFonts w:asciiTheme="minorHAnsi" w:hAnsiTheme="minorHAnsi"/>
              <w:sz w:val="22"/>
            </w:rPr>
          </w:pPr>
          <w:r>
            <w:fldChar w:fldCharType="begin"/>
          </w:r>
          <w:r>
            <w:instrText xml:space="preserve"> HYPERLINK \l "_Toc256000099" </w:instrText>
          </w:r>
          <w:r>
            <w:fldChar w:fldCharType="separate"/>
          </w:r>
          <w:r>
            <w:rPr>
              <w:rStyle w:val="22"/>
              <w:rFonts w:ascii="黑体" w:hAnsi="黑体" w:eastAsia="黑体" w:cs="黑体"/>
            </w:rPr>
            <w:t>2024年度决算表</w:t>
          </w:r>
          <w:r>
            <w:tab/>
          </w:r>
          <w:r>
            <w:fldChar w:fldCharType="begin"/>
          </w:r>
          <w:r>
            <w:instrText xml:space="preserve"> PAGEREF _Toc256000099 \h </w:instrText>
          </w:r>
          <w:r>
            <w:fldChar w:fldCharType="separate"/>
          </w:r>
          <w:r>
            <w:t>10</w:t>
          </w:r>
          <w:r>
            <w:fldChar w:fldCharType="end"/>
          </w:r>
          <w:r>
            <w:fldChar w:fldCharType="end"/>
          </w:r>
        </w:p>
        <w:p w14:paraId="21A9B067">
          <w:pPr>
            <w:pStyle w:val="10"/>
            <w:tabs>
              <w:tab w:val="right" w:leader="dot" w:pos="9730"/>
            </w:tabs>
            <w:rPr>
              <w:rFonts w:asciiTheme="minorHAnsi" w:hAnsiTheme="minorHAnsi"/>
              <w:sz w:val="22"/>
            </w:rPr>
          </w:pPr>
          <w:r>
            <w:fldChar w:fldCharType="begin"/>
          </w:r>
          <w:r>
            <w:instrText xml:space="preserve"> HYPERLINK \l "_Toc256000100" </w:instrText>
          </w:r>
          <w:r>
            <w:fldChar w:fldCharType="separate"/>
          </w:r>
          <w:r>
            <w:rPr>
              <w:rStyle w:val="22"/>
              <w:rFonts w:ascii="黑体" w:hAnsi="黑体" w:eastAsia="黑体" w:cs="黑体"/>
            </w:rPr>
            <w:t>一、收入支出决算总表</w:t>
          </w:r>
          <w:r>
            <w:tab/>
          </w:r>
          <w:r>
            <w:fldChar w:fldCharType="begin"/>
          </w:r>
          <w:r>
            <w:instrText xml:space="preserve"> PAGEREF _Toc256000100 \h </w:instrText>
          </w:r>
          <w:r>
            <w:fldChar w:fldCharType="separate"/>
          </w:r>
          <w:r>
            <w:t>11</w:t>
          </w:r>
          <w:r>
            <w:fldChar w:fldCharType="end"/>
          </w:r>
          <w:r>
            <w:fldChar w:fldCharType="end"/>
          </w:r>
        </w:p>
        <w:p w14:paraId="01756A97">
          <w:pPr>
            <w:pStyle w:val="10"/>
            <w:tabs>
              <w:tab w:val="right" w:leader="dot" w:pos="9730"/>
            </w:tabs>
            <w:rPr>
              <w:rFonts w:asciiTheme="minorHAnsi" w:hAnsiTheme="minorHAnsi"/>
              <w:sz w:val="22"/>
            </w:rPr>
          </w:pPr>
          <w:r>
            <w:fldChar w:fldCharType="begin"/>
          </w:r>
          <w:r>
            <w:instrText xml:space="preserve"> HYPERLINK \l "_Toc256000101" </w:instrText>
          </w:r>
          <w:r>
            <w:fldChar w:fldCharType="separate"/>
          </w:r>
          <w:r>
            <w:rPr>
              <w:rStyle w:val="22"/>
              <w:rFonts w:ascii="黑体" w:hAnsi="黑体" w:eastAsia="黑体" w:cs="黑体"/>
            </w:rPr>
            <w:t>二、收入决算表</w:t>
          </w:r>
          <w:r>
            <w:tab/>
          </w:r>
          <w:r>
            <w:fldChar w:fldCharType="begin"/>
          </w:r>
          <w:r>
            <w:instrText xml:space="preserve"> PAGEREF _Toc256000101 \h </w:instrText>
          </w:r>
          <w:r>
            <w:fldChar w:fldCharType="separate"/>
          </w:r>
          <w:r>
            <w:t>15</w:t>
          </w:r>
          <w:r>
            <w:fldChar w:fldCharType="end"/>
          </w:r>
          <w:r>
            <w:fldChar w:fldCharType="end"/>
          </w:r>
        </w:p>
        <w:p w14:paraId="39894D98">
          <w:pPr>
            <w:pStyle w:val="10"/>
            <w:tabs>
              <w:tab w:val="right" w:leader="dot" w:pos="9730"/>
            </w:tabs>
            <w:rPr>
              <w:rFonts w:asciiTheme="minorHAnsi" w:hAnsiTheme="minorHAnsi"/>
              <w:sz w:val="22"/>
            </w:rPr>
          </w:pPr>
          <w:r>
            <w:fldChar w:fldCharType="begin"/>
          </w:r>
          <w:r>
            <w:instrText xml:space="preserve"> HYPERLINK \l "_Toc256000102" </w:instrText>
          </w:r>
          <w:r>
            <w:fldChar w:fldCharType="separate"/>
          </w:r>
          <w:r>
            <w:rPr>
              <w:rStyle w:val="22"/>
              <w:rFonts w:ascii="黑体" w:hAnsi="黑体" w:eastAsia="黑体" w:cs="黑体"/>
            </w:rPr>
            <w:t>三、支出决算表</w:t>
          </w:r>
          <w:r>
            <w:tab/>
          </w:r>
          <w:r>
            <w:fldChar w:fldCharType="begin"/>
          </w:r>
          <w:r>
            <w:instrText xml:space="preserve"> PAGEREF _Toc256000102 \h </w:instrText>
          </w:r>
          <w:r>
            <w:fldChar w:fldCharType="separate"/>
          </w:r>
          <w:r>
            <w:t>17</w:t>
          </w:r>
          <w:r>
            <w:fldChar w:fldCharType="end"/>
          </w:r>
          <w:r>
            <w:fldChar w:fldCharType="end"/>
          </w:r>
        </w:p>
        <w:p w14:paraId="59633941">
          <w:pPr>
            <w:pStyle w:val="10"/>
            <w:tabs>
              <w:tab w:val="right" w:leader="dot" w:pos="9730"/>
            </w:tabs>
            <w:rPr>
              <w:rFonts w:asciiTheme="minorHAnsi" w:hAnsiTheme="minorHAnsi"/>
              <w:sz w:val="22"/>
            </w:rPr>
          </w:pPr>
          <w:r>
            <w:fldChar w:fldCharType="begin"/>
          </w:r>
          <w:r>
            <w:instrText xml:space="preserve"> HYPERLINK \l "_Toc256000103" </w:instrText>
          </w:r>
          <w:r>
            <w:fldChar w:fldCharType="separate"/>
          </w:r>
          <w:r>
            <w:rPr>
              <w:rStyle w:val="22"/>
              <w:rFonts w:ascii="黑体" w:hAnsi="黑体" w:eastAsia="黑体" w:cs="黑体"/>
            </w:rPr>
            <w:t>四、财政拨款收入支出决算总表</w:t>
          </w:r>
          <w:r>
            <w:tab/>
          </w:r>
          <w:r>
            <w:fldChar w:fldCharType="begin"/>
          </w:r>
          <w:r>
            <w:instrText xml:space="preserve"> PAGEREF _Toc256000103 \h </w:instrText>
          </w:r>
          <w:r>
            <w:fldChar w:fldCharType="separate"/>
          </w:r>
          <w:r>
            <w:t>19</w:t>
          </w:r>
          <w:r>
            <w:fldChar w:fldCharType="end"/>
          </w:r>
          <w:r>
            <w:fldChar w:fldCharType="end"/>
          </w:r>
        </w:p>
        <w:p w14:paraId="5097D41A">
          <w:pPr>
            <w:pStyle w:val="10"/>
            <w:tabs>
              <w:tab w:val="right" w:leader="dot" w:pos="9730"/>
            </w:tabs>
            <w:rPr>
              <w:rFonts w:asciiTheme="minorHAnsi" w:hAnsiTheme="minorHAnsi"/>
              <w:sz w:val="22"/>
            </w:rPr>
          </w:pPr>
          <w:r>
            <w:fldChar w:fldCharType="begin"/>
          </w:r>
          <w:r>
            <w:instrText xml:space="preserve"> HYPERLINK \l "_Toc256000104" </w:instrText>
          </w:r>
          <w:r>
            <w:fldChar w:fldCharType="separate"/>
          </w:r>
          <w:r>
            <w:rPr>
              <w:rStyle w:val="22"/>
              <w:rFonts w:ascii="黑体" w:hAnsi="黑体" w:eastAsia="黑体" w:cs="黑体"/>
            </w:rPr>
            <w:t>五、一般公共预算财政拨款支出决算表</w:t>
          </w:r>
          <w:r>
            <w:tab/>
          </w:r>
          <w:r>
            <w:fldChar w:fldCharType="begin"/>
          </w:r>
          <w:r>
            <w:instrText xml:space="preserve"> PAGEREF _Toc256000104 \h </w:instrText>
          </w:r>
          <w:r>
            <w:fldChar w:fldCharType="separate"/>
          </w:r>
          <w:r>
            <w:t>24</w:t>
          </w:r>
          <w:r>
            <w:fldChar w:fldCharType="end"/>
          </w:r>
          <w:r>
            <w:fldChar w:fldCharType="end"/>
          </w:r>
        </w:p>
        <w:p w14:paraId="6316E790">
          <w:pPr>
            <w:pStyle w:val="10"/>
            <w:tabs>
              <w:tab w:val="right" w:leader="dot" w:pos="9730"/>
            </w:tabs>
            <w:rPr>
              <w:rFonts w:asciiTheme="minorHAnsi" w:hAnsiTheme="minorHAnsi"/>
              <w:sz w:val="22"/>
            </w:rPr>
          </w:pPr>
          <w:r>
            <w:fldChar w:fldCharType="begin"/>
          </w:r>
          <w:r>
            <w:instrText xml:space="preserve"> HYPERLINK \l "_Toc256000105" </w:instrText>
          </w:r>
          <w:r>
            <w:fldChar w:fldCharType="separate"/>
          </w:r>
          <w:r>
            <w:rPr>
              <w:rStyle w:val="22"/>
              <w:rFonts w:ascii="黑体" w:hAnsi="黑体" w:eastAsia="黑体" w:cs="黑体"/>
            </w:rPr>
            <w:t>六、一般公共预算财政拨款基本支出决算表</w:t>
          </w:r>
          <w:r>
            <w:tab/>
          </w:r>
          <w:r>
            <w:fldChar w:fldCharType="begin"/>
          </w:r>
          <w:r>
            <w:instrText xml:space="preserve"> PAGEREF _Toc256000105 \h </w:instrText>
          </w:r>
          <w:r>
            <w:fldChar w:fldCharType="separate"/>
          </w:r>
          <w:r>
            <w:t>26</w:t>
          </w:r>
          <w:r>
            <w:fldChar w:fldCharType="end"/>
          </w:r>
          <w:r>
            <w:fldChar w:fldCharType="end"/>
          </w:r>
        </w:p>
        <w:p w14:paraId="7CE68BE6">
          <w:pPr>
            <w:pStyle w:val="10"/>
            <w:tabs>
              <w:tab w:val="right" w:leader="dot" w:pos="9730"/>
            </w:tabs>
            <w:rPr>
              <w:rFonts w:asciiTheme="minorHAnsi" w:hAnsiTheme="minorHAnsi"/>
              <w:sz w:val="22"/>
            </w:rPr>
          </w:pPr>
          <w:r>
            <w:fldChar w:fldCharType="begin"/>
          </w:r>
          <w:r>
            <w:instrText xml:space="preserve"> HYPERLINK \l "_Toc256000106" </w:instrText>
          </w:r>
          <w:r>
            <w:fldChar w:fldCharType="separate"/>
          </w:r>
          <w:r>
            <w:rPr>
              <w:rStyle w:val="22"/>
              <w:rFonts w:ascii="黑体" w:hAnsi="黑体" w:eastAsia="黑体" w:cs="黑体"/>
            </w:rPr>
            <w:t>七、一般公共预算财政拨款“三公”经费支出决算表</w:t>
          </w:r>
          <w:r>
            <w:tab/>
          </w:r>
          <w:r>
            <w:fldChar w:fldCharType="begin"/>
          </w:r>
          <w:r>
            <w:instrText xml:space="preserve"> PAGEREF _Toc256000106 \h </w:instrText>
          </w:r>
          <w:r>
            <w:fldChar w:fldCharType="separate"/>
          </w:r>
          <w:r>
            <w:t>30</w:t>
          </w:r>
          <w:r>
            <w:fldChar w:fldCharType="end"/>
          </w:r>
          <w:r>
            <w:fldChar w:fldCharType="end"/>
          </w:r>
        </w:p>
        <w:p w14:paraId="0B54E473">
          <w:pPr>
            <w:pStyle w:val="10"/>
            <w:tabs>
              <w:tab w:val="right" w:leader="dot" w:pos="9730"/>
            </w:tabs>
            <w:rPr>
              <w:rFonts w:asciiTheme="minorHAnsi" w:hAnsiTheme="minorHAnsi"/>
              <w:sz w:val="22"/>
            </w:rPr>
          </w:pPr>
          <w:r>
            <w:fldChar w:fldCharType="begin"/>
          </w:r>
          <w:r>
            <w:instrText xml:space="preserve"> HYPERLINK \l "_Toc256000107" </w:instrText>
          </w:r>
          <w:r>
            <w:fldChar w:fldCharType="separate"/>
          </w:r>
          <w:r>
            <w:rPr>
              <w:rStyle w:val="22"/>
              <w:rFonts w:ascii="黑体" w:hAnsi="黑体" w:eastAsia="黑体" w:cs="黑体"/>
            </w:rPr>
            <w:t>八、政府性基金预算财政拨款收入支出决算表</w:t>
          </w:r>
          <w:r>
            <w:tab/>
          </w:r>
          <w:r>
            <w:fldChar w:fldCharType="begin"/>
          </w:r>
          <w:r>
            <w:instrText xml:space="preserve"> PAGEREF _Toc256000107 \h </w:instrText>
          </w:r>
          <w:r>
            <w:fldChar w:fldCharType="separate"/>
          </w:r>
          <w:r>
            <w:t>31</w:t>
          </w:r>
          <w:r>
            <w:fldChar w:fldCharType="end"/>
          </w:r>
          <w:r>
            <w:fldChar w:fldCharType="end"/>
          </w:r>
        </w:p>
        <w:p w14:paraId="3336670E">
          <w:pPr>
            <w:pStyle w:val="10"/>
            <w:tabs>
              <w:tab w:val="right" w:leader="dot" w:pos="9730"/>
            </w:tabs>
            <w:rPr>
              <w:rFonts w:asciiTheme="minorHAnsi" w:hAnsiTheme="minorHAnsi"/>
              <w:sz w:val="22"/>
            </w:rPr>
          </w:pPr>
          <w:r>
            <w:fldChar w:fldCharType="begin"/>
          </w:r>
          <w:r>
            <w:instrText xml:space="preserve"> HYPERLINK \l "_Toc256000108" </w:instrText>
          </w:r>
          <w:r>
            <w:fldChar w:fldCharType="separate"/>
          </w:r>
          <w:r>
            <w:rPr>
              <w:rStyle w:val="22"/>
              <w:rFonts w:ascii="黑体" w:hAnsi="黑体" w:eastAsia="黑体" w:cs="黑体"/>
            </w:rPr>
            <w:t>九、国有资本经营预算财政拨款支出决算表</w:t>
          </w:r>
          <w:r>
            <w:tab/>
          </w:r>
          <w:r>
            <w:fldChar w:fldCharType="begin"/>
          </w:r>
          <w:r>
            <w:instrText xml:space="preserve"> PAGEREF _Toc256000108 \h </w:instrText>
          </w:r>
          <w:r>
            <w:fldChar w:fldCharType="separate"/>
          </w:r>
          <w:r>
            <w:t>32</w:t>
          </w:r>
          <w:r>
            <w:fldChar w:fldCharType="end"/>
          </w:r>
          <w:r>
            <w:fldChar w:fldCharType="end"/>
          </w:r>
        </w:p>
        <w:p w14:paraId="093EE532">
          <w:pPr>
            <w:pStyle w:val="17"/>
            <w:tabs>
              <w:tab w:val="right" w:leader="dot" w:pos="9730"/>
            </w:tabs>
            <w:rPr>
              <w:rFonts w:asciiTheme="minorHAnsi" w:hAnsiTheme="minorHAnsi"/>
              <w:sz w:val="22"/>
            </w:rPr>
          </w:pPr>
          <w:r>
            <w:fldChar w:fldCharType="begin"/>
          </w:r>
          <w:r>
            <w:instrText xml:space="preserve"> HYPERLINK \l "_Toc256000109" </w:instrText>
          </w:r>
          <w:r>
            <w:fldChar w:fldCharType="separate"/>
          </w:r>
          <w:r>
            <w:rPr>
              <w:rStyle w:val="22"/>
              <w:rFonts w:ascii="黑体" w:hAnsi="黑体" w:eastAsia="黑体" w:cs="黑体"/>
            </w:rPr>
            <w:t>第三部分</w:t>
          </w:r>
          <w:r>
            <w:tab/>
          </w:r>
          <w:r>
            <w:fldChar w:fldCharType="begin"/>
          </w:r>
          <w:r>
            <w:instrText xml:space="preserve"> PAGEREF _Toc256000109 \h </w:instrText>
          </w:r>
          <w:r>
            <w:fldChar w:fldCharType="separate"/>
          </w:r>
          <w:r>
            <w:t>34</w:t>
          </w:r>
          <w:r>
            <w:fldChar w:fldCharType="end"/>
          </w:r>
          <w:r>
            <w:fldChar w:fldCharType="end"/>
          </w:r>
        </w:p>
        <w:p w14:paraId="756038BB">
          <w:pPr>
            <w:pStyle w:val="17"/>
            <w:tabs>
              <w:tab w:val="right" w:leader="dot" w:pos="9730"/>
            </w:tabs>
            <w:rPr>
              <w:rFonts w:asciiTheme="minorHAnsi" w:hAnsiTheme="minorHAnsi"/>
              <w:sz w:val="22"/>
            </w:rPr>
          </w:pPr>
          <w:r>
            <w:fldChar w:fldCharType="begin"/>
          </w:r>
          <w:r>
            <w:instrText xml:space="preserve"> HYPERLINK \l "_Toc256000110" </w:instrText>
          </w:r>
          <w:r>
            <w:fldChar w:fldCharType="separate"/>
          </w:r>
          <w:r>
            <w:rPr>
              <w:rStyle w:val="22"/>
              <w:rFonts w:ascii="黑体" w:hAnsi="黑体" w:eastAsia="黑体" w:cs="黑体"/>
            </w:rPr>
            <w:t>2024年度决算情况说明</w:t>
          </w:r>
          <w:r>
            <w:tab/>
          </w:r>
          <w:r>
            <w:fldChar w:fldCharType="begin"/>
          </w:r>
          <w:r>
            <w:instrText xml:space="preserve"> PAGEREF _Toc256000110 \h </w:instrText>
          </w:r>
          <w:r>
            <w:fldChar w:fldCharType="separate"/>
          </w:r>
          <w:r>
            <w:t>34</w:t>
          </w:r>
          <w:r>
            <w:fldChar w:fldCharType="end"/>
          </w:r>
          <w:r>
            <w:fldChar w:fldCharType="end"/>
          </w:r>
        </w:p>
        <w:p w14:paraId="24E9B31E">
          <w:pPr>
            <w:pStyle w:val="10"/>
            <w:tabs>
              <w:tab w:val="right" w:leader="dot" w:pos="9730"/>
            </w:tabs>
            <w:rPr>
              <w:rFonts w:asciiTheme="minorHAnsi" w:hAnsiTheme="minorHAnsi"/>
              <w:sz w:val="22"/>
            </w:rPr>
          </w:pPr>
          <w:r>
            <w:fldChar w:fldCharType="begin"/>
          </w:r>
          <w:r>
            <w:instrText xml:space="preserve"> HYPERLINK \l "_Toc256000111" </w:instrText>
          </w:r>
          <w:r>
            <w:fldChar w:fldCharType="separate"/>
          </w:r>
          <w:r>
            <w:rPr>
              <w:rStyle w:val="22"/>
              <w:rFonts w:ascii="黑体" w:hAnsi="黑体" w:eastAsia="黑体" w:cs="黑体"/>
            </w:rPr>
            <w:t>一、收入支出决算总体情况说明</w:t>
          </w:r>
          <w:r>
            <w:tab/>
          </w:r>
          <w:r>
            <w:fldChar w:fldCharType="begin"/>
          </w:r>
          <w:r>
            <w:instrText xml:space="preserve"> PAGEREF _Toc256000111 \h </w:instrText>
          </w:r>
          <w:r>
            <w:fldChar w:fldCharType="separate"/>
          </w:r>
          <w:r>
            <w:t>35</w:t>
          </w:r>
          <w:r>
            <w:fldChar w:fldCharType="end"/>
          </w:r>
          <w:r>
            <w:fldChar w:fldCharType="end"/>
          </w:r>
        </w:p>
        <w:p w14:paraId="486AD58C">
          <w:pPr>
            <w:pStyle w:val="10"/>
            <w:tabs>
              <w:tab w:val="right" w:leader="dot" w:pos="9730"/>
            </w:tabs>
            <w:rPr>
              <w:rFonts w:asciiTheme="minorHAnsi" w:hAnsiTheme="minorHAnsi"/>
              <w:sz w:val="22"/>
            </w:rPr>
          </w:pPr>
          <w:r>
            <w:fldChar w:fldCharType="begin"/>
          </w:r>
          <w:r>
            <w:instrText xml:space="preserve"> HYPERLINK \l "_Toc256000112" </w:instrText>
          </w:r>
          <w:r>
            <w:fldChar w:fldCharType="separate"/>
          </w:r>
          <w:r>
            <w:rPr>
              <w:rStyle w:val="22"/>
              <w:rFonts w:ascii="黑体" w:hAnsi="黑体" w:eastAsia="黑体" w:cs="黑体"/>
            </w:rPr>
            <w:t>二、财政拨款收入支出决算总体情况说明</w:t>
          </w:r>
          <w:r>
            <w:tab/>
          </w:r>
          <w:r>
            <w:fldChar w:fldCharType="begin"/>
          </w:r>
          <w:r>
            <w:instrText xml:space="preserve"> PAGEREF _Toc256000112 \h </w:instrText>
          </w:r>
          <w:r>
            <w:fldChar w:fldCharType="separate"/>
          </w:r>
          <w:r>
            <w:t>36</w:t>
          </w:r>
          <w:r>
            <w:fldChar w:fldCharType="end"/>
          </w:r>
          <w:r>
            <w:fldChar w:fldCharType="end"/>
          </w:r>
        </w:p>
        <w:p w14:paraId="489C8620">
          <w:pPr>
            <w:pStyle w:val="10"/>
            <w:tabs>
              <w:tab w:val="right" w:leader="dot" w:pos="9730"/>
            </w:tabs>
            <w:rPr>
              <w:rFonts w:asciiTheme="minorHAnsi" w:hAnsiTheme="minorHAnsi"/>
              <w:sz w:val="22"/>
            </w:rPr>
          </w:pPr>
          <w:r>
            <w:fldChar w:fldCharType="begin"/>
          </w:r>
          <w:r>
            <w:instrText xml:space="preserve"> HYPERLINK \l "_Toc256000113" </w:instrText>
          </w:r>
          <w:r>
            <w:fldChar w:fldCharType="separate"/>
          </w:r>
          <w:r>
            <w:rPr>
              <w:rStyle w:val="22"/>
              <w:rFonts w:ascii="黑体" w:hAnsi="黑体" w:eastAsia="黑体" w:cs="黑体"/>
            </w:rPr>
            <w:t>三、一般公共预算拨款支出决算情况说明</w:t>
          </w:r>
          <w:r>
            <w:tab/>
          </w:r>
          <w:r>
            <w:fldChar w:fldCharType="begin"/>
          </w:r>
          <w:r>
            <w:instrText xml:space="preserve"> PAGEREF _Toc256000113 \h </w:instrText>
          </w:r>
          <w:r>
            <w:fldChar w:fldCharType="separate"/>
          </w:r>
          <w:r>
            <w:t>36</w:t>
          </w:r>
          <w:r>
            <w:fldChar w:fldCharType="end"/>
          </w:r>
          <w:r>
            <w:fldChar w:fldCharType="end"/>
          </w:r>
        </w:p>
        <w:p w14:paraId="02F6E12C">
          <w:pPr>
            <w:pStyle w:val="10"/>
            <w:tabs>
              <w:tab w:val="right" w:leader="dot" w:pos="9730"/>
            </w:tabs>
            <w:rPr>
              <w:rFonts w:asciiTheme="minorHAnsi" w:hAnsiTheme="minorHAnsi"/>
              <w:sz w:val="22"/>
            </w:rPr>
          </w:pPr>
          <w:r>
            <w:fldChar w:fldCharType="begin"/>
          </w:r>
          <w:r>
            <w:instrText xml:space="preserve"> HYPERLINK \l "_Toc256000114" </w:instrText>
          </w:r>
          <w:r>
            <w:fldChar w:fldCharType="separate"/>
          </w:r>
          <w:r>
            <w:rPr>
              <w:rStyle w:val="22"/>
              <w:rFonts w:ascii="黑体" w:hAnsi="黑体" w:eastAsia="黑体" w:cs="黑体"/>
            </w:rPr>
            <w:t>四、政府性基金预算财政拨款支出决算情况说明</w:t>
          </w:r>
          <w:r>
            <w:tab/>
          </w:r>
          <w:r>
            <w:fldChar w:fldCharType="begin"/>
          </w:r>
          <w:r>
            <w:instrText xml:space="preserve"> PAGEREF _Toc256000114 \h </w:instrText>
          </w:r>
          <w:r>
            <w:fldChar w:fldCharType="separate"/>
          </w:r>
          <w:r>
            <w:t>37</w:t>
          </w:r>
          <w:r>
            <w:fldChar w:fldCharType="end"/>
          </w:r>
          <w:r>
            <w:fldChar w:fldCharType="end"/>
          </w:r>
        </w:p>
        <w:p w14:paraId="0BC5FF5F">
          <w:pPr>
            <w:pStyle w:val="10"/>
            <w:tabs>
              <w:tab w:val="right" w:leader="dot" w:pos="9730"/>
            </w:tabs>
            <w:rPr>
              <w:rFonts w:asciiTheme="minorHAnsi" w:hAnsiTheme="minorHAnsi"/>
              <w:sz w:val="22"/>
            </w:rPr>
          </w:pPr>
          <w:r>
            <w:fldChar w:fldCharType="begin"/>
          </w:r>
          <w:r>
            <w:instrText xml:space="preserve"> HYPERLINK \l "_Toc256000115" </w:instrText>
          </w:r>
          <w:r>
            <w:fldChar w:fldCharType="separate"/>
          </w:r>
          <w:r>
            <w:rPr>
              <w:rStyle w:val="22"/>
              <w:rFonts w:ascii="黑体" w:hAnsi="黑体" w:eastAsia="黑体" w:cs="黑体"/>
            </w:rPr>
            <w:t>五、国有资本经营预算财政拨款支出决算情况说明</w:t>
          </w:r>
          <w:r>
            <w:tab/>
          </w:r>
          <w:r>
            <w:fldChar w:fldCharType="begin"/>
          </w:r>
          <w:r>
            <w:instrText xml:space="preserve"> PAGEREF _Toc256000115 \h </w:instrText>
          </w:r>
          <w:r>
            <w:fldChar w:fldCharType="separate"/>
          </w:r>
          <w:r>
            <w:t>37</w:t>
          </w:r>
          <w:r>
            <w:fldChar w:fldCharType="end"/>
          </w:r>
          <w:r>
            <w:fldChar w:fldCharType="end"/>
          </w:r>
        </w:p>
        <w:p w14:paraId="06E58154">
          <w:pPr>
            <w:pStyle w:val="10"/>
            <w:tabs>
              <w:tab w:val="right" w:leader="dot" w:pos="9730"/>
            </w:tabs>
            <w:rPr>
              <w:rFonts w:asciiTheme="minorHAnsi" w:hAnsiTheme="minorHAnsi"/>
              <w:sz w:val="22"/>
            </w:rPr>
          </w:pPr>
          <w:r>
            <w:fldChar w:fldCharType="begin"/>
          </w:r>
          <w:r>
            <w:instrText xml:space="preserve"> HYPERLINK \l "_Toc256000116" </w:instrText>
          </w:r>
          <w:r>
            <w:fldChar w:fldCharType="separate"/>
          </w:r>
          <w:r>
            <w:rPr>
              <w:rStyle w:val="22"/>
              <w:rFonts w:ascii="黑体" w:hAnsi="黑体" w:eastAsia="黑体" w:cs="黑体"/>
            </w:rPr>
            <w:t>六、一般公共预算财政拨款基本支出决算情况说明</w:t>
          </w:r>
          <w:r>
            <w:tab/>
          </w:r>
          <w:r>
            <w:fldChar w:fldCharType="begin"/>
          </w:r>
          <w:r>
            <w:instrText xml:space="preserve"> PAGEREF _Toc256000116 \h </w:instrText>
          </w:r>
          <w:r>
            <w:fldChar w:fldCharType="separate"/>
          </w:r>
          <w:r>
            <w:t>37</w:t>
          </w:r>
          <w:r>
            <w:fldChar w:fldCharType="end"/>
          </w:r>
          <w:r>
            <w:fldChar w:fldCharType="end"/>
          </w:r>
        </w:p>
        <w:p w14:paraId="7AFF6A89">
          <w:pPr>
            <w:pStyle w:val="10"/>
            <w:tabs>
              <w:tab w:val="right" w:leader="dot" w:pos="9730"/>
            </w:tabs>
            <w:rPr>
              <w:rFonts w:asciiTheme="minorHAnsi" w:hAnsiTheme="minorHAnsi"/>
              <w:sz w:val="22"/>
            </w:rPr>
          </w:pPr>
          <w:r>
            <w:fldChar w:fldCharType="begin"/>
          </w:r>
          <w:r>
            <w:instrText xml:space="preserve"> HYPERLINK \l "_Toc256000117" </w:instrText>
          </w:r>
          <w:r>
            <w:fldChar w:fldCharType="separate"/>
          </w:r>
          <w:r>
            <w:rPr>
              <w:rStyle w:val="22"/>
              <w:rFonts w:ascii="黑体" w:hAnsi="黑体" w:eastAsia="黑体" w:cs="黑体"/>
            </w:rPr>
            <w:t>七、一般公共预算拨款“三公”经费支出决算情况说明</w:t>
          </w:r>
          <w:r>
            <w:tab/>
          </w:r>
          <w:r>
            <w:fldChar w:fldCharType="begin"/>
          </w:r>
          <w:r>
            <w:instrText xml:space="preserve"> PAGEREF _Toc256000117 \h </w:instrText>
          </w:r>
          <w:r>
            <w:fldChar w:fldCharType="separate"/>
          </w:r>
          <w:r>
            <w:t>38</w:t>
          </w:r>
          <w:r>
            <w:fldChar w:fldCharType="end"/>
          </w:r>
          <w:r>
            <w:fldChar w:fldCharType="end"/>
          </w:r>
        </w:p>
        <w:p w14:paraId="06D42443">
          <w:pPr>
            <w:pStyle w:val="10"/>
            <w:tabs>
              <w:tab w:val="right" w:leader="dot" w:pos="9730"/>
            </w:tabs>
            <w:rPr>
              <w:rFonts w:asciiTheme="minorHAnsi" w:hAnsiTheme="minorHAnsi"/>
              <w:sz w:val="22"/>
            </w:rPr>
          </w:pPr>
          <w:r>
            <w:fldChar w:fldCharType="begin"/>
          </w:r>
          <w:r>
            <w:instrText xml:space="preserve"> HYPERLINK \l "_Toc256000118" </w:instrText>
          </w:r>
          <w:r>
            <w:fldChar w:fldCharType="separate"/>
          </w:r>
          <w:r>
            <w:rPr>
              <w:rStyle w:val="22"/>
              <w:rFonts w:ascii="黑体" w:hAnsi="黑体" w:eastAsia="黑体" w:cs="黑体"/>
            </w:rPr>
            <w:t>八、预算绩效情况说明</w:t>
          </w:r>
          <w:r>
            <w:tab/>
          </w:r>
          <w:r>
            <w:fldChar w:fldCharType="begin"/>
          </w:r>
          <w:r>
            <w:instrText xml:space="preserve"> PAGEREF _Toc256000118 \h </w:instrText>
          </w:r>
          <w:r>
            <w:fldChar w:fldCharType="separate"/>
          </w:r>
          <w:r>
            <w:t>39</w:t>
          </w:r>
          <w:r>
            <w:fldChar w:fldCharType="end"/>
          </w:r>
          <w:r>
            <w:fldChar w:fldCharType="end"/>
          </w:r>
        </w:p>
        <w:p w14:paraId="5DF051CC">
          <w:pPr>
            <w:pStyle w:val="10"/>
            <w:tabs>
              <w:tab w:val="right" w:leader="dot" w:pos="9730"/>
            </w:tabs>
            <w:rPr>
              <w:rFonts w:asciiTheme="minorHAnsi" w:hAnsiTheme="minorHAnsi"/>
              <w:sz w:val="22"/>
            </w:rPr>
          </w:pPr>
          <w:r>
            <w:fldChar w:fldCharType="begin"/>
          </w:r>
          <w:r>
            <w:instrText xml:space="preserve"> HYPERLINK \l "_Toc256000119" </w:instrText>
          </w:r>
          <w:r>
            <w:fldChar w:fldCharType="separate"/>
          </w:r>
          <w:r>
            <w:rPr>
              <w:rStyle w:val="22"/>
              <w:rFonts w:ascii="黑体" w:hAnsi="黑体" w:eastAsia="黑体" w:cs="黑体"/>
            </w:rPr>
            <w:t>九、其他重要事项说明</w:t>
          </w:r>
          <w:r>
            <w:tab/>
          </w:r>
          <w:r>
            <w:fldChar w:fldCharType="begin"/>
          </w:r>
          <w:r>
            <w:instrText xml:space="preserve"> PAGEREF _Toc256000119 \h </w:instrText>
          </w:r>
          <w:r>
            <w:fldChar w:fldCharType="separate"/>
          </w:r>
          <w:r>
            <w:t>40</w:t>
          </w:r>
          <w:r>
            <w:fldChar w:fldCharType="end"/>
          </w:r>
          <w:r>
            <w:fldChar w:fldCharType="end"/>
          </w:r>
        </w:p>
        <w:p w14:paraId="1A322692">
          <w:pPr>
            <w:pStyle w:val="17"/>
            <w:tabs>
              <w:tab w:val="right" w:leader="dot" w:pos="9730"/>
            </w:tabs>
            <w:rPr>
              <w:rFonts w:asciiTheme="minorHAnsi" w:hAnsiTheme="minorHAnsi"/>
              <w:sz w:val="22"/>
            </w:rPr>
          </w:pPr>
          <w:r>
            <w:fldChar w:fldCharType="begin"/>
          </w:r>
          <w:r>
            <w:instrText xml:space="preserve"> HYPERLINK \l "_Toc256000120" </w:instrText>
          </w:r>
          <w:r>
            <w:fldChar w:fldCharType="separate"/>
          </w:r>
          <w:r>
            <w:rPr>
              <w:rStyle w:val="22"/>
              <w:rFonts w:ascii="黑体" w:hAnsi="黑体" w:eastAsia="黑体" w:cs="黑体"/>
            </w:rPr>
            <w:t>第四部分</w:t>
          </w:r>
          <w:r>
            <w:tab/>
          </w:r>
          <w:r>
            <w:fldChar w:fldCharType="begin"/>
          </w:r>
          <w:r>
            <w:instrText xml:space="preserve"> PAGEREF _Toc256000120 \h </w:instrText>
          </w:r>
          <w:r>
            <w:fldChar w:fldCharType="separate"/>
          </w:r>
          <w:r>
            <w:t>42</w:t>
          </w:r>
          <w:r>
            <w:fldChar w:fldCharType="end"/>
          </w:r>
          <w:r>
            <w:fldChar w:fldCharType="end"/>
          </w:r>
        </w:p>
        <w:p w14:paraId="610FDF11">
          <w:pPr>
            <w:pStyle w:val="17"/>
            <w:tabs>
              <w:tab w:val="right" w:leader="dot" w:pos="9730"/>
            </w:tabs>
            <w:rPr>
              <w:rFonts w:asciiTheme="minorHAnsi" w:hAnsiTheme="minorHAnsi"/>
              <w:sz w:val="22"/>
            </w:rPr>
          </w:pPr>
          <w:r>
            <w:fldChar w:fldCharType="begin"/>
          </w:r>
          <w:r>
            <w:instrText xml:space="preserve"> HYPERLINK \l "_Toc256000121" </w:instrText>
          </w:r>
          <w:r>
            <w:fldChar w:fldCharType="separate"/>
          </w:r>
          <w:r>
            <w:rPr>
              <w:rStyle w:val="22"/>
              <w:rFonts w:ascii="黑体" w:hAnsi="黑体" w:eastAsia="黑体" w:cs="黑体"/>
            </w:rPr>
            <w:t>名词解释</w:t>
          </w:r>
          <w:r>
            <w:tab/>
          </w:r>
          <w:r>
            <w:fldChar w:fldCharType="begin"/>
          </w:r>
          <w:r>
            <w:instrText xml:space="preserve"> PAGEREF _Toc256000121 \h </w:instrText>
          </w:r>
          <w:r>
            <w:fldChar w:fldCharType="separate"/>
          </w:r>
          <w:r>
            <w:t>42</w:t>
          </w:r>
          <w:r>
            <w:fldChar w:fldCharType="end"/>
          </w:r>
          <w:r>
            <w:fldChar w:fldCharType="end"/>
          </w:r>
        </w:p>
        <w:p w14:paraId="7BEEC7FD">
          <w:pPr>
            <w:pStyle w:val="17"/>
            <w:tabs>
              <w:tab w:val="right" w:leader="dot" w:pos="9730"/>
            </w:tabs>
            <w:rPr>
              <w:rFonts w:asciiTheme="minorHAnsi" w:hAnsiTheme="minorHAnsi"/>
              <w:sz w:val="22"/>
            </w:rPr>
          </w:pPr>
          <w:r>
            <w:fldChar w:fldCharType="begin"/>
          </w:r>
          <w:r>
            <w:instrText xml:space="preserve"> HYPERLINK \l "_Toc256000122" </w:instrText>
          </w:r>
          <w:r>
            <w:fldChar w:fldCharType="separate"/>
          </w:r>
          <w:r>
            <w:rPr>
              <w:rStyle w:val="22"/>
              <w:rFonts w:ascii="黑体" w:hAnsi="黑体" w:eastAsia="黑体" w:cs="黑体"/>
            </w:rPr>
            <w:t>第五部分</w:t>
          </w:r>
          <w:r>
            <w:tab/>
          </w:r>
          <w:r>
            <w:fldChar w:fldCharType="begin"/>
          </w:r>
          <w:r>
            <w:instrText xml:space="preserve"> PAGEREF _Toc256000122 \h </w:instrText>
          </w:r>
          <w:r>
            <w:fldChar w:fldCharType="separate"/>
          </w:r>
          <w:r>
            <w:t>45</w:t>
          </w:r>
          <w:r>
            <w:fldChar w:fldCharType="end"/>
          </w:r>
          <w:r>
            <w:fldChar w:fldCharType="end"/>
          </w:r>
        </w:p>
        <w:p w14:paraId="154A9B2B">
          <w:pPr>
            <w:pStyle w:val="17"/>
            <w:tabs>
              <w:tab w:val="right" w:leader="dot" w:pos="9730"/>
            </w:tabs>
            <w:rPr>
              <w:rFonts w:asciiTheme="minorHAnsi" w:hAnsiTheme="minorHAnsi"/>
              <w:sz w:val="22"/>
            </w:rPr>
          </w:pPr>
          <w:r>
            <w:fldChar w:fldCharType="begin"/>
          </w:r>
          <w:r>
            <w:instrText xml:space="preserve"> HYPERLINK \l "_Toc256000123" </w:instrText>
          </w:r>
          <w:r>
            <w:fldChar w:fldCharType="separate"/>
          </w:r>
          <w:r>
            <w:rPr>
              <w:rStyle w:val="22"/>
              <w:rFonts w:ascii="黑体" w:hAnsi="黑体" w:eastAsia="黑体" w:cs="黑体"/>
            </w:rPr>
            <w:t>附件</w:t>
          </w:r>
          <w:r>
            <w:tab/>
          </w:r>
          <w:r>
            <w:fldChar w:fldCharType="begin"/>
          </w:r>
          <w:r>
            <w:instrText xml:space="preserve"> PAGEREF _Toc256000123 \h </w:instrText>
          </w:r>
          <w:r>
            <w:fldChar w:fldCharType="separate"/>
          </w:r>
          <w:r>
            <w:t>45</w:t>
          </w:r>
          <w:r>
            <w:fldChar w:fldCharType="end"/>
          </w:r>
          <w:r>
            <w:fldChar w:fldCharType="end"/>
          </w:r>
        </w:p>
        <w:p w14:paraId="32F3AD5E">
          <w:pPr>
            <w:adjustRightInd w:val="0"/>
            <w:snapToGrid w:val="0"/>
            <w:rPr>
              <w:rFonts w:hint="eastAsia" w:ascii="仿宋" w:hAnsi="仿宋" w:eastAsia="仿宋" w:cs="仿宋"/>
              <w:b w:val="0"/>
              <w:bCs/>
              <w:kern w:val="2"/>
              <w:sz w:val="32"/>
              <w:szCs w:val="32"/>
              <w:lang w:val="en-US" w:eastAsia="zh-CN" w:bidi="ar-SA"/>
            </w:rPr>
            <w:sectPr>
              <w:footerReference r:id="rId5" w:type="default"/>
              <w:pgSz w:w="11906" w:h="16838"/>
              <w:pgMar w:top="1440" w:right="1083" w:bottom="1440" w:left="1083" w:header="0" w:footer="720" w:gutter="0"/>
              <w:cols w:space="0" w:num="1"/>
              <w:rtlGutter w:val="0"/>
              <w:docGrid w:type="lines" w:linePitch="317" w:charSpace="0"/>
            </w:sectPr>
          </w:pPr>
          <w:r>
            <w:rPr>
              <w:rFonts w:hint="eastAsia" w:ascii="仿宋" w:hAnsi="仿宋" w:eastAsia="仿宋" w:cs="仿宋"/>
              <w:b w:val="0"/>
              <w:bCs/>
              <w:kern w:val="2"/>
              <w:sz w:val="32"/>
              <w:szCs w:val="32"/>
              <w:lang w:val="en-US" w:eastAsia="zh-CN" w:bidi="ar-SA"/>
            </w:rPr>
            <w:fldChar w:fldCharType="end"/>
          </w:r>
        </w:p>
      </w:sdtContent>
    </w:sdt>
    <w:p w14:paraId="1BC0D267">
      <w:pPr>
        <w:pStyle w:val="28"/>
        <w:widowControl/>
        <w:spacing w:before="100" w:after="270"/>
        <w:ind w:left="0" w:right="0" w:firstLine="0"/>
        <w:jc w:val="center"/>
        <w:rPr>
          <w:rFonts w:ascii="Times New Roman" w:hAnsi="Times New Roman" w:eastAsia="Times New Roman" w:cs="Times New Roman"/>
          <w:kern w:val="0"/>
          <w:sz w:val="24"/>
        </w:rPr>
      </w:pPr>
      <w:bookmarkStart w:id="0" w:name="a000"/>
    </w:p>
    <w:p w14:paraId="71D1215E">
      <w:pPr>
        <w:pStyle w:val="28"/>
        <w:widowControl/>
        <w:spacing w:before="100" w:after="100"/>
        <w:ind w:left="0" w:right="0" w:firstLine="0"/>
        <w:jc w:val="center"/>
        <w:rPr>
          <w:rFonts w:ascii="Times New Roman" w:hAnsi="Times New Roman" w:eastAsia="Times New Roman" w:cs="Times New Roman"/>
          <w:kern w:val="0"/>
          <w:sz w:val="24"/>
        </w:rPr>
      </w:pPr>
      <w:r>
        <w:rPr>
          <w:rFonts w:ascii="Calibri" w:hAnsi="Calibri" w:eastAsia="Calibri" w:cs="Calibri"/>
          <w:spacing w:val="0"/>
          <w:kern w:val="0"/>
          <w:sz w:val="84"/>
          <w:szCs w:val="84"/>
        </w:rPr>
        <w:t> </w:t>
      </w:r>
    </w:p>
    <w:p w14:paraId="075CA3A9">
      <w:pPr>
        <w:widowControl/>
        <w:spacing w:before="240" w:after="240"/>
        <w:jc w:val="left"/>
        <w:rPr>
          <w:rFonts w:ascii="Times New Roman" w:hAnsi="Times New Roman" w:eastAsia="Times New Roman" w:cs="Times New Roman"/>
          <w:kern w:val="0"/>
          <w:sz w:val="24"/>
        </w:rPr>
      </w:pPr>
    </w:p>
    <w:p w14:paraId="25B4C020">
      <w:pPr>
        <w:widowControl/>
        <w:spacing w:before="240" w:after="240"/>
        <w:jc w:val="left"/>
        <w:rPr>
          <w:rFonts w:ascii="Times New Roman" w:hAnsi="Times New Roman" w:eastAsia="Times New Roman" w:cs="Times New Roman"/>
          <w:kern w:val="0"/>
          <w:sz w:val="24"/>
        </w:rPr>
      </w:pPr>
    </w:p>
    <w:p w14:paraId="1272F902">
      <w:pPr>
        <w:widowControl/>
        <w:spacing w:before="240" w:after="240"/>
        <w:jc w:val="left"/>
        <w:rPr>
          <w:rFonts w:ascii="Times New Roman" w:hAnsi="Times New Roman" w:eastAsia="Times New Roman" w:cs="Times New Roman"/>
          <w:kern w:val="0"/>
          <w:sz w:val="24"/>
        </w:rPr>
      </w:pPr>
    </w:p>
    <w:p w14:paraId="09A43A15">
      <w:pPr>
        <w:widowControl/>
        <w:spacing w:before="240" w:after="240"/>
        <w:jc w:val="left"/>
        <w:rPr>
          <w:rFonts w:ascii="Times New Roman" w:hAnsi="Times New Roman" w:eastAsia="Times New Roman" w:cs="Times New Roman"/>
          <w:kern w:val="0"/>
          <w:sz w:val="24"/>
        </w:rPr>
      </w:pPr>
    </w:p>
    <w:p w14:paraId="2AE1231B">
      <w:pPr>
        <w:widowControl/>
        <w:spacing w:before="240" w:after="240"/>
        <w:jc w:val="left"/>
        <w:rPr>
          <w:rFonts w:ascii="Times New Roman" w:hAnsi="Times New Roman" w:eastAsia="Times New Roman" w:cs="Times New Roman"/>
          <w:kern w:val="0"/>
          <w:sz w:val="24"/>
        </w:rPr>
      </w:pPr>
    </w:p>
    <w:p w14:paraId="7282A974">
      <w:pPr>
        <w:widowControl/>
        <w:spacing w:before="240" w:after="240"/>
        <w:jc w:val="left"/>
        <w:rPr>
          <w:rFonts w:ascii="Times New Roman" w:hAnsi="Times New Roman" w:eastAsia="Times New Roman" w:cs="Times New Roman"/>
          <w:kern w:val="0"/>
          <w:sz w:val="24"/>
        </w:rPr>
      </w:pPr>
    </w:p>
    <w:p w14:paraId="44F39162">
      <w:pPr>
        <w:widowControl/>
        <w:spacing w:before="240" w:after="240"/>
        <w:jc w:val="left"/>
        <w:rPr>
          <w:rFonts w:ascii="Times New Roman" w:hAnsi="Times New Roman" w:eastAsia="Times New Roman" w:cs="Times New Roman"/>
          <w:kern w:val="0"/>
          <w:sz w:val="24"/>
        </w:rPr>
      </w:pPr>
    </w:p>
    <w:p w14:paraId="69A4DC6A">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1" w:name="_Toc256000062"/>
      <w:bookmarkStart w:id="2" w:name="_Toc256000031"/>
      <w:bookmarkStart w:id="3" w:name="_Toc256000093"/>
      <w:bookmarkStart w:id="4" w:name="_Toc256000000"/>
      <w:r>
        <w:rPr>
          <w:rFonts w:ascii="黑体" w:hAnsi="黑体" w:eastAsia="黑体" w:cs="黑体"/>
          <w:b/>
          <w:spacing w:val="0"/>
          <w:sz w:val="56"/>
          <w:szCs w:val="56"/>
        </w:rPr>
        <w:t>第一部分</w:t>
      </w:r>
      <w:bookmarkEnd w:id="1"/>
      <w:bookmarkEnd w:id="2"/>
      <w:bookmarkEnd w:id="3"/>
      <w:bookmarkEnd w:id="4"/>
      <w:r>
        <w:rPr>
          <w:rFonts w:ascii="宋体" w:hAnsi="宋体" w:eastAsia="宋体" w:cs="宋体"/>
          <w:b/>
          <w:spacing w:val="0"/>
          <w:sz w:val="56"/>
          <w:szCs w:val="56"/>
        </w:rPr>
        <w:t> </w:t>
      </w:r>
    </w:p>
    <w:p w14:paraId="79647D2D">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5" w:name="_Toc256000032"/>
      <w:bookmarkStart w:id="6" w:name="_Toc256000001"/>
      <w:bookmarkStart w:id="7" w:name="_Toc256000094"/>
      <w:bookmarkStart w:id="8" w:name="_Toc256000063"/>
      <w:r>
        <w:rPr>
          <w:rFonts w:ascii="黑体" w:hAnsi="黑体" w:eastAsia="黑体" w:cs="黑体"/>
          <w:b/>
          <w:spacing w:val="0"/>
          <w:sz w:val="56"/>
          <w:szCs w:val="56"/>
        </w:rPr>
        <w:t>单位概况</w:t>
      </w:r>
      <w:bookmarkEnd w:id="5"/>
      <w:bookmarkEnd w:id="6"/>
      <w:bookmarkEnd w:id="7"/>
      <w:bookmarkEnd w:id="8"/>
    </w:p>
    <w:p w14:paraId="70AC1D0D">
      <w:pPr>
        <w:pStyle w:val="29"/>
        <w:widowControl/>
        <w:spacing w:before="100" w:after="100"/>
        <w:ind w:left="0" w:right="0" w:firstLine="0"/>
        <w:jc w:val="center"/>
        <w:rPr>
          <w:rFonts w:ascii="Times New Roman" w:hAnsi="Times New Roman" w:eastAsia="Times New Roman" w:cs="Times New Roman"/>
          <w:kern w:val="0"/>
          <w:sz w:val="24"/>
        </w:rPr>
      </w:pPr>
    </w:p>
    <w:p w14:paraId="4885B240">
      <w:pPr>
        <w:sectPr>
          <w:footerReference r:id="rId6" w:type="default"/>
          <w:pgSz w:w="11906" w:h="16838"/>
          <w:pgMar w:top="1440" w:right="720" w:bottom="1440" w:left="720" w:header="720" w:footer="720" w:gutter="0"/>
          <w:cols w:space="720" w:num="1"/>
        </w:sectPr>
      </w:pPr>
    </w:p>
    <w:p w14:paraId="31CF4967">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2D994DB5">
      <w:pPr>
        <w:widowControl/>
        <w:spacing w:before="240" w:after="240"/>
        <w:jc w:val="left"/>
        <w:rPr>
          <w:rFonts w:ascii="Times New Roman" w:hAnsi="Times New Roman" w:eastAsia="Times New Roman" w:cs="Times New Roman"/>
          <w:kern w:val="0"/>
          <w:sz w:val="24"/>
        </w:rPr>
      </w:pPr>
    </w:p>
    <w:p w14:paraId="16A5BD05">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r>
        <w:rPr>
          <w:rFonts w:ascii="Calibri" w:hAnsi="Calibri" w:eastAsia="Calibri" w:cs="Calibri"/>
          <w:b/>
          <w:spacing w:val="0"/>
        </w:rPr>
        <w:t> </w:t>
      </w:r>
      <w:r>
        <w:rPr>
          <w:rFonts w:ascii="黑体" w:hAnsi="黑体" w:eastAsia="黑体" w:cs="黑体"/>
          <w:b/>
          <w:spacing w:val="0"/>
        </w:rPr>
        <w:t xml:space="preserve"> </w:t>
      </w:r>
      <w:r>
        <w:rPr>
          <w:rFonts w:ascii="Calibri" w:hAnsi="Calibri" w:eastAsia="Calibri" w:cs="Calibri"/>
          <w:b/>
          <w:spacing w:val="0"/>
        </w:rPr>
        <w:t> </w:t>
      </w:r>
      <w:r>
        <w:rPr>
          <w:rFonts w:ascii="黑体" w:hAnsi="黑体" w:eastAsia="黑体" w:cs="黑体"/>
          <w:b/>
          <w:spacing w:val="0"/>
        </w:rPr>
        <w:t xml:space="preserve"> </w:t>
      </w:r>
      <w:bookmarkStart w:id="9" w:name="_Toc256000064"/>
      <w:bookmarkStart w:id="10" w:name="_Toc256000002"/>
      <w:bookmarkStart w:id="11" w:name="_Toc256000033"/>
      <w:bookmarkStart w:id="12" w:name="_Toc256000095"/>
      <w:r>
        <w:rPr>
          <w:rFonts w:ascii="黑体" w:hAnsi="黑体" w:eastAsia="黑体" w:cs="黑体"/>
          <w:b/>
          <w:spacing w:val="0"/>
        </w:rPr>
        <w:t>一、单位主要职责</w:t>
      </w:r>
      <w:bookmarkEnd w:id="9"/>
      <w:bookmarkEnd w:id="10"/>
      <w:bookmarkEnd w:id="11"/>
      <w:bookmarkEnd w:id="12"/>
    </w:p>
    <w:p w14:paraId="2FBDC5AB">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厦门市湖里区劳动人事争议仲裁院单位的主要职责是：具体承办辖区劳动人事争议仲裁案件处理和区劳动人事争议仲裁委员会的日常工作。</w:t>
      </w:r>
    </w:p>
    <w:p w14:paraId="5A80D1C0">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3" w:name="_Toc256000065"/>
      <w:bookmarkStart w:id="14" w:name="_Toc256000003"/>
      <w:bookmarkStart w:id="15" w:name="_Toc256000034"/>
      <w:bookmarkStart w:id="16" w:name="_Toc256000096"/>
      <w:r>
        <w:rPr>
          <w:rFonts w:ascii="黑体" w:hAnsi="黑体" w:eastAsia="黑体" w:cs="黑体"/>
          <w:b/>
          <w:spacing w:val="0"/>
        </w:rPr>
        <w:t>二、单位基本情况</w:t>
      </w:r>
      <w:bookmarkEnd w:id="13"/>
      <w:bookmarkEnd w:id="14"/>
      <w:bookmarkEnd w:id="15"/>
      <w:bookmarkEnd w:id="16"/>
    </w:p>
    <w:p w14:paraId="37AD8A96">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从决算单位构成看，本单位包括0个内设机构，其中：列入2024年决算编制范围的单位详细情况见下表:</w:t>
      </w:r>
    </w:p>
    <w:tbl>
      <w:tblPr>
        <w:tblStyle w:val="19"/>
        <w:tblW w:w="10510" w:type="dxa"/>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3665"/>
        <w:gridCol w:w="6845"/>
      </w:tblGrid>
      <w:tr w14:paraId="10E4A1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blHeader/>
        </w:trPr>
        <w:tc>
          <w:tcPr>
            <w:tcW w:w="3665" w:type="dxa"/>
            <w:tcBorders>
              <w:right w:val="inset" w:color="808080" w:sz="6" w:space="0"/>
            </w:tcBorders>
            <w:noWrap w:val="0"/>
            <w:tcMar>
              <w:top w:w="22" w:type="dxa"/>
              <w:left w:w="22" w:type="dxa"/>
              <w:bottom w:w="22" w:type="dxa"/>
              <w:right w:w="22" w:type="dxa"/>
            </w:tcMar>
            <w:vAlign w:val="center"/>
          </w:tcPr>
          <w:p w14:paraId="1C1322D1">
            <w:pPr>
              <w:widowControl/>
              <w:ind w:firstLine="640"/>
              <w:jc w:val="center"/>
              <w:rPr>
                <w:rFonts w:ascii="仿宋" w:hAnsi="仿宋" w:eastAsia="仿宋" w:cs="仿宋"/>
                <w:b/>
                <w:bCs/>
                <w:i w:val="0"/>
                <w:iCs w:val="0"/>
                <w:smallCaps w:val="0"/>
                <w:color w:val="000000"/>
                <w:spacing w:val="0"/>
                <w:kern w:val="0"/>
                <w:sz w:val="24"/>
              </w:rPr>
            </w:pPr>
            <w:r>
              <w:rPr>
                <w:rFonts w:ascii="仿宋" w:hAnsi="仿宋" w:eastAsia="仿宋" w:cs="仿宋"/>
                <w:b/>
                <w:bCs/>
                <w:i w:val="0"/>
                <w:iCs w:val="0"/>
                <w:smallCaps w:val="0"/>
                <w:color w:val="000000"/>
                <w:spacing w:val="0"/>
                <w:kern w:val="0"/>
                <w:sz w:val="24"/>
              </w:rPr>
              <w:t>序号</w:t>
            </w:r>
          </w:p>
        </w:tc>
        <w:tc>
          <w:tcPr>
            <w:tcW w:w="6845" w:type="dxa"/>
            <w:tcBorders>
              <w:left w:val="inset" w:color="808080" w:sz="6" w:space="0"/>
            </w:tcBorders>
            <w:noWrap w:val="0"/>
            <w:tcMar>
              <w:top w:w="22" w:type="dxa"/>
              <w:left w:w="22" w:type="dxa"/>
              <w:bottom w:w="22" w:type="dxa"/>
              <w:right w:w="22" w:type="dxa"/>
            </w:tcMar>
            <w:vAlign w:val="center"/>
          </w:tcPr>
          <w:p w14:paraId="4927A715">
            <w:pPr>
              <w:widowControl/>
              <w:ind w:firstLine="640"/>
              <w:jc w:val="center"/>
              <w:rPr>
                <w:rFonts w:ascii="仿宋" w:hAnsi="仿宋" w:eastAsia="仿宋" w:cs="仿宋"/>
                <w:b/>
                <w:bCs/>
                <w:i w:val="0"/>
                <w:iCs w:val="0"/>
                <w:smallCaps w:val="0"/>
                <w:color w:val="000000"/>
                <w:spacing w:val="0"/>
                <w:kern w:val="0"/>
                <w:sz w:val="24"/>
              </w:rPr>
            </w:pPr>
            <w:r>
              <w:rPr>
                <w:rFonts w:ascii="仿宋" w:hAnsi="仿宋" w:eastAsia="仿宋" w:cs="仿宋"/>
                <w:b/>
                <w:bCs/>
                <w:i w:val="0"/>
                <w:iCs w:val="0"/>
                <w:smallCaps w:val="0"/>
                <w:color w:val="000000"/>
                <w:spacing w:val="0"/>
                <w:kern w:val="0"/>
                <w:sz w:val="24"/>
              </w:rPr>
              <w:t>单位名称</w:t>
            </w:r>
          </w:p>
        </w:tc>
      </w:tr>
    </w:tbl>
    <w:p w14:paraId="30362C03">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7" w:name="_Toc256000035"/>
      <w:bookmarkStart w:id="18" w:name="_Toc256000004"/>
      <w:bookmarkStart w:id="19" w:name="_Toc256000097"/>
      <w:bookmarkStart w:id="20" w:name="_Toc256000066"/>
      <w:r>
        <w:rPr>
          <w:rFonts w:ascii="黑体" w:hAnsi="黑体" w:eastAsia="黑体" w:cs="黑体"/>
          <w:b/>
          <w:spacing w:val="0"/>
        </w:rPr>
        <w:t>三、单位主要工作总结</w:t>
      </w:r>
      <w:bookmarkEnd w:id="17"/>
      <w:bookmarkEnd w:id="18"/>
      <w:bookmarkEnd w:id="19"/>
      <w:bookmarkEnd w:id="20"/>
    </w:p>
    <w:p w14:paraId="73B00682">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2024年，厦门市湖里区劳动人事争议仲裁院单位主要任务是：开展劳动争议预防与化解工作围绕上述任务，重点完成了以下工作：</w:t>
      </w:r>
    </w:p>
    <w:p w14:paraId="7D7BC04A">
      <w:pPr>
        <w:pStyle w:val="28"/>
        <w:widowControl/>
        <w:numPr>
          <w:ilvl w:val="0"/>
          <w:numId w:val="1"/>
        </w:numPr>
        <w:spacing w:before="100" w:after="100" w:line="600" w:lineRule="atLeast"/>
        <w:ind w:left="0" w:right="0" w:firstLine="640"/>
        <w:jc w:val="left"/>
        <w:rPr>
          <w:rFonts w:ascii="仿宋" w:hAnsi="仿宋" w:eastAsia="仿宋" w:cs="仿宋"/>
          <w:spacing w:val="0"/>
          <w:kern w:val="0"/>
          <w:sz w:val="32"/>
          <w:szCs w:val="32"/>
        </w:rPr>
      </w:pPr>
      <w:r>
        <w:rPr>
          <w:rFonts w:ascii="仿宋" w:hAnsi="仿宋" w:eastAsia="仿宋" w:cs="仿宋"/>
          <w:spacing w:val="0"/>
          <w:kern w:val="0"/>
          <w:sz w:val="32"/>
          <w:szCs w:val="32"/>
        </w:rPr>
        <w:t>将化解劳动人事争议放在首位，依法办理调解仲裁案件</w:t>
      </w:r>
    </w:p>
    <w:p w14:paraId="40274B11">
      <w:pPr>
        <w:pStyle w:val="28"/>
        <w:widowControl/>
        <w:numPr>
          <w:ilvl w:val="0"/>
          <w:numId w:val="2"/>
        </w:numPr>
        <w:spacing w:before="100" w:after="100" w:line="600" w:lineRule="atLeast"/>
        <w:ind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发挥专业化职能，维护当事人合法权益。2024年办案年度，累计收到仲裁申请2088件，涉及劳动者2703人，涉案金额11356.11万元，仲裁申请收件数较去年同比增长14%。累计审结仲裁案件2075件，涉及劳动者2586人，结案金额7507.9万元，结案率95.8%，调解率69.1%。共处理“互联网+调解”争议1075件，各基层劳动争议调解组织共参与调解劳动争议1361件、达成调解1060件，调解成功率77.8%。省市下达的结案率、调解率工作指标均居全市首位。</w:t>
      </w:r>
    </w:p>
    <w:p w14:paraId="0412BF97">
      <w:pPr>
        <w:pStyle w:val="28"/>
        <w:widowControl/>
        <w:numPr>
          <w:ilvl w:val="0"/>
          <w:numId w:val="2"/>
        </w:numPr>
        <w:spacing w:before="100" w:after="100" w:line="600" w:lineRule="atLeast"/>
        <w:ind w:left="0" w:leftChars="0"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发挥“仲裁+”职能，承担多元化解枢纽功能。坚持“仲裁+基层调解”机制，指导建立309家基层劳动争议调解组织，全市唯一组织区级劳动争议调解员培训、培训调解员280人，全市唯一坚持贯彻委托调解、仲裁审查、调解奖励机制，超过80%在基层调解成功的案件当事人自觉履行，不断夯实区-街-居-企四级调解体系持续发挥基层劳动关系的社会治理作用。坚持“仲裁+诉讼”机制，通过座谈交流、案例研讨、AI裁判文书对比等方式，仲裁处理后再进入法院诉讼审理的案件100件，人民法院改判11件，纠纷在仲裁阶段的终结率达94.4%，所有劳动争议经仲裁处理后仍被改判的仅有0.6%，有效提升仲裁公信力。利用信息系统与就业、社保、市场监督、公安等部门的数据共享，发现就业登记或社会保险减退异常预警信息34条，通过与劳动保障监察大队、街道的联合摸排、提前介入，将纠纷隐患处理在萌芽阶段。</w:t>
      </w:r>
    </w:p>
    <w:p w14:paraId="6E27BC27">
      <w:pPr>
        <w:pStyle w:val="28"/>
        <w:widowControl/>
        <w:numPr>
          <w:ilvl w:val="0"/>
          <w:numId w:val="2"/>
        </w:numPr>
        <w:spacing w:before="100" w:after="100" w:line="600" w:lineRule="atLeast"/>
        <w:ind w:left="0" w:leftChars="0"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发挥社会维稳职能，关注群体纠纷妥善处理。始终将依法高效处理群体性劳动争议作为主动创稳的重要内容，畅通特殊群体仲裁申请绿色通道，与区法律援助中心协同实现法援力量提前现场介入集体劳动争议处理，利用信息化工具跟踪劳动纠纷舆情、重大群体劳动争议办理情况，全链监督群体、涉访等影响重大的劳动争议处理进度。2024年办案年度，依法高效处理包括鑫红河谷酒吧、宇科模具、凯通泰成等在内的集体案件38件，平均每个案件办案的时限为19日，为629名劳动者追讨劳动报酬588.33万元，追讨经济补偿647.45万元，无一在进入仲裁程序后仍发生涉访事件。</w:t>
      </w:r>
    </w:p>
    <w:p w14:paraId="67F640F0">
      <w:pPr>
        <w:pStyle w:val="28"/>
        <w:widowControl/>
        <w:numPr>
          <w:ilvl w:val="0"/>
          <w:numId w:val="1"/>
        </w:numPr>
        <w:spacing w:before="100" w:after="100" w:line="600" w:lineRule="atLeast"/>
        <w:ind w:left="0" w:leftChars="0" w:right="0" w:rightChars="0" w:firstLine="640" w:firstLineChars="0"/>
        <w:jc w:val="left"/>
        <w:rPr>
          <w:rFonts w:ascii="仿宋" w:hAnsi="仿宋" w:eastAsia="仿宋" w:cs="仿宋"/>
          <w:spacing w:val="0"/>
          <w:kern w:val="0"/>
          <w:sz w:val="32"/>
          <w:szCs w:val="32"/>
        </w:rPr>
      </w:pPr>
      <w:r>
        <w:rPr>
          <w:rFonts w:ascii="仿宋" w:hAnsi="仿宋" w:eastAsia="仿宋" w:cs="仿宋"/>
          <w:spacing w:val="0"/>
          <w:kern w:val="0"/>
          <w:sz w:val="32"/>
          <w:szCs w:val="32"/>
        </w:rPr>
        <w:t>将促进劳动关系和谐作为核心，深化改革创新长效发展</w:t>
      </w:r>
    </w:p>
    <w:p w14:paraId="23DA734C">
      <w:pPr>
        <w:pStyle w:val="28"/>
        <w:widowControl/>
        <w:numPr>
          <w:ilvl w:val="0"/>
          <w:numId w:val="3"/>
        </w:numPr>
        <w:spacing w:before="100" w:after="100" w:line="600" w:lineRule="atLeast"/>
        <w:ind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深入推进改革机制做深做实，实现重点群体服务全面提升。落实两岸融合化解劳动人事争议相关制度，完善台籍劳动人事争议仲裁员、调解员、咨询专家队伍建设。对厦门市全市涉及台胞、台企的劳动争议进行专项管辖，2024年度，所有涉台劳动争议案件均有台籍仲裁员、台籍调解员100%参与，共处理仲裁案件26件。加强源头治理，进一步推进涉台劳动争议预防化解第一线前移，探索在社区发挥台胞主任助理作用建立基层工作点，深化两岸融合化解劳动人事争议组织体系优化。2024年7月23日，人社部发布《支持福建探索海峡两岸融合发展新路政策措施》，明确提出将厦门湖里区两岸融合化解劳动人事争议工作机制推向福州、泉州、漳州、平潭等台商企业密集地区。关注新就业形态劳动者权益保障，发挥人社部门牵头新就业形态劳动者劳动权益模式的积极作用，实现“一基地、多协同、共服务”模式的闭环运转，统筹仲裁员、调解员、工会干部、法律援助律师等资源并形成合力，依法处理128件涉及新就业形态的劳动纠纷，涉及报酬等相关事项金额共计262.62万元，63%的纠纷通过调解的结案方式予以柔性化解。相关做法得到厦视新闻等媒体的关注报道。</w:t>
      </w:r>
    </w:p>
    <w:p w14:paraId="3F3417AD">
      <w:pPr>
        <w:pStyle w:val="28"/>
        <w:widowControl/>
        <w:numPr>
          <w:ilvl w:val="0"/>
          <w:numId w:val="3"/>
        </w:numPr>
        <w:spacing w:before="100" w:after="100" w:line="600" w:lineRule="atLeast"/>
        <w:ind w:left="0" w:leftChars="0"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深化基层劳动关系公共服务，解决群众企业切实所需。承接市综改项目任务，持续开展全国首批、全市首个基层劳动关系公共服务样板站点建设。2024年度，站点开展劳动法律宣传援助咨询、企业用工管理诊断和规范化水平提升指导、企业用工和收入分配指导、集体协商和企业民主管理指导、劳动纠纷调解、企业文化和社会责任建设指导、职工心理疏导等七项服务，接受企业和劳动者咨询10717人次，开展“线上+线下”劳动关系主题宣讲27次、参加人数达3195人次，对企业用工管理进行“体检诊断”共计2056家次。全市首创采用剧本杀、普法游园、线上闯关等形式开展和谐劳动关系创建与合规用工指导服务。开展站点建设的区域取得“1升2降”的明显成效:“1升”指采用调解方式化解的劳动争议比例上升，调解率从34%上升至80%,“2降”指经过指导的企业发生纠纷的比例下降，站点所在辖区发生的劳动争议案件数下降了19%。</w:t>
      </w:r>
    </w:p>
    <w:p w14:paraId="6E2286F2">
      <w:pPr>
        <w:pStyle w:val="28"/>
        <w:widowControl/>
        <w:numPr>
          <w:ilvl w:val="0"/>
          <w:numId w:val="3"/>
        </w:numPr>
        <w:spacing w:before="100" w:after="100" w:line="600" w:lineRule="atLeast"/>
        <w:ind w:left="0" w:leftChars="0"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建立“人社+市场监督”机制，强化源头治理第一阵地。一方面，建立案件处理信息互通机制。劳动者根据需要持劳动人事争议仲裁相关文书向区市场监督管理局就案涉企业办理工商变更、注销登记等业务提起异议33件，避免企业工商登记变化影响劳动者权益。仲裁院在处理劳动争议过程中发现市场主体工商登记档案内容存在实际经营地与住所地不一致、无法联系的，及时将线索移送给区市场监督管理局，区市场监督管理局根据相关法律法规对其进行处理。另一方面，建立劳动规范用工共建机制。与区市场监督管理局联合开展企业合规用工相关讲座培训活动，收集和总结规范用工典型案例的，在市场监督管理局企业与个体工商户登记注册窗口发放劳动争议预防宣传单3000份，引导新注册企业自注册起建立规范用工理念，从根源上避免争议发生。</w:t>
      </w:r>
    </w:p>
    <w:p w14:paraId="4FE7A6D3">
      <w:pPr>
        <w:pStyle w:val="28"/>
        <w:widowControl/>
        <w:numPr>
          <w:ilvl w:val="0"/>
          <w:numId w:val="1"/>
        </w:numPr>
        <w:spacing w:before="100" w:after="100" w:line="600" w:lineRule="atLeast"/>
        <w:ind w:left="0" w:leftChars="0" w:right="0" w:rightChars="0" w:firstLine="640" w:firstLineChars="0"/>
        <w:jc w:val="left"/>
        <w:rPr>
          <w:rFonts w:ascii="仿宋" w:hAnsi="仿宋" w:eastAsia="仿宋" w:cs="仿宋"/>
          <w:spacing w:val="0"/>
          <w:kern w:val="0"/>
          <w:sz w:val="32"/>
          <w:szCs w:val="32"/>
        </w:rPr>
      </w:pPr>
      <w:r>
        <w:rPr>
          <w:rFonts w:ascii="仿宋" w:hAnsi="仿宋" w:eastAsia="仿宋" w:cs="仿宋"/>
          <w:spacing w:val="0"/>
          <w:kern w:val="0"/>
          <w:sz w:val="32"/>
          <w:szCs w:val="32"/>
        </w:rPr>
        <w:t>将信息化建设作为支撑手段，为预防化解“全链条”</w:t>
      </w:r>
      <w:r>
        <w:rPr>
          <w:rFonts w:hint="eastAsia" w:ascii="仿宋" w:hAnsi="仿宋" w:eastAsia="仿宋" w:cs="仿宋"/>
          <w:spacing w:val="0"/>
          <w:kern w:val="0"/>
          <w:sz w:val="32"/>
          <w:szCs w:val="32"/>
          <w:lang w:eastAsia="zh-CN"/>
        </w:rPr>
        <w:t>赋能</w:t>
      </w:r>
    </w:p>
    <w:p w14:paraId="7EF0DC5B">
      <w:pPr>
        <w:pStyle w:val="28"/>
        <w:widowControl/>
        <w:numPr>
          <w:ilvl w:val="0"/>
          <w:numId w:val="4"/>
        </w:numPr>
        <w:spacing w:before="100" w:after="100" w:line="600" w:lineRule="atLeast"/>
        <w:ind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要素式审理”再发展，人工智能辅助效能提升。将在答辩阶段，在移动端、PC端、自助机端的答辩服务入口增加工伤待遇、二倍工资、经济补偿、赔偿金等仲裁请求的要素式答辩功能，被申请人根据申请人的仲裁请求逐步选择要素式审理选项问题进行答辩或回复，提升被申请人答辩效率与针对性、减少企业聘请律师成本。在裁决阶段，完善要素式裁决书撰写的相关功能，增加工伤保险待遇等仲裁请求的要素式裁决书撰写功能，让裁决书撰写在兼具智能、规范的同时提升了裁判标准的统一性，增强裁判文书对公众的引导作用。在案件结案阶段，办案人员通过要素式审理回答相应问题则自动生成要素式裁决书，进一步提高工作人员的办案效率。</w:t>
      </w:r>
    </w:p>
    <w:p w14:paraId="51EEA95F">
      <w:pPr>
        <w:pStyle w:val="28"/>
        <w:widowControl/>
        <w:numPr>
          <w:ilvl w:val="0"/>
          <w:numId w:val="4"/>
        </w:numPr>
        <w:spacing w:before="100" w:after="100" w:line="600" w:lineRule="atLeast"/>
        <w:ind w:left="0" w:leftChars="0" w:right="0" w:rightChars="0" w:firstLine="640" w:firstLineChars="200"/>
        <w:jc w:val="left"/>
        <w:rPr>
          <w:rFonts w:ascii="仿宋" w:hAnsi="仿宋" w:eastAsia="仿宋" w:cs="仿宋"/>
          <w:spacing w:val="0"/>
          <w:kern w:val="0"/>
          <w:sz w:val="32"/>
          <w:szCs w:val="32"/>
        </w:rPr>
      </w:pPr>
      <w:r>
        <w:rPr>
          <w:rFonts w:ascii="仿宋" w:hAnsi="仿宋" w:eastAsia="仿宋" w:cs="仿宋"/>
          <w:spacing w:val="0"/>
          <w:kern w:val="0"/>
          <w:sz w:val="32"/>
          <w:szCs w:val="32"/>
        </w:rPr>
        <w:t>送达模式再优化，进一步疏通仲裁程序难点堵点。完善系统送达功能，增加前端智能语音电话提醒功能，让群众在发生仲裁案件的第一时间知晓情况；拓展电子送达途径，从原有的短信送达1种方式拓展为短信送达、电子邮箱送达、系统账号内送达3种模式并逐步向微信送达延伸；提升电子送达效力，实现电子送达后电子签名存证。送达时间压缩20%。</w:t>
      </w:r>
    </w:p>
    <w:p w14:paraId="03493B77">
      <w:pPr>
        <w:pStyle w:val="28"/>
        <w:widowControl/>
        <w:numPr>
          <w:numId w:val="0"/>
        </w:numPr>
        <w:spacing w:before="100" w:after="100" w:line="600" w:lineRule="atLeast"/>
        <w:ind w:right="0" w:rightChars="0" w:firstLine="640" w:firstLineChars="200"/>
        <w:jc w:val="left"/>
        <w:rPr>
          <w:rFonts w:ascii="Times New Roman" w:hAnsi="Times New Roman" w:eastAsia="Times New Roman" w:cs="Times New Roman"/>
          <w:kern w:val="0"/>
          <w:sz w:val="24"/>
        </w:rPr>
      </w:pPr>
      <w:r>
        <w:rPr>
          <w:rFonts w:ascii="仿宋" w:hAnsi="仿宋" w:eastAsia="仿宋" w:cs="仿宋"/>
          <w:spacing w:val="0"/>
          <w:kern w:val="0"/>
          <w:sz w:val="32"/>
          <w:szCs w:val="32"/>
        </w:rPr>
        <w:t>3.线上培训再提升，促进队伍专业化发展。对劳动人事争议仲裁“元宇宙”庭审模式进行完善，创新调解员培训实际业务和使用场景，改变现有仲裁庭不足影响效率的现状，通过“沉浸式”培训提升效能。通过元宇宙培训“参观模式”，对现在元宇宙仲裁庭的各个区域进行介绍；在每个区域提供语音播放功能并显示文字；在操作界面上提供元宇宙仲裁庭各区域的检索，实现参观者快速到达。通过元宇宙培训“单人模式”，引导案件当事人通过单人模式进入元宇宙仲裁庭空间，可以根据每个人的角色类型对仲裁庭审流程进行模拟，帮助庭审各个角色对庭审流程进行学习、训练、检测，为每个案件当事人提供庭审多角色的体验和操作功能，让各个庭审角色快速、高效、深刻地学习到仲裁庭庭审流程。</w:t>
      </w:r>
    </w:p>
    <w:p w14:paraId="4D53822A">
      <w:pPr>
        <w:sectPr>
          <w:footerReference r:id="rId7" w:type="default"/>
          <w:pgSz w:w="11906" w:h="16838"/>
          <w:pgMar w:top="1440" w:right="720" w:bottom="1440" w:left="720" w:header="720" w:footer="720" w:gutter="0"/>
          <w:cols w:space="720" w:num="1"/>
        </w:sectPr>
      </w:pPr>
    </w:p>
    <w:p w14:paraId="2EE76FB4">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3064E890">
      <w:pPr>
        <w:widowControl/>
        <w:spacing w:before="240" w:after="240"/>
        <w:jc w:val="left"/>
        <w:rPr>
          <w:rFonts w:ascii="Times New Roman" w:hAnsi="Times New Roman" w:eastAsia="Times New Roman" w:cs="Times New Roman"/>
          <w:kern w:val="0"/>
          <w:sz w:val="24"/>
        </w:rPr>
      </w:pPr>
    </w:p>
    <w:p w14:paraId="3A3E6849">
      <w:pPr>
        <w:pStyle w:val="29"/>
        <w:widowControl/>
        <w:spacing w:before="100" w:after="100"/>
        <w:ind w:left="0" w:right="0" w:firstLine="0"/>
        <w:jc w:val="left"/>
        <w:rPr>
          <w:rFonts w:ascii="Times New Roman" w:hAnsi="Times New Roman" w:eastAsia="Times New Roman" w:cs="Times New Roman"/>
          <w:kern w:val="0"/>
          <w:sz w:val="24"/>
        </w:rPr>
      </w:pPr>
    </w:p>
    <w:p w14:paraId="43B1A158">
      <w:pPr>
        <w:pStyle w:val="29"/>
        <w:widowControl/>
        <w:spacing w:before="100" w:after="100"/>
        <w:ind w:left="0" w:right="0" w:firstLine="0"/>
        <w:jc w:val="left"/>
        <w:rPr>
          <w:rFonts w:ascii="Times New Roman" w:hAnsi="Times New Roman" w:eastAsia="Times New Roman" w:cs="Times New Roman"/>
          <w:kern w:val="0"/>
          <w:sz w:val="24"/>
        </w:rPr>
      </w:pPr>
    </w:p>
    <w:p w14:paraId="60E759F2">
      <w:pPr>
        <w:pStyle w:val="29"/>
        <w:widowControl/>
        <w:spacing w:before="100" w:after="100"/>
        <w:ind w:left="0" w:right="0" w:firstLine="0"/>
        <w:jc w:val="left"/>
        <w:rPr>
          <w:rFonts w:ascii="Times New Roman" w:hAnsi="Times New Roman" w:eastAsia="Times New Roman" w:cs="Times New Roman"/>
          <w:kern w:val="0"/>
          <w:sz w:val="24"/>
        </w:rPr>
      </w:pPr>
    </w:p>
    <w:p w14:paraId="6020B0E9">
      <w:pPr>
        <w:pStyle w:val="29"/>
        <w:widowControl/>
        <w:spacing w:before="100" w:after="100"/>
        <w:ind w:left="0" w:right="0" w:firstLine="0"/>
        <w:jc w:val="left"/>
        <w:rPr>
          <w:rFonts w:ascii="Times New Roman" w:hAnsi="Times New Roman" w:eastAsia="Times New Roman" w:cs="Times New Roman"/>
          <w:kern w:val="0"/>
          <w:sz w:val="24"/>
        </w:rPr>
      </w:pPr>
    </w:p>
    <w:p w14:paraId="38687FA3">
      <w:pPr>
        <w:pStyle w:val="29"/>
        <w:widowControl/>
        <w:spacing w:before="100" w:after="100"/>
        <w:ind w:left="0" w:right="0" w:firstLine="0"/>
        <w:jc w:val="left"/>
        <w:rPr>
          <w:rFonts w:ascii="Times New Roman" w:hAnsi="Times New Roman" w:eastAsia="Times New Roman" w:cs="Times New Roman"/>
          <w:kern w:val="0"/>
          <w:sz w:val="24"/>
        </w:rPr>
      </w:pPr>
    </w:p>
    <w:p w14:paraId="28E3A033">
      <w:pPr>
        <w:pStyle w:val="29"/>
        <w:widowControl/>
        <w:spacing w:before="100" w:after="100"/>
        <w:ind w:left="0" w:right="0" w:firstLine="0"/>
        <w:jc w:val="left"/>
        <w:rPr>
          <w:rFonts w:ascii="Times New Roman" w:hAnsi="Times New Roman" w:eastAsia="Times New Roman" w:cs="Times New Roman"/>
          <w:kern w:val="0"/>
          <w:sz w:val="24"/>
        </w:rPr>
      </w:pPr>
    </w:p>
    <w:p w14:paraId="4F034B17">
      <w:pPr>
        <w:pStyle w:val="29"/>
        <w:widowControl/>
        <w:spacing w:before="100" w:after="100"/>
        <w:ind w:left="0" w:right="0" w:firstLine="0"/>
        <w:jc w:val="left"/>
        <w:rPr>
          <w:rFonts w:ascii="Times New Roman" w:hAnsi="Times New Roman" w:eastAsia="Times New Roman" w:cs="Times New Roman"/>
          <w:kern w:val="0"/>
          <w:sz w:val="24"/>
        </w:rPr>
      </w:pPr>
    </w:p>
    <w:p w14:paraId="1E0D22F5">
      <w:pPr>
        <w:pStyle w:val="29"/>
        <w:widowControl/>
        <w:spacing w:before="100" w:after="100"/>
        <w:ind w:left="0" w:right="0" w:firstLine="0"/>
        <w:jc w:val="left"/>
        <w:rPr>
          <w:rFonts w:ascii="Times New Roman" w:hAnsi="Times New Roman" w:eastAsia="Times New Roman" w:cs="Times New Roman"/>
          <w:kern w:val="0"/>
          <w:sz w:val="24"/>
        </w:rPr>
      </w:pPr>
    </w:p>
    <w:p w14:paraId="6A781295">
      <w:pPr>
        <w:pStyle w:val="29"/>
        <w:widowControl/>
        <w:spacing w:before="100" w:after="100"/>
        <w:ind w:left="0" w:right="0" w:firstLine="0"/>
        <w:jc w:val="left"/>
        <w:rPr>
          <w:rFonts w:ascii="Times New Roman" w:hAnsi="Times New Roman" w:eastAsia="Times New Roman" w:cs="Times New Roman"/>
          <w:kern w:val="0"/>
          <w:sz w:val="24"/>
        </w:rPr>
      </w:pPr>
    </w:p>
    <w:p w14:paraId="6C6E858B">
      <w:pPr>
        <w:pStyle w:val="29"/>
        <w:widowControl/>
        <w:spacing w:before="100" w:after="100"/>
        <w:ind w:left="0" w:right="0" w:firstLine="0"/>
        <w:jc w:val="left"/>
        <w:rPr>
          <w:rFonts w:ascii="Times New Roman" w:hAnsi="Times New Roman" w:eastAsia="Times New Roman" w:cs="Times New Roman"/>
          <w:kern w:val="0"/>
          <w:sz w:val="24"/>
        </w:rPr>
      </w:pPr>
    </w:p>
    <w:p w14:paraId="35531FAF">
      <w:pPr>
        <w:pStyle w:val="29"/>
        <w:widowControl/>
        <w:spacing w:before="100" w:after="100"/>
        <w:ind w:left="0" w:right="0" w:firstLine="0"/>
        <w:jc w:val="left"/>
        <w:rPr>
          <w:rFonts w:ascii="Times New Roman" w:hAnsi="Times New Roman" w:eastAsia="Times New Roman" w:cs="Times New Roman"/>
          <w:kern w:val="0"/>
          <w:sz w:val="24"/>
        </w:rPr>
      </w:pPr>
    </w:p>
    <w:p w14:paraId="42D371BA">
      <w:pPr>
        <w:pStyle w:val="29"/>
        <w:widowControl/>
        <w:spacing w:before="100" w:after="100"/>
        <w:ind w:left="0" w:right="0" w:firstLine="0"/>
        <w:jc w:val="left"/>
        <w:rPr>
          <w:rFonts w:ascii="Times New Roman" w:hAnsi="Times New Roman" w:eastAsia="Times New Roman" w:cs="Times New Roman"/>
          <w:kern w:val="0"/>
          <w:sz w:val="24"/>
        </w:rPr>
      </w:pPr>
    </w:p>
    <w:p w14:paraId="4CF6FB66">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21" w:name="_Toc256000036"/>
      <w:bookmarkStart w:id="22" w:name="_Toc256000098"/>
      <w:bookmarkStart w:id="23" w:name="_Toc256000067"/>
      <w:bookmarkStart w:id="24" w:name="_Toc256000005"/>
      <w:r>
        <w:rPr>
          <w:rFonts w:ascii="黑体" w:hAnsi="黑体" w:eastAsia="黑体" w:cs="黑体"/>
          <w:b/>
          <w:spacing w:val="0"/>
          <w:sz w:val="56"/>
          <w:szCs w:val="56"/>
        </w:rPr>
        <w:t>第二部分</w:t>
      </w:r>
      <w:bookmarkEnd w:id="21"/>
      <w:bookmarkEnd w:id="22"/>
      <w:bookmarkEnd w:id="23"/>
      <w:bookmarkEnd w:id="24"/>
      <w:r>
        <w:rPr>
          <w:rFonts w:ascii="宋体" w:hAnsi="宋体" w:eastAsia="宋体" w:cs="宋体"/>
          <w:b/>
          <w:spacing w:val="0"/>
          <w:sz w:val="56"/>
          <w:szCs w:val="56"/>
        </w:rPr>
        <w:t> </w:t>
      </w:r>
    </w:p>
    <w:p w14:paraId="3FDB9AA0">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25" w:name="_Toc256000037"/>
      <w:bookmarkStart w:id="26" w:name="_Toc256000099"/>
      <w:bookmarkStart w:id="27" w:name="_Toc256000006"/>
      <w:bookmarkStart w:id="28" w:name="_Toc256000068"/>
      <w:r>
        <w:rPr>
          <w:rFonts w:ascii="黑体" w:hAnsi="黑体" w:eastAsia="黑体" w:cs="黑体"/>
          <w:b/>
          <w:spacing w:val="0"/>
          <w:sz w:val="56"/>
          <w:szCs w:val="56"/>
        </w:rPr>
        <w:t>2024年度决算表</w:t>
      </w:r>
      <w:bookmarkEnd w:id="25"/>
      <w:bookmarkEnd w:id="26"/>
      <w:bookmarkEnd w:id="27"/>
      <w:bookmarkEnd w:id="28"/>
    </w:p>
    <w:p w14:paraId="24529B0A">
      <w:pPr>
        <w:pStyle w:val="29"/>
        <w:widowControl/>
        <w:spacing w:before="100" w:after="100"/>
        <w:ind w:left="0" w:right="0" w:firstLine="0"/>
        <w:jc w:val="center"/>
        <w:rPr>
          <w:rFonts w:ascii="Times New Roman" w:hAnsi="Times New Roman" w:eastAsia="Times New Roman" w:cs="Times New Roman"/>
          <w:kern w:val="0"/>
          <w:sz w:val="24"/>
        </w:rPr>
      </w:pPr>
    </w:p>
    <w:p w14:paraId="4715BE85">
      <w:pPr>
        <w:sectPr>
          <w:footerReference r:id="rId8" w:type="default"/>
          <w:pgSz w:w="11906" w:h="16838"/>
          <w:pgMar w:top="1440" w:right="720" w:bottom="1440" w:left="720" w:header="720" w:footer="720" w:gutter="0"/>
          <w:cols w:space="720" w:num="1"/>
        </w:sectPr>
      </w:pPr>
    </w:p>
    <w:p w14:paraId="369B3893">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00004634">
      <w:pPr>
        <w:widowControl/>
        <w:spacing w:before="240" w:after="240"/>
        <w:jc w:val="left"/>
        <w:rPr>
          <w:rFonts w:ascii="Times New Roman" w:hAnsi="Times New Roman" w:eastAsia="Times New Roman" w:cs="Times New Roman"/>
          <w:kern w:val="0"/>
          <w:sz w:val="24"/>
        </w:rPr>
      </w:pPr>
    </w:p>
    <w:p w14:paraId="50E2C1F6">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29" w:name="_Toc256000038"/>
      <w:bookmarkStart w:id="30" w:name="_Toc256000100"/>
      <w:bookmarkStart w:id="31" w:name="_Toc256000069"/>
      <w:bookmarkStart w:id="32" w:name="_Toc256000007"/>
      <w:r>
        <w:rPr>
          <w:rFonts w:ascii="黑体" w:hAnsi="黑体" w:eastAsia="黑体" w:cs="黑体"/>
          <w:b/>
          <w:spacing w:val="0"/>
        </w:rPr>
        <w:t>一、收入支出决算总表</w:t>
      </w:r>
      <w:bookmarkEnd w:id="29"/>
      <w:bookmarkEnd w:id="30"/>
      <w:bookmarkEnd w:id="31"/>
      <w:bookmarkEnd w:id="32"/>
    </w:p>
    <w:p w14:paraId="5DE8F638">
      <w:pPr>
        <w:sectPr>
          <w:footerReference r:id="rId9" w:type="default"/>
          <w:pgSz w:w="11906" w:h="16838"/>
          <w:pgMar w:top="1440" w:right="720" w:bottom="1440" w:left="720" w:header="720" w:footer="720" w:gutter="0"/>
          <w:cols w:space="720" w:num="1"/>
        </w:sectPr>
      </w:pPr>
    </w:p>
    <w:p w14:paraId="5BE1A446">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2498"/>
        <w:gridCol w:w="2497"/>
        <w:gridCol w:w="2497"/>
        <w:gridCol w:w="2497"/>
        <w:gridCol w:w="2497"/>
        <w:gridCol w:w="2497"/>
      </w:tblGrid>
      <w:tr w14:paraId="60C969F2">
        <w:tblPrEx>
          <w:tblCellMar>
            <w:top w:w="15" w:type="dxa"/>
            <w:left w:w="15" w:type="dxa"/>
            <w:bottom w:w="15" w:type="dxa"/>
            <w:right w:w="15" w:type="dxa"/>
          </w:tblCellMar>
        </w:tblPrEx>
        <w:trPr>
          <w:tblHeader/>
        </w:trPr>
        <w:tc>
          <w:tcPr>
            <w:tcW w:w="14983" w:type="dxa"/>
            <w:gridSpan w:val="6"/>
            <w:noWrap w:val="0"/>
            <w:tcMar>
              <w:top w:w="20" w:type="dxa"/>
              <w:left w:w="20" w:type="dxa"/>
              <w:bottom w:w="20" w:type="dxa"/>
              <w:right w:w="20" w:type="dxa"/>
            </w:tcMar>
            <w:vAlign w:val="center"/>
          </w:tcPr>
          <w:p w14:paraId="11662B9B">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收入支出决算总表</w:t>
            </w:r>
          </w:p>
        </w:tc>
      </w:tr>
      <w:tr w14:paraId="3FB0F5EA">
        <w:tblPrEx>
          <w:tblCellMar>
            <w:top w:w="15" w:type="dxa"/>
            <w:left w:w="15" w:type="dxa"/>
            <w:bottom w:w="15" w:type="dxa"/>
            <w:right w:w="15" w:type="dxa"/>
          </w:tblCellMar>
        </w:tblPrEx>
        <w:trPr>
          <w:tblHeader/>
        </w:trPr>
        <w:tc>
          <w:tcPr>
            <w:tcW w:w="249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F2A8B9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F365F4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08B70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EB8FA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15379E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15F631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220C5AF">
        <w:tblPrEx>
          <w:tblCellMar>
            <w:top w:w="15" w:type="dxa"/>
            <w:left w:w="15" w:type="dxa"/>
            <w:bottom w:w="15" w:type="dxa"/>
            <w:right w:w="15" w:type="dxa"/>
          </w:tblCellMar>
        </w:tblPrEx>
        <w:tc>
          <w:tcPr>
            <w:tcW w:w="7492" w:type="dxa"/>
            <w:gridSpan w:val="3"/>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64A2A3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8F9778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BB116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6D13868">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10B016B6">
        <w:tblPrEx>
          <w:tblCellMar>
            <w:top w:w="15" w:type="dxa"/>
            <w:left w:w="15" w:type="dxa"/>
            <w:bottom w:w="15" w:type="dxa"/>
            <w:right w:w="15" w:type="dxa"/>
          </w:tblCellMar>
        </w:tblPrEx>
        <w:tc>
          <w:tcPr>
            <w:tcW w:w="7492"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FE6C2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7491"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1E142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14:paraId="16EE9D88">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BAE2A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F581D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64D68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ABB04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900B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E1A74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14:paraId="0DFC364A">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ACF07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2F62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D4352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23C97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C9AC9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F48A3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r>
      <w:tr w14:paraId="67B75A04">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9657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017E3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BE62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29FB9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25B1E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00E76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BE0A701">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92F70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E6BD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40E0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5432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BD4A3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B7FA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795E128">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2F56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79AB2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C27F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6A8B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41F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4A6A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39956F">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F863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四、上级补助收入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0EA3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38A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15B6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2F09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A1BBB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82F5CF9">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4942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五、事业收入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CEE2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2B05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27E7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3B3F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E7AE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0970C7E">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F25B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六、经营收入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06B74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D4A8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0D10F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7F705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CE25D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CDFD34C">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6367A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七、附属单位上缴收入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42B57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68FF9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6F54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1FDC8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E881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D682A4D">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5680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八、其他收入</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CB6A9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8CB1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836A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44D6B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710A5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r>
      <w:tr w14:paraId="588BC500">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7C785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780E3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DE04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CEA1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63AAE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AEC9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r>
      <w:tr w14:paraId="47D34C05">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8CA97">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DF5BC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3F659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833E4B">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298E7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55DC3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72CE69E">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F54266">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8CD2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0B481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F94C7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79787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13124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84B514B">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4106D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02B4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0D906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1A0FBA">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C788F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7AFD2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CD7D128">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8B26B3">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FD661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460E53">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49B60C">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B0B0C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DC352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4F45800">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8299E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4218F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BD52E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E9DCFC">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6DD4B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BE335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44DFE59C">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8F4A76">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B6088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1A69F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A3229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26533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954EE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CC86D3D">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C5A15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040F6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E7D00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AFFCB4">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9E298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6F0CA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5541DFF">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01AC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EC59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9DB33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0FFA88">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78804C">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7DDA7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76FA2B1">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6C4DF2">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43750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1812C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4DD8B">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324D74">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5BF65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FF65810">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2BFFDA">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AED60C">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FF8B6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AB2AED">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6FB5B5">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B7D2A3">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349FE29">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C5DB5E">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F8C67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B9E3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46067E">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F140C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8CA643">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4B5046F">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02A52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9C5AC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70920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35DE75">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CDEC7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DDDEF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9745274">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F18F6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5041F">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D920D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8D72E8">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F89AC5">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F578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47A5B663">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2F75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4C3D4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BF19E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1D08A3">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0CF74">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DDBC7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03597D4">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32E38B">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84D20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0AC7E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2A23DF">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7BDD8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B09AB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AB0A3C9">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6AEFA4">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2298B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24E12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B7F421">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C3ED8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F8AB3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8352E73">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00271">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A211B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FE312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6A8F54">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5D07CD">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26EF3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5DA2428">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0094D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97E8A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C2BB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2BB8B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8E3E9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28A0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r>
      <w:tr w14:paraId="1D6980BD">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E025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使用非财政拨款结余（含专用结余）</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D0558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7252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7C3E5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结余分配</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25D30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5F82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8371E0">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D290D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14784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06FC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F838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4CD61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6820E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E5CA367">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A5A2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11703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28337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6D1CA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AF0CD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7349C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4FF3F55">
        <w:tblPrEx>
          <w:tblCellMar>
            <w:top w:w="15" w:type="dxa"/>
            <w:left w:w="15" w:type="dxa"/>
            <w:bottom w:w="15" w:type="dxa"/>
            <w:right w:w="15" w:type="dxa"/>
          </w:tblCellMar>
        </w:tblPrEx>
        <w:tc>
          <w:tcPr>
            <w:tcW w:w="249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366BD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1428D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1E3D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AEF6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C527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2497"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EFF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r>
      <w:tr w14:paraId="5710CE6C">
        <w:tblPrEx>
          <w:tblCellMar>
            <w:top w:w="15" w:type="dxa"/>
            <w:left w:w="15" w:type="dxa"/>
            <w:bottom w:w="15" w:type="dxa"/>
            <w:right w:w="15" w:type="dxa"/>
          </w:tblCellMar>
        </w:tblPrEx>
        <w:tc>
          <w:tcPr>
            <w:tcW w:w="14983" w:type="dxa"/>
            <w:gridSpan w:val="6"/>
            <w:noWrap w:val="0"/>
            <w:tcMar>
              <w:top w:w="20" w:type="dxa"/>
              <w:left w:w="20" w:type="dxa"/>
              <w:bottom w:w="20" w:type="dxa"/>
              <w:right w:w="20" w:type="dxa"/>
            </w:tcMar>
            <w:vAlign w:val="center"/>
          </w:tcPr>
          <w:p w14:paraId="668B28F4">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w:t>
            </w:r>
            <w:r>
              <w:rPr>
                <w:rFonts w:ascii="Times New Roman" w:hAnsi="Times New Roman" w:eastAsia="Times New Roman" w:cs="Times New Roman"/>
                <w:b w:val="0"/>
                <w:bCs w:val="0"/>
                <w:i w:val="0"/>
                <w:iCs w:val="0"/>
                <w:smallCaps w:val="0"/>
                <w:color w:val="000000"/>
                <w:kern w:val="0"/>
                <w:sz w:val="26"/>
                <w:szCs w:val="26"/>
              </w:rPr>
              <w:t>1.</w:t>
            </w:r>
            <w:r>
              <w:rPr>
                <w:rFonts w:ascii="宋体" w:hAnsi="宋体" w:eastAsia="宋体" w:cs="宋体"/>
                <w:b w:val="0"/>
                <w:bCs w:val="0"/>
                <w:i w:val="0"/>
                <w:iCs w:val="0"/>
                <w:smallCaps w:val="0"/>
                <w:color w:val="000000"/>
                <w:kern w:val="0"/>
                <w:sz w:val="26"/>
                <w:szCs w:val="26"/>
              </w:rPr>
              <w:t>本表反映本年度的总收支和年末结转结余情况。</w:t>
            </w:r>
          </w:p>
        </w:tc>
      </w:tr>
      <w:tr w14:paraId="090E9915">
        <w:tblPrEx>
          <w:tblCellMar>
            <w:top w:w="15" w:type="dxa"/>
            <w:left w:w="15" w:type="dxa"/>
            <w:bottom w:w="15" w:type="dxa"/>
            <w:right w:w="15" w:type="dxa"/>
          </w:tblCellMar>
        </w:tblPrEx>
        <w:tc>
          <w:tcPr>
            <w:tcW w:w="14983" w:type="dxa"/>
            <w:gridSpan w:val="6"/>
            <w:noWrap w:val="0"/>
            <w:tcMar>
              <w:top w:w="20" w:type="dxa"/>
              <w:left w:w="485" w:type="dxa"/>
              <w:bottom w:w="20" w:type="dxa"/>
              <w:right w:w="20" w:type="dxa"/>
            </w:tcMar>
            <w:vAlign w:val="center"/>
          </w:tcPr>
          <w:p w14:paraId="1EF7F87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r>
              <w:rPr>
                <w:rFonts w:ascii="宋体" w:hAnsi="宋体" w:eastAsia="宋体" w:cs="宋体"/>
                <w:b w:val="0"/>
                <w:bCs w:val="0"/>
                <w:i w:val="0"/>
                <w:iCs w:val="0"/>
                <w:smallCaps w:val="0"/>
                <w:color w:val="000000"/>
                <w:kern w:val="0"/>
                <w:sz w:val="26"/>
                <w:szCs w:val="26"/>
              </w:rPr>
              <w:t>本套报表金额单位转换时可能存在尾数误差。</w:t>
            </w:r>
          </w:p>
        </w:tc>
      </w:tr>
    </w:tbl>
    <w:p w14:paraId="54AAD234">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74AFAE45">
      <w:pPr>
        <w:pStyle w:val="29"/>
        <w:widowControl/>
        <w:spacing w:before="100" w:after="100"/>
        <w:ind w:left="72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22617BC5">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33" w:name="_Toc256000008"/>
      <w:bookmarkStart w:id="34" w:name="_Toc256000070"/>
      <w:bookmarkStart w:id="35" w:name="_Toc256000101"/>
      <w:bookmarkStart w:id="36" w:name="_Toc256000039"/>
      <w:r>
        <w:rPr>
          <w:rFonts w:ascii="黑体" w:hAnsi="黑体" w:eastAsia="黑体" w:cs="黑体"/>
          <w:b/>
          <w:spacing w:val="0"/>
        </w:rPr>
        <w:t>二、收入决算表</w:t>
      </w:r>
      <w:bookmarkEnd w:id="33"/>
      <w:bookmarkEnd w:id="34"/>
      <w:bookmarkEnd w:id="35"/>
      <w:bookmarkEnd w:id="36"/>
    </w:p>
    <w:p w14:paraId="399C2817">
      <w:pPr>
        <w:sectPr>
          <w:footerReference r:id="rId10" w:type="default"/>
          <w:pgSz w:w="16383" w:h="11906" w:orient="landscape"/>
          <w:pgMar w:top="1440" w:right="720" w:bottom="1440" w:left="720" w:header="720" w:footer="720" w:gutter="0"/>
          <w:cols w:space="720" w:num="1"/>
        </w:sectPr>
      </w:pPr>
    </w:p>
    <w:p w14:paraId="474F9CA6">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14:paraId="6FA65823">
        <w:tblPrEx>
          <w:tblCellMar>
            <w:top w:w="15" w:type="dxa"/>
            <w:left w:w="15" w:type="dxa"/>
            <w:bottom w:w="15" w:type="dxa"/>
            <w:right w:w="15" w:type="dxa"/>
          </w:tblCellMar>
        </w:tblPrEx>
        <w:trPr>
          <w:tblHeader/>
        </w:trPr>
        <w:tc>
          <w:tcPr>
            <w:tcW w:w="14983" w:type="dxa"/>
            <w:gridSpan w:val="9"/>
            <w:noWrap w:val="0"/>
            <w:tcMar>
              <w:top w:w="20" w:type="dxa"/>
              <w:left w:w="20" w:type="dxa"/>
              <w:bottom w:w="20" w:type="dxa"/>
              <w:right w:w="20" w:type="dxa"/>
            </w:tcMar>
            <w:vAlign w:val="center"/>
          </w:tcPr>
          <w:p w14:paraId="14B80086">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收入决算表</w:t>
            </w:r>
          </w:p>
        </w:tc>
      </w:tr>
      <w:tr w14:paraId="1D7D5035">
        <w:tblPrEx>
          <w:tblCellMar>
            <w:top w:w="15" w:type="dxa"/>
            <w:left w:w="15" w:type="dxa"/>
            <w:bottom w:w="15" w:type="dxa"/>
            <w:right w:w="15" w:type="dxa"/>
          </w:tblCellMar>
        </w:tblPrEx>
        <w:trPr>
          <w:tblHeader/>
        </w:trPr>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1CFA4F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C833D3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C726B4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566874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7C9379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9364F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2AA7AE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1F925D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AE8384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F826777">
        <w:tblPrEx>
          <w:tblCellMar>
            <w:top w:w="15" w:type="dxa"/>
            <w:left w:w="15" w:type="dxa"/>
            <w:bottom w:w="15" w:type="dxa"/>
            <w:right w:w="15" w:type="dxa"/>
          </w:tblCellMar>
        </w:tblPrEx>
        <w:tc>
          <w:tcPr>
            <w:tcW w:w="6658"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AEBDC3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591809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F31F7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2519BA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333006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CB95CC8">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067906E2">
        <w:tblPrEx>
          <w:tblCellMar>
            <w:top w:w="15" w:type="dxa"/>
            <w:left w:w="15" w:type="dxa"/>
            <w:bottom w:w="15" w:type="dxa"/>
            <w:right w:w="15" w:type="dxa"/>
          </w:tblCellMar>
        </w:tblPrEx>
        <w:trPr>
          <w:tblHeader/>
        </w:trPr>
        <w:tc>
          <w:tcPr>
            <w:tcW w:w="3328"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307AB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65AEA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7D206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财政拨款收入</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7CE5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上级补助收入</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C75C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事业收入</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72EB9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经营收入</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784FC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附属单位上缴收入</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B11E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其他收入</w:t>
            </w:r>
          </w:p>
        </w:tc>
      </w:tr>
      <w:tr w14:paraId="6872E64D">
        <w:tblPrEx>
          <w:tblCellMar>
            <w:top w:w="15" w:type="dxa"/>
            <w:left w:w="15" w:type="dxa"/>
            <w:bottom w:w="15" w:type="dxa"/>
            <w:right w:w="15" w:type="dxa"/>
          </w:tblCellMar>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34B5A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66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0F2D3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6642136E">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5F5B0DD7">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5F9E99D7">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304D3CDA">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276C79D4">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52376380">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4521B318">
            <w:pPr>
              <w:rPr>
                <w:rFonts w:ascii="Times New Roman" w:hAnsi="Times New Roman" w:eastAsia="Times New Roman" w:cs="Times New Roman"/>
                <w:b w:val="0"/>
                <w:bCs w:val="0"/>
                <w:i w:val="0"/>
                <w:iCs w:val="0"/>
                <w:smallCaps w:val="0"/>
                <w:color w:val="000000"/>
                <w:kern w:val="0"/>
                <w:sz w:val="26"/>
                <w:szCs w:val="26"/>
              </w:rPr>
            </w:pPr>
          </w:p>
        </w:tc>
      </w:tr>
      <w:tr w14:paraId="3AAA8F9E">
        <w:tblPrEx>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14:paraId="6E150057">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14:paraId="05A19A7B">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4DBF1081">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49702E80">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75648F4B">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15FACF0D">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2EA1182E">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3B28012E">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69531BEC">
            <w:pPr>
              <w:rPr>
                <w:rFonts w:ascii="Times New Roman" w:hAnsi="Times New Roman" w:eastAsia="Times New Roman" w:cs="Times New Roman"/>
                <w:b w:val="0"/>
                <w:bCs w:val="0"/>
                <w:i w:val="0"/>
                <w:iCs w:val="0"/>
                <w:smallCaps w:val="0"/>
                <w:color w:val="000000"/>
                <w:kern w:val="0"/>
                <w:sz w:val="26"/>
                <w:szCs w:val="26"/>
              </w:rPr>
            </w:pPr>
          </w:p>
        </w:tc>
      </w:tr>
      <w:tr w14:paraId="594B02E3">
        <w:tblPrEx>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D190F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D8C68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DEE1D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05BB0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4AD6D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A2F49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ED8C0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0F0D6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r>
      <w:tr w14:paraId="5CD3545F">
        <w:tblPrEx>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0E2CE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2C42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119C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99F6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3131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0966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9B8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C3E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DFF3C61">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DB527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D85F7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13FF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2748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460F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4268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307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ED2A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E39A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C77E04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0B069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92E2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人力资源和社会保障管理事务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D487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549.62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7B95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549.62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2CE7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5AAFB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9F4B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8C0F5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8CEC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B8BAA51">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B21B7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2080102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B7E7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136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E3BA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EA90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4C86D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7CE6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40C4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1931D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713AA9F">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7FD50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2080112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3216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劳动人事争议调解仲裁</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D335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496.72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ABE1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496.72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CF5B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ED49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7598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7187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579B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D26225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E6DE4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026AA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EC38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E7C34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ADA5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4EF7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F00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D910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F9573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531DBD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F1060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C3E0E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4A9C7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638A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795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5ADF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39F8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90013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1384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FE4D8D0">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18D63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3136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2C9B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87FA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4018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C41BD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B7DD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59F2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97EEA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C1C3AD9">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103D1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7F548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19E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0544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6BAE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35D42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F992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D945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C883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3E6CE7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B8883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E017D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1B8A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1DB35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5942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1680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2E10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DF4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788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99420A9">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255C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5BC80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8A47B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55F7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1C907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6CE2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8C69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9CD84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450B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B95290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88B6A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24CCC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31D0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4062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0666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63FB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FCB8B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5482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FAE71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86EFB7E">
        <w:tblPrEx>
          <w:tblCellMar>
            <w:top w:w="15" w:type="dxa"/>
            <w:left w:w="15" w:type="dxa"/>
            <w:bottom w:w="15" w:type="dxa"/>
            <w:right w:w="15" w:type="dxa"/>
          </w:tblCellMar>
        </w:tblPrEx>
        <w:tc>
          <w:tcPr>
            <w:tcW w:w="14983" w:type="dxa"/>
            <w:gridSpan w:val="9"/>
            <w:noWrap w:val="0"/>
            <w:tcMar>
              <w:top w:w="20" w:type="dxa"/>
              <w:left w:w="20" w:type="dxa"/>
              <w:bottom w:w="20" w:type="dxa"/>
              <w:right w:w="20" w:type="dxa"/>
            </w:tcMar>
            <w:vAlign w:val="center"/>
          </w:tcPr>
          <w:p w14:paraId="70EFA336">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注：本表反映取得的各项收入情况。</w:t>
            </w:r>
          </w:p>
        </w:tc>
      </w:tr>
    </w:tbl>
    <w:p w14:paraId="5FEAE602">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31AAAEAB">
      <w:pPr>
        <w:pStyle w:val="29"/>
        <w:widowControl/>
        <w:spacing w:before="100" w:after="100"/>
        <w:ind w:left="72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72EE56C8">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37" w:name="_Toc256000102"/>
      <w:bookmarkStart w:id="38" w:name="_Toc256000009"/>
      <w:bookmarkStart w:id="39" w:name="_Toc256000071"/>
      <w:bookmarkStart w:id="40" w:name="_Toc256000040"/>
      <w:r>
        <w:rPr>
          <w:rFonts w:ascii="黑体" w:hAnsi="黑体" w:eastAsia="黑体" w:cs="黑体"/>
          <w:b/>
          <w:spacing w:val="0"/>
        </w:rPr>
        <w:t>三、支出决算表</w:t>
      </w:r>
      <w:bookmarkEnd w:id="37"/>
      <w:bookmarkEnd w:id="38"/>
      <w:bookmarkEnd w:id="39"/>
      <w:bookmarkEnd w:id="40"/>
    </w:p>
    <w:p w14:paraId="13E9BE94">
      <w:pPr>
        <w:sectPr>
          <w:footerReference r:id="rId11" w:type="default"/>
          <w:pgSz w:w="16383" w:h="11906" w:orient="landscape"/>
          <w:pgMar w:top="1440" w:right="720" w:bottom="1440" w:left="720" w:header="720" w:footer="720" w:gutter="0"/>
          <w:cols w:space="720" w:num="1"/>
        </w:sectPr>
      </w:pPr>
    </w:p>
    <w:p w14:paraId="710B5197">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523"/>
        <w:gridCol w:w="1414"/>
        <w:gridCol w:w="1379"/>
        <w:gridCol w:w="1523"/>
        <w:gridCol w:w="1524"/>
        <w:gridCol w:w="1524"/>
        <w:gridCol w:w="1524"/>
        <w:gridCol w:w="1524"/>
        <w:gridCol w:w="1524"/>
        <w:gridCol w:w="1524"/>
      </w:tblGrid>
      <w:tr w14:paraId="23D7580A">
        <w:tblPrEx>
          <w:tblCellMar>
            <w:top w:w="15" w:type="dxa"/>
            <w:left w:w="15" w:type="dxa"/>
            <w:bottom w:w="15" w:type="dxa"/>
            <w:right w:w="15" w:type="dxa"/>
          </w:tblCellMar>
        </w:tblPrEx>
        <w:trPr>
          <w:tblHeader/>
        </w:trPr>
        <w:tc>
          <w:tcPr>
            <w:tcW w:w="14983" w:type="dxa"/>
            <w:gridSpan w:val="10"/>
            <w:noWrap w:val="0"/>
            <w:tcMar>
              <w:top w:w="20" w:type="dxa"/>
              <w:left w:w="20" w:type="dxa"/>
              <w:bottom w:w="20" w:type="dxa"/>
              <w:right w:w="20" w:type="dxa"/>
            </w:tcMar>
            <w:vAlign w:val="center"/>
          </w:tcPr>
          <w:p w14:paraId="00397BF9">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支出决算表</w:t>
            </w:r>
          </w:p>
        </w:tc>
      </w:tr>
      <w:tr w14:paraId="315854E9">
        <w:tblPrEx>
          <w:tblCellMar>
            <w:top w:w="15" w:type="dxa"/>
            <w:left w:w="15" w:type="dxa"/>
            <w:bottom w:w="15" w:type="dxa"/>
            <w:right w:w="15" w:type="dxa"/>
          </w:tblCellMar>
        </w:tblPrEx>
        <w:trPr>
          <w:tblHeader/>
        </w:trPr>
        <w:tc>
          <w:tcPr>
            <w:tcW w:w="152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0C8796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41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6475FE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37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1DFCDF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617C29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F2603D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93F614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A77CA9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6B7BED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95E43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3E34AB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825B31D">
        <w:tblPrEx>
          <w:tblCellMar>
            <w:top w:w="15" w:type="dxa"/>
            <w:left w:w="15" w:type="dxa"/>
            <w:bottom w:w="15" w:type="dxa"/>
            <w:right w:w="15" w:type="dxa"/>
          </w:tblCellMar>
        </w:tblPrEx>
        <w:tc>
          <w:tcPr>
            <w:tcW w:w="7363"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D9A30F2">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46A217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2FE26B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5C9233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5216EB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4CFFE30">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64F2895F">
        <w:tblPrEx>
          <w:tblCellMar>
            <w:top w:w="15" w:type="dxa"/>
            <w:left w:w="15" w:type="dxa"/>
            <w:bottom w:w="15" w:type="dxa"/>
            <w:right w:w="15" w:type="dxa"/>
          </w:tblCellMar>
        </w:tblPrEx>
        <w:trPr>
          <w:tblHeader/>
        </w:trPr>
        <w:tc>
          <w:tcPr>
            <w:tcW w:w="5839"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E9190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6B0B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B095B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F1123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245E1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上缴上级支出</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89E2D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经营支出</w:t>
            </w:r>
          </w:p>
        </w:tc>
        <w:tc>
          <w:tcPr>
            <w:tcW w:w="152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E7CF4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对附属单位补助支出</w:t>
            </w:r>
          </w:p>
        </w:tc>
      </w:tr>
      <w:tr w14:paraId="45EB13E4">
        <w:tblPrEx>
          <w:tblCellMar>
            <w:top w:w="15" w:type="dxa"/>
            <w:left w:w="15" w:type="dxa"/>
            <w:bottom w:w="15" w:type="dxa"/>
            <w:right w:w="15" w:type="dxa"/>
          </w:tblCellMar>
        </w:tblPrEx>
        <w:trPr>
          <w:tblHeader/>
        </w:trPr>
        <w:tc>
          <w:tcPr>
            <w:tcW w:w="4316"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A1064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152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14818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28FDC160">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12E15EFE">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33C70161">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47B0E6E5">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57EAB195">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47E0C1DE">
            <w:pPr>
              <w:rPr>
                <w:rFonts w:ascii="Times New Roman" w:hAnsi="Times New Roman" w:eastAsia="Times New Roman" w:cs="Times New Roman"/>
                <w:b w:val="0"/>
                <w:bCs w:val="0"/>
                <w:i w:val="0"/>
                <w:iCs w:val="0"/>
                <w:smallCaps w:val="0"/>
                <w:color w:val="000000"/>
                <w:kern w:val="0"/>
                <w:sz w:val="26"/>
                <w:szCs w:val="26"/>
              </w:rPr>
            </w:pPr>
          </w:p>
        </w:tc>
      </w:tr>
      <w:tr w14:paraId="76A3DB8F">
        <w:tblPrEx>
          <w:tblCellMar>
            <w:top w:w="15" w:type="dxa"/>
            <w:left w:w="15" w:type="dxa"/>
            <w:bottom w:w="15" w:type="dxa"/>
            <w:right w:w="15" w:type="dxa"/>
          </w:tblCellMar>
        </w:tblPrEx>
        <w:trPr>
          <w:tblHeader/>
        </w:trPr>
        <w:tc>
          <w:tcPr>
            <w:tcW w:w="4316"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355EADC1">
            <w:pPr>
              <w:rPr>
                <w:rFonts w:ascii="Times New Roman" w:hAnsi="Times New Roman" w:eastAsia="Times New Roman" w:cs="Times New Roman"/>
                <w:b w:val="0"/>
                <w:bCs w:val="0"/>
                <w:i w:val="0"/>
                <w:iCs w:val="0"/>
                <w:smallCaps w:val="0"/>
                <w:color w:val="000000"/>
                <w:kern w:val="0"/>
                <w:sz w:val="26"/>
                <w:szCs w:val="26"/>
              </w:rPr>
            </w:pPr>
          </w:p>
        </w:tc>
        <w:tc>
          <w:tcPr>
            <w:tcW w:w="1523" w:type="dxa"/>
            <w:vMerge w:val="continue"/>
            <w:tcBorders>
              <w:top w:val="single" w:color="000000" w:sz="6" w:space="0"/>
              <w:left w:val="single" w:color="000000" w:sz="6" w:space="0"/>
              <w:bottom w:val="single" w:color="000000" w:sz="6" w:space="0"/>
              <w:right w:val="single" w:color="000000" w:sz="6" w:space="0"/>
            </w:tcBorders>
            <w:vAlign w:val="center"/>
          </w:tcPr>
          <w:p w14:paraId="4EC342A5">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0144BD6C">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64274F33">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1E72B8D1">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0EC6BF61">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2B350DB9">
            <w:pPr>
              <w:rPr>
                <w:rFonts w:ascii="Times New Roman" w:hAnsi="Times New Roman" w:eastAsia="Times New Roman" w:cs="Times New Roman"/>
                <w:b w:val="0"/>
                <w:bCs w:val="0"/>
                <w:i w:val="0"/>
                <w:iCs w:val="0"/>
                <w:smallCaps w:val="0"/>
                <w:color w:val="000000"/>
                <w:kern w:val="0"/>
                <w:sz w:val="26"/>
                <w:szCs w:val="26"/>
              </w:rPr>
            </w:pPr>
          </w:p>
        </w:tc>
        <w:tc>
          <w:tcPr>
            <w:tcW w:w="1524" w:type="dxa"/>
            <w:vMerge w:val="continue"/>
            <w:tcBorders>
              <w:top w:val="single" w:color="000000" w:sz="6" w:space="0"/>
              <w:left w:val="single" w:color="000000" w:sz="6" w:space="0"/>
              <w:bottom w:val="single" w:color="000000" w:sz="6" w:space="0"/>
              <w:right w:val="single" w:color="000000" w:sz="6" w:space="0"/>
            </w:tcBorders>
            <w:vAlign w:val="center"/>
          </w:tcPr>
          <w:p w14:paraId="2DB8A959">
            <w:pPr>
              <w:rPr>
                <w:rFonts w:ascii="Times New Roman" w:hAnsi="Times New Roman" w:eastAsia="Times New Roman" w:cs="Times New Roman"/>
                <w:b w:val="0"/>
                <w:bCs w:val="0"/>
                <w:i w:val="0"/>
                <w:iCs w:val="0"/>
                <w:smallCaps w:val="0"/>
                <w:color w:val="000000"/>
                <w:kern w:val="0"/>
                <w:sz w:val="26"/>
                <w:szCs w:val="26"/>
              </w:rPr>
            </w:pPr>
          </w:p>
        </w:tc>
      </w:tr>
      <w:tr w14:paraId="0050A934">
        <w:tblPrEx>
          <w:tblCellMar>
            <w:top w:w="15" w:type="dxa"/>
            <w:left w:w="15" w:type="dxa"/>
            <w:bottom w:w="15" w:type="dxa"/>
            <w:right w:w="15" w:type="dxa"/>
          </w:tblCellMar>
        </w:tblPrEx>
        <w:tc>
          <w:tcPr>
            <w:tcW w:w="5839"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4D0C8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5ECD4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78B44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0D0C6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C6BF8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D544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601AC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w:t>
            </w:r>
          </w:p>
        </w:tc>
      </w:tr>
      <w:tr w14:paraId="166B1FF6">
        <w:tblPrEx>
          <w:tblCellMar>
            <w:top w:w="15" w:type="dxa"/>
            <w:left w:w="15" w:type="dxa"/>
            <w:bottom w:w="15" w:type="dxa"/>
            <w:right w:w="15" w:type="dxa"/>
          </w:tblCellMar>
        </w:tblPrEx>
        <w:tc>
          <w:tcPr>
            <w:tcW w:w="5839"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BFAD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6D84C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E024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358.77</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CA7C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8537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0EEA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664B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59D1F78">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C5047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BC64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5F6E6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B808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44E9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BEE4A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32D5C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975A4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6FAA855">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7D8C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FE61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人力资源和社会保障管理事务</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E66F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549.62</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90AEE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300.79</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E017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4E32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8916C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AEFD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D43EDEC">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6988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2080102</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87A4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AFC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36896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6ED3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ED512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5A6D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DFE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681B141">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19C5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2080112</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511CB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劳动人事争议调解仲裁</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9D078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496.72</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DBE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300.79</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F45D9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195.93</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9EBA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E598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0785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7F48488">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8F6E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E02CE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BC6F3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1F48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6287B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BFCA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F9028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B4DD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C8F6FB4">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C4D21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D0FF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50C4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F400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EF53C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AF6A2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1A8A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AE48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16CD5E8">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ABF1C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8AC2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B757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252C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BC2DA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4D37E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03E8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6D8A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538C704">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B53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C1D1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FED5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9D1D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5BA8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1AC48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F58D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6CB6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28A5525">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BFBC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C9B7C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44B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F3C9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60057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7359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2E1F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6305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65BFDD1">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CEB8C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CA415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81901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BFE9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1EE1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82C8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8BEF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2FF86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EE668C2">
        <w:tblPrEx>
          <w:tblCellMar>
            <w:top w:w="15" w:type="dxa"/>
            <w:left w:w="15" w:type="dxa"/>
            <w:bottom w:w="15" w:type="dxa"/>
            <w:right w:w="15" w:type="dxa"/>
          </w:tblCellMar>
        </w:tblPrEx>
        <w:tc>
          <w:tcPr>
            <w:tcW w:w="4316"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15C0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152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4501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379A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E44F4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8E93C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5B92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845A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79A6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196F78A">
        <w:tblPrEx>
          <w:tblCellMar>
            <w:top w:w="15" w:type="dxa"/>
            <w:left w:w="15" w:type="dxa"/>
            <w:bottom w:w="15" w:type="dxa"/>
            <w:right w:w="15" w:type="dxa"/>
          </w:tblCellMar>
        </w:tblPrEx>
        <w:tc>
          <w:tcPr>
            <w:tcW w:w="5839"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0052F3">
            <w:pPr>
              <w:widowControl/>
              <w:jc w:val="left"/>
              <w:rPr>
                <w:rFonts w:ascii="Times New Roman" w:hAnsi="Times New Roman" w:eastAsia="Times New Roman" w:cs="Times New Roman"/>
                <w:b w:val="0"/>
                <w:bCs w:val="0"/>
                <w:i w:val="0"/>
                <w:iCs w:val="0"/>
                <w:smallCaps w:val="0"/>
                <w:color w:val="000000"/>
                <w:kern w:val="0"/>
                <w:sz w:val="17"/>
                <w:szCs w:val="17"/>
              </w:rPr>
            </w:pPr>
            <w:r>
              <w:rPr>
                <w:rFonts w:ascii="宋体" w:hAnsi="宋体" w:eastAsia="宋体" w:cs="宋体"/>
                <w:b w:val="0"/>
                <w:bCs w:val="0"/>
                <w:i w:val="0"/>
                <w:iCs w:val="0"/>
                <w:smallCaps w:val="0"/>
                <w:color w:val="000000"/>
                <w:kern w:val="0"/>
                <w:sz w:val="17"/>
                <w:szCs w:val="17"/>
              </w:rPr>
              <w:t>注：本表反映本年度各项支出情况。</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21316F">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04C923">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60E32C">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9CB3DE">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9F4D0B">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c>
          <w:tcPr>
            <w:tcW w:w="152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1B3AC2">
            <w:pPr>
              <w:widowControl/>
              <w:jc w:val="left"/>
              <w:rPr>
                <w:rFonts w:ascii="Times New Roman" w:hAnsi="Times New Roman" w:eastAsia="Times New Roman" w:cs="Times New Roman"/>
                <w:b w:val="0"/>
                <w:bCs w:val="0"/>
                <w:i w:val="0"/>
                <w:iCs w:val="0"/>
                <w:smallCaps w:val="0"/>
                <w:color w:val="000000"/>
                <w:kern w:val="0"/>
                <w:sz w:val="24"/>
              </w:rPr>
            </w:pPr>
            <w:r>
              <w:rPr>
                <w:rFonts w:ascii="Times New Roman" w:hAnsi="Times New Roman" w:eastAsia="Times New Roman" w:cs="Times New Roman"/>
                <w:b w:val="0"/>
                <w:bCs w:val="0"/>
                <w:i w:val="0"/>
                <w:iCs w:val="0"/>
                <w:smallCaps w:val="0"/>
                <w:color w:val="000000"/>
                <w:kern w:val="0"/>
                <w:sz w:val="24"/>
              </w:rPr>
              <w:t> </w:t>
            </w:r>
          </w:p>
        </w:tc>
      </w:tr>
    </w:tbl>
    <w:p w14:paraId="0CE3F4A3">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AE06B6D">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13C5C6B8">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1" w:name="_Toc256000010"/>
      <w:bookmarkStart w:id="42" w:name="_Toc256000103"/>
      <w:bookmarkStart w:id="43" w:name="_Toc256000041"/>
      <w:bookmarkStart w:id="44" w:name="_Toc256000072"/>
      <w:r>
        <w:rPr>
          <w:rFonts w:ascii="黑体" w:hAnsi="黑体" w:eastAsia="黑体" w:cs="黑体"/>
          <w:b/>
          <w:spacing w:val="0"/>
        </w:rPr>
        <w:t>四、财政拨款收入支出决算总表</w:t>
      </w:r>
      <w:bookmarkEnd w:id="41"/>
      <w:bookmarkEnd w:id="42"/>
      <w:bookmarkEnd w:id="43"/>
      <w:bookmarkEnd w:id="44"/>
    </w:p>
    <w:p w14:paraId="606B5C04">
      <w:pPr>
        <w:sectPr>
          <w:footerReference r:id="rId12" w:type="default"/>
          <w:pgSz w:w="16383" w:h="11906" w:orient="landscape"/>
          <w:pgMar w:top="1440" w:right="720" w:bottom="1440" w:left="720" w:header="720" w:footer="720" w:gutter="0"/>
          <w:cols w:space="720" w:num="1"/>
        </w:sectPr>
      </w:pPr>
    </w:p>
    <w:p w14:paraId="2D5003FF">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14:paraId="2E4E0AF6">
        <w:tblPrEx>
          <w:tblCellMar>
            <w:top w:w="15" w:type="dxa"/>
            <w:left w:w="15" w:type="dxa"/>
            <w:bottom w:w="15" w:type="dxa"/>
            <w:right w:w="15" w:type="dxa"/>
          </w:tblCellMar>
        </w:tblPrEx>
        <w:trPr>
          <w:tblHeader/>
        </w:trPr>
        <w:tc>
          <w:tcPr>
            <w:tcW w:w="14983" w:type="dxa"/>
            <w:gridSpan w:val="9"/>
            <w:noWrap w:val="0"/>
            <w:tcMar>
              <w:top w:w="20" w:type="dxa"/>
              <w:left w:w="20" w:type="dxa"/>
              <w:bottom w:w="20" w:type="dxa"/>
              <w:right w:w="20" w:type="dxa"/>
            </w:tcMar>
            <w:vAlign w:val="center"/>
          </w:tcPr>
          <w:p w14:paraId="5145325F">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财政拨款收入支出决算总表</w:t>
            </w:r>
          </w:p>
        </w:tc>
      </w:tr>
      <w:tr w14:paraId="6E575718">
        <w:tblPrEx>
          <w:tblCellMar>
            <w:top w:w="15" w:type="dxa"/>
            <w:left w:w="15" w:type="dxa"/>
            <w:bottom w:w="15" w:type="dxa"/>
            <w:right w:w="15" w:type="dxa"/>
          </w:tblCellMar>
        </w:tblPrEx>
        <w:trPr>
          <w:tblHeader/>
        </w:trPr>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5A9CB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DD5826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9B87B1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36854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4E19B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AC4C49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90489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837EC7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EA3DF9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6D28E80">
        <w:tblPrEx>
          <w:tblCellMar>
            <w:top w:w="15" w:type="dxa"/>
            <w:left w:w="15" w:type="dxa"/>
            <w:bottom w:w="15" w:type="dxa"/>
            <w:right w:w="15" w:type="dxa"/>
          </w:tblCellMar>
        </w:tblPrEx>
        <w:tc>
          <w:tcPr>
            <w:tcW w:w="6658"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E0D7CD4">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90BC40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30D5AE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87FE16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C4360B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E3569FB">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0D701CCF">
        <w:tblPrEx>
          <w:tblCellMar>
            <w:top w:w="15" w:type="dxa"/>
            <w:left w:w="15" w:type="dxa"/>
            <w:bottom w:w="15" w:type="dxa"/>
            <w:right w:w="15" w:type="dxa"/>
          </w:tblCellMar>
        </w:tblPrEx>
        <w:tc>
          <w:tcPr>
            <w:tcW w:w="499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F0510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收入</w:t>
            </w:r>
          </w:p>
        </w:tc>
        <w:tc>
          <w:tcPr>
            <w:tcW w:w="9990"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5453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w:t>
            </w:r>
          </w:p>
        </w:tc>
      </w:tr>
      <w:tr w14:paraId="4C4053D3">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9D0E2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E961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9BF9B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B12A0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59168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70185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DE91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一般公共预算财政拨款</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C1E81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政府性基金预算财政拨款</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38876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国有资本经营预算财政拨款</w:t>
            </w:r>
          </w:p>
        </w:tc>
      </w:tr>
      <w:tr w14:paraId="5CC599A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01A10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FDBA6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DC92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65D03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E7B6C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F259C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C9B7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3DB5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59E7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w:t>
            </w:r>
          </w:p>
        </w:tc>
      </w:tr>
      <w:tr w14:paraId="30FCB8DE">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A116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95181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64A9B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B14A0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一、一般公共服务支出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39357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C7CE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DB79A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978B9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B7F1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925FE8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7C4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D35CA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D8E8E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C81A2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二、外交支出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9BBD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9EBD2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E64A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FBD4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FAFB2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C6D027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56E86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0B3F5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17F2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5E3AF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三、国防支出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FAFD6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6FEA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027F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25DC7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561F5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EED392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9A12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591B4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9DA79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7CC1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四、公共安全支出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ECBA6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0DCE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20FF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5E66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9FFCC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455D037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DBAE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C930C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7B0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7C31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五、教育支出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A73D8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4074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8630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C21AA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DD431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D2BE0D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A7005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1F353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36AE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5060F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六、科学技术支出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3EFA1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7C184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B3C4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71A3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09A20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26CB18F">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75E12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41938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EA83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7798A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七、文化旅游体育与传媒支出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E3312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5E25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32E2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4E73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954FA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61645C1">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D667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471D9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0316E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837AF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八、社会保障和就业支出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4D754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1396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C5BC5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C8EF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FF7E8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5578BB5">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50A10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99EA5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80AD9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585E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九、卫生健康支出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CEBBC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794B1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9EBC0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A178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0A03B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CD04DE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DEE27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71E4F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19C73">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B13597">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十、节能环保支出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84BA15">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856B9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D09CD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AE9D0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5C381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03D521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FE06FA">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ACDAE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F8F334">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511F94">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十一、城乡社区支出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0A40C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47354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4F0C53">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A697D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26941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17E5A1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1E9384">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3BCF9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0FD0F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31AFBF">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十二、农林水支出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6757AF">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C3DA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FA530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FA3C7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05A25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6DB62E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A329F6">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CD9B3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476EC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C5AA51">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十三、交通运输支出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F937AF">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2215D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44F96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968F1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E643E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F61780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28620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FA82A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4D915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3011D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十四、资源勘探工业信息等支出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45A2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4437D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D4C6A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0D99C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B6CB1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96A1AB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03AED7">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4C19A5">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B7C7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524EEF">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十五、商业服务业等支出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C036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D67EB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F6209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64402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8E19F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CCEE1A4">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070D81">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F2379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A1D00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D7FCC7">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十六、金融支出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1C4DDD">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D051C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E6B11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C9B72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CBFDB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AF43A0A">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731B4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FC874">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254DA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2161B7">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十七、援助其他地区支出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7F511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49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0A5F9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1D834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FB528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76525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A5AFE1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8EC855">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E41E7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175352">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B3E5B3">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十八、自然资源海洋气象等支出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F861A5">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F7794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8B27C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10DE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090B8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89C4F79">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A3A1FD">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AFE68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4BE844">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82C23">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十九、住房保障支出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06BAD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B6B4E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2AAFD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9A13B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F1C5E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6C0161E">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58305E">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C7D89C">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E6764B">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994FED">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二十、粮油物资储备支出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F9E23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47ED5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D53E4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582EF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014D3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242FD21">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F6D58C">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981C5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085EB7">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10A00">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二十一、国有资本经营预算支出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0B556F">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B6339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3CE52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1579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E278E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F2072DC">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C407A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590F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EDB557">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4A14B4">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二十二、灾害防治及应急管理支出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915D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4F133F">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42A40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EE9DE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41EBB">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F55BF0A">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8368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8FC8E7">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25259E">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63DAD1">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二十三、其他支出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6D1F2D">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F80451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C629C7">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D7997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901F5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06D53F5">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80452C">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AECDCC">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BE5B58">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9134DD">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二十四、债务还本支出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E46A5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A936E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469EF4">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F222F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F991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CF6E7EE">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64792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FD3F6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2FA15C">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FF4559">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二十五、债务付息支出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7376A">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B1F42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DDCEC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43FE2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94A218">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F332FD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DD43C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B017A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AAFC21">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72F7A0">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二十六、抗疫特别国债安排的支出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7F4E88">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58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FBF6D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DF440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26307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D6DF61">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E25BEDA">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50B90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本年收入合计</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F76A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B9D6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C176A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本年支出合计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1404D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F2CE4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7905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5D78B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DB386D">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AA694DA">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1909E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2E8ED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C59F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1874A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年末财政拨款结转和结余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FDE1F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5EB5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E7B7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E528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CC7CC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E56FEC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526E2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一、一般公共预算财政拨款</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7F347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724D9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C3328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6F217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39B5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E166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6702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7FD0B5">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74ED714">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4B086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二、政府性基金预算财政拨款</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5B5A5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85D1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EBAE0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828C2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0C297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4C59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DF89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E64725">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EDBCAE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E554F6">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三、国有资本经营预算财政拨款</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89311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9CB7D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4E0F6E">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78CEEB">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63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55EECF">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BD09F">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500AF9">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E80243">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2B660FC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691D1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6FD5D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67E1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5DB31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总计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CB62B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1A48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FBE3D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1B80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C61BE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163B6F3">
        <w:tblPrEx>
          <w:tblCellMar>
            <w:top w:w="15" w:type="dxa"/>
            <w:left w:w="15" w:type="dxa"/>
            <w:bottom w:w="15" w:type="dxa"/>
            <w:right w:w="15" w:type="dxa"/>
          </w:tblCellMar>
        </w:tblPrEx>
        <w:tc>
          <w:tcPr>
            <w:tcW w:w="9988"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9CA3BF">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注：本表反映本年度一般公共预算财政拨款、政府性基金预算财政拨款和国有资本经营预算财政拨款的总收支和年末结转结余情况。</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23F49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0A418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C42703">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bl>
    <w:p w14:paraId="4F63E5CA">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5B806FA1">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64CAEA29">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5" w:name="_Toc256000104"/>
      <w:bookmarkStart w:id="46" w:name="_Toc256000073"/>
      <w:bookmarkStart w:id="47" w:name="_Toc256000042"/>
      <w:bookmarkStart w:id="48" w:name="_Toc256000011"/>
      <w:r>
        <w:rPr>
          <w:rFonts w:ascii="黑体" w:hAnsi="黑体" w:eastAsia="黑体" w:cs="黑体"/>
          <w:b/>
          <w:spacing w:val="0"/>
        </w:rPr>
        <w:t>五、一般公共预算财政拨款支出决算表</w:t>
      </w:r>
      <w:bookmarkEnd w:id="45"/>
      <w:bookmarkEnd w:id="46"/>
      <w:bookmarkEnd w:id="47"/>
      <w:bookmarkEnd w:id="48"/>
    </w:p>
    <w:p w14:paraId="4D76D347">
      <w:pPr>
        <w:sectPr>
          <w:footerReference r:id="rId13" w:type="default"/>
          <w:pgSz w:w="16383" w:h="11906" w:orient="landscape"/>
          <w:pgMar w:top="1440" w:right="720" w:bottom="1440" w:left="720" w:header="720" w:footer="720" w:gutter="0"/>
          <w:cols w:space="720" w:num="1"/>
        </w:sectPr>
      </w:pPr>
    </w:p>
    <w:p w14:paraId="2AA2F0E0">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872"/>
        <w:gridCol w:w="2186"/>
        <w:gridCol w:w="2185"/>
        <w:gridCol w:w="2185"/>
        <w:gridCol w:w="2185"/>
        <w:gridCol w:w="2185"/>
        <w:gridCol w:w="2185"/>
      </w:tblGrid>
      <w:tr w14:paraId="33091711">
        <w:tblPrEx>
          <w:tblCellMar>
            <w:top w:w="15" w:type="dxa"/>
            <w:left w:w="15" w:type="dxa"/>
            <w:bottom w:w="15" w:type="dxa"/>
            <w:right w:w="15" w:type="dxa"/>
          </w:tblCellMar>
        </w:tblPrEx>
        <w:trPr>
          <w:tblHeader/>
        </w:trPr>
        <w:tc>
          <w:tcPr>
            <w:tcW w:w="14983" w:type="dxa"/>
            <w:gridSpan w:val="7"/>
            <w:noWrap w:val="0"/>
            <w:tcMar>
              <w:top w:w="20" w:type="dxa"/>
              <w:left w:w="20" w:type="dxa"/>
              <w:bottom w:w="20" w:type="dxa"/>
              <w:right w:w="20" w:type="dxa"/>
            </w:tcMar>
            <w:vAlign w:val="center"/>
          </w:tcPr>
          <w:p w14:paraId="4B4CD68F">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一般公共预算财政拨款支出决算表</w:t>
            </w:r>
          </w:p>
        </w:tc>
      </w:tr>
      <w:tr w14:paraId="6497A35C">
        <w:tblPrEx>
          <w:tblCellMar>
            <w:top w:w="15" w:type="dxa"/>
            <w:left w:w="15" w:type="dxa"/>
            <w:bottom w:w="15" w:type="dxa"/>
            <w:right w:w="15" w:type="dxa"/>
          </w:tblCellMar>
        </w:tblPrEx>
        <w:trPr>
          <w:tblHeader/>
        </w:trPr>
        <w:tc>
          <w:tcPr>
            <w:tcW w:w="1872"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796377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6"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53F2DD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83054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8C6E0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EABDA3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2F5B2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9F95080">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0214820">
        <w:tblPrEx>
          <w:tblCellMar>
            <w:top w:w="15" w:type="dxa"/>
            <w:left w:w="15" w:type="dxa"/>
            <w:bottom w:w="15" w:type="dxa"/>
            <w:right w:w="15" w:type="dxa"/>
          </w:tblCellMar>
        </w:tblPrEx>
        <w:tc>
          <w:tcPr>
            <w:tcW w:w="10613" w:type="dxa"/>
            <w:gridSpan w:val="5"/>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181E3526">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24EB38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18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DECD12C">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35B0ECAC">
        <w:tblPrEx>
          <w:tblCellMar>
            <w:top w:w="15" w:type="dxa"/>
            <w:left w:w="15" w:type="dxa"/>
            <w:bottom w:w="15" w:type="dxa"/>
            <w:right w:w="15" w:type="dxa"/>
          </w:tblCellMar>
        </w:tblPrEx>
        <w:tc>
          <w:tcPr>
            <w:tcW w:w="8428"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E8DD7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6555"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31A3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r>
      <w:tr w14:paraId="5DAA0814">
        <w:tblPrEx>
          <w:tblCellMar>
            <w:top w:w="15" w:type="dxa"/>
            <w:left w:w="15" w:type="dxa"/>
            <w:bottom w:w="15" w:type="dxa"/>
            <w:right w:w="15" w:type="dxa"/>
          </w:tblCellMar>
        </w:tblPrEx>
        <w:trPr>
          <w:tblHeader/>
        </w:trPr>
        <w:tc>
          <w:tcPr>
            <w:tcW w:w="6243" w:type="dxa"/>
            <w:gridSpan w:val="3"/>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CE283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科目代码</w:t>
            </w:r>
          </w:p>
        </w:tc>
        <w:tc>
          <w:tcPr>
            <w:tcW w:w="218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CECAE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218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9F075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218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22EA9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p>
        </w:tc>
        <w:tc>
          <w:tcPr>
            <w:tcW w:w="218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E2D8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r>
      <w:tr w14:paraId="20B1622C">
        <w:tblPrEx>
          <w:tblCellMar>
            <w:top w:w="15" w:type="dxa"/>
            <w:left w:w="15" w:type="dxa"/>
            <w:bottom w:w="15" w:type="dxa"/>
            <w:right w:w="15" w:type="dxa"/>
          </w:tblCellMar>
        </w:tblPrEx>
        <w:trPr>
          <w:tblHeader/>
        </w:trPr>
        <w:tc>
          <w:tcPr>
            <w:tcW w:w="6243"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1CF12138">
            <w:pPr>
              <w:rPr>
                <w:rFonts w:ascii="Times New Roman" w:hAnsi="Times New Roman" w:eastAsia="Times New Roman" w:cs="Times New Roman"/>
                <w:b w:val="0"/>
                <w:bCs w:val="0"/>
                <w:i w:val="0"/>
                <w:iCs w:val="0"/>
                <w:smallCaps w:val="0"/>
                <w:color w:val="000000"/>
                <w:kern w:val="0"/>
                <w:sz w:val="26"/>
                <w:szCs w:val="26"/>
              </w:rPr>
            </w:pPr>
          </w:p>
        </w:tc>
        <w:tc>
          <w:tcPr>
            <w:tcW w:w="2185" w:type="dxa"/>
            <w:vMerge w:val="continue"/>
            <w:tcBorders>
              <w:top w:val="single" w:color="000000" w:sz="6" w:space="0"/>
              <w:left w:val="single" w:color="000000" w:sz="6" w:space="0"/>
              <w:bottom w:val="single" w:color="000000" w:sz="6" w:space="0"/>
              <w:right w:val="single" w:color="000000" w:sz="6" w:space="0"/>
            </w:tcBorders>
            <w:vAlign w:val="center"/>
          </w:tcPr>
          <w:p w14:paraId="5E0E00A3">
            <w:pPr>
              <w:rPr>
                <w:rFonts w:ascii="Times New Roman" w:hAnsi="Times New Roman" w:eastAsia="Times New Roman" w:cs="Times New Roman"/>
                <w:b w:val="0"/>
                <w:bCs w:val="0"/>
                <w:i w:val="0"/>
                <w:iCs w:val="0"/>
                <w:smallCaps w:val="0"/>
                <w:color w:val="000000"/>
                <w:kern w:val="0"/>
                <w:sz w:val="26"/>
                <w:szCs w:val="26"/>
              </w:rPr>
            </w:pPr>
          </w:p>
        </w:tc>
        <w:tc>
          <w:tcPr>
            <w:tcW w:w="2185" w:type="dxa"/>
            <w:vMerge w:val="continue"/>
            <w:tcBorders>
              <w:top w:val="single" w:color="000000" w:sz="6" w:space="0"/>
              <w:left w:val="single" w:color="000000" w:sz="6" w:space="0"/>
              <w:bottom w:val="single" w:color="000000" w:sz="6" w:space="0"/>
              <w:right w:val="single" w:color="000000" w:sz="6" w:space="0"/>
            </w:tcBorders>
            <w:vAlign w:val="center"/>
          </w:tcPr>
          <w:p w14:paraId="365CDB3E">
            <w:pPr>
              <w:rPr>
                <w:rFonts w:ascii="Times New Roman" w:hAnsi="Times New Roman" w:eastAsia="Times New Roman" w:cs="Times New Roman"/>
                <w:b w:val="0"/>
                <w:bCs w:val="0"/>
                <w:i w:val="0"/>
                <w:iCs w:val="0"/>
                <w:smallCaps w:val="0"/>
                <w:color w:val="000000"/>
                <w:kern w:val="0"/>
                <w:sz w:val="26"/>
                <w:szCs w:val="26"/>
              </w:rPr>
            </w:pPr>
          </w:p>
        </w:tc>
        <w:tc>
          <w:tcPr>
            <w:tcW w:w="2185" w:type="dxa"/>
            <w:vMerge w:val="continue"/>
            <w:tcBorders>
              <w:top w:val="single" w:color="000000" w:sz="6" w:space="0"/>
              <w:left w:val="single" w:color="000000" w:sz="6" w:space="0"/>
              <w:bottom w:val="single" w:color="000000" w:sz="6" w:space="0"/>
              <w:right w:val="single" w:color="000000" w:sz="6" w:space="0"/>
            </w:tcBorders>
            <w:vAlign w:val="center"/>
          </w:tcPr>
          <w:p w14:paraId="7EE35BE7">
            <w:pPr>
              <w:rPr>
                <w:rFonts w:ascii="Times New Roman" w:hAnsi="Times New Roman" w:eastAsia="Times New Roman" w:cs="Times New Roman"/>
                <w:b w:val="0"/>
                <w:bCs w:val="0"/>
                <w:i w:val="0"/>
                <w:iCs w:val="0"/>
                <w:smallCaps w:val="0"/>
                <w:color w:val="000000"/>
                <w:kern w:val="0"/>
                <w:sz w:val="26"/>
                <w:szCs w:val="26"/>
              </w:rPr>
            </w:pPr>
          </w:p>
        </w:tc>
        <w:tc>
          <w:tcPr>
            <w:tcW w:w="2185" w:type="dxa"/>
            <w:vMerge w:val="continue"/>
            <w:tcBorders>
              <w:top w:val="single" w:color="000000" w:sz="6" w:space="0"/>
              <w:left w:val="single" w:color="000000" w:sz="6" w:space="0"/>
              <w:bottom w:val="single" w:color="000000" w:sz="6" w:space="0"/>
              <w:right w:val="single" w:color="000000" w:sz="6" w:space="0"/>
            </w:tcBorders>
            <w:vAlign w:val="center"/>
          </w:tcPr>
          <w:p w14:paraId="5D53F79F">
            <w:pPr>
              <w:rPr>
                <w:rFonts w:ascii="Times New Roman" w:hAnsi="Times New Roman" w:eastAsia="Times New Roman" w:cs="Times New Roman"/>
                <w:b w:val="0"/>
                <w:bCs w:val="0"/>
                <w:i w:val="0"/>
                <w:iCs w:val="0"/>
                <w:smallCaps w:val="0"/>
                <w:color w:val="000000"/>
                <w:kern w:val="0"/>
                <w:sz w:val="26"/>
                <w:szCs w:val="26"/>
              </w:rPr>
            </w:pPr>
          </w:p>
        </w:tc>
      </w:tr>
      <w:tr w14:paraId="1272E741">
        <w:tblPrEx>
          <w:tblCellMar>
            <w:top w:w="15" w:type="dxa"/>
            <w:left w:w="15" w:type="dxa"/>
            <w:bottom w:w="15" w:type="dxa"/>
            <w:right w:w="15" w:type="dxa"/>
          </w:tblCellMar>
        </w:tblPrEx>
        <w:trPr>
          <w:tblHeader/>
        </w:trPr>
        <w:tc>
          <w:tcPr>
            <w:tcW w:w="6243" w:type="dxa"/>
            <w:gridSpan w:val="3"/>
            <w:vMerge w:val="continue"/>
            <w:tcBorders>
              <w:top w:val="single" w:color="000000" w:sz="6" w:space="0"/>
              <w:left w:val="single" w:color="000000" w:sz="6" w:space="0"/>
              <w:bottom w:val="single" w:color="000000" w:sz="6" w:space="0"/>
              <w:right w:val="single" w:color="000000" w:sz="6" w:space="0"/>
            </w:tcBorders>
            <w:vAlign w:val="center"/>
          </w:tcPr>
          <w:p w14:paraId="773343BF">
            <w:pPr>
              <w:rPr>
                <w:rFonts w:ascii="Times New Roman" w:hAnsi="Times New Roman" w:eastAsia="Times New Roman" w:cs="Times New Roman"/>
                <w:b w:val="0"/>
                <w:bCs w:val="0"/>
                <w:i w:val="0"/>
                <w:iCs w:val="0"/>
                <w:smallCaps w:val="0"/>
                <w:color w:val="000000"/>
                <w:kern w:val="0"/>
                <w:sz w:val="26"/>
                <w:szCs w:val="26"/>
              </w:rPr>
            </w:pPr>
          </w:p>
        </w:tc>
        <w:tc>
          <w:tcPr>
            <w:tcW w:w="2185" w:type="dxa"/>
            <w:vMerge w:val="continue"/>
            <w:tcBorders>
              <w:top w:val="single" w:color="000000" w:sz="6" w:space="0"/>
              <w:left w:val="single" w:color="000000" w:sz="6" w:space="0"/>
              <w:bottom w:val="single" w:color="000000" w:sz="6" w:space="0"/>
              <w:right w:val="single" w:color="000000" w:sz="6" w:space="0"/>
            </w:tcBorders>
            <w:vAlign w:val="center"/>
          </w:tcPr>
          <w:p w14:paraId="1CCEE4D2">
            <w:pPr>
              <w:rPr>
                <w:rFonts w:ascii="Times New Roman" w:hAnsi="Times New Roman" w:eastAsia="Times New Roman" w:cs="Times New Roman"/>
                <w:b w:val="0"/>
                <w:bCs w:val="0"/>
                <w:i w:val="0"/>
                <w:iCs w:val="0"/>
                <w:smallCaps w:val="0"/>
                <w:color w:val="000000"/>
                <w:kern w:val="0"/>
                <w:sz w:val="26"/>
                <w:szCs w:val="26"/>
              </w:rPr>
            </w:pP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E860F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3887F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44E4E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r>
      <w:tr w14:paraId="796DB45D">
        <w:tblPrEx>
          <w:tblCellMar>
            <w:top w:w="15" w:type="dxa"/>
            <w:left w:w="15" w:type="dxa"/>
            <w:bottom w:w="15" w:type="dxa"/>
            <w:right w:w="15" w:type="dxa"/>
          </w:tblCellMar>
        </w:tblPrEx>
        <w:tc>
          <w:tcPr>
            <w:tcW w:w="8428" w:type="dxa"/>
            <w:gridSpan w:val="4"/>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4A93E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24C8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607.6</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93176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358.77</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3675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r>
      <w:tr w14:paraId="38664DB7">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6BD60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358E7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社会保障和就业支出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1E4F7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590.13</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0C60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341.3</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5E97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r>
      <w:tr w14:paraId="29284208">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20CE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4B514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人力资源和社会保障管理事务</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2DB6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549.62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603F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300.79</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A21A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248.83</w:t>
            </w:r>
          </w:p>
        </w:tc>
      </w:tr>
      <w:tr w14:paraId="1BFB1580">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DE094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2080102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9EE3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一般行政管理事务</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2AD24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6830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3078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52.9</w:t>
            </w:r>
          </w:p>
        </w:tc>
      </w:tr>
      <w:tr w14:paraId="128CBEF4">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58340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2080112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91F5F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劳动人事争议调解仲裁</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B6B9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496.72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11F37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300.79</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188D5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195.93</w:t>
            </w:r>
          </w:p>
        </w:tc>
      </w:tr>
      <w:tr w14:paraId="7158C3B7">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173C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B29CC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行政事业单位养老支出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8158B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E3F70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40.52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C5D6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5F280AA">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CD076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2080505</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C609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769A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56CD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95AB4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E428FD9">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1069A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2080506</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CBC28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机关事业单位职业年金缴费支出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7DEB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143BF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1AB4D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477249D">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BFCF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72301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卫生健康支出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F3BC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64398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5549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3530459">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5E910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4D276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行政事业单位医疗</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B0041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C4FFD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17.47</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5F189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67ADC92">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61D8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2101102</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9C529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事业单位医疗</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B6C3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C407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E6A55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80BC7C1">
        <w:tblPrEx>
          <w:tblCellMar>
            <w:top w:w="15" w:type="dxa"/>
            <w:left w:w="15" w:type="dxa"/>
            <w:bottom w:w="15" w:type="dxa"/>
            <w:right w:w="15" w:type="dxa"/>
          </w:tblCellMar>
        </w:tblPrEx>
        <w:tc>
          <w:tcPr>
            <w:tcW w:w="6243"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42D6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2101199</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89A0C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其他行政事业单位医疗支出</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32590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14298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5.91</w:t>
            </w:r>
          </w:p>
        </w:tc>
        <w:tc>
          <w:tcPr>
            <w:tcW w:w="218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D8B7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7488382">
        <w:tblPrEx>
          <w:tblCellMar>
            <w:top w:w="15" w:type="dxa"/>
            <w:left w:w="15" w:type="dxa"/>
            <w:bottom w:w="15" w:type="dxa"/>
            <w:right w:w="15" w:type="dxa"/>
          </w:tblCellMar>
        </w:tblPrEx>
        <w:tc>
          <w:tcPr>
            <w:tcW w:w="14983" w:type="dxa"/>
            <w:gridSpan w:val="7"/>
            <w:noWrap w:val="0"/>
            <w:tcMar>
              <w:top w:w="20" w:type="dxa"/>
              <w:left w:w="20" w:type="dxa"/>
              <w:bottom w:w="20" w:type="dxa"/>
              <w:right w:w="20" w:type="dxa"/>
            </w:tcMar>
            <w:vAlign w:val="center"/>
          </w:tcPr>
          <w:p w14:paraId="71C91128">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注：本表反映本年度一般公共预算财政拨款支出情况。</w:t>
            </w:r>
          </w:p>
        </w:tc>
      </w:tr>
    </w:tbl>
    <w:p w14:paraId="66A23257">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75958A99">
      <w:pPr>
        <w:pStyle w:val="29"/>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24"/>
        </w:rPr>
        <w:t> </w:t>
      </w:r>
    </w:p>
    <w:p w14:paraId="7CFE0AD8">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49" w:name="_Toc256000105"/>
      <w:bookmarkStart w:id="50" w:name="_Toc256000074"/>
      <w:bookmarkStart w:id="51" w:name="_Toc256000043"/>
      <w:bookmarkStart w:id="52" w:name="_Toc256000012"/>
      <w:r>
        <w:rPr>
          <w:rFonts w:ascii="黑体" w:hAnsi="黑体" w:eastAsia="黑体" w:cs="黑体"/>
          <w:b/>
          <w:spacing w:val="0"/>
        </w:rPr>
        <w:t>六、一般公共预算财政拨款基本支出决算表</w:t>
      </w:r>
      <w:bookmarkEnd w:id="49"/>
      <w:bookmarkEnd w:id="50"/>
      <w:bookmarkEnd w:id="51"/>
      <w:bookmarkEnd w:id="52"/>
    </w:p>
    <w:p w14:paraId="4DD9D552">
      <w:pPr>
        <w:sectPr>
          <w:footerReference r:id="rId14" w:type="default"/>
          <w:pgSz w:w="16383" w:h="11906" w:orient="landscape"/>
          <w:pgMar w:top="1440" w:right="720" w:bottom="1440" w:left="720" w:header="720" w:footer="720" w:gutter="0"/>
          <w:cols w:space="720" w:num="1"/>
        </w:sectPr>
      </w:pPr>
    </w:p>
    <w:p w14:paraId="3B155D57">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664"/>
        <w:gridCol w:w="1664"/>
        <w:gridCol w:w="1665"/>
        <w:gridCol w:w="1665"/>
        <w:gridCol w:w="1665"/>
        <w:gridCol w:w="1665"/>
        <w:gridCol w:w="1665"/>
        <w:gridCol w:w="1665"/>
        <w:gridCol w:w="1665"/>
      </w:tblGrid>
      <w:tr w14:paraId="7B0642CA">
        <w:tblPrEx>
          <w:tblCellMar>
            <w:top w:w="15" w:type="dxa"/>
            <w:left w:w="15" w:type="dxa"/>
            <w:bottom w:w="15" w:type="dxa"/>
            <w:right w:w="15" w:type="dxa"/>
          </w:tblCellMar>
        </w:tblPrEx>
        <w:trPr>
          <w:tblHeader/>
        </w:trPr>
        <w:tc>
          <w:tcPr>
            <w:tcW w:w="14983" w:type="dxa"/>
            <w:gridSpan w:val="9"/>
            <w:noWrap w:val="0"/>
            <w:tcMar>
              <w:top w:w="20" w:type="dxa"/>
              <w:left w:w="20" w:type="dxa"/>
              <w:bottom w:w="20" w:type="dxa"/>
              <w:right w:w="20" w:type="dxa"/>
            </w:tcMar>
            <w:vAlign w:val="center"/>
          </w:tcPr>
          <w:p w14:paraId="3E86F0FC">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一般公共预算财政拨款基本支出决算表</w:t>
            </w:r>
          </w:p>
        </w:tc>
      </w:tr>
      <w:tr w14:paraId="4EAA155C">
        <w:tblPrEx>
          <w:tblCellMar>
            <w:top w:w="15" w:type="dxa"/>
            <w:left w:w="15" w:type="dxa"/>
            <w:bottom w:w="15" w:type="dxa"/>
            <w:right w:w="15" w:type="dxa"/>
          </w:tblCellMar>
        </w:tblPrEx>
        <w:trPr>
          <w:tblHeader/>
        </w:trPr>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B86A76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E97D6F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27153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27C5E4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252EE5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8164AC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0A1CC2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D37469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20E1825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5FE6208E">
        <w:tblPrEx>
          <w:tblCellMar>
            <w:top w:w="15" w:type="dxa"/>
            <w:left w:w="15" w:type="dxa"/>
            <w:bottom w:w="15" w:type="dxa"/>
            <w:right w:w="15" w:type="dxa"/>
          </w:tblCellMar>
        </w:tblPrEx>
        <w:tc>
          <w:tcPr>
            <w:tcW w:w="6658"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325FA2EB">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3118AF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2FA5B0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36B82F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C9A369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9637FFE">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5A946207">
        <w:tblPrEx>
          <w:tblCellMar>
            <w:top w:w="15" w:type="dxa"/>
            <w:left w:w="15" w:type="dxa"/>
            <w:bottom w:w="15" w:type="dxa"/>
            <w:right w:w="15" w:type="dxa"/>
          </w:tblCellMar>
        </w:tblPrEx>
        <w:trPr>
          <w:tblHeader/>
        </w:trPr>
        <w:tc>
          <w:tcPr>
            <w:tcW w:w="166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F4B0E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4"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5ECDF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81922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1B8666">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3F293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B0221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3584D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经济分类科目编码</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27F19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665"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92A65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金额</w:t>
            </w:r>
          </w:p>
        </w:tc>
      </w:tr>
      <w:tr w14:paraId="340ADFED">
        <w:tblPrEx>
          <w:tblCellMar>
            <w:top w:w="15" w:type="dxa"/>
            <w:left w:w="15" w:type="dxa"/>
            <w:bottom w:w="15" w:type="dxa"/>
            <w:right w:w="15" w:type="dxa"/>
          </w:tblCellMar>
        </w:tblPrEx>
        <w:trPr>
          <w:tblHeader/>
        </w:trPr>
        <w:tc>
          <w:tcPr>
            <w:tcW w:w="1664" w:type="dxa"/>
            <w:vMerge w:val="continue"/>
            <w:tcBorders>
              <w:top w:val="single" w:color="000000" w:sz="6" w:space="0"/>
              <w:left w:val="single" w:color="000000" w:sz="6" w:space="0"/>
              <w:bottom w:val="single" w:color="000000" w:sz="6" w:space="0"/>
              <w:right w:val="single" w:color="000000" w:sz="6" w:space="0"/>
            </w:tcBorders>
            <w:vAlign w:val="center"/>
          </w:tcPr>
          <w:p w14:paraId="4AA7D803">
            <w:pPr>
              <w:rPr>
                <w:rFonts w:ascii="Times New Roman" w:hAnsi="Times New Roman" w:eastAsia="Times New Roman" w:cs="Times New Roman"/>
                <w:b w:val="0"/>
                <w:bCs w:val="0"/>
                <w:i w:val="0"/>
                <w:iCs w:val="0"/>
                <w:smallCaps w:val="0"/>
                <w:color w:val="000000"/>
                <w:kern w:val="0"/>
                <w:sz w:val="26"/>
                <w:szCs w:val="26"/>
              </w:rPr>
            </w:pPr>
          </w:p>
        </w:tc>
        <w:tc>
          <w:tcPr>
            <w:tcW w:w="1664" w:type="dxa"/>
            <w:vMerge w:val="continue"/>
            <w:tcBorders>
              <w:top w:val="single" w:color="000000" w:sz="6" w:space="0"/>
              <w:left w:val="single" w:color="000000" w:sz="6" w:space="0"/>
              <w:bottom w:val="single" w:color="000000" w:sz="6" w:space="0"/>
              <w:right w:val="single" w:color="000000" w:sz="6" w:space="0"/>
            </w:tcBorders>
            <w:vAlign w:val="center"/>
          </w:tcPr>
          <w:p w14:paraId="0D484CFF">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2441B521">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06342AAD">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642EC3D0">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0991A2B1">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2AD38A11">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282F43C5">
            <w:pPr>
              <w:rPr>
                <w:rFonts w:ascii="Times New Roman" w:hAnsi="Times New Roman" w:eastAsia="Times New Roman" w:cs="Times New Roman"/>
                <w:b w:val="0"/>
                <w:bCs w:val="0"/>
                <w:i w:val="0"/>
                <w:iCs w:val="0"/>
                <w:smallCaps w:val="0"/>
                <w:color w:val="000000"/>
                <w:kern w:val="0"/>
                <w:sz w:val="26"/>
                <w:szCs w:val="26"/>
              </w:rPr>
            </w:pPr>
          </w:p>
        </w:tc>
        <w:tc>
          <w:tcPr>
            <w:tcW w:w="1665" w:type="dxa"/>
            <w:vMerge w:val="continue"/>
            <w:tcBorders>
              <w:top w:val="single" w:color="000000" w:sz="6" w:space="0"/>
              <w:left w:val="single" w:color="000000" w:sz="6" w:space="0"/>
              <w:bottom w:val="single" w:color="000000" w:sz="6" w:space="0"/>
              <w:right w:val="single" w:color="000000" w:sz="6" w:space="0"/>
            </w:tcBorders>
            <w:vAlign w:val="center"/>
          </w:tcPr>
          <w:p w14:paraId="3112D423">
            <w:pPr>
              <w:rPr>
                <w:rFonts w:ascii="Times New Roman" w:hAnsi="Times New Roman" w:eastAsia="Times New Roman" w:cs="Times New Roman"/>
                <w:b w:val="0"/>
                <w:bCs w:val="0"/>
                <w:i w:val="0"/>
                <w:iCs w:val="0"/>
                <w:smallCaps w:val="0"/>
                <w:color w:val="000000"/>
                <w:kern w:val="0"/>
                <w:sz w:val="26"/>
                <w:szCs w:val="26"/>
              </w:rPr>
            </w:pPr>
          </w:p>
        </w:tc>
      </w:tr>
      <w:tr w14:paraId="42F19920">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E880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583AD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工资福利支出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144DF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339.28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7ACB5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B4A2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商品和服务支出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3C1FF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17.06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7B87F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E7144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国内债务发行费用</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FACC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58329A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419A3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D2862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基本工资</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82452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42.32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1C85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58B2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67877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9.56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30406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F01A7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国外债务发行费用</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A993F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34472A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6702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2BCE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津贴补贴</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04F2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73.47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FB26D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1E27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印刷费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81C7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DC41E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696EE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E031D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2.44</w:t>
            </w:r>
          </w:p>
        </w:tc>
      </w:tr>
      <w:tr w14:paraId="3DAF8E39">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C50B8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30103</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FEB6F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奖金</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5E021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103.33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7563E3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C3491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咨询费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7E03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4BA13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535D6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房屋建筑物购建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FA695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DAA25F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BFAEF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30106</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C4DB7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伙食补助费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B2E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0E1BB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EE11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手续费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85D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202F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1ACD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办公设备购置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19DB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2.44</w:t>
            </w:r>
          </w:p>
        </w:tc>
      </w:tr>
      <w:tr w14:paraId="1EB2EEF5">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50350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30107</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4685C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绩效工资</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7F38B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33.07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1E528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5548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19714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C81B7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BDE2E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专用设备购置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07CC6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DC14888">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25BE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30108</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97515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机关事业单位基本养老保险缴费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09BC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99C36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F5BD52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电费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67C1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A0129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E694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基础设施建设</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65DAC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02E1791">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D0177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30109</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69DD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职业年金缴费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51DF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3079B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A2E9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邮电费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1724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190F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0DA5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大型修缮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32DAB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D232F8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6BD1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30110</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DE3BC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职工基本医疗保险缴费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22CB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11.56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7292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096A7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取暖费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A846E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E89B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98071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信息网络及软件购置更新</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2377E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E2A49F4">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3784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FB40C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公务员医疗补助缴费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51024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D5E5B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30209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C74F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物业管理费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B28E4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77DC0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DA393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物资储备</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C5DE6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3826004">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E4EF0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BB6B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其他社会保障缴费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19FE9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7.73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CE00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3405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差旅费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C2BEE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1.35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6159A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31009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B083D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土地补偿</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C3198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6024A90">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36993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30113</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ED9E5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住房公积金</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57D31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27.28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45BE4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F69D0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因公出国（境）费用</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B9E69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59986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202B9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安置补助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E16CF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5D69F2C">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E450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30114</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2623B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9120E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9887B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E3918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维修（护）费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7FD63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AC939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1067C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地上附着物和青苗补偿</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E948D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93AAC5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800C7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30199</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7B86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其他工资福利支出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83CC1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7008A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36996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租赁费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91AB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F48D7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F4966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拆迁补偿</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72FD0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283761C">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105E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678F7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对个人和家庭的补助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1B380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32CE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0D3850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会议费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56CEB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BEEDC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C57100">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DCD4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69356D7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C21C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2F43A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离休费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B4AE8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6251E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A7412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培训费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3F82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4F0DB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31019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CBB44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其他交通工具购置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A6C9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C090DCB">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55536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30302</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DF796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退休费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D3E00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F8AF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6497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EF21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A825A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0D721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文物和陈列品购置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A567F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CDE71F9">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14488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30303</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76BE8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退职（役）费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96C2D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9B1DF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30218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400FE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专用材料费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24153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7E630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31022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12913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无形资产购置</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0E729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CF2EBEA">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F01A8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30304</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DF2E1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抚恤金</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9C818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B8227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4477F3">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被装购置费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8A91D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98D3B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31099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268F9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AA3C6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23D86B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36A8A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30305</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B7BDD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生活补助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CD1C2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46998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DDFA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专用燃料费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0E7EF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C82F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78B0E5">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对企业补助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4AF5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8066A6C">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409EA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30306</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12132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救济费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27E80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8F340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B1656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劳务费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18E4E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5D16C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A2AB21">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资本金注入</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DC5A8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3C48D5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DDEC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30307</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0A1E3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医疗费补助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C5780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42291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FBA73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委托业务费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9E13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4.94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7C5F6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31203</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E6686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政府投资基金股权投资</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1628B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26F19D3">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60C98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30308</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5B4E7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助学金</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3FE5E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87753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1B5C0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工会经费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2D63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8556F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31204</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98A64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费用补贴</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B03F8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873D263">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70CA3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30309</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F115D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奖励金</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22957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245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30229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495BD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福利费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78E7F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0.17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20EE3F">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31205</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106997">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利息补贴</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779FA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06123C0">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E9C47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30310</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CAECE6">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个人农业生产补贴</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457BB2">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31075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16DE7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50BC8E">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0.6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0A09A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31206</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69AA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其他资本性补助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FDEDD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AD74300">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DDB30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30311</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FD7579">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代缴社会保险费</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1373C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AD6BC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30239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83845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其他交通费用</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5B439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0C3D5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31299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1106B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其他对企业补助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05D281">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619521C">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17609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30399</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F61FD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其他对个人和家庭的补助</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64F4A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86F93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30240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397802">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税金及附加费用</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0220D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1E797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3B45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CB21D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47058A32">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EA37C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8355F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A0B77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6E327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30299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C15B1D">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其他商品和服务支出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71437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36AC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5B543F">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国家赔偿费用支出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88018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3ABDA607">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24906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03D66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A2CE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A8778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1E7F7A">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债务利息及费用支出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B51E7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8CAAF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39908</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A3644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对民间非营利组织和群众性自治组织补贴</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6798F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1ADA00CE">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E6B5C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DE50B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CE816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23086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30701</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0DC30B">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国内债务付息</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C3637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37E2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39909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1AC1BC">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经常性赠与</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C590C">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6E25CED">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C524E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56615F">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60E91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219BB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30702</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61D94E">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国外债务付息</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735C4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C74AA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39910</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E3484">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资本性赠与</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481C3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521D2836">
        <w:tblPrEx>
          <w:tblCellMar>
            <w:top w:w="15" w:type="dxa"/>
            <w:left w:w="15" w:type="dxa"/>
            <w:bottom w:w="15" w:type="dxa"/>
            <w:right w:w="15" w:type="dxa"/>
          </w:tblCellMar>
        </w:tblPrEx>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BE5C8">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4"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DC1B3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358749">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FEAEE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6B51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B13A9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6F0AA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39999</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9AC358">
            <w:pPr>
              <w:widowControl/>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其他支出</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4010C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701F9ED8">
        <w:tblPrEx>
          <w:tblCellMar>
            <w:top w:w="15" w:type="dxa"/>
            <w:left w:w="15" w:type="dxa"/>
            <w:bottom w:w="15" w:type="dxa"/>
            <w:right w:w="15" w:type="dxa"/>
          </w:tblCellMar>
        </w:tblPrEx>
        <w:tc>
          <w:tcPr>
            <w:tcW w:w="3328"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C6CB7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人员经费合计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DE3F6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339.28</w:t>
            </w:r>
          </w:p>
        </w:tc>
        <w:tc>
          <w:tcPr>
            <w:tcW w:w="8325" w:type="dxa"/>
            <w:gridSpan w:val="5"/>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4B7E0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公用经费合计</w:t>
            </w:r>
          </w:p>
        </w:tc>
        <w:tc>
          <w:tcPr>
            <w:tcW w:w="166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1E26C6">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19.49</w:t>
            </w:r>
          </w:p>
        </w:tc>
      </w:tr>
      <w:tr w14:paraId="4EC596C7">
        <w:tblPrEx>
          <w:tblCellMar>
            <w:top w:w="15" w:type="dxa"/>
            <w:left w:w="15" w:type="dxa"/>
            <w:bottom w:w="15" w:type="dxa"/>
            <w:right w:w="15" w:type="dxa"/>
          </w:tblCellMar>
        </w:tblPrEx>
        <w:tc>
          <w:tcPr>
            <w:tcW w:w="14983" w:type="dxa"/>
            <w:gridSpan w:val="9"/>
            <w:noWrap w:val="0"/>
            <w:tcMar>
              <w:top w:w="20" w:type="dxa"/>
              <w:left w:w="20" w:type="dxa"/>
              <w:bottom w:w="20" w:type="dxa"/>
              <w:right w:w="20" w:type="dxa"/>
            </w:tcMar>
            <w:vAlign w:val="center"/>
          </w:tcPr>
          <w:p w14:paraId="53B7C68C">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注：本表反映本年度一般公共预算财政拨款基本支出明细情况。</w:t>
            </w:r>
          </w:p>
        </w:tc>
      </w:tr>
    </w:tbl>
    <w:p w14:paraId="1C92B840">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2422F7CB">
      <w:pPr>
        <w:pStyle w:val="29"/>
        <w:widowControl/>
        <w:spacing w:before="100" w:after="100"/>
        <w:ind w:left="0" w:right="0" w:firstLine="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1954DA94">
      <w:pPr>
        <w:pStyle w:val="5"/>
        <w:keepNext w:val="0"/>
        <w:keepLines w:val="0"/>
        <w:spacing w:before="100" w:after="100" w:line="240" w:lineRule="auto"/>
        <w:ind w:left="720" w:right="0" w:hanging="720" w:firstLineChars="0"/>
        <w:rPr>
          <w:rFonts w:ascii="Times New Roman" w:hAnsi="Times New Roman" w:eastAsia="Times New Roman" w:cs="Times New Roman"/>
          <w:b/>
          <w:bCs/>
          <w:kern w:val="0"/>
          <w:sz w:val="28"/>
          <w:szCs w:val="28"/>
        </w:rPr>
      </w:pPr>
      <w:bookmarkStart w:id="53" w:name="_Toc256000106"/>
      <w:bookmarkStart w:id="54" w:name="_Toc256000044"/>
      <w:bookmarkStart w:id="55" w:name="_Toc256000013"/>
      <w:bookmarkStart w:id="56" w:name="_Toc256000075"/>
      <w:r>
        <w:rPr>
          <w:rFonts w:ascii="黑体" w:hAnsi="黑体" w:eastAsia="黑体" w:cs="黑体"/>
          <w:b/>
          <w:spacing w:val="0"/>
        </w:rPr>
        <w:t>七、一般公共预算财政拨款“三公”经费支出决算表</w:t>
      </w:r>
      <w:bookmarkEnd w:id="53"/>
      <w:bookmarkEnd w:id="54"/>
      <w:bookmarkEnd w:id="55"/>
      <w:bookmarkEnd w:id="56"/>
    </w:p>
    <w:p w14:paraId="5DF65509">
      <w:pPr>
        <w:sectPr>
          <w:footerReference r:id="rId15" w:type="default"/>
          <w:pgSz w:w="16383" w:h="11906" w:orient="landscape"/>
          <w:pgMar w:top="1440" w:right="720" w:bottom="1440" w:left="720" w:header="720" w:footer="720" w:gutter="0"/>
          <w:cols w:space="720" w:num="1"/>
        </w:sectPr>
      </w:pPr>
    </w:p>
    <w:p w14:paraId="69AFA3E3">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248"/>
        <w:gridCol w:w="1248"/>
        <w:gridCol w:w="1248"/>
        <w:gridCol w:w="1248"/>
        <w:gridCol w:w="1248"/>
        <w:gridCol w:w="1249"/>
        <w:gridCol w:w="1249"/>
        <w:gridCol w:w="1249"/>
        <w:gridCol w:w="1249"/>
        <w:gridCol w:w="1249"/>
        <w:gridCol w:w="1249"/>
        <w:gridCol w:w="1249"/>
      </w:tblGrid>
      <w:tr w14:paraId="5D134DE1">
        <w:tblPrEx>
          <w:tblCellMar>
            <w:top w:w="15" w:type="dxa"/>
            <w:left w:w="15" w:type="dxa"/>
            <w:bottom w:w="15" w:type="dxa"/>
            <w:right w:w="15" w:type="dxa"/>
          </w:tblCellMar>
        </w:tblPrEx>
        <w:trPr>
          <w:tblHeader/>
        </w:trPr>
        <w:tc>
          <w:tcPr>
            <w:tcW w:w="14983" w:type="dxa"/>
            <w:gridSpan w:val="12"/>
            <w:noWrap w:val="0"/>
            <w:tcMar>
              <w:top w:w="20" w:type="dxa"/>
              <w:left w:w="20" w:type="dxa"/>
              <w:bottom w:w="20" w:type="dxa"/>
              <w:right w:w="20" w:type="dxa"/>
            </w:tcMar>
            <w:vAlign w:val="center"/>
          </w:tcPr>
          <w:p w14:paraId="11B0B181">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一般公共预算财政拨款</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三公</w:t>
            </w:r>
            <w:r>
              <w:rPr>
                <w:rFonts w:ascii="Times New Roman" w:hAnsi="Times New Roman" w:eastAsia="Times New Roman" w:cs="Times New Roman"/>
                <w:b w:val="0"/>
                <w:bCs w:val="0"/>
                <w:i w:val="0"/>
                <w:iCs w:val="0"/>
                <w:smallCaps w:val="0"/>
                <w:color w:val="000000"/>
                <w:kern w:val="0"/>
                <w:sz w:val="27"/>
                <w:szCs w:val="27"/>
              </w:rPr>
              <w:t>”</w:t>
            </w:r>
            <w:r>
              <w:rPr>
                <w:rFonts w:ascii="宋体" w:hAnsi="宋体" w:eastAsia="宋体" w:cs="宋体"/>
                <w:b w:val="0"/>
                <w:bCs w:val="0"/>
                <w:i w:val="0"/>
                <w:iCs w:val="0"/>
                <w:smallCaps w:val="0"/>
                <w:color w:val="000000"/>
                <w:kern w:val="0"/>
                <w:sz w:val="27"/>
                <w:szCs w:val="27"/>
              </w:rPr>
              <w:t>经费支出决算</w:t>
            </w:r>
          </w:p>
        </w:tc>
      </w:tr>
      <w:tr w14:paraId="697FC016">
        <w:tblPrEx>
          <w:tblCellMar>
            <w:top w:w="15" w:type="dxa"/>
            <w:left w:w="15" w:type="dxa"/>
            <w:bottom w:w="15" w:type="dxa"/>
            <w:right w:w="15" w:type="dxa"/>
          </w:tblCellMar>
        </w:tblPrEx>
        <w:trPr>
          <w:tblHeader/>
        </w:trPr>
        <w:tc>
          <w:tcPr>
            <w:tcW w:w="124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B2C359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F7F1BB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32490E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3C7692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310673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125301B">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10E8C1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D19F3C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14E75B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759966D">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808DFE6">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7226BE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096D6CBB">
        <w:tblPrEx>
          <w:tblCellMar>
            <w:top w:w="15" w:type="dxa"/>
            <w:left w:w="15" w:type="dxa"/>
            <w:bottom w:w="15" w:type="dxa"/>
            <w:right w:w="15" w:type="dxa"/>
          </w:tblCellMar>
        </w:tblPrEx>
        <w:tc>
          <w:tcPr>
            <w:tcW w:w="7489" w:type="dxa"/>
            <w:gridSpan w:val="6"/>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8764AED">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C82BEED">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94279E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4E9F5B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1A2AD4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8B48A1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5A66B3BE">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04393B1F">
        <w:tblPrEx>
          <w:tblCellMar>
            <w:top w:w="15" w:type="dxa"/>
            <w:left w:w="15" w:type="dxa"/>
            <w:bottom w:w="15" w:type="dxa"/>
            <w:right w:w="15" w:type="dxa"/>
          </w:tblCellMar>
        </w:tblPrEx>
        <w:tc>
          <w:tcPr>
            <w:tcW w:w="7489"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BF9AA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预算数</w:t>
            </w:r>
          </w:p>
        </w:tc>
        <w:tc>
          <w:tcPr>
            <w:tcW w:w="7494" w:type="dxa"/>
            <w:gridSpan w:val="6"/>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A6C3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决算数</w:t>
            </w:r>
          </w:p>
        </w:tc>
      </w:tr>
      <w:tr w14:paraId="1C76F5FD">
        <w:tblPrEx>
          <w:tblCellMar>
            <w:top w:w="15" w:type="dxa"/>
            <w:left w:w="15" w:type="dxa"/>
            <w:bottom w:w="15" w:type="dxa"/>
            <w:right w:w="15" w:type="dxa"/>
          </w:tblCellMar>
        </w:tblPrEx>
        <w:trPr>
          <w:tblHeader/>
        </w:trPr>
        <w:tc>
          <w:tcPr>
            <w:tcW w:w="124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3812F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08646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4"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AE2CC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1858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CC5C96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5C6DC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因公出国</w:t>
            </w:r>
            <w:r>
              <w:rPr>
                <w:rFonts w:ascii="Times New Roman" w:hAnsi="Times New Roman" w:eastAsia="Times New Roman" w:cs="Times New Roman"/>
                <w:b w:val="0"/>
                <w:bCs w:val="0"/>
                <w:i w:val="0"/>
                <w:iCs w:val="0"/>
                <w:smallCaps w:val="0"/>
                <w:color w:val="000000"/>
                <w:kern w:val="0"/>
                <w:sz w:val="26"/>
                <w:szCs w:val="26"/>
              </w:rPr>
              <w:t xml:space="preserve"> </w:t>
            </w:r>
            <w:r>
              <w:rPr>
                <w:rFonts w:ascii="宋体" w:hAnsi="宋体" w:eastAsia="宋体" w:cs="宋体"/>
                <w:b w:val="0"/>
                <w:bCs w:val="0"/>
                <w:i w:val="0"/>
                <w:iCs w:val="0"/>
                <w:smallCaps w:val="0"/>
                <w:color w:val="000000"/>
                <w:kern w:val="0"/>
                <w:sz w:val="26"/>
                <w:szCs w:val="26"/>
              </w:rPr>
              <w:t>（境）费</w:t>
            </w:r>
          </w:p>
        </w:tc>
        <w:tc>
          <w:tcPr>
            <w:tcW w:w="3747"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D4193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公务用车购置及运行维护费</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05159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公务接待费</w:t>
            </w:r>
          </w:p>
        </w:tc>
      </w:tr>
      <w:tr w14:paraId="63BD61C7">
        <w:tblPrEx>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28EEFEB0">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2A9EE384">
            <w:pPr>
              <w:rPr>
                <w:rFonts w:ascii="Times New Roman" w:hAnsi="Times New Roman" w:eastAsia="Times New Roman" w:cs="Times New Roman"/>
                <w:b w:val="0"/>
                <w:bCs w:val="0"/>
                <w:i w:val="0"/>
                <w:iCs w:val="0"/>
                <w:smallCaps w:val="0"/>
                <w:color w:val="000000"/>
                <w:kern w:val="0"/>
                <w:sz w:val="26"/>
                <w:szCs w:val="26"/>
              </w:rPr>
            </w:pPr>
          </w:p>
        </w:tc>
        <w:tc>
          <w:tcPr>
            <w:tcW w:w="124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0377C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6E698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DC58B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2945D468">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2DD2302F">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7C4B3C22">
            <w:pPr>
              <w:rPr>
                <w:rFonts w:ascii="Times New Roman" w:hAnsi="Times New Roman" w:eastAsia="Times New Roman" w:cs="Times New Roman"/>
                <w:b w:val="0"/>
                <w:bCs w:val="0"/>
                <w:i w:val="0"/>
                <w:iCs w:val="0"/>
                <w:smallCaps w:val="0"/>
                <w:color w:val="000000"/>
                <w:kern w:val="0"/>
                <w:sz w:val="26"/>
                <w:szCs w:val="26"/>
              </w:rPr>
            </w:pP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271A38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r>
              <w:rPr>
                <w:rFonts w:ascii="Times New Roman" w:hAnsi="Times New Roman" w:eastAsia="Times New Roman" w:cs="Times New Roman"/>
                <w:b w:val="0"/>
                <w:bCs w:val="0"/>
                <w:i w:val="0"/>
                <w:iCs w:val="0"/>
                <w:smallCaps w:val="0"/>
                <w:color w:val="000000"/>
                <w:kern w:val="0"/>
                <w:sz w:val="26"/>
                <w:szCs w:val="26"/>
              </w:rPr>
              <w:t xml:space="preserve"> </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F010D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公务用车购置费</w:t>
            </w:r>
          </w:p>
        </w:tc>
        <w:tc>
          <w:tcPr>
            <w:tcW w:w="124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2A636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公务用车运行维护费</w:t>
            </w: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59C78076">
            <w:pPr>
              <w:rPr>
                <w:rFonts w:ascii="Times New Roman" w:hAnsi="Times New Roman" w:eastAsia="Times New Roman" w:cs="Times New Roman"/>
                <w:b w:val="0"/>
                <w:bCs w:val="0"/>
                <w:i w:val="0"/>
                <w:iCs w:val="0"/>
                <w:smallCaps w:val="0"/>
                <w:color w:val="000000"/>
                <w:kern w:val="0"/>
                <w:sz w:val="26"/>
                <w:szCs w:val="26"/>
              </w:rPr>
            </w:pPr>
          </w:p>
        </w:tc>
      </w:tr>
      <w:tr w14:paraId="5EDA2844">
        <w:tblPrEx>
          <w:tblCellMar>
            <w:top w:w="15" w:type="dxa"/>
            <w:left w:w="15" w:type="dxa"/>
            <w:bottom w:w="15" w:type="dxa"/>
            <w:right w:w="15" w:type="dxa"/>
          </w:tblCellMar>
        </w:tblPrEx>
        <w:trPr>
          <w:tblHeader/>
        </w:trPr>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5B6E58B1">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180EB973">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3FD08252">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5439A3C1">
            <w:pPr>
              <w:rPr>
                <w:rFonts w:ascii="Times New Roman" w:hAnsi="Times New Roman" w:eastAsia="Times New Roman" w:cs="Times New Roman"/>
                <w:b w:val="0"/>
                <w:bCs w:val="0"/>
                <w:i w:val="0"/>
                <w:iCs w:val="0"/>
                <w:smallCaps w:val="0"/>
                <w:color w:val="000000"/>
                <w:kern w:val="0"/>
                <w:sz w:val="26"/>
                <w:szCs w:val="26"/>
              </w:rPr>
            </w:pPr>
          </w:p>
        </w:tc>
        <w:tc>
          <w:tcPr>
            <w:tcW w:w="1248" w:type="dxa"/>
            <w:vMerge w:val="continue"/>
            <w:tcBorders>
              <w:top w:val="single" w:color="000000" w:sz="6" w:space="0"/>
              <w:left w:val="single" w:color="000000" w:sz="6" w:space="0"/>
              <w:bottom w:val="single" w:color="000000" w:sz="6" w:space="0"/>
              <w:right w:val="single" w:color="000000" w:sz="6" w:space="0"/>
            </w:tcBorders>
            <w:vAlign w:val="center"/>
          </w:tcPr>
          <w:p w14:paraId="6F38E190">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36AF5FFA">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6E83A0EC">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7452CC69">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07286F36">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6E0C3C64">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18A3A6FD">
            <w:pPr>
              <w:rPr>
                <w:rFonts w:ascii="Times New Roman" w:hAnsi="Times New Roman" w:eastAsia="Times New Roman" w:cs="Times New Roman"/>
                <w:b w:val="0"/>
                <w:bCs w:val="0"/>
                <w:i w:val="0"/>
                <w:iCs w:val="0"/>
                <w:smallCaps w:val="0"/>
                <w:color w:val="000000"/>
                <w:kern w:val="0"/>
                <w:sz w:val="26"/>
                <w:szCs w:val="26"/>
              </w:rPr>
            </w:pPr>
          </w:p>
        </w:tc>
        <w:tc>
          <w:tcPr>
            <w:tcW w:w="1249" w:type="dxa"/>
            <w:vMerge w:val="continue"/>
            <w:tcBorders>
              <w:top w:val="single" w:color="000000" w:sz="6" w:space="0"/>
              <w:left w:val="single" w:color="000000" w:sz="6" w:space="0"/>
              <w:bottom w:val="single" w:color="000000" w:sz="6" w:space="0"/>
              <w:right w:val="single" w:color="000000" w:sz="6" w:space="0"/>
            </w:tcBorders>
            <w:vAlign w:val="center"/>
          </w:tcPr>
          <w:p w14:paraId="656DBD95">
            <w:pPr>
              <w:rPr>
                <w:rFonts w:ascii="Times New Roman" w:hAnsi="Times New Roman" w:eastAsia="Times New Roman" w:cs="Times New Roman"/>
                <w:b w:val="0"/>
                <w:bCs w:val="0"/>
                <w:i w:val="0"/>
                <w:iCs w:val="0"/>
                <w:smallCaps w:val="0"/>
                <w:color w:val="000000"/>
                <w:kern w:val="0"/>
                <w:sz w:val="26"/>
                <w:szCs w:val="26"/>
              </w:rPr>
            </w:pPr>
          </w:p>
        </w:tc>
      </w:tr>
      <w:tr w14:paraId="2BE89BCE">
        <w:tblPrEx>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DEC53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C4E5C2">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AB4D2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550DE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5CF78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FA31F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7BE15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7</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5443E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8</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06ECD">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9</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E58A3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5C5254">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11</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443FC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12</w:t>
            </w:r>
          </w:p>
        </w:tc>
      </w:tr>
      <w:tr w14:paraId="54E9D313">
        <w:tblPrEx>
          <w:tblCellMar>
            <w:top w:w="15" w:type="dxa"/>
            <w:left w:w="15" w:type="dxa"/>
            <w:bottom w:w="15" w:type="dxa"/>
            <w:right w:w="15" w:type="dxa"/>
          </w:tblCellMar>
        </w:tblPrEx>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8BF15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1.04</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8881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7A2F8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0.6</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5EC71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2AA6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0.6</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0ED56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0.44</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5F799D">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1.04</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6FBD2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CB84A9">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0.6</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BCFC9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3DC3D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0.6</w:t>
            </w:r>
          </w:p>
        </w:tc>
        <w:tc>
          <w:tcPr>
            <w:tcW w:w="124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1416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0.44</w:t>
            </w:r>
          </w:p>
        </w:tc>
      </w:tr>
      <w:tr w14:paraId="33F39587">
        <w:tblPrEx>
          <w:tblCellMar>
            <w:top w:w="15" w:type="dxa"/>
            <w:left w:w="15" w:type="dxa"/>
            <w:bottom w:w="15" w:type="dxa"/>
            <w:right w:w="15" w:type="dxa"/>
          </w:tblCellMar>
        </w:tblPrEx>
        <w:tc>
          <w:tcPr>
            <w:tcW w:w="14983" w:type="dxa"/>
            <w:gridSpan w:val="12"/>
            <w:noWrap w:val="0"/>
            <w:tcMar>
              <w:top w:w="20" w:type="dxa"/>
              <w:left w:w="20" w:type="dxa"/>
              <w:bottom w:w="20" w:type="dxa"/>
              <w:right w:w="20" w:type="dxa"/>
            </w:tcMar>
            <w:vAlign w:val="center"/>
          </w:tcPr>
          <w:p w14:paraId="0C8FF3C8">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注：本表反映本年度财政拨款</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三公</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经费支出预决算情况。其中，预算数为</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三公</w:t>
            </w:r>
            <w:r>
              <w:rPr>
                <w:rFonts w:ascii="Times New Roman" w:hAnsi="Times New Roman" w:eastAsia="Times New Roman" w:cs="Times New Roman"/>
                <w:b w:val="0"/>
                <w:bCs w:val="0"/>
                <w:i w:val="0"/>
                <w:iCs w:val="0"/>
                <w:smallCaps w:val="0"/>
                <w:color w:val="000000"/>
                <w:kern w:val="0"/>
                <w:sz w:val="26"/>
                <w:szCs w:val="26"/>
              </w:rPr>
              <w:t>”</w:t>
            </w:r>
            <w:r>
              <w:rPr>
                <w:rFonts w:ascii="宋体" w:hAnsi="宋体" w:eastAsia="宋体" w:cs="宋体"/>
                <w:b w:val="0"/>
                <w:bCs w:val="0"/>
                <w:i w:val="0"/>
                <w:iCs w:val="0"/>
                <w:smallCaps w:val="0"/>
                <w:color w:val="000000"/>
                <w:kern w:val="0"/>
                <w:sz w:val="26"/>
                <w:szCs w:val="26"/>
              </w:rPr>
              <w:t>经费全年预算数，反映按规定程序调整后的预算数；决算数是包括当年财政拨款和以前年度结转资金安排的实际支出。</w:t>
            </w:r>
          </w:p>
        </w:tc>
      </w:tr>
    </w:tbl>
    <w:p w14:paraId="5A98DFFE">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28F7A5A5">
      <w:pPr>
        <w:pStyle w:val="28"/>
        <w:widowControl/>
        <w:spacing w:before="100" w:after="100"/>
        <w:ind w:left="0" w:right="0" w:firstLine="0"/>
        <w:jc w:val="left"/>
        <w:rPr>
          <w:rFonts w:ascii="Times New Roman" w:hAnsi="Times New Roman" w:eastAsia="Times New Roman" w:cs="Times New Roman"/>
          <w:kern w:val="0"/>
          <w:sz w:val="24"/>
        </w:rPr>
      </w:pPr>
      <w:r>
        <w:rPr>
          <w:rFonts w:ascii="宋体" w:hAnsi="宋体" w:cs="宋体"/>
          <w:spacing w:val="0"/>
          <w:kern w:val="0"/>
          <w:sz w:val="32"/>
          <w:szCs w:val="32"/>
        </w:rPr>
        <w:t> </w:t>
      </w:r>
    </w:p>
    <w:p w14:paraId="54DB5C3D">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57" w:name="_Toc256000107"/>
      <w:bookmarkStart w:id="58" w:name="_Toc256000076"/>
      <w:bookmarkStart w:id="59" w:name="_Toc256000045"/>
      <w:bookmarkStart w:id="60" w:name="_Toc256000014"/>
      <w:r>
        <w:rPr>
          <w:rFonts w:ascii="黑体" w:hAnsi="黑体" w:eastAsia="黑体" w:cs="黑体"/>
          <w:b/>
          <w:spacing w:val="0"/>
        </w:rPr>
        <w:t>八、政府性基金预算财政拨款收入支出决算表</w:t>
      </w:r>
      <w:bookmarkEnd w:id="57"/>
      <w:bookmarkEnd w:id="58"/>
      <w:bookmarkEnd w:id="59"/>
      <w:bookmarkEnd w:id="60"/>
    </w:p>
    <w:p w14:paraId="5823E1FE">
      <w:pPr>
        <w:sectPr>
          <w:footerReference r:id="rId16" w:type="default"/>
          <w:pgSz w:w="16383" w:h="11906" w:orient="landscape"/>
          <w:pgMar w:top="1440" w:right="720" w:bottom="1440" w:left="720" w:header="720" w:footer="720" w:gutter="0"/>
          <w:cols w:space="720" w:num="1"/>
        </w:sectPr>
      </w:pPr>
    </w:p>
    <w:p w14:paraId="5EFD1AE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4983" w:type="dxa"/>
        <w:tblInd w:w="20" w:type="dxa"/>
        <w:tblLayout w:type="fixed"/>
        <w:tblCellMar>
          <w:top w:w="15" w:type="dxa"/>
          <w:left w:w="15" w:type="dxa"/>
          <w:bottom w:w="15" w:type="dxa"/>
          <w:right w:w="15" w:type="dxa"/>
        </w:tblCellMar>
      </w:tblPr>
      <w:tblGrid>
        <w:gridCol w:w="1872"/>
        <w:gridCol w:w="1873"/>
        <w:gridCol w:w="1873"/>
        <w:gridCol w:w="1873"/>
        <w:gridCol w:w="1873"/>
        <w:gridCol w:w="1873"/>
        <w:gridCol w:w="1873"/>
        <w:gridCol w:w="1873"/>
      </w:tblGrid>
      <w:tr w14:paraId="70F655F4">
        <w:tblPrEx>
          <w:tblCellMar>
            <w:top w:w="15" w:type="dxa"/>
            <w:left w:w="15" w:type="dxa"/>
            <w:bottom w:w="15" w:type="dxa"/>
            <w:right w:w="15" w:type="dxa"/>
          </w:tblCellMar>
        </w:tblPrEx>
        <w:trPr>
          <w:tblHeader/>
        </w:trPr>
        <w:tc>
          <w:tcPr>
            <w:tcW w:w="14983" w:type="dxa"/>
            <w:gridSpan w:val="8"/>
            <w:noWrap w:val="0"/>
            <w:tcMar>
              <w:top w:w="20" w:type="dxa"/>
              <w:left w:w="20" w:type="dxa"/>
              <w:bottom w:w="20" w:type="dxa"/>
              <w:right w:w="20" w:type="dxa"/>
            </w:tcMar>
            <w:vAlign w:val="center"/>
          </w:tcPr>
          <w:p w14:paraId="34519C56">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政府性基金预算财政拨款收入支出决算表</w:t>
            </w:r>
          </w:p>
        </w:tc>
      </w:tr>
      <w:tr w14:paraId="15F620B3">
        <w:tblPrEx>
          <w:tblCellMar>
            <w:top w:w="15" w:type="dxa"/>
            <w:left w:w="15" w:type="dxa"/>
            <w:bottom w:w="15" w:type="dxa"/>
            <w:right w:w="15" w:type="dxa"/>
          </w:tblCellMar>
        </w:tblPrEx>
        <w:trPr>
          <w:tblHeader/>
        </w:trPr>
        <w:tc>
          <w:tcPr>
            <w:tcW w:w="1872"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24F90AC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1FA2678">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6AAFA43">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CA6BCFE">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919B5D0">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1AD8B0F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0617264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872CD7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3A47274C">
        <w:tblPrEx>
          <w:tblCellMar>
            <w:top w:w="15" w:type="dxa"/>
            <w:left w:w="15" w:type="dxa"/>
            <w:bottom w:w="15" w:type="dxa"/>
            <w:right w:w="15" w:type="dxa"/>
          </w:tblCellMar>
        </w:tblPrEx>
        <w:tc>
          <w:tcPr>
            <w:tcW w:w="7491" w:type="dxa"/>
            <w:gridSpan w:val="4"/>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F53089F">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75A8668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72AB194">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5B80B5AA">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AA3CC10">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0E489053">
        <w:tblPrEx>
          <w:tblCellMar>
            <w:top w:w="15" w:type="dxa"/>
            <w:left w:w="15" w:type="dxa"/>
            <w:bottom w:w="15" w:type="dxa"/>
            <w:right w:w="15" w:type="dxa"/>
          </w:tblCellMar>
        </w:tblPrEx>
        <w:trPr>
          <w:tblHeader/>
        </w:trPr>
        <w:tc>
          <w:tcPr>
            <w:tcW w:w="3745"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E39F8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371DAE">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年初结转和结余</w:t>
            </w:r>
            <w:r>
              <w:rPr>
                <w:rFonts w:ascii="Times New Roman" w:hAnsi="Times New Roman" w:eastAsia="Times New Roman" w:cs="Times New Roman"/>
                <w:b w:val="0"/>
                <w:bCs w:val="0"/>
                <w:i w:val="0"/>
                <w:iCs w:val="0"/>
                <w:smallCaps w:val="0"/>
                <w:color w:val="000000"/>
                <w:kern w:val="0"/>
                <w:sz w:val="26"/>
                <w:szCs w:val="26"/>
              </w:rPr>
              <w:t xml:space="preserve"> </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370C0F">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本年收入</w:t>
            </w:r>
          </w:p>
        </w:tc>
        <w:tc>
          <w:tcPr>
            <w:tcW w:w="5619"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DCB131">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本年支出</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9241E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年末结转和结余</w:t>
            </w:r>
          </w:p>
        </w:tc>
      </w:tr>
      <w:tr w14:paraId="4C753DC4">
        <w:tblPrEx>
          <w:tblCellMar>
            <w:top w:w="15" w:type="dxa"/>
            <w:left w:w="15" w:type="dxa"/>
            <w:bottom w:w="15" w:type="dxa"/>
            <w:right w:w="15" w:type="dxa"/>
          </w:tblCellMar>
        </w:tblPrEx>
        <w:trPr>
          <w:tblHeader/>
        </w:trPr>
        <w:tc>
          <w:tcPr>
            <w:tcW w:w="1872"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3CAEF9">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支出功能分类科目编码</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20530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科目名称</w:t>
            </w: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045473AE">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3F781C0F">
            <w:pPr>
              <w:rPr>
                <w:rFonts w:ascii="Times New Roman" w:hAnsi="Times New Roman" w:eastAsia="Times New Roman" w:cs="Times New Roman"/>
                <w:b w:val="0"/>
                <w:bCs w:val="0"/>
                <w:i w:val="0"/>
                <w:iCs w:val="0"/>
                <w:smallCaps w:val="0"/>
                <w:color w:val="000000"/>
                <w:kern w:val="0"/>
                <w:sz w:val="26"/>
                <w:szCs w:val="26"/>
              </w:rPr>
            </w:pP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DE6E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小计</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E5AF0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基本支出</w:t>
            </w:r>
            <w:r>
              <w:rPr>
                <w:rFonts w:ascii="Times New Roman" w:hAnsi="Times New Roman" w:eastAsia="Times New Roman" w:cs="Times New Roman"/>
                <w:b w:val="0"/>
                <w:bCs w:val="0"/>
                <w:i w:val="0"/>
                <w:iCs w:val="0"/>
                <w:smallCaps w:val="0"/>
                <w:color w:val="000000"/>
                <w:kern w:val="0"/>
                <w:sz w:val="26"/>
                <w:szCs w:val="26"/>
              </w:rPr>
              <w:t xml:space="preserve"> </w:t>
            </w:r>
          </w:p>
        </w:tc>
        <w:tc>
          <w:tcPr>
            <w:tcW w:w="1873"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C25B8C">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项目支出</w:t>
            </w: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568AACEA">
            <w:pPr>
              <w:rPr>
                <w:rFonts w:ascii="Times New Roman" w:hAnsi="Times New Roman" w:eastAsia="Times New Roman" w:cs="Times New Roman"/>
                <w:b w:val="0"/>
                <w:bCs w:val="0"/>
                <w:i w:val="0"/>
                <w:iCs w:val="0"/>
                <w:smallCaps w:val="0"/>
                <w:color w:val="000000"/>
                <w:kern w:val="0"/>
                <w:sz w:val="26"/>
                <w:szCs w:val="26"/>
              </w:rPr>
            </w:pPr>
          </w:p>
        </w:tc>
      </w:tr>
      <w:tr w14:paraId="6CBDFA8B">
        <w:tblPrEx>
          <w:tblCellMar>
            <w:top w:w="15" w:type="dxa"/>
            <w:left w:w="15" w:type="dxa"/>
            <w:bottom w:w="15" w:type="dxa"/>
            <w:right w:w="15" w:type="dxa"/>
          </w:tblCellMar>
        </w:tblPrEx>
        <w:trPr>
          <w:tblHeader/>
        </w:trPr>
        <w:tc>
          <w:tcPr>
            <w:tcW w:w="1872" w:type="dxa"/>
            <w:vMerge w:val="continue"/>
            <w:tcBorders>
              <w:top w:val="single" w:color="000000" w:sz="6" w:space="0"/>
              <w:left w:val="single" w:color="000000" w:sz="6" w:space="0"/>
              <w:bottom w:val="single" w:color="000000" w:sz="6" w:space="0"/>
              <w:right w:val="single" w:color="000000" w:sz="6" w:space="0"/>
            </w:tcBorders>
            <w:vAlign w:val="center"/>
          </w:tcPr>
          <w:p w14:paraId="5DA09A87">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7FB416D4">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07E93D5C">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2BA17ADC">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03D19341">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1853C438">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6EC8EBE8">
            <w:pPr>
              <w:rPr>
                <w:rFonts w:ascii="Times New Roman" w:hAnsi="Times New Roman" w:eastAsia="Times New Roman" w:cs="Times New Roman"/>
                <w:b w:val="0"/>
                <w:bCs w:val="0"/>
                <w:i w:val="0"/>
                <w:iCs w:val="0"/>
                <w:smallCaps w:val="0"/>
                <w:color w:val="000000"/>
                <w:kern w:val="0"/>
                <w:sz w:val="26"/>
                <w:szCs w:val="26"/>
              </w:rPr>
            </w:pPr>
          </w:p>
        </w:tc>
        <w:tc>
          <w:tcPr>
            <w:tcW w:w="1873" w:type="dxa"/>
            <w:vMerge w:val="continue"/>
            <w:tcBorders>
              <w:top w:val="single" w:color="000000" w:sz="6" w:space="0"/>
              <w:left w:val="single" w:color="000000" w:sz="6" w:space="0"/>
              <w:bottom w:val="single" w:color="000000" w:sz="6" w:space="0"/>
              <w:right w:val="single" w:color="000000" w:sz="6" w:space="0"/>
            </w:tcBorders>
            <w:vAlign w:val="center"/>
          </w:tcPr>
          <w:p w14:paraId="590A6DF4">
            <w:pPr>
              <w:rPr>
                <w:rFonts w:ascii="Times New Roman" w:hAnsi="Times New Roman" w:eastAsia="Times New Roman" w:cs="Times New Roman"/>
                <w:b w:val="0"/>
                <w:bCs w:val="0"/>
                <w:i w:val="0"/>
                <w:iCs w:val="0"/>
                <w:smallCaps w:val="0"/>
                <w:color w:val="000000"/>
                <w:kern w:val="0"/>
                <w:sz w:val="26"/>
                <w:szCs w:val="26"/>
              </w:rPr>
            </w:pPr>
          </w:p>
        </w:tc>
      </w:tr>
      <w:tr w14:paraId="6BD85FAF">
        <w:tblPrEx>
          <w:tblCellMar>
            <w:top w:w="15" w:type="dxa"/>
            <w:left w:w="15" w:type="dxa"/>
            <w:bottom w:w="15" w:type="dxa"/>
            <w:right w:w="15" w:type="dxa"/>
          </w:tblCellMar>
        </w:tblPrEx>
        <w:tc>
          <w:tcPr>
            <w:tcW w:w="3745"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DC9A5">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栏次</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68BDA3">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1</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BAD8AB">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2</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A2A27A">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3</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9D539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4</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CBCF97">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5</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FED090">
            <w:pPr>
              <w:widowControl/>
              <w:jc w:val="center"/>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6</w:t>
            </w:r>
          </w:p>
        </w:tc>
      </w:tr>
      <w:tr w14:paraId="47E58F20">
        <w:tblPrEx>
          <w:tblCellMar>
            <w:top w:w="15" w:type="dxa"/>
            <w:left w:w="15" w:type="dxa"/>
            <w:bottom w:w="15" w:type="dxa"/>
            <w:right w:w="15" w:type="dxa"/>
          </w:tblCellMar>
        </w:tblPrEx>
        <w:tc>
          <w:tcPr>
            <w:tcW w:w="3745"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85B458">
            <w:pPr>
              <w:widowControl/>
              <w:jc w:val="center"/>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合计</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E653AB">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AD032A">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DD0A3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BD6717">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CDEC9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BFE5E2">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2413D060">
        <w:tblPrEx>
          <w:tblCellMar>
            <w:top w:w="15" w:type="dxa"/>
            <w:left w:w="15" w:type="dxa"/>
            <w:bottom w:w="15" w:type="dxa"/>
            <w:right w:w="15" w:type="dxa"/>
          </w:tblCellMar>
        </w:tblPrEx>
        <w:tc>
          <w:tcPr>
            <w:tcW w:w="1872"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7BE18C">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E54F3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0B51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D1B755">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3E2B4E">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8075734">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309820">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1873"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8DD663">
            <w:pPr>
              <w:widowControl/>
              <w:jc w:val="righ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r>
      <w:tr w14:paraId="085E061A">
        <w:tblPrEx>
          <w:tblCellMar>
            <w:top w:w="15" w:type="dxa"/>
            <w:left w:w="15" w:type="dxa"/>
            <w:bottom w:w="15" w:type="dxa"/>
            <w:right w:w="15" w:type="dxa"/>
          </w:tblCellMar>
        </w:tblPrEx>
        <w:tc>
          <w:tcPr>
            <w:tcW w:w="14983" w:type="dxa"/>
            <w:gridSpan w:val="8"/>
            <w:noWrap w:val="0"/>
            <w:tcMar>
              <w:top w:w="20" w:type="dxa"/>
              <w:left w:w="20" w:type="dxa"/>
              <w:bottom w:w="20" w:type="dxa"/>
              <w:right w:w="20" w:type="dxa"/>
            </w:tcMar>
            <w:vAlign w:val="center"/>
          </w:tcPr>
          <w:p w14:paraId="39FEE6EE">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注：本表反映本年度政府性基金预算财政拨款收入、支出及结转和结余情况。</w:t>
            </w:r>
          </w:p>
        </w:tc>
      </w:tr>
    </w:tbl>
    <w:p w14:paraId="6A40C17A">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6B24E408">
      <w:pPr>
        <w:pStyle w:val="28"/>
        <w:widowControl/>
        <w:spacing w:before="100" w:after="100"/>
        <w:ind w:left="0" w:right="0" w:firstLine="480"/>
        <w:jc w:val="left"/>
        <w:rPr>
          <w:rFonts w:ascii="Times New Roman" w:hAnsi="Times New Roman" w:eastAsia="Times New Roman" w:cs="Times New Roman"/>
          <w:kern w:val="0"/>
          <w:sz w:val="24"/>
        </w:rPr>
      </w:pPr>
      <w:r>
        <w:rPr>
          <w:rFonts w:ascii="Times New Roman" w:hAnsi="Times New Roman" w:eastAsia="Times New Roman" w:cs="Times New Roman"/>
          <w:spacing w:val="0"/>
          <w:kern w:val="0"/>
          <w:sz w:val="27"/>
          <w:szCs w:val="27"/>
        </w:rPr>
        <w:t> </w:t>
      </w:r>
    </w:p>
    <w:p w14:paraId="42814E33">
      <w:pPr>
        <w:pStyle w:val="5"/>
        <w:keepNext w:val="0"/>
        <w:keepLines w:val="0"/>
        <w:spacing w:before="100" w:after="100" w:line="240" w:lineRule="auto"/>
        <w:ind w:left="0" w:right="0" w:firstLine="0" w:firstLineChars="0"/>
        <w:rPr>
          <w:rFonts w:ascii="Times New Roman" w:hAnsi="Times New Roman" w:eastAsia="Times New Roman" w:cs="Times New Roman"/>
          <w:b/>
          <w:bCs/>
          <w:kern w:val="0"/>
          <w:sz w:val="28"/>
          <w:szCs w:val="28"/>
        </w:rPr>
      </w:pPr>
      <w:bookmarkStart w:id="61" w:name="_Toc256000108"/>
      <w:bookmarkStart w:id="62" w:name="_Toc256000046"/>
      <w:bookmarkStart w:id="63" w:name="_Toc256000077"/>
      <w:bookmarkStart w:id="64" w:name="_Toc256000015"/>
      <w:r>
        <w:rPr>
          <w:rFonts w:ascii="黑体" w:hAnsi="黑体" w:eastAsia="黑体" w:cs="黑体"/>
          <w:b/>
          <w:spacing w:val="0"/>
        </w:rPr>
        <w:t>九、国有资本经营预算财政拨款支出决算表</w:t>
      </w:r>
      <w:bookmarkEnd w:id="61"/>
      <w:bookmarkEnd w:id="62"/>
      <w:bookmarkEnd w:id="63"/>
      <w:bookmarkEnd w:id="64"/>
    </w:p>
    <w:p w14:paraId="17B3A4FE">
      <w:pPr>
        <w:sectPr>
          <w:footerReference r:id="rId17" w:type="default"/>
          <w:pgSz w:w="16383" w:h="11906" w:orient="landscape"/>
          <w:pgMar w:top="1440" w:right="720" w:bottom="1440" w:left="720" w:header="720" w:footer="720" w:gutter="0"/>
          <w:cols w:space="720" w:num="1"/>
        </w:sectPr>
      </w:pPr>
    </w:p>
    <w:p w14:paraId="7ACDE8F9">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horizontal layout</w:t>
      </w:r>
    </w:p>
    <w:tbl>
      <w:tblPr>
        <w:tblStyle w:val="19"/>
        <w:tblW w:w="13543" w:type="dxa"/>
        <w:tblInd w:w="20" w:type="dxa"/>
        <w:tblLayout w:type="fixed"/>
        <w:tblCellMar>
          <w:top w:w="15" w:type="dxa"/>
          <w:left w:w="15" w:type="dxa"/>
          <w:bottom w:w="15" w:type="dxa"/>
          <w:right w:w="15" w:type="dxa"/>
        </w:tblCellMar>
      </w:tblPr>
      <w:tblGrid>
        <w:gridCol w:w="2708"/>
        <w:gridCol w:w="2708"/>
        <w:gridCol w:w="2709"/>
        <w:gridCol w:w="2709"/>
        <w:gridCol w:w="2709"/>
      </w:tblGrid>
      <w:tr w14:paraId="7861FA3C">
        <w:tblPrEx>
          <w:tblCellMar>
            <w:top w:w="15" w:type="dxa"/>
            <w:left w:w="15" w:type="dxa"/>
            <w:bottom w:w="15" w:type="dxa"/>
            <w:right w:w="15" w:type="dxa"/>
          </w:tblCellMar>
        </w:tblPrEx>
        <w:trPr>
          <w:tblHeader/>
        </w:trPr>
        <w:tc>
          <w:tcPr>
            <w:tcW w:w="13543" w:type="dxa"/>
            <w:gridSpan w:val="5"/>
            <w:noWrap w:val="0"/>
            <w:tcMar>
              <w:top w:w="20" w:type="dxa"/>
              <w:left w:w="20" w:type="dxa"/>
              <w:bottom w:w="20" w:type="dxa"/>
              <w:right w:w="20" w:type="dxa"/>
            </w:tcMar>
            <w:vAlign w:val="center"/>
          </w:tcPr>
          <w:p w14:paraId="2EB96489">
            <w:pPr>
              <w:widowControl/>
              <w:spacing w:line="900" w:lineRule="atLeast"/>
              <w:jc w:val="center"/>
              <w:rPr>
                <w:rFonts w:ascii="Times New Roman" w:hAnsi="Times New Roman" w:eastAsia="Times New Roman" w:cs="Times New Roman"/>
                <w:b w:val="0"/>
                <w:bCs w:val="0"/>
                <w:i w:val="0"/>
                <w:iCs w:val="0"/>
                <w:smallCaps w:val="0"/>
                <w:color w:val="000000"/>
                <w:kern w:val="0"/>
                <w:sz w:val="27"/>
                <w:szCs w:val="27"/>
              </w:rPr>
            </w:pPr>
            <w:r>
              <w:rPr>
                <w:rFonts w:ascii="宋体" w:hAnsi="宋体" w:eastAsia="宋体" w:cs="宋体"/>
                <w:b w:val="0"/>
                <w:bCs w:val="0"/>
                <w:i w:val="0"/>
                <w:iCs w:val="0"/>
                <w:smallCaps w:val="0"/>
                <w:color w:val="000000"/>
                <w:kern w:val="0"/>
                <w:sz w:val="27"/>
                <w:szCs w:val="27"/>
              </w:rPr>
              <w:t>国有资本经营预算财政拨款支出决算表</w:t>
            </w:r>
          </w:p>
        </w:tc>
      </w:tr>
      <w:tr w14:paraId="126D4B93">
        <w:tblPrEx>
          <w:tblCellMar>
            <w:top w:w="15" w:type="dxa"/>
            <w:left w:w="15" w:type="dxa"/>
            <w:bottom w:w="15" w:type="dxa"/>
            <w:right w:w="15" w:type="dxa"/>
          </w:tblCellMar>
        </w:tblPrEx>
        <w:trPr>
          <w:tblHeader/>
        </w:trPr>
        <w:tc>
          <w:tcPr>
            <w:tcW w:w="270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610C68D1">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708"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B00A1A7">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7D3B94B5">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4C12491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99C3CE5">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6D8E83FB">
        <w:tblPrEx>
          <w:tblCellMar>
            <w:top w:w="15" w:type="dxa"/>
            <w:left w:w="15" w:type="dxa"/>
            <w:bottom w:w="15" w:type="dxa"/>
            <w:right w:w="15" w:type="dxa"/>
          </w:tblCellMar>
        </w:tblPrEx>
        <w:tc>
          <w:tcPr>
            <w:tcW w:w="5416" w:type="dxa"/>
            <w:gridSpan w:val="2"/>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4B89B670">
            <w:pPr>
              <w:widowControl/>
              <w:jc w:val="lef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部门</w:t>
            </w:r>
            <w:r>
              <w:rPr>
                <w:rFonts w:ascii="Times New Roman" w:hAnsi="Times New Roman" w:eastAsia="Times New Roman" w:cs="Times New Roman"/>
                <w:b w:val="0"/>
                <w:bCs w:val="0"/>
                <w:i w:val="0"/>
                <w:iCs w:val="0"/>
                <w:smallCaps w:val="0"/>
                <w:color w:val="000000"/>
                <w:kern w:val="0"/>
                <w:sz w:val="29"/>
                <w:szCs w:val="29"/>
              </w:rPr>
              <w:t>/</w:t>
            </w:r>
            <w:r>
              <w:rPr>
                <w:rFonts w:ascii="宋体" w:hAnsi="宋体" w:eastAsia="宋体" w:cs="宋体"/>
                <w:b w:val="0"/>
                <w:bCs w:val="0"/>
                <w:i w:val="0"/>
                <w:iCs w:val="0"/>
                <w:smallCaps w:val="0"/>
                <w:color w:val="000000"/>
                <w:kern w:val="0"/>
                <w:sz w:val="29"/>
                <w:szCs w:val="29"/>
              </w:rPr>
              <w:t>单位：厦门市湖里区劳动人事争议仲裁院</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0F10EB9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2024</w:t>
            </w:r>
            <w:r>
              <w:rPr>
                <w:rFonts w:ascii="宋体" w:hAnsi="宋体" w:eastAsia="宋体" w:cs="宋体"/>
                <w:b w:val="0"/>
                <w:bCs w:val="0"/>
                <w:i w:val="0"/>
                <w:iCs w:val="0"/>
                <w:smallCaps w:val="0"/>
                <w:color w:val="000000"/>
                <w:kern w:val="0"/>
                <w:sz w:val="29"/>
                <w:szCs w:val="29"/>
              </w:rPr>
              <w:t>年度</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bottom"/>
          </w:tcPr>
          <w:p w14:paraId="33F39D52">
            <w:pPr>
              <w:widowControl/>
              <w:jc w:val="left"/>
              <w:rPr>
                <w:rFonts w:ascii="Times New Roman" w:hAnsi="Times New Roman" w:eastAsia="Times New Roman" w:cs="Times New Roman"/>
                <w:b w:val="0"/>
                <w:bCs w:val="0"/>
                <w:i w:val="0"/>
                <w:iCs w:val="0"/>
                <w:smallCaps w:val="0"/>
                <w:color w:val="000000"/>
                <w:kern w:val="0"/>
                <w:sz w:val="26"/>
                <w:szCs w:val="26"/>
              </w:rPr>
            </w:pPr>
            <w:r>
              <w:rPr>
                <w:rFonts w:ascii="Times New Roman" w:hAnsi="Times New Roman" w:eastAsia="Times New Roman" w:cs="Times New Roman"/>
                <w:b w:val="0"/>
                <w:bCs w:val="0"/>
                <w:i w:val="0"/>
                <w:iCs w:val="0"/>
                <w:smallCaps w:val="0"/>
                <w:color w:val="000000"/>
                <w:kern w:val="0"/>
                <w:sz w:val="26"/>
                <w:szCs w:val="26"/>
              </w:rPr>
              <w:t> </w:t>
            </w:r>
          </w:p>
        </w:tc>
        <w:tc>
          <w:tcPr>
            <w:tcW w:w="2709" w:type="dxa"/>
            <w:tcBorders>
              <w:top w:val="single" w:color="D0D7E5" w:sz="6" w:space="0"/>
              <w:left w:val="single" w:color="D0D7E5" w:sz="6" w:space="0"/>
              <w:bottom w:val="single" w:color="D0D7E5" w:sz="6" w:space="0"/>
              <w:right w:val="single" w:color="D0D7E5" w:sz="6" w:space="0"/>
            </w:tcBorders>
            <w:noWrap w:val="0"/>
            <w:tcMar>
              <w:top w:w="22" w:type="dxa"/>
              <w:left w:w="22" w:type="dxa"/>
              <w:bottom w:w="22" w:type="dxa"/>
              <w:right w:w="22" w:type="dxa"/>
            </w:tcMar>
            <w:vAlign w:val="center"/>
          </w:tcPr>
          <w:p w14:paraId="6A1755D0">
            <w:pPr>
              <w:widowControl/>
              <w:jc w:val="right"/>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金额单位：万元</w:t>
            </w:r>
          </w:p>
        </w:tc>
      </w:tr>
      <w:tr w14:paraId="28F5C09E">
        <w:tblPrEx>
          <w:tblCellMar>
            <w:top w:w="15" w:type="dxa"/>
            <w:left w:w="15" w:type="dxa"/>
            <w:bottom w:w="15" w:type="dxa"/>
            <w:right w:w="15" w:type="dxa"/>
          </w:tblCellMar>
        </w:tblPrEx>
        <w:tc>
          <w:tcPr>
            <w:tcW w:w="5416"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4E47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w:t>
            </w:r>
          </w:p>
        </w:tc>
        <w:tc>
          <w:tcPr>
            <w:tcW w:w="8127" w:type="dxa"/>
            <w:gridSpan w:val="3"/>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3CC44E">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本年支出</w:t>
            </w:r>
          </w:p>
        </w:tc>
      </w:tr>
      <w:tr w14:paraId="705ED58A">
        <w:tblPrEx>
          <w:tblCellMar>
            <w:top w:w="15" w:type="dxa"/>
            <w:left w:w="15" w:type="dxa"/>
            <w:bottom w:w="15" w:type="dxa"/>
            <w:right w:w="15" w:type="dxa"/>
          </w:tblCellMar>
        </w:tblPrEx>
        <w:trPr>
          <w:tblHeader/>
        </w:trPr>
        <w:tc>
          <w:tcPr>
            <w:tcW w:w="270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AA43FB">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科目代码</w:t>
            </w:r>
          </w:p>
        </w:tc>
        <w:tc>
          <w:tcPr>
            <w:tcW w:w="2708"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CF2FD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科目名称</w:t>
            </w:r>
          </w:p>
        </w:tc>
        <w:tc>
          <w:tcPr>
            <w:tcW w:w="270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7C4E886">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70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887750">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基本支出</w:t>
            </w:r>
          </w:p>
        </w:tc>
        <w:tc>
          <w:tcPr>
            <w:tcW w:w="2709" w:type="dxa"/>
            <w:vMerge w:val="restar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1F044F">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项目支出</w:t>
            </w:r>
          </w:p>
        </w:tc>
      </w:tr>
      <w:tr w14:paraId="2A533258">
        <w:tblPrEx>
          <w:tblCellMar>
            <w:top w:w="15" w:type="dxa"/>
            <w:left w:w="15" w:type="dxa"/>
            <w:bottom w:w="15" w:type="dxa"/>
            <w:right w:w="15" w:type="dxa"/>
          </w:tblCellMar>
        </w:tblPrEx>
        <w:trPr>
          <w:tblHeader/>
        </w:trPr>
        <w:tc>
          <w:tcPr>
            <w:tcW w:w="2708" w:type="dxa"/>
            <w:vMerge w:val="continue"/>
            <w:tcBorders>
              <w:top w:val="single" w:color="000000" w:sz="6" w:space="0"/>
              <w:left w:val="single" w:color="000000" w:sz="6" w:space="0"/>
              <w:bottom w:val="single" w:color="000000" w:sz="6" w:space="0"/>
              <w:right w:val="single" w:color="000000" w:sz="6" w:space="0"/>
            </w:tcBorders>
            <w:vAlign w:val="center"/>
          </w:tcPr>
          <w:p w14:paraId="43228ECB">
            <w:pPr>
              <w:rPr>
                <w:rFonts w:ascii="Times New Roman" w:hAnsi="Times New Roman" w:eastAsia="Times New Roman" w:cs="Times New Roman"/>
                <w:b w:val="0"/>
                <w:bCs w:val="0"/>
                <w:i w:val="0"/>
                <w:iCs w:val="0"/>
                <w:smallCaps w:val="0"/>
                <w:color w:val="000000"/>
                <w:kern w:val="0"/>
                <w:sz w:val="29"/>
                <w:szCs w:val="29"/>
              </w:rPr>
            </w:pPr>
          </w:p>
        </w:tc>
        <w:tc>
          <w:tcPr>
            <w:tcW w:w="2708" w:type="dxa"/>
            <w:vMerge w:val="continue"/>
            <w:tcBorders>
              <w:top w:val="single" w:color="000000" w:sz="6" w:space="0"/>
              <w:left w:val="single" w:color="000000" w:sz="6" w:space="0"/>
              <w:bottom w:val="single" w:color="000000" w:sz="6" w:space="0"/>
              <w:right w:val="single" w:color="000000" w:sz="6" w:space="0"/>
            </w:tcBorders>
            <w:vAlign w:val="center"/>
          </w:tcPr>
          <w:p w14:paraId="793985EF">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113C614F">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4448D927">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6361AC3D">
            <w:pPr>
              <w:rPr>
                <w:rFonts w:ascii="Times New Roman" w:hAnsi="Times New Roman" w:eastAsia="Times New Roman" w:cs="Times New Roman"/>
                <w:b w:val="0"/>
                <w:bCs w:val="0"/>
                <w:i w:val="0"/>
                <w:iCs w:val="0"/>
                <w:smallCaps w:val="0"/>
                <w:color w:val="000000"/>
                <w:kern w:val="0"/>
                <w:sz w:val="29"/>
                <w:szCs w:val="29"/>
              </w:rPr>
            </w:pPr>
          </w:p>
        </w:tc>
      </w:tr>
      <w:tr w14:paraId="2E2E9DDC">
        <w:tblPrEx>
          <w:tblCellMar>
            <w:top w:w="15" w:type="dxa"/>
            <w:left w:w="15" w:type="dxa"/>
            <w:bottom w:w="15" w:type="dxa"/>
            <w:right w:w="15" w:type="dxa"/>
          </w:tblCellMar>
        </w:tblPrEx>
        <w:trPr>
          <w:tblHeader/>
        </w:trPr>
        <w:tc>
          <w:tcPr>
            <w:tcW w:w="2708" w:type="dxa"/>
            <w:vMerge w:val="continue"/>
            <w:tcBorders>
              <w:top w:val="single" w:color="000000" w:sz="6" w:space="0"/>
              <w:left w:val="single" w:color="000000" w:sz="6" w:space="0"/>
              <w:bottom w:val="single" w:color="000000" w:sz="6" w:space="0"/>
              <w:right w:val="single" w:color="000000" w:sz="6" w:space="0"/>
            </w:tcBorders>
            <w:vAlign w:val="center"/>
          </w:tcPr>
          <w:p w14:paraId="2B2FBCDF">
            <w:pPr>
              <w:rPr>
                <w:rFonts w:ascii="Times New Roman" w:hAnsi="Times New Roman" w:eastAsia="Times New Roman" w:cs="Times New Roman"/>
                <w:b w:val="0"/>
                <w:bCs w:val="0"/>
                <w:i w:val="0"/>
                <w:iCs w:val="0"/>
                <w:smallCaps w:val="0"/>
                <w:color w:val="000000"/>
                <w:kern w:val="0"/>
                <w:sz w:val="29"/>
                <w:szCs w:val="29"/>
              </w:rPr>
            </w:pPr>
          </w:p>
        </w:tc>
        <w:tc>
          <w:tcPr>
            <w:tcW w:w="2708" w:type="dxa"/>
            <w:vMerge w:val="continue"/>
            <w:tcBorders>
              <w:top w:val="single" w:color="000000" w:sz="6" w:space="0"/>
              <w:left w:val="single" w:color="000000" w:sz="6" w:space="0"/>
              <w:bottom w:val="single" w:color="000000" w:sz="6" w:space="0"/>
              <w:right w:val="single" w:color="000000" w:sz="6" w:space="0"/>
            </w:tcBorders>
            <w:vAlign w:val="center"/>
          </w:tcPr>
          <w:p w14:paraId="36F51A8C">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6331A38A">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498D340E">
            <w:pPr>
              <w:rPr>
                <w:rFonts w:ascii="Times New Roman" w:hAnsi="Times New Roman" w:eastAsia="Times New Roman" w:cs="Times New Roman"/>
                <w:b w:val="0"/>
                <w:bCs w:val="0"/>
                <w:i w:val="0"/>
                <w:iCs w:val="0"/>
                <w:smallCaps w:val="0"/>
                <w:color w:val="000000"/>
                <w:kern w:val="0"/>
                <w:sz w:val="29"/>
                <w:szCs w:val="29"/>
              </w:rPr>
            </w:pPr>
          </w:p>
        </w:tc>
        <w:tc>
          <w:tcPr>
            <w:tcW w:w="2709" w:type="dxa"/>
            <w:vMerge w:val="continue"/>
            <w:tcBorders>
              <w:top w:val="single" w:color="000000" w:sz="6" w:space="0"/>
              <w:left w:val="single" w:color="000000" w:sz="6" w:space="0"/>
              <w:bottom w:val="single" w:color="000000" w:sz="6" w:space="0"/>
              <w:right w:val="single" w:color="000000" w:sz="6" w:space="0"/>
            </w:tcBorders>
            <w:vAlign w:val="center"/>
          </w:tcPr>
          <w:p w14:paraId="5C206A67">
            <w:pPr>
              <w:rPr>
                <w:rFonts w:ascii="Times New Roman" w:hAnsi="Times New Roman" w:eastAsia="Times New Roman" w:cs="Times New Roman"/>
                <w:b w:val="0"/>
                <w:bCs w:val="0"/>
                <w:i w:val="0"/>
                <w:iCs w:val="0"/>
                <w:smallCaps w:val="0"/>
                <w:color w:val="000000"/>
                <w:kern w:val="0"/>
                <w:sz w:val="29"/>
                <w:szCs w:val="29"/>
              </w:rPr>
            </w:pPr>
          </w:p>
        </w:tc>
      </w:tr>
      <w:tr w14:paraId="0E8BDA57">
        <w:tblPrEx>
          <w:tblCellMar>
            <w:top w:w="15" w:type="dxa"/>
            <w:left w:w="15" w:type="dxa"/>
            <w:bottom w:w="15" w:type="dxa"/>
            <w:right w:w="15" w:type="dxa"/>
          </w:tblCellMar>
        </w:tblPrEx>
        <w:tc>
          <w:tcPr>
            <w:tcW w:w="5416"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62DE12">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栏次</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C7AB6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1</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5085A1">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2</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8EE579">
            <w:pPr>
              <w:widowControl/>
              <w:jc w:val="center"/>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3</w:t>
            </w:r>
          </w:p>
        </w:tc>
      </w:tr>
      <w:tr w14:paraId="7DDD042E">
        <w:tblPrEx>
          <w:tblCellMar>
            <w:top w:w="15" w:type="dxa"/>
            <w:left w:w="15" w:type="dxa"/>
            <w:bottom w:w="15" w:type="dxa"/>
            <w:right w:w="15" w:type="dxa"/>
          </w:tblCellMar>
        </w:tblPrEx>
        <w:tc>
          <w:tcPr>
            <w:tcW w:w="5416" w:type="dxa"/>
            <w:gridSpan w:val="2"/>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26F6E3">
            <w:pPr>
              <w:widowControl/>
              <w:jc w:val="center"/>
              <w:rPr>
                <w:rFonts w:ascii="Times New Roman" w:hAnsi="Times New Roman" w:eastAsia="Times New Roman" w:cs="Times New Roman"/>
                <w:b w:val="0"/>
                <w:bCs w:val="0"/>
                <w:i w:val="0"/>
                <w:iCs w:val="0"/>
                <w:smallCaps w:val="0"/>
                <w:color w:val="000000"/>
                <w:kern w:val="0"/>
                <w:sz w:val="29"/>
                <w:szCs w:val="29"/>
              </w:rPr>
            </w:pPr>
            <w:r>
              <w:rPr>
                <w:rFonts w:ascii="宋体" w:hAnsi="宋体" w:eastAsia="宋体" w:cs="宋体"/>
                <w:b w:val="0"/>
                <w:bCs w:val="0"/>
                <w:i w:val="0"/>
                <w:iCs w:val="0"/>
                <w:smallCaps w:val="0"/>
                <w:color w:val="000000"/>
                <w:kern w:val="0"/>
                <w:sz w:val="29"/>
                <w:szCs w:val="29"/>
              </w:rPr>
              <w:t>合计</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894DBC">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5D592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835BC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1D81CF1D">
        <w:tblPrEx>
          <w:tblCellMar>
            <w:top w:w="15" w:type="dxa"/>
            <w:left w:w="15" w:type="dxa"/>
            <w:bottom w:w="15" w:type="dxa"/>
            <w:right w:w="15" w:type="dxa"/>
          </w:tblCellMar>
        </w:tblPrEx>
        <w:tc>
          <w:tcPr>
            <w:tcW w:w="270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F4B275">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8"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F1A1F0">
            <w:pPr>
              <w:widowControl/>
              <w:jc w:val="lef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9FB679">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A46A06">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c>
          <w:tcPr>
            <w:tcW w:w="2709"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A3F44A">
            <w:pPr>
              <w:widowControl/>
              <w:jc w:val="right"/>
              <w:rPr>
                <w:rFonts w:ascii="Times New Roman" w:hAnsi="Times New Roman" w:eastAsia="Times New Roman" w:cs="Times New Roman"/>
                <w:b w:val="0"/>
                <w:bCs w:val="0"/>
                <w:i w:val="0"/>
                <w:iCs w:val="0"/>
                <w:smallCaps w:val="0"/>
                <w:color w:val="000000"/>
                <w:kern w:val="0"/>
                <w:sz w:val="29"/>
                <w:szCs w:val="29"/>
              </w:rPr>
            </w:pPr>
            <w:r>
              <w:rPr>
                <w:rFonts w:ascii="Times New Roman" w:hAnsi="Times New Roman" w:eastAsia="Times New Roman" w:cs="Times New Roman"/>
                <w:b w:val="0"/>
                <w:bCs w:val="0"/>
                <w:i w:val="0"/>
                <w:iCs w:val="0"/>
                <w:smallCaps w:val="0"/>
                <w:color w:val="000000"/>
                <w:kern w:val="0"/>
                <w:sz w:val="29"/>
                <w:szCs w:val="29"/>
              </w:rPr>
              <w:t> </w:t>
            </w:r>
          </w:p>
        </w:tc>
      </w:tr>
      <w:tr w14:paraId="738D1E53">
        <w:tblPrEx>
          <w:tblCellMar>
            <w:top w:w="15" w:type="dxa"/>
            <w:left w:w="15" w:type="dxa"/>
            <w:bottom w:w="15" w:type="dxa"/>
            <w:right w:w="15" w:type="dxa"/>
          </w:tblCellMar>
        </w:tblPrEx>
        <w:tc>
          <w:tcPr>
            <w:tcW w:w="13543" w:type="dxa"/>
            <w:gridSpan w:val="5"/>
            <w:noWrap w:val="0"/>
            <w:tcMar>
              <w:top w:w="20" w:type="dxa"/>
              <w:left w:w="20" w:type="dxa"/>
              <w:bottom w:w="20" w:type="dxa"/>
              <w:right w:w="20" w:type="dxa"/>
            </w:tcMar>
            <w:vAlign w:val="center"/>
          </w:tcPr>
          <w:p w14:paraId="4D7C13BA">
            <w:pPr>
              <w:widowControl/>
              <w:spacing w:line="375" w:lineRule="atLeast"/>
              <w:jc w:val="left"/>
              <w:rPr>
                <w:rFonts w:ascii="Times New Roman" w:hAnsi="Times New Roman" w:eastAsia="Times New Roman" w:cs="Times New Roman"/>
                <w:b w:val="0"/>
                <w:bCs w:val="0"/>
                <w:i w:val="0"/>
                <w:iCs w:val="0"/>
                <w:smallCaps w:val="0"/>
                <w:color w:val="000000"/>
                <w:kern w:val="0"/>
                <w:sz w:val="26"/>
                <w:szCs w:val="26"/>
              </w:rPr>
            </w:pPr>
            <w:r>
              <w:rPr>
                <w:rFonts w:ascii="宋体" w:hAnsi="宋体" w:eastAsia="宋体" w:cs="宋体"/>
                <w:b w:val="0"/>
                <w:bCs w:val="0"/>
                <w:i w:val="0"/>
                <w:iCs w:val="0"/>
                <w:smallCaps w:val="0"/>
                <w:color w:val="000000"/>
                <w:kern w:val="0"/>
                <w:sz w:val="26"/>
                <w:szCs w:val="26"/>
              </w:rPr>
              <w:t>注：本表反映本年度国有资本经营预算财政拨款支出情况。</w:t>
            </w:r>
          </w:p>
        </w:tc>
      </w:tr>
    </w:tbl>
    <w:p w14:paraId="1258EBCD">
      <w:pPr>
        <w:widowControl/>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p>
    <w:p w14:paraId="14FBFE1D">
      <w:pPr>
        <w:pStyle w:val="28"/>
        <w:widowControl/>
        <w:spacing w:before="240" w:after="240"/>
        <w:jc w:val="left"/>
        <w:rPr>
          <w:rFonts w:ascii="Times New Roman" w:hAnsi="Times New Roman" w:eastAsia="Times New Roman" w:cs="Times New Roman"/>
          <w:kern w:val="0"/>
          <w:sz w:val="24"/>
        </w:rPr>
      </w:pPr>
      <w:r>
        <w:rPr>
          <w:rFonts w:ascii="Calibri" w:hAnsi="Calibri" w:eastAsia="Calibri" w:cs="Calibri"/>
          <w:spacing w:val="0"/>
          <w:kern w:val="0"/>
          <w:sz w:val="56"/>
          <w:szCs w:val="56"/>
        </w:rPr>
        <w:t> </w:t>
      </w:r>
    </w:p>
    <w:p w14:paraId="21880FD2">
      <w:pPr>
        <w:pStyle w:val="28"/>
        <w:widowControl/>
        <w:spacing w:before="240" w:after="240"/>
        <w:jc w:val="left"/>
        <w:rPr>
          <w:rFonts w:ascii="Times New Roman" w:hAnsi="Times New Roman" w:eastAsia="Times New Roman" w:cs="Times New Roman"/>
          <w:kern w:val="0"/>
          <w:sz w:val="24"/>
        </w:rPr>
        <w:sectPr>
          <w:footerReference r:id="rId18" w:type="default"/>
          <w:pgSz w:w="16383" w:h="11906" w:orient="landscape"/>
          <w:pgMar w:top="1440" w:right="1800" w:bottom="1440" w:left="1800" w:header="720" w:footer="720" w:gutter="0"/>
          <w:cols w:space="720" w:num="1"/>
        </w:sectPr>
      </w:pPr>
    </w:p>
    <w:p w14:paraId="4DB95289">
      <w:pPr>
        <w:pStyle w:val="28"/>
        <w:widowControl/>
        <w:spacing w:before="240" w:after="240"/>
        <w:jc w:val="left"/>
        <w:rPr>
          <w:rFonts w:ascii="Times New Roman" w:hAnsi="Times New Roman" w:eastAsia="Times New Roman" w:cs="Times New Roman"/>
          <w:kern w:val="0"/>
          <w:sz w:val="24"/>
        </w:rPr>
      </w:pPr>
    </w:p>
    <w:p w14:paraId="3EE5EE08">
      <w:pPr>
        <w:pStyle w:val="28"/>
        <w:widowControl/>
        <w:spacing w:before="240" w:after="240"/>
        <w:jc w:val="left"/>
        <w:rPr>
          <w:rFonts w:ascii="Times New Roman" w:hAnsi="Times New Roman" w:eastAsia="Times New Roman" w:cs="Times New Roman"/>
          <w:kern w:val="0"/>
          <w:sz w:val="24"/>
        </w:rPr>
      </w:pPr>
    </w:p>
    <w:p w14:paraId="58EDF345">
      <w:pPr>
        <w:pStyle w:val="28"/>
        <w:widowControl/>
        <w:spacing w:before="240" w:after="240"/>
        <w:jc w:val="left"/>
        <w:rPr>
          <w:rFonts w:ascii="Times New Roman" w:hAnsi="Times New Roman" w:eastAsia="Times New Roman" w:cs="Times New Roman"/>
          <w:kern w:val="0"/>
          <w:sz w:val="24"/>
        </w:rPr>
      </w:pPr>
    </w:p>
    <w:p w14:paraId="13B9647F">
      <w:pPr>
        <w:pStyle w:val="28"/>
        <w:widowControl/>
        <w:spacing w:before="240" w:after="240"/>
        <w:jc w:val="left"/>
        <w:rPr>
          <w:rFonts w:ascii="Times New Roman" w:hAnsi="Times New Roman" w:eastAsia="Times New Roman" w:cs="Times New Roman"/>
          <w:kern w:val="0"/>
          <w:sz w:val="24"/>
        </w:rPr>
      </w:pPr>
    </w:p>
    <w:p w14:paraId="47A807EE">
      <w:pPr>
        <w:pStyle w:val="28"/>
        <w:widowControl/>
        <w:spacing w:before="240" w:after="240"/>
        <w:jc w:val="left"/>
        <w:rPr>
          <w:rFonts w:ascii="Times New Roman" w:hAnsi="Times New Roman" w:eastAsia="Times New Roman" w:cs="Times New Roman"/>
          <w:kern w:val="0"/>
          <w:sz w:val="24"/>
        </w:rPr>
      </w:pPr>
    </w:p>
    <w:p w14:paraId="736ACCA9">
      <w:pPr>
        <w:pStyle w:val="28"/>
        <w:widowControl/>
        <w:spacing w:before="240" w:after="240"/>
        <w:jc w:val="left"/>
        <w:rPr>
          <w:rFonts w:ascii="Times New Roman" w:hAnsi="Times New Roman" w:eastAsia="Times New Roman" w:cs="Times New Roman"/>
          <w:kern w:val="0"/>
          <w:sz w:val="24"/>
        </w:rPr>
      </w:pPr>
    </w:p>
    <w:p w14:paraId="7187572B">
      <w:pPr>
        <w:pStyle w:val="28"/>
        <w:widowControl/>
        <w:spacing w:before="240" w:after="240"/>
        <w:jc w:val="left"/>
        <w:rPr>
          <w:rFonts w:ascii="Times New Roman" w:hAnsi="Times New Roman" w:eastAsia="Times New Roman" w:cs="Times New Roman"/>
          <w:kern w:val="0"/>
          <w:sz w:val="24"/>
        </w:rPr>
      </w:pPr>
    </w:p>
    <w:p w14:paraId="0F42C1B5">
      <w:pPr>
        <w:pStyle w:val="28"/>
        <w:widowControl/>
        <w:spacing w:before="240" w:after="240"/>
        <w:jc w:val="left"/>
        <w:rPr>
          <w:rFonts w:ascii="Times New Roman" w:hAnsi="Times New Roman" w:eastAsia="Times New Roman" w:cs="Times New Roman"/>
          <w:kern w:val="0"/>
          <w:sz w:val="24"/>
        </w:rPr>
      </w:pPr>
    </w:p>
    <w:p w14:paraId="45FA41FC">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65" w:name="_Toc256000016"/>
      <w:bookmarkStart w:id="66" w:name="_Toc256000109"/>
      <w:bookmarkStart w:id="67" w:name="_Toc256000078"/>
      <w:bookmarkStart w:id="68" w:name="_Toc256000047"/>
      <w:r>
        <w:rPr>
          <w:rFonts w:ascii="黑体" w:hAnsi="黑体" w:eastAsia="黑体" w:cs="黑体"/>
          <w:b/>
          <w:spacing w:val="0"/>
          <w:sz w:val="56"/>
          <w:szCs w:val="56"/>
        </w:rPr>
        <w:t>第三部分</w:t>
      </w:r>
      <w:bookmarkEnd w:id="65"/>
      <w:bookmarkEnd w:id="66"/>
      <w:bookmarkEnd w:id="67"/>
      <w:bookmarkEnd w:id="68"/>
      <w:r>
        <w:rPr>
          <w:rFonts w:ascii="宋体" w:hAnsi="宋体" w:eastAsia="宋体" w:cs="宋体"/>
          <w:b/>
          <w:spacing w:val="0"/>
          <w:sz w:val="56"/>
          <w:szCs w:val="56"/>
        </w:rPr>
        <w:t> </w:t>
      </w:r>
    </w:p>
    <w:p w14:paraId="478C0472">
      <w:pPr>
        <w:pStyle w:val="3"/>
        <w:keepNext w:val="0"/>
        <w:keepLines w:val="0"/>
        <w:spacing w:before="100" w:after="100" w:line="600" w:lineRule="atLeast"/>
        <w:ind w:left="0" w:right="0" w:firstLine="0" w:firstLineChars="0"/>
        <w:jc w:val="center"/>
        <w:rPr>
          <w:rFonts w:ascii="Times New Roman" w:hAnsi="Times New Roman" w:eastAsia="Times New Roman" w:cs="Times New Roman"/>
          <w:b/>
          <w:bCs/>
          <w:kern w:val="0"/>
          <w:sz w:val="36"/>
          <w:szCs w:val="36"/>
        </w:rPr>
      </w:pPr>
      <w:bookmarkStart w:id="69" w:name="_Toc256000048"/>
      <w:bookmarkStart w:id="70" w:name="_Toc256000110"/>
      <w:bookmarkStart w:id="71" w:name="_Toc256000079"/>
      <w:bookmarkStart w:id="72" w:name="_Toc256000017"/>
      <w:r>
        <w:rPr>
          <w:rFonts w:ascii="黑体" w:hAnsi="黑体" w:eastAsia="黑体" w:cs="黑体"/>
          <w:b/>
          <w:spacing w:val="0"/>
          <w:sz w:val="56"/>
          <w:szCs w:val="56"/>
        </w:rPr>
        <w:t>2024年度决算情况说明</w:t>
      </w:r>
      <w:bookmarkEnd w:id="69"/>
      <w:bookmarkEnd w:id="70"/>
      <w:bookmarkEnd w:id="71"/>
      <w:bookmarkEnd w:id="72"/>
    </w:p>
    <w:p w14:paraId="4666BAC6">
      <w:pPr>
        <w:pStyle w:val="28"/>
        <w:widowControl/>
        <w:spacing w:before="100" w:after="100" w:line="600" w:lineRule="atLeast"/>
        <w:ind w:left="0" w:right="0" w:firstLine="0"/>
        <w:jc w:val="center"/>
        <w:rPr>
          <w:rFonts w:ascii="Times New Roman" w:hAnsi="Times New Roman" w:eastAsia="Times New Roman" w:cs="Times New Roman"/>
          <w:kern w:val="0"/>
          <w:sz w:val="24"/>
        </w:rPr>
      </w:pPr>
    </w:p>
    <w:p w14:paraId="200ABB48">
      <w:pPr>
        <w:sectPr>
          <w:footerReference r:id="rId19" w:type="default"/>
          <w:pgSz w:w="11906" w:h="16838"/>
          <w:pgMar w:top="1440" w:right="720" w:bottom="1440" w:left="720" w:header="720" w:footer="720" w:gutter="0"/>
          <w:cols w:space="720" w:num="1"/>
        </w:sectPr>
      </w:pPr>
    </w:p>
    <w:p w14:paraId="2FB4DC42">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6F2286A1">
      <w:pPr>
        <w:widowControl/>
        <w:spacing w:before="240" w:after="240"/>
        <w:jc w:val="left"/>
        <w:rPr>
          <w:rFonts w:ascii="Times New Roman" w:hAnsi="Times New Roman" w:eastAsia="Times New Roman" w:cs="Times New Roman"/>
          <w:kern w:val="0"/>
          <w:sz w:val="24"/>
        </w:rPr>
      </w:pPr>
    </w:p>
    <w:p w14:paraId="6971E912">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73" w:name="_Toc256000111"/>
      <w:bookmarkStart w:id="74" w:name="_Toc256000049"/>
      <w:bookmarkStart w:id="75" w:name="_Toc256000080"/>
      <w:bookmarkStart w:id="76" w:name="_Toc256000018"/>
      <w:r>
        <w:rPr>
          <w:rFonts w:ascii="黑体" w:hAnsi="黑体" w:eastAsia="黑体" w:cs="黑体"/>
          <w:b/>
          <w:spacing w:val="0"/>
        </w:rPr>
        <w:t>一、收入支出决算总体情况说明</w:t>
      </w:r>
      <w:bookmarkEnd w:id="73"/>
      <w:bookmarkEnd w:id="74"/>
      <w:bookmarkEnd w:id="75"/>
      <w:bookmarkEnd w:id="76"/>
    </w:p>
    <w:p w14:paraId="318BBC99">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（一）收入支出决算总体情况说明</w:t>
      </w:r>
    </w:p>
    <w:p w14:paraId="09334CA5">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本单位收入总计607.60万元，支出总计607.60万元，与上年决算数相比，各增加42.26万元，各增长7.47%。主要是新增2024年湖里区创新园基层劳动关系公共服务站项目、裁审衔接工作现场视频摄制与制作费用、劳动关系数字调节云建设。</w:t>
      </w:r>
    </w:p>
    <w:p w14:paraId="677A0E4E">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（二）收入决算情况说明</w:t>
      </w:r>
    </w:p>
    <w:p w14:paraId="770A744A">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2024年度收入607.60万元，比上年决算数</w:t>
      </w:r>
      <w:r>
        <w:rPr>
          <w:rFonts w:ascii="仿宋" w:hAnsi="仿宋" w:eastAsia="仿宋" w:cs="仿宋"/>
          <w:kern w:val="0"/>
          <w:sz w:val="32"/>
          <w:szCs w:val="32"/>
        </w:rPr>
        <w:t>增加</w:t>
      </w:r>
      <w:r>
        <w:rPr>
          <w:rFonts w:ascii="仿宋" w:hAnsi="仿宋" w:eastAsia="仿宋" w:cs="仿宋"/>
          <w:spacing w:val="0"/>
          <w:kern w:val="0"/>
          <w:sz w:val="32"/>
          <w:szCs w:val="32"/>
        </w:rPr>
        <w:t>42.26万元，</w:t>
      </w:r>
      <w:r>
        <w:rPr>
          <w:rFonts w:ascii="仿宋" w:hAnsi="仿宋" w:eastAsia="仿宋" w:cs="仿宋"/>
          <w:kern w:val="0"/>
          <w:sz w:val="32"/>
          <w:szCs w:val="32"/>
        </w:rPr>
        <w:t>增长</w:t>
      </w:r>
      <w:r>
        <w:rPr>
          <w:rFonts w:ascii="仿宋" w:hAnsi="仿宋" w:eastAsia="仿宋" w:cs="仿宋"/>
          <w:spacing w:val="0"/>
          <w:kern w:val="0"/>
          <w:sz w:val="32"/>
          <w:szCs w:val="32"/>
        </w:rPr>
        <w:t>7.47%，具体情况如下：</w:t>
      </w:r>
    </w:p>
    <w:p w14:paraId="231080C5">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1.一般公共预算财政拨款收入607.60万元。</w:t>
      </w:r>
    </w:p>
    <w:p w14:paraId="16EEAF58">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2.政府性基金预算财政拨款收入0万元。</w:t>
      </w:r>
    </w:p>
    <w:p w14:paraId="48560A8C">
      <w:pPr>
        <w:pStyle w:val="28"/>
        <w:widowControl/>
        <w:spacing w:before="100" w:after="100" w:line="600" w:lineRule="atLeast"/>
        <w:ind w:left="160" w:right="0" w:firstLine="480"/>
        <w:jc w:val="left"/>
        <w:rPr>
          <w:rFonts w:ascii="Times New Roman" w:hAnsi="Times New Roman" w:eastAsia="Times New Roman" w:cs="Times New Roman"/>
          <w:kern w:val="0"/>
          <w:sz w:val="24"/>
        </w:rPr>
      </w:pPr>
      <w:r>
        <w:rPr>
          <w:rFonts w:ascii="仿宋" w:hAnsi="仿宋" w:eastAsia="仿宋" w:cs="仿宋"/>
          <w:spacing w:val="0"/>
          <w:kern w:val="0"/>
          <w:sz w:val="32"/>
          <w:szCs w:val="32"/>
        </w:rPr>
        <w:t>3.国有资本经营预算财政拨款收入0万元。</w:t>
      </w:r>
    </w:p>
    <w:p w14:paraId="42C3E31F">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4.上级补助收入0万元。</w:t>
      </w:r>
    </w:p>
    <w:p w14:paraId="6DC1EE46">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5.事业收入0万元。</w:t>
      </w:r>
    </w:p>
    <w:p w14:paraId="6E139977">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6.经营收入0万元。</w:t>
      </w:r>
    </w:p>
    <w:p w14:paraId="3BD7724E">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7.附属单位上缴收入0万元。</w:t>
      </w:r>
    </w:p>
    <w:p w14:paraId="045ABE29">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8.其他收入0万元。</w:t>
      </w:r>
    </w:p>
    <w:p w14:paraId="44882B18">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_GB2312" w:hAnsi="楷体_GB2312" w:eastAsia="楷体_GB2312" w:cs="楷体_GB2312"/>
          <w:spacing w:val="0"/>
          <w:kern w:val="0"/>
          <w:sz w:val="32"/>
          <w:szCs w:val="32"/>
        </w:rPr>
        <w:t>（三）支出决算情况说明</w:t>
      </w:r>
    </w:p>
    <w:p w14:paraId="50FAE1D3">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2024年度支出607.60万元，比上年决算数增加42.26万元，增长7.47%，具体情况如下：</w:t>
      </w:r>
    </w:p>
    <w:p w14:paraId="5DC95E6D">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1.基本支出358.77万元。其中，人员支出339.28万元，公用支出19.49万元。</w:t>
      </w:r>
    </w:p>
    <w:p w14:paraId="3851C91C">
      <w:pPr>
        <w:pStyle w:val="28"/>
        <w:widowControl/>
        <w:spacing w:before="240" w:after="240"/>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2.项目支出248.83万元。</w:t>
      </w:r>
    </w:p>
    <w:p w14:paraId="62BF9108">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3.上缴上级支出0万元。</w:t>
      </w:r>
    </w:p>
    <w:p w14:paraId="40A1CC34">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4.经营支出0万元。</w:t>
      </w:r>
    </w:p>
    <w:p w14:paraId="1D6AB6DB">
      <w:pPr>
        <w:pStyle w:val="28"/>
        <w:widowControl/>
        <w:spacing w:before="100" w:after="100" w:line="600" w:lineRule="atLeast"/>
        <w:ind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5.对附属单位补助支出0万元。</w:t>
      </w:r>
    </w:p>
    <w:p w14:paraId="65F31C0E">
      <w:pPr>
        <w:pStyle w:val="5"/>
        <w:keepNext w:val="0"/>
        <w:keepLines w:val="0"/>
        <w:spacing w:before="100" w:after="100" w:line="240" w:lineRule="auto"/>
        <w:ind w:left="0" w:right="0" w:firstLine="480" w:firstLineChars="0"/>
        <w:rPr>
          <w:rFonts w:ascii="Times New Roman" w:hAnsi="Times New Roman" w:eastAsia="Times New Roman" w:cs="Times New Roman"/>
          <w:b/>
          <w:bCs/>
          <w:kern w:val="0"/>
          <w:sz w:val="28"/>
          <w:szCs w:val="28"/>
        </w:rPr>
      </w:pPr>
      <w:bookmarkStart w:id="77" w:name="_Toc256000019"/>
      <w:bookmarkStart w:id="78" w:name="_Toc256000081"/>
      <w:bookmarkStart w:id="79" w:name="_Toc256000050"/>
      <w:bookmarkStart w:id="80" w:name="_Toc256000112"/>
      <w:r>
        <w:rPr>
          <w:rFonts w:ascii="黑体" w:hAnsi="黑体" w:eastAsia="黑体" w:cs="黑体"/>
          <w:b/>
          <w:spacing w:val="0"/>
        </w:rPr>
        <w:t>二、财政拨款收入支出决算总体情况说明</w:t>
      </w:r>
      <w:bookmarkEnd w:id="77"/>
      <w:bookmarkEnd w:id="78"/>
      <w:bookmarkEnd w:id="79"/>
      <w:bookmarkEnd w:id="80"/>
    </w:p>
    <w:p w14:paraId="01CA0503">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财政拨款收入总计607.60万元，支出总计607.60万元，与上年决算数相比，各增加42.26万元，增长7.47%，主要是：新增2024年湖里区创新园基层劳动关系公共服务站项目、裁审衔接工作现场视频摄制与制作费用、劳动关系数字调节云建设。</w:t>
      </w:r>
    </w:p>
    <w:p w14:paraId="54D6F3D3">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1" w:name="_Toc256000020"/>
      <w:bookmarkStart w:id="82" w:name="_Toc256000051"/>
      <w:bookmarkStart w:id="83" w:name="_Toc256000113"/>
      <w:bookmarkStart w:id="84" w:name="_Toc256000082"/>
      <w:r>
        <w:rPr>
          <w:rFonts w:ascii="黑体" w:hAnsi="黑体" w:eastAsia="黑体" w:cs="黑体"/>
          <w:b/>
          <w:spacing w:val="0"/>
        </w:rPr>
        <w:t>三、一般公共预算拨款支出决算情况说明</w:t>
      </w:r>
      <w:bookmarkEnd w:id="81"/>
      <w:bookmarkEnd w:id="82"/>
      <w:bookmarkEnd w:id="83"/>
      <w:bookmarkEnd w:id="84"/>
    </w:p>
    <w:p w14:paraId="6887EE30">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2024年一般公共预算支出607.60万元，比上年决算数增加42.26万元，增长7.47%，具体情况如下(按</w:t>
      </w:r>
      <w:r>
        <w:rPr>
          <w:rStyle w:val="30"/>
          <w:rFonts w:ascii="仿宋" w:hAnsi="仿宋" w:eastAsia="仿宋" w:cs="仿宋"/>
          <w:spacing w:val="0"/>
          <w:kern w:val="0"/>
          <w:sz w:val="32"/>
          <w:szCs w:val="32"/>
        </w:rPr>
        <w:t>项级科目</w:t>
      </w:r>
      <w:r>
        <w:rPr>
          <w:rFonts w:ascii="仿宋" w:hAnsi="仿宋" w:eastAsia="仿宋" w:cs="仿宋"/>
          <w:spacing w:val="0"/>
          <w:kern w:val="0"/>
          <w:sz w:val="32"/>
          <w:szCs w:val="32"/>
        </w:rPr>
        <w:t>分类统计)：</w:t>
      </w:r>
    </w:p>
    <w:p w14:paraId="5EE12C17">
      <w:pPr>
        <w:pStyle w:val="28"/>
        <w:widowControl/>
        <w:spacing w:before="100" w:after="100" w:line="600" w:lineRule="atLeast"/>
        <w:ind w:left="0" w:right="0" w:firstLine="640" w:firstLineChars="200"/>
        <w:jc w:val="left"/>
        <w:rPr>
          <w:rFonts w:ascii="Times New Roman" w:hAnsi="Times New Roman" w:eastAsia="Times New Roman" w:cs="Times New Roman"/>
          <w:kern w:val="0"/>
          <w:sz w:val="24"/>
        </w:rPr>
      </w:pPr>
      <w:r>
        <w:rPr>
          <w:rFonts w:ascii="仿宋" w:hAnsi="仿宋" w:eastAsia="仿宋" w:cs="仿宋"/>
          <w:spacing w:val="0"/>
          <w:kern w:val="0"/>
          <w:sz w:val="32"/>
          <w:szCs w:val="32"/>
        </w:rPr>
        <w:t>（一）2080102 一般行政管理事务52.90万元，较上年决算数增加52.90万元，增长100%。主要原因是</w:t>
      </w:r>
      <w:r>
        <w:rPr>
          <w:rFonts w:hint="eastAsia" w:ascii="仿宋" w:hAnsi="仿宋" w:eastAsia="仿宋" w:cs="仿宋"/>
          <w:spacing w:val="0"/>
          <w:kern w:val="0"/>
          <w:sz w:val="32"/>
          <w:szCs w:val="32"/>
          <w:lang w:eastAsia="zh-CN"/>
        </w:rPr>
        <w:t>新增劳动争议预防和调解工作、全国裁审衔接现场会专项经费支出。</w:t>
      </w:r>
      <w:r>
        <w:rPr>
          <w:rFonts w:ascii="仿宋" w:hAnsi="仿宋" w:eastAsia="仿宋" w:cs="仿宋"/>
          <w:spacing w:val="0"/>
          <w:kern w:val="0"/>
          <w:sz w:val="32"/>
          <w:szCs w:val="32"/>
        </w:rPr>
        <w:br w:type="textWrapping"/>
      </w:r>
      <w:r>
        <w:rPr>
          <w:rFonts w:hint="eastAsia" w:ascii="仿宋" w:hAnsi="仿宋" w:eastAsia="仿宋" w:cs="仿宋"/>
          <w:spacing w:val="0"/>
          <w:kern w:val="0"/>
          <w:sz w:val="32"/>
          <w:szCs w:val="32"/>
          <w:lang w:val="en-US" w:eastAsia="zh-CN"/>
        </w:rPr>
        <w:t xml:space="preserve">    </w:t>
      </w:r>
      <w:r>
        <w:rPr>
          <w:rFonts w:ascii="仿宋" w:hAnsi="仿宋" w:eastAsia="仿宋" w:cs="仿宋"/>
          <w:spacing w:val="0"/>
          <w:kern w:val="0"/>
          <w:sz w:val="32"/>
          <w:szCs w:val="32"/>
        </w:rPr>
        <w:t>（二）2080112 劳动人事争议调解仲裁496.72万元，较上年决算数减少7.88万元，下降1.56%。主要原因是</w:t>
      </w:r>
      <w:r>
        <w:rPr>
          <w:rFonts w:hint="eastAsia" w:ascii="仿宋" w:hAnsi="仿宋" w:eastAsia="仿宋" w:cs="仿宋"/>
          <w:spacing w:val="0"/>
          <w:kern w:val="0"/>
          <w:sz w:val="32"/>
          <w:szCs w:val="32"/>
          <w:lang w:eastAsia="zh-CN"/>
        </w:rPr>
        <w:t>项目支出减少。</w:t>
      </w:r>
      <w:r>
        <w:rPr>
          <w:rFonts w:ascii="仿宋" w:hAnsi="仿宋" w:eastAsia="仿宋" w:cs="仿宋"/>
          <w:spacing w:val="0"/>
          <w:kern w:val="0"/>
          <w:sz w:val="32"/>
          <w:szCs w:val="32"/>
        </w:rPr>
        <w:br w:type="textWrapping"/>
      </w:r>
      <w:r>
        <w:rPr>
          <w:rFonts w:hint="eastAsia" w:ascii="仿宋" w:hAnsi="仿宋" w:eastAsia="仿宋" w:cs="仿宋"/>
          <w:spacing w:val="0"/>
          <w:kern w:val="0"/>
          <w:sz w:val="32"/>
          <w:szCs w:val="32"/>
          <w:lang w:val="en-US" w:eastAsia="zh-CN"/>
        </w:rPr>
        <w:t xml:space="preserve">    </w:t>
      </w:r>
      <w:r>
        <w:rPr>
          <w:rFonts w:ascii="仿宋" w:hAnsi="仿宋" w:eastAsia="仿宋" w:cs="仿宋"/>
          <w:spacing w:val="0"/>
          <w:kern w:val="0"/>
          <w:sz w:val="32"/>
          <w:szCs w:val="32"/>
        </w:rPr>
        <w:t>（三）2080505 机关事业单位基本养老保险缴费支出27.01万元，较上年决算数减少1.28万元，下降4.54%。主要原因是</w:t>
      </w:r>
      <w:r>
        <w:rPr>
          <w:rFonts w:hint="eastAsia" w:ascii="仿宋" w:hAnsi="仿宋" w:eastAsia="仿宋" w:cs="仿宋"/>
          <w:spacing w:val="0"/>
          <w:kern w:val="0"/>
          <w:sz w:val="32"/>
          <w:szCs w:val="32"/>
          <w:lang w:eastAsia="zh-CN"/>
        </w:rPr>
        <w:t>下半年在编人员调任</w:t>
      </w:r>
      <w:r>
        <w:rPr>
          <w:rFonts w:hint="eastAsia" w:ascii="仿宋" w:hAnsi="仿宋" w:eastAsia="仿宋" w:cs="仿宋"/>
          <w:spacing w:val="0"/>
          <w:kern w:val="0"/>
          <w:sz w:val="32"/>
          <w:szCs w:val="32"/>
          <w:lang w:val="en-US" w:eastAsia="zh-CN"/>
        </w:rPr>
        <w:t>1人，费用支出减少。</w:t>
      </w:r>
      <w:r>
        <w:rPr>
          <w:rFonts w:ascii="仿宋" w:hAnsi="仿宋" w:eastAsia="仿宋" w:cs="仿宋"/>
          <w:spacing w:val="0"/>
          <w:kern w:val="0"/>
          <w:sz w:val="32"/>
          <w:szCs w:val="32"/>
        </w:rPr>
        <w:br w:type="textWrapping"/>
      </w:r>
      <w:r>
        <w:rPr>
          <w:rFonts w:hint="eastAsia" w:ascii="仿宋" w:hAnsi="仿宋" w:eastAsia="仿宋" w:cs="仿宋"/>
          <w:spacing w:val="0"/>
          <w:kern w:val="0"/>
          <w:sz w:val="32"/>
          <w:szCs w:val="32"/>
          <w:lang w:val="en-US" w:eastAsia="zh-CN"/>
        </w:rPr>
        <w:t xml:space="preserve">    </w:t>
      </w:r>
      <w:r>
        <w:rPr>
          <w:rFonts w:ascii="仿宋" w:hAnsi="仿宋" w:eastAsia="仿宋" w:cs="仿宋"/>
          <w:spacing w:val="0"/>
          <w:kern w:val="0"/>
          <w:sz w:val="32"/>
          <w:szCs w:val="32"/>
        </w:rPr>
        <w:t>（四）2080506 机关事业单位职业年金缴费支出13.51万元，较上年决算数减少0.64万元，下降4.54%。主要原因是</w:t>
      </w:r>
      <w:r>
        <w:rPr>
          <w:rFonts w:hint="eastAsia" w:ascii="仿宋" w:hAnsi="仿宋" w:eastAsia="仿宋" w:cs="仿宋"/>
          <w:spacing w:val="0"/>
          <w:kern w:val="0"/>
          <w:sz w:val="32"/>
          <w:szCs w:val="32"/>
          <w:lang w:eastAsia="zh-CN"/>
        </w:rPr>
        <w:t>下半年在编人员调任</w:t>
      </w:r>
      <w:r>
        <w:rPr>
          <w:rFonts w:hint="eastAsia" w:ascii="仿宋" w:hAnsi="仿宋" w:eastAsia="仿宋" w:cs="仿宋"/>
          <w:spacing w:val="0"/>
          <w:kern w:val="0"/>
          <w:sz w:val="32"/>
          <w:szCs w:val="32"/>
          <w:lang w:val="en-US" w:eastAsia="zh-CN"/>
        </w:rPr>
        <w:t>1人，费用支出减少。</w:t>
      </w:r>
      <w:r>
        <w:rPr>
          <w:rFonts w:ascii="仿宋" w:hAnsi="仿宋" w:eastAsia="仿宋" w:cs="仿宋"/>
          <w:spacing w:val="0"/>
          <w:kern w:val="0"/>
          <w:sz w:val="32"/>
          <w:szCs w:val="32"/>
        </w:rPr>
        <w:br w:type="textWrapping"/>
      </w:r>
      <w:r>
        <w:rPr>
          <w:rFonts w:hint="eastAsia" w:ascii="仿宋" w:hAnsi="仿宋" w:eastAsia="仿宋" w:cs="仿宋"/>
          <w:spacing w:val="0"/>
          <w:kern w:val="0"/>
          <w:sz w:val="32"/>
          <w:szCs w:val="32"/>
          <w:lang w:val="en-US" w:eastAsia="zh-CN"/>
        </w:rPr>
        <w:t xml:space="preserve">    </w:t>
      </w:r>
      <w:r>
        <w:rPr>
          <w:rFonts w:ascii="仿宋" w:hAnsi="仿宋" w:eastAsia="仿宋" w:cs="仿宋"/>
          <w:spacing w:val="0"/>
          <w:kern w:val="0"/>
          <w:sz w:val="32"/>
          <w:szCs w:val="32"/>
        </w:rPr>
        <w:t>（五）2101102 事业单位医疗11.56万元，较上年决算数减少0.55万元，下降4.54%。主要原因是</w:t>
      </w:r>
      <w:r>
        <w:rPr>
          <w:rFonts w:hint="eastAsia" w:ascii="仿宋" w:hAnsi="仿宋" w:eastAsia="仿宋" w:cs="仿宋"/>
          <w:spacing w:val="0"/>
          <w:kern w:val="0"/>
          <w:sz w:val="32"/>
          <w:szCs w:val="32"/>
          <w:lang w:eastAsia="zh-CN"/>
        </w:rPr>
        <w:t>下半年在编人员调任</w:t>
      </w:r>
      <w:r>
        <w:rPr>
          <w:rFonts w:hint="eastAsia" w:ascii="仿宋" w:hAnsi="仿宋" w:eastAsia="仿宋" w:cs="仿宋"/>
          <w:spacing w:val="0"/>
          <w:kern w:val="0"/>
          <w:sz w:val="32"/>
          <w:szCs w:val="32"/>
          <w:lang w:val="en-US" w:eastAsia="zh-CN"/>
        </w:rPr>
        <w:t>1人，费用支出减少。</w:t>
      </w:r>
      <w:r>
        <w:rPr>
          <w:rFonts w:ascii="仿宋" w:hAnsi="仿宋" w:eastAsia="仿宋" w:cs="仿宋"/>
          <w:spacing w:val="0"/>
          <w:kern w:val="0"/>
          <w:sz w:val="32"/>
          <w:szCs w:val="32"/>
        </w:rPr>
        <w:br w:type="textWrapping"/>
      </w:r>
      <w:r>
        <w:rPr>
          <w:rFonts w:hint="eastAsia" w:ascii="仿宋" w:hAnsi="仿宋" w:eastAsia="仿宋" w:cs="仿宋"/>
          <w:spacing w:val="0"/>
          <w:kern w:val="0"/>
          <w:sz w:val="32"/>
          <w:szCs w:val="32"/>
          <w:lang w:val="en-US" w:eastAsia="zh-CN"/>
        </w:rPr>
        <w:t xml:space="preserve">    </w:t>
      </w:r>
      <w:r>
        <w:rPr>
          <w:rFonts w:ascii="仿宋" w:hAnsi="仿宋" w:eastAsia="仿宋" w:cs="仿宋"/>
          <w:spacing w:val="0"/>
          <w:kern w:val="0"/>
          <w:sz w:val="32"/>
          <w:szCs w:val="32"/>
        </w:rPr>
        <w:t>（六）2101199 其他行政事业单位医疗支出5.91万元，较上年决算数减少0.28万元，下降4.54%。主要原因是</w:t>
      </w:r>
      <w:r>
        <w:rPr>
          <w:rFonts w:hint="eastAsia" w:ascii="仿宋" w:hAnsi="仿宋" w:eastAsia="仿宋" w:cs="仿宋"/>
          <w:spacing w:val="0"/>
          <w:kern w:val="0"/>
          <w:sz w:val="32"/>
          <w:szCs w:val="32"/>
          <w:lang w:eastAsia="zh-CN"/>
        </w:rPr>
        <w:t>下半年在编人员调任</w:t>
      </w:r>
      <w:r>
        <w:rPr>
          <w:rFonts w:hint="eastAsia" w:ascii="仿宋" w:hAnsi="仿宋" w:eastAsia="仿宋" w:cs="仿宋"/>
          <w:spacing w:val="0"/>
          <w:kern w:val="0"/>
          <w:sz w:val="32"/>
          <w:szCs w:val="32"/>
          <w:lang w:val="en-US" w:eastAsia="zh-CN"/>
        </w:rPr>
        <w:t>1人，费用支出减少。</w:t>
      </w:r>
    </w:p>
    <w:p w14:paraId="7D2DD3F6">
      <w:pPr>
        <w:pStyle w:val="28"/>
        <w:widowControl/>
        <w:spacing w:before="100" w:after="100" w:line="600" w:lineRule="atLeast"/>
        <w:ind w:left="0" w:right="0" w:firstLine="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注：没有一般公共预算拨款支出的单位请说明“本单位2024年度没有使用一般公共预算拨款安排的支出”。</w:t>
      </w:r>
    </w:p>
    <w:p w14:paraId="79F388FD">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5" w:name="_Toc256000083"/>
      <w:bookmarkStart w:id="86" w:name="_Toc256000052"/>
      <w:bookmarkStart w:id="87" w:name="_Toc256000021"/>
      <w:bookmarkStart w:id="88" w:name="_Toc256000114"/>
      <w:r>
        <w:rPr>
          <w:rFonts w:ascii="黑体" w:hAnsi="黑体" w:eastAsia="黑体" w:cs="黑体"/>
          <w:b/>
          <w:spacing w:val="0"/>
        </w:rPr>
        <w:t>四、政府性基金预算财政拨款支出决算情况说明</w:t>
      </w:r>
      <w:bookmarkEnd w:id="85"/>
      <w:bookmarkEnd w:id="86"/>
      <w:bookmarkEnd w:id="87"/>
      <w:bookmarkEnd w:id="88"/>
    </w:p>
    <w:p w14:paraId="2F73DCAB">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2024年度政府性基金支出0万元，比上年决算数增加0万元，增长0%，具体情况如下(按项级科目统计)：</w:t>
      </w:r>
    </w:p>
    <w:p w14:paraId="69D803A9">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注：没有政府性基金拨款支出的单位请说明“本单位2024年度没有使用政府性基金预算拨款安排的支出”。</w:t>
      </w:r>
    </w:p>
    <w:p w14:paraId="71F0E4EF">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89" w:name="_Toc256000115"/>
      <w:bookmarkStart w:id="90" w:name="_Toc256000084"/>
      <w:bookmarkStart w:id="91" w:name="_Toc256000053"/>
      <w:bookmarkStart w:id="92" w:name="_Toc256000022"/>
      <w:r>
        <w:rPr>
          <w:rFonts w:ascii="黑体" w:hAnsi="黑体" w:eastAsia="黑体" w:cs="黑体"/>
          <w:b/>
          <w:spacing w:val="0"/>
        </w:rPr>
        <w:t>五、国有资本经营预算财政拨款支出决算情况说明</w:t>
      </w:r>
      <w:bookmarkEnd w:id="89"/>
      <w:bookmarkEnd w:id="90"/>
      <w:bookmarkEnd w:id="91"/>
      <w:bookmarkEnd w:id="92"/>
    </w:p>
    <w:p w14:paraId="0CF7BE62">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2024年度国有资本经营预算支出0万元，比上年决算数增加0万元，增长0%，具体情况如下(按项级科目统计)：</w:t>
      </w:r>
    </w:p>
    <w:p w14:paraId="65E087A7">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注：没有国有资本经营预算财政拨款支出的单位请说明“本单位2024年度没有使用国有资本经营预算财政拨款安排的支出”。</w:t>
      </w:r>
    </w:p>
    <w:p w14:paraId="57C1BC54">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3" w:name="_Toc256000085"/>
      <w:bookmarkStart w:id="94" w:name="_Toc256000116"/>
      <w:bookmarkStart w:id="95" w:name="_Toc256000054"/>
      <w:bookmarkStart w:id="96" w:name="_Toc256000023"/>
      <w:r>
        <w:rPr>
          <w:rFonts w:ascii="黑体" w:hAnsi="黑体" w:eastAsia="黑体" w:cs="黑体"/>
          <w:b/>
          <w:spacing w:val="0"/>
        </w:rPr>
        <w:t>六、一般公共预算财政拨款基本支出决算情况说明</w:t>
      </w:r>
      <w:bookmarkEnd w:id="93"/>
      <w:bookmarkEnd w:id="94"/>
      <w:bookmarkEnd w:id="95"/>
      <w:bookmarkEnd w:id="96"/>
    </w:p>
    <w:p w14:paraId="23F580FD">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2024年度一般公共预算财政拨款基本支出358.77万元，其中：</w:t>
      </w:r>
    </w:p>
    <w:p w14:paraId="4FC3E61A">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一）人员经费339.28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13C408A5">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用经费19.49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73C39FCB">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97" w:name="_Toc256000117"/>
      <w:bookmarkStart w:id="98" w:name="_Toc256000086"/>
      <w:bookmarkStart w:id="99" w:name="_Toc256000024"/>
      <w:bookmarkStart w:id="100" w:name="_Toc256000055"/>
      <w:r>
        <w:rPr>
          <w:rFonts w:ascii="黑体" w:hAnsi="黑体" w:eastAsia="黑体" w:cs="黑体"/>
          <w:b/>
          <w:spacing w:val="0"/>
        </w:rPr>
        <w:t>七、一般公共预算拨款“三公”经费支出决算情况说明</w:t>
      </w:r>
      <w:bookmarkEnd w:id="97"/>
      <w:bookmarkEnd w:id="98"/>
      <w:bookmarkEnd w:id="99"/>
      <w:bookmarkEnd w:id="100"/>
    </w:p>
    <w:p w14:paraId="399B8D4C">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2024年度一般公共预算拨款“三公”经费支出1.04万元，完成全年预算的 100.00%；较上年增加0.50万元，增长94.30%。主要原因是公务车辆的保养维修和人社部调研等公务接待支出。具体情况如下：</w:t>
      </w:r>
    </w:p>
    <w:p w14:paraId="40CC1318">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（一）因公出国（境）费支出0万元，完成全年预算的 0%；较上年增加0万元，增长0%。全年安排本单位组织的出国团组0 个，参加其他单位出国团组0个；全年因公出国（境）累计0人次。主要是本年无因公出国（境）费用支出</w:t>
      </w:r>
    </w:p>
    <w:p w14:paraId="2399B9CD">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（二）公务用车购置及运行费支出0.60万元，完成全年预算的100.00%；较上年增加0.06万元，增长11.75%。其中：</w:t>
      </w:r>
    </w:p>
    <w:p w14:paraId="676F5ABF">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公务用车购置费支出0万元，完成全年预算的0%；较上年增加0万元，增长0%。2024年公务用车购置0辆，主要是:本年无公务用车购置费费用支出</w:t>
      </w:r>
    </w:p>
    <w:p w14:paraId="10CE0735">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公务用车运行费支出0.60万元，完成全年预算的100.00%；较上年增加0.06万元，增长11.75%。主要是车辆的维修保养。截至2024年12月31日，本单位公务用车保有量为1 辆。</w:t>
      </w:r>
    </w:p>
    <w:p w14:paraId="27F76FB5">
      <w:pPr>
        <w:pStyle w:val="28"/>
        <w:widowControl/>
        <w:spacing w:before="100" w:after="100" w:line="600" w:lineRule="atLeast"/>
        <w:ind w:left="0" w:right="0" w:firstLine="645"/>
        <w:jc w:val="left"/>
        <w:rPr>
          <w:rFonts w:ascii="Times New Roman" w:hAnsi="Times New Roman" w:eastAsia="Times New Roman" w:cs="Times New Roman"/>
          <w:kern w:val="0"/>
          <w:sz w:val="24"/>
        </w:rPr>
      </w:pPr>
      <w:r>
        <w:rPr>
          <w:rFonts w:ascii="仿宋" w:hAnsi="仿宋" w:eastAsia="仿宋" w:cs="仿宋"/>
          <w:spacing w:val="0"/>
          <w:kern w:val="0"/>
          <w:sz w:val="32"/>
          <w:szCs w:val="32"/>
        </w:rPr>
        <w:t>（三）公务接待费支出0.44万元，完成全年预算的 100.00%；较上年增加0.44万元，增长0%。主要是接待人社部调研、海南省仲裁院、广安市人社局等3批来访人员。累计接待3批次、21人次。主要是人社部调研、海南省仲裁院、广安市人社局来访人员的接待。</w:t>
      </w:r>
    </w:p>
    <w:p w14:paraId="517ACB85">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增减变动金额为0的，请标注“与全年预算（或上年决算）持平”，其中：如预决算（或上年决算）金额均为0，可说明“本年无XX费用支出”；如决算金额不为0，预算金额（或上年决算）为0，可说明增加的金额及主要原因。</w:t>
      </w:r>
    </w:p>
    <w:p w14:paraId="3C5AAF53">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1" w:name="_Toc256000087"/>
      <w:bookmarkStart w:id="102" w:name="_Toc256000118"/>
      <w:bookmarkStart w:id="103" w:name="_Toc256000056"/>
      <w:bookmarkStart w:id="104" w:name="_Toc256000025"/>
      <w:r>
        <w:rPr>
          <w:rFonts w:ascii="黑体" w:hAnsi="黑体" w:eastAsia="黑体" w:cs="黑体"/>
          <w:b/>
          <w:spacing w:val="0"/>
        </w:rPr>
        <w:t>八、预算绩效情况说明</w:t>
      </w:r>
      <w:bookmarkEnd w:id="101"/>
      <w:bookmarkEnd w:id="102"/>
      <w:bookmarkEnd w:id="103"/>
      <w:bookmarkEnd w:id="104"/>
    </w:p>
    <w:p w14:paraId="520B6198">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根据预算绩效管理要求，本单位组织对2024年度6个项目实施单位自评，分别是劳动争议预防和调解工作、非事业编仲裁人员办案补助、劳动关系调节数字云建设、仲裁办案经费、综改项目基层劳动关系公共服务站建设费用、调解员办案奖励等项目，涉及财政拨款资金共计257.5万元。（《项目支出绩效自评表》详见附件2）</w:t>
      </w:r>
    </w:p>
    <w:p w14:paraId="03F13A56">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注：如该年度本单位无单位自评项目，无需公开空表，仅需简要说明情况。（24年决算公开中的绩效自评表格，以一体化绩效管理模块导出的表格为准）</w:t>
      </w:r>
    </w:p>
    <w:p w14:paraId="3E159646">
      <w:pPr>
        <w:pStyle w:val="5"/>
        <w:keepNext w:val="0"/>
        <w:keepLines w:val="0"/>
        <w:spacing w:before="100" w:after="100" w:line="600" w:lineRule="atLeast"/>
        <w:ind w:left="0" w:right="0" w:firstLine="640" w:firstLineChars="0"/>
        <w:rPr>
          <w:rFonts w:ascii="Times New Roman" w:hAnsi="Times New Roman" w:eastAsia="Times New Roman" w:cs="Times New Roman"/>
          <w:b/>
          <w:bCs/>
          <w:kern w:val="0"/>
          <w:sz w:val="28"/>
          <w:szCs w:val="28"/>
        </w:rPr>
      </w:pPr>
      <w:bookmarkStart w:id="105" w:name="_Toc256000026"/>
      <w:bookmarkStart w:id="106" w:name="_Toc256000088"/>
      <w:bookmarkStart w:id="107" w:name="_Toc256000057"/>
      <w:bookmarkStart w:id="108" w:name="_Toc256000119"/>
      <w:r>
        <w:rPr>
          <w:rFonts w:ascii="黑体" w:hAnsi="黑体" w:eastAsia="黑体" w:cs="黑体"/>
          <w:b/>
          <w:spacing w:val="0"/>
        </w:rPr>
        <w:t>九、其他重要事项说明</w:t>
      </w:r>
      <w:bookmarkEnd w:id="105"/>
      <w:bookmarkEnd w:id="106"/>
      <w:bookmarkEnd w:id="107"/>
      <w:bookmarkEnd w:id="108"/>
    </w:p>
    <w:p w14:paraId="269C91AC">
      <w:pPr>
        <w:pStyle w:val="28"/>
        <w:widowControl/>
        <w:spacing w:before="100" w:after="100" w:line="600" w:lineRule="atLeast"/>
        <w:ind w:left="0" w:right="0" w:firstLine="643"/>
        <w:jc w:val="left"/>
        <w:rPr>
          <w:rFonts w:ascii="Times New Roman" w:hAnsi="Times New Roman" w:eastAsia="Times New Roman" w:cs="Times New Roman"/>
          <w:kern w:val="0"/>
          <w:sz w:val="24"/>
        </w:rPr>
      </w:pPr>
      <w:r>
        <w:rPr>
          <w:rFonts w:ascii="楷体" w:hAnsi="楷体" w:eastAsia="楷体" w:cs="楷体"/>
          <w:spacing w:val="0"/>
          <w:kern w:val="0"/>
          <w:sz w:val="32"/>
          <w:szCs w:val="32"/>
        </w:rPr>
        <w:t>（一）机关运行经费</w:t>
      </w:r>
      <w:r>
        <w:rPr>
          <w:rFonts w:ascii="宋体" w:hAnsi="宋体" w:cs="宋体"/>
          <w:spacing w:val="0"/>
          <w:kern w:val="0"/>
          <w:sz w:val="32"/>
          <w:szCs w:val="32"/>
        </w:rPr>
        <w:t> </w:t>
      </w:r>
    </w:p>
    <w:p w14:paraId="62D99D2A">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2024年度机关运行经费支出0万元，比上年决算数增加0万元，增长0%，主要原因是:本单位为事业单位没有机关运行经费（具体增减原因由部门根据实际情况填列）。</w:t>
      </w:r>
    </w:p>
    <w:p w14:paraId="1E96531B">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w:t>
      </w:r>
      <w:r>
        <w:rPr>
          <w:rFonts w:ascii="Calibri" w:hAnsi="Calibri" w:eastAsia="Calibri" w:cs="Calibri"/>
          <w:spacing w:val="0"/>
          <w:kern w:val="0"/>
          <w:sz w:val="32"/>
          <w:szCs w:val="32"/>
        </w:rPr>
        <w:t> </w:t>
      </w:r>
      <w:r>
        <w:rPr>
          <w:rFonts w:ascii="楷体" w:hAnsi="楷体" w:eastAsia="楷体" w:cs="楷体"/>
          <w:spacing w:val="0"/>
          <w:kern w:val="0"/>
          <w:sz w:val="32"/>
          <w:szCs w:val="32"/>
        </w:rPr>
        <w:t>没有机关运行经费的单位请说明“本单位为事业单位没有机关运行经费”。</w:t>
      </w:r>
    </w:p>
    <w:p w14:paraId="45759CC4">
      <w:pPr>
        <w:pStyle w:val="28"/>
        <w:widowControl/>
        <w:spacing w:before="100" w:after="100" w:line="600" w:lineRule="atLeast"/>
        <w:ind w:left="0" w:right="0" w:firstLine="643"/>
        <w:jc w:val="left"/>
        <w:rPr>
          <w:rFonts w:ascii="Times New Roman" w:hAnsi="Times New Roman" w:eastAsia="Times New Roman" w:cs="Times New Roman"/>
          <w:kern w:val="0"/>
          <w:sz w:val="24"/>
        </w:rPr>
      </w:pPr>
      <w:r>
        <w:rPr>
          <w:rStyle w:val="30"/>
          <w:rFonts w:ascii="楷体" w:hAnsi="楷体" w:eastAsia="楷体" w:cs="楷体"/>
          <w:b/>
          <w:bCs/>
          <w:spacing w:val="0"/>
          <w:kern w:val="0"/>
          <w:sz w:val="32"/>
          <w:szCs w:val="32"/>
        </w:rPr>
        <w:t>（二）政府采购情况</w:t>
      </w:r>
    </w:p>
    <w:p w14:paraId="09889169">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仿宋" w:hAnsi="仿宋" w:eastAsia="仿宋" w:cs="仿宋"/>
          <w:spacing w:val="0"/>
          <w:kern w:val="0"/>
          <w:sz w:val="32"/>
          <w:szCs w:val="32"/>
        </w:rPr>
        <w:t>本单位2024年度政府采购支出总额52.19万元，其中：政府采购货物支出52.19万元、政府采购工程支出0万元、政府采购服务支出0万元。授予中小企业合同金额52.19万元，占政府采购支出总额的100.00%，其中：授予小微企业合同金额52.19万元，占授予中小企业合同金额的100.00%；货物采购授予中小企业合同金额占货物支出金额的0%，工程采购授予中小企业合同金额占工程支出金额的0%，服务采购授予中小企业合同金额占服务支出金额的0</w:t>
      </w:r>
    </w:p>
    <w:p w14:paraId="3ABEA627">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楷体" w:hAnsi="楷体" w:eastAsia="楷体" w:cs="楷体"/>
          <w:spacing w:val="0"/>
          <w:kern w:val="0"/>
          <w:sz w:val="32"/>
          <w:szCs w:val="32"/>
        </w:rPr>
        <w:t>注：1.没有政府采购支出的单位请说明“本单位2024年度没有政府采购支出”。</w:t>
      </w:r>
    </w:p>
    <w:p w14:paraId="68471FC4">
      <w:pPr>
        <w:pStyle w:val="28"/>
        <w:widowControl/>
        <w:spacing w:before="100" w:after="100" w:line="600" w:lineRule="atLeast"/>
        <w:ind w:left="0" w:right="0" w:firstLine="640"/>
        <w:jc w:val="left"/>
        <w:rPr>
          <w:rFonts w:ascii="Times New Roman" w:hAnsi="Times New Roman" w:eastAsia="Times New Roman" w:cs="Times New Roman"/>
          <w:kern w:val="0"/>
          <w:sz w:val="24"/>
        </w:rPr>
      </w:pPr>
      <w:r>
        <w:rPr>
          <w:rFonts w:ascii="Calibri" w:hAnsi="Calibri" w:eastAsia="Calibri" w:cs="Calibri"/>
          <w:spacing w:val="0"/>
          <w:kern w:val="0"/>
          <w:sz w:val="32"/>
          <w:szCs w:val="32"/>
        </w:rPr>
        <w:t>    </w:t>
      </w:r>
      <w:r>
        <w:rPr>
          <w:rFonts w:ascii="楷体" w:hAnsi="楷体" w:eastAsia="楷体" w:cs="楷体"/>
          <w:spacing w:val="0"/>
          <w:kern w:val="0"/>
          <w:sz w:val="32"/>
          <w:szCs w:val="32"/>
        </w:rPr>
        <w:t>2.采购数据可从政府采购信息统计报表中提取，请各单位按照政府采购监管部门要求，在财政部地方采购信息统计管理系统中开通、设置账户信息，并按季度填报相关数据。公开的数据原则上应与政府采购信息报表上报的数据一致。（公开时此段需删除）</w:t>
      </w:r>
    </w:p>
    <w:p w14:paraId="0AA5ADF9">
      <w:pPr>
        <w:pStyle w:val="28"/>
        <w:widowControl/>
        <w:spacing w:before="100" w:after="100" w:line="600" w:lineRule="atLeast"/>
        <w:ind w:left="0" w:right="0" w:firstLine="707"/>
        <w:jc w:val="left"/>
        <w:rPr>
          <w:rFonts w:ascii="Times New Roman" w:hAnsi="Times New Roman" w:eastAsia="Times New Roman" w:cs="Times New Roman"/>
          <w:kern w:val="0"/>
          <w:sz w:val="24"/>
        </w:rPr>
      </w:pPr>
      <w:r>
        <w:rPr>
          <w:rStyle w:val="30"/>
          <w:rFonts w:ascii="楷体" w:hAnsi="楷体" w:eastAsia="楷体" w:cs="楷体"/>
          <w:b/>
          <w:bCs/>
          <w:spacing w:val="0"/>
          <w:kern w:val="0"/>
          <w:sz w:val="32"/>
          <w:szCs w:val="32"/>
        </w:rPr>
        <w:t>（三）国有资产占用使用情况</w:t>
      </w:r>
      <w:r>
        <w:rPr>
          <w:rFonts w:ascii="宋体" w:hAnsi="宋体" w:cs="宋体"/>
          <w:spacing w:val="0"/>
          <w:kern w:val="0"/>
          <w:sz w:val="32"/>
          <w:szCs w:val="32"/>
        </w:rPr>
        <w:t> </w:t>
      </w:r>
    </w:p>
    <w:p w14:paraId="633E7502">
      <w:pPr>
        <w:pStyle w:val="28"/>
        <w:widowControl/>
        <w:spacing w:before="100" w:after="100" w:line="600" w:lineRule="atLeast"/>
        <w:ind w:left="0" w:right="0" w:firstLine="704"/>
        <w:jc w:val="left"/>
        <w:rPr>
          <w:rFonts w:ascii="Times New Roman" w:hAnsi="Times New Roman" w:eastAsia="Times New Roman" w:cs="Times New Roman"/>
          <w:kern w:val="0"/>
          <w:sz w:val="24"/>
        </w:rPr>
      </w:pPr>
      <w:r>
        <w:rPr>
          <w:rFonts w:ascii="仿宋" w:hAnsi="仿宋" w:eastAsia="仿宋" w:cs="仿宋"/>
          <w:spacing w:val="0"/>
          <w:kern w:val="0"/>
          <w:sz w:val="32"/>
          <w:szCs w:val="32"/>
        </w:rPr>
        <w:t>截至2024年12月31日，本单位共有车辆1 辆，其中：副部（省）级以上领导用车0 辆、主要领导干部用车0 辆、机要通信用车0辆、应急保障用车0辆、执法执勤用车1辆、特种专业技术用车0辆、离退休干部用车0辆、其他用车0辆，其他用车主要是；单位价值100万元以上设备（不含车辆）0台（套）。</w:t>
      </w:r>
      <w:r>
        <w:rPr>
          <w:rFonts w:ascii="Calibri" w:hAnsi="Calibri" w:eastAsia="Calibri" w:cs="Calibri"/>
          <w:spacing w:val="0"/>
          <w:kern w:val="0"/>
          <w:sz w:val="32"/>
          <w:szCs w:val="32"/>
        </w:rPr>
        <w:t>  </w:t>
      </w:r>
      <w:r>
        <w:rPr>
          <w:rFonts w:ascii="宋体" w:hAnsi="宋体" w:cs="宋体"/>
          <w:spacing w:val="0"/>
          <w:kern w:val="0"/>
          <w:sz w:val="56"/>
          <w:szCs w:val="56"/>
        </w:rPr>
        <w:t xml:space="preserve"> </w:t>
      </w:r>
    </w:p>
    <w:p w14:paraId="22CF8A26">
      <w:pPr>
        <w:sectPr>
          <w:footerReference r:id="rId20" w:type="default"/>
          <w:pgSz w:w="11906" w:h="16838"/>
          <w:pgMar w:top="1440" w:right="720" w:bottom="1440" w:left="720" w:header="720" w:footer="720" w:gutter="0"/>
          <w:cols w:space="720" w:num="1"/>
        </w:sectPr>
      </w:pPr>
    </w:p>
    <w:p w14:paraId="4863359B">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1B5656D7">
      <w:pPr>
        <w:widowControl/>
        <w:spacing w:before="240" w:after="240"/>
        <w:jc w:val="left"/>
        <w:rPr>
          <w:rFonts w:ascii="Times New Roman" w:hAnsi="Times New Roman" w:eastAsia="Times New Roman" w:cs="Times New Roman"/>
          <w:kern w:val="0"/>
          <w:sz w:val="24"/>
        </w:rPr>
      </w:pPr>
    </w:p>
    <w:p w14:paraId="3BB6268F">
      <w:pPr>
        <w:pStyle w:val="28"/>
        <w:widowControl/>
        <w:spacing w:before="100" w:after="100"/>
        <w:ind w:left="0" w:right="0" w:firstLine="0"/>
        <w:jc w:val="left"/>
        <w:rPr>
          <w:rFonts w:ascii="Times New Roman" w:hAnsi="Times New Roman" w:eastAsia="Times New Roman" w:cs="Times New Roman"/>
          <w:kern w:val="0"/>
          <w:sz w:val="24"/>
        </w:rPr>
      </w:pPr>
    </w:p>
    <w:p w14:paraId="4E1DC9AD">
      <w:pPr>
        <w:pStyle w:val="28"/>
        <w:widowControl/>
        <w:spacing w:before="100" w:after="100"/>
        <w:ind w:left="0" w:right="0" w:firstLine="0"/>
        <w:jc w:val="left"/>
        <w:rPr>
          <w:rFonts w:ascii="Times New Roman" w:hAnsi="Times New Roman" w:eastAsia="Times New Roman" w:cs="Times New Roman"/>
          <w:kern w:val="0"/>
          <w:sz w:val="24"/>
        </w:rPr>
      </w:pPr>
    </w:p>
    <w:p w14:paraId="4CC67F4B">
      <w:pPr>
        <w:pStyle w:val="28"/>
        <w:widowControl/>
        <w:spacing w:before="100" w:after="100"/>
        <w:ind w:left="0" w:right="0" w:firstLine="0"/>
        <w:jc w:val="left"/>
        <w:rPr>
          <w:rFonts w:ascii="Times New Roman" w:hAnsi="Times New Roman" w:eastAsia="Times New Roman" w:cs="Times New Roman"/>
          <w:kern w:val="0"/>
          <w:sz w:val="24"/>
        </w:rPr>
      </w:pPr>
    </w:p>
    <w:p w14:paraId="2CE202BF">
      <w:pPr>
        <w:pStyle w:val="28"/>
        <w:widowControl/>
        <w:spacing w:before="100" w:after="100"/>
        <w:ind w:left="0" w:right="0" w:firstLine="0"/>
        <w:jc w:val="left"/>
        <w:rPr>
          <w:rFonts w:ascii="Times New Roman" w:hAnsi="Times New Roman" w:eastAsia="Times New Roman" w:cs="Times New Roman"/>
          <w:kern w:val="0"/>
          <w:sz w:val="24"/>
        </w:rPr>
      </w:pPr>
    </w:p>
    <w:p w14:paraId="622D2795">
      <w:pPr>
        <w:pStyle w:val="28"/>
        <w:widowControl/>
        <w:spacing w:before="100" w:after="100"/>
        <w:ind w:left="0" w:right="0" w:firstLine="0"/>
        <w:jc w:val="left"/>
        <w:rPr>
          <w:rFonts w:ascii="Times New Roman" w:hAnsi="Times New Roman" w:eastAsia="Times New Roman" w:cs="Times New Roman"/>
          <w:kern w:val="0"/>
          <w:sz w:val="24"/>
        </w:rPr>
      </w:pPr>
    </w:p>
    <w:p w14:paraId="3B377AA5">
      <w:pPr>
        <w:pStyle w:val="28"/>
        <w:widowControl/>
        <w:spacing w:before="100" w:after="100"/>
        <w:ind w:left="0" w:right="0" w:firstLine="0"/>
        <w:jc w:val="left"/>
        <w:rPr>
          <w:rFonts w:ascii="Times New Roman" w:hAnsi="Times New Roman" w:eastAsia="Times New Roman" w:cs="Times New Roman"/>
          <w:kern w:val="0"/>
          <w:sz w:val="24"/>
        </w:rPr>
      </w:pPr>
    </w:p>
    <w:p w14:paraId="230A8CB6">
      <w:pPr>
        <w:pStyle w:val="28"/>
        <w:widowControl/>
        <w:spacing w:before="100" w:after="100"/>
        <w:ind w:left="0" w:right="0" w:firstLine="0"/>
        <w:jc w:val="left"/>
        <w:rPr>
          <w:rFonts w:ascii="Times New Roman" w:hAnsi="Times New Roman" w:eastAsia="Times New Roman" w:cs="Times New Roman"/>
          <w:kern w:val="0"/>
          <w:sz w:val="24"/>
        </w:rPr>
      </w:pPr>
    </w:p>
    <w:p w14:paraId="5C54F8AF">
      <w:pPr>
        <w:pStyle w:val="3"/>
        <w:keepNext w:val="0"/>
        <w:keepLines w:val="0"/>
        <w:spacing w:before="100" w:after="100" w:line="240" w:lineRule="auto"/>
        <w:ind w:left="0" w:right="0" w:firstLine="0" w:firstLineChars="0"/>
        <w:rPr>
          <w:rFonts w:ascii="Times New Roman" w:hAnsi="Times New Roman" w:eastAsia="Times New Roman" w:cs="Times New Roman"/>
          <w:b/>
          <w:bCs/>
          <w:kern w:val="0"/>
          <w:sz w:val="36"/>
          <w:szCs w:val="36"/>
        </w:rPr>
      </w:pPr>
      <w:bookmarkStart w:id="109" w:name="_Toc256000089"/>
      <w:bookmarkStart w:id="110" w:name="_Toc256000058"/>
      <w:bookmarkStart w:id="111" w:name="_Toc256000120"/>
      <w:bookmarkStart w:id="112" w:name="_Toc256000027"/>
      <w:r>
        <w:rPr>
          <w:rFonts w:ascii="黑体" w:hAnsi="黑体" w:eastAsia="黑体" w:cs="黑体"/>
          <w:b/>
          <w:spacing w:val="0"/>
          <w:sz w:val="56"/>
          <w:szCs w:val="56"/>
        </w:rPr>
        <w:t>第四部分</w:t>
      </w:r>
      <w:bookmarkEnd w:id="109"/>
      <w:bookmarkEnd w:id="110"/>
      <w:bookmarkEnd w:id="111"/>
      <w:bookmarkEnd w:id="112"/>
      <w:r>
        <w:rPr>
          <w:rFonts w:ascii="宋体" w:hAnsi="宋体" w:eastAsia="宋体" w:cs="宋体"/>
          <w:b/>
          <w:spacing w:val="0"/>
          <w:sz w:val="56"/>
          <w:szCs w:val="56"/>
        </w:rPr>
        <w:t> </w:t>
      </w:r>
    </w:p>
    <w:p w14:paraId="25F939E5">
      <w:pPr>
        <w:pStyle w:val="3"/>
        <w:keepNext w:val="0"/>
        <w:keepLines w:val="0"/>
        <w:spacing w:before="100" w:after="100" w:line="240" w:lineRule="auto"/>
        <w:ind w:left="0" w:right="0" w:firstLine="0" w:firstLineChars="0"/>
        <w:jc w:val="center"/>
        <w:rPr>
          <w:rFonts w:ascii="Times New Roman" w:hAnsi="Times New Roman" w:eastAsia="Times New Roman" w:cs="Times New Roman"/>
          <w:b/>
          <w:bCs/>
          <w:kern w:val="0"/>
          <w:sz w:val="36"/>
          <w:szCs w:val="36"/>
        </w:rPr>
      </w:pPr>
      <w:bookmarkStart w:id="113" w:name="_Toc256000090"/>
      <w:bookmarkStart w:id="114" w:name="_Toc256000121"/>
      <w:bookmarkStart w:id="115" w:name="_Toc256000059"/>
      <w:bookmarkStart w:id="116" w:name="_Toc256000028"/>
      <w:r>
        <w:rPr>
          <w:rFonts w:ascii="黑体" w:hAnsi="黑体" w:eastAsia="黑体" w:cs="黑体"/>
          <w:b/>
          <w:spacing w:val="0"/>
          <w:sz w:val="56"/>
          <w:szCs w:val="56"/>
        </w:rPr>
        <w:t>名词解释</w:t>
      </w:r>
      <w:bookmarkEnd w:id="113"/>
      <w:bookmarkEnd w:id="114"/>
      <w:bookmarkEnd w:id="115"/>
      <w:bookmarkEnd w:id="116"/>
    </w:p>
    <w:p w14:paraId="296A1701">
      <w:pPr>
        <w:pStyle w:val="28"/>
        <w:widowControl/>
        <w:spacing w:before="100" w:after="100"/>
        <w:ind w:left="0" w:right="0" w:firstLine="0"/>
        <w:jc w:val="center"/>
        <w:rPr>
          <w:rFonts w:ascii="Times New Roman" w:hAnsi="Times New Roman" w:eastAsia="Times New Roman" w:cs="Times New Roman"/>
          <w:kern w:val="0"/>
          <w:sz w:val="24"/>
        </w:rPr>
      </w:pPr>
    </w:p>
    <w:p w14:paraId="69E75FEC">
      <w:pPr>
        <w:sectPr>
          <w:footerReference r:id="rId21" w:type="default"/>
          <w:pgSz w:w="11906" w:h="16838"/>
          <w:pgMar w:top="1440" w:right="720" w:bottom="1440" w:left="720" w:header="720" w:footer="720" w:gutter="0"/>
          <w:cols w:space="720" w:num="1"/>
        </w:sectPr>
      </w:pPr>
    </w:p>
    <w:p w14:paraId="0820D35E">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3CB83831">
      <w:pPr>
        <w:widowControl/>
        <w:spacing w:before="240" w:after="240"/>
        <w:jc w:val="left"/>
        <w:rPr>
          <w:rFonts w:ascii="Times New Roman" w:hAnsi="Times New Roman" w:eastAsia="Times New Roman" w:cs="Times New Roman"/>
          <w:kern w:val="0"/>
          <w:sz w:val="24"/>
        </w:rPr>
      </w:pPr>
    </w:p>
    <w:p w14:paraId="33087C6C">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一、财政拨款收入：</w:t>
      </w:r>
      <w:r>
        <w:rPr>
          <w:rFonts w:ascii="仿宋" w:hAnsi="仿宋" w:eastAsia="仿宋" w:cs="仿宋"/>
          <w:spacing w:val="0"/>
          <w:kern w:val="0"/>
          <w:sz w:val="32"/>
          <w:szCs w:val="32"/>
        </w:rPr>
        <w:t>指单位从本级财政单位取得的财政预算资金，包括一般公共预算财政拨款、政府性基金预算财政拨款和国有资本经营预算财政拨款。</w:t>
      </w:r>
    </w:p>
    <w:p w14:paraId="15A4A2BD">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二、事业收入：</w:t>
      </w:r>
      <w:r>
        <w:rPr>
          <w:rFonts w:ascii="仿宋" w:hAnsi="仿宋" w:eastAsia="仿宋" w:cs="仿宋"/>
          <w:spacing w:val="0"/>
          <w:kern w:val="0"/>
          <w:sz w:val="32"/>
          <w:szCs w:val="32"/>
        </w:rPr>
        <w:t>指事业单位开展专业业务活动及辅助活动所取得的收入。</w:t>
      </w:r>
    </w:p>
    <w:p w14:paraId="530CF282">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三、经营收入：</w:t>
      </w:r>
      <w:r>
        <w:rPr>
          <w:rFonts w:ascii="仿宋" w:hAnsi="仿宋" w:eastAsia="仿宋" w:cs="仿宋"/>
          <w:spacing w:val="0"/>
          <w:kern w:val="0"/>
          <w:sz w:val="32"/>
          <w:szCs w:val="32"/>
        </w:rPr>
        <w:t>指事业单位在专业业务活动及其辅助活动之外开展非独立核算经营活动取得的收入。</w:t>
      </w:r>
    </w:p>
    <w:p w14:paraId="6449CE38">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四、其他收入：</w:t>
      </w:r>
      <w:r>
        <w:rPr>
          <w:rFonts w:ascii="仿宋" w:hAnsi="仿宋" w:eastAsia="仿宋" w:cs="仿宋"/>
          <w:spacing w:val="0"/>
          <w:kern w:val="0"/>
          <w:sz w:val="32"/>
          <w:szCs w:val="32"/>
        </w:rPr>
        <w:t>指除上述“财政拨款收入”“事业收入”</w:t>
      </w:r>
      <w:r>
        <w:rPr>
          <w:rFonts w:ascii="宋体" w:hAnsi="宋体" w:cs="宋体"/>
          <w:spacing w:val="0"/>
          <w:kern w:val="0"/>
          <w:szCs w:val="21"/>
        </w:rPr>
        <w:t> </w:t>
      </w:r>
      <w:r>
        <w:rPr>
          <w:rFonts w:ascii="仿宋" w:hAnsi="仿宋" w:eastAsia="仿宋" w:cs="仿宋"/>
          <w:spacing w:val="0"/>
          <w:kern w:val="0"/>
          <w:sz w:val="32"/>
          <w:szCs w:val="32"/>
        </w:rPr>
        <w:t>“上级补助收入”“附属单位上缴收入”“经营收入”等以外取得的各项收入。主要是事业单位固定资产出租收入等。</w:t>
      </w:r>
    </w:p>
    <w:p w14:paraId="77382952">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五、使用非财政拨款结余：</w:t>
      </w:r>
      <w:r>
        <w:rPr>
          <w:rFonts w:ascii="仿宋" w:hAnsi="仿宋" w:eastAsia="仿宋" w:cs="仿宋"/>
          <w:spacing w:val="0"/>
          <w:kern w:val="0"/>
          <w:sz w:val="32"/>
          <w:szCs w:val="32"/>
        </w:rPr>
        <w:t>指事业单位使用以前年度积累的非财政拨款结余弥补当年收支差额的金额。</w:t>
      </w:r>
    </w:p>
    <w:p w14:paraId="1AFB150A">
      <w:pPr>
        <w:pStyle w:val="28"/>
        <w:widowControl/>
        <w:spacing w:before="100" w:after="100" w:line="600" w:lineRule="atLeast"/>
        <w:ind w:left="0" w:right="0" w:firstLine="71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六、年初结转和结余：</w:t>
      </w:r>
      <w:r>
        <w:rPr>
          <w:rFonts w:ascii="仿宋" w:hAnsi="仿宋" w:eastAsia="仿宋" w:cs="仿宋"/>
          <w:spacing w:val="0"/>
          <w:kern w:val="0"/>
          <w:sz w:val="32"/>
          <w:szCs w:val="32"/>
        </w:rPr>
        <w:t>指单位以前年度尚未完成、结转到本年仍按原规定用途继续使用的资金，或项目已完成等产生的结余资金。</w:t>
      </w:r>
    </w:p>
    <w:p w14:paraId="7CA70F26">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七、结余分配：</w:t>
      </w:r>
      <w:r>
        <w:rPr>
          <w:rFonts w:ascii="仿宋" w:hAnsi="仿宋" w:eastAsia="仿宋" w:cs="仿宋"/>
          <w:spacing w:val="0"/>
          <w:kern w:val="0"/>
          <w:sz w:val="32"/>
          <w:szCs w:val="32"/>
        </w:rPr>
        <w:t>指事业单位按照会计制度规定缴纳的所得税、提取的专用结余以及转入非财政拨款结余的金额等。</w:t>
      </w:r>
    </w:p>
    <w:p w14:paraId="0E1133EF">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八、年末结转和结余：</w:t>
      </w:r>
      <w:r>
        <w:rPr>
          <w:rFonts w:ascii="仿宋" w:hAnsi="仿宋" w:eastAsia="仿宋" w:cs="仿宋"/>
          <w:spacing w:val="0"/>
          <w:kern w:val="0"/>
          <w:sz w:val="32"/>
          <w:szCs w:val="32"/>
        </w:rPr>
        <w:t>指单位按有关规定结转到下年或以后年度继续使用的资金，或项目已完成等产生的结余资金。</w:t>
      </w:r>
    </w:p>
    <w:p w14:paraId="1C436D2F">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九、基本支出：</w:t>
      </w:r>
      <w:r>
        <w:rPr>
          <w:rFonts w:ascii="仿宋" w:hAnsi="仿宋" w:eastAsia="仿宋" w:cs="仿宋"/>
          <w:spacing w:val="0"/>
          <w:kern w:val="0"/>
          <w:sz w:val="32"/>
          <w:szCs w:val="32"/>
        </w:rPr>
        <w:t>指为保障机构正常运转、完成日常工作任务而发生的人员支出和公用支出。</w:t>
      </w:r>
    </w:p>
    <w:p w14:paraId="6BB0D433">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十、项目支出：</w:t>
      </w:r>
      <w:r>
        <w:rPr>
          <w:rFonts w:ascii="仿宋" w:hAnsi="仿宋" w:eastAsia="仿宋" w:cs="仿宋"/>
          <w:spacing w:val="0"/>
          <w:kern w:val="0"/>
          <w:sz w:val="32"/>
          <w:szCs w:val="32"/>
        </w:rPr>
        <w:t>指在基本支出之外为完成特定行政任务和事业发展目标所发生的支出。</w:t>
      </w:r>
    </w:p>
    <w:p w14:paraId="4FDE4D40">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十一、经营支出：</w:t>
      </w:r>
      <w:r>
        <w:rPr>
          <w:rFonts w:ascii="仿宋" w:hAnsi="仿宋" w:eastAsia="仿宋" w:cs="仿宋"/>
          <w:spacing w:val="0"/>
          <w:kern w:val="0"/>
          <w:sz w:val="32"/>
          <w:szCs w:val="32"/>
        </w:rPr>
        <w:t>指事业单位在专业业务活动及其辅助活动之外开展非独立核算经营活动发生的支出。</w:t>
      </w:r>
    </w:p>
    <w:p w14:paraId="78D2E11C">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十二、“三公”经费：</w:t>
      </w:r>
      <w:r>
        <w:rPr>
          <w:rFonts w:ascii="仿宋" w:hAnsi="仿宋" w:eastAsia="仿宋" w:cs="仿宋"/>
          <w:spacing w:val="0"/>
          <w:kern w:val="0"/>
          <w:sz w:val="32"/>
          <w:szCs w:val="32"/>
        </w:rPr>
        <w:t>纳入本级财政预决算管理的“三公”经费，是指本级单位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燃料费、维修费、过桥过路费、保险费、安全奖励费用等支出；公务接待费反映单位按规定开支的各类公务接待（含外宾接待）支出。</w:t>
      </w:r>
    </w:p>
    <w:p w14:paraId="47BB4F2E">
      <w:pPr>
        <w:pStyle w:val="29"/>
        <w:widowControl/>
        <w:spacing w:before="100" w:after="100" w:line="600" w:lineRule="atLeast"/>
        <w:ind w:left="0" w:right="0" w:firstLine="640"/>
        <w:jc w:val="left"/>
        <w:rPr>
          <w:rFonts w:ascii="Times New Roman" w:hAnsi="Times New Roman" w:eastAsia="Times New Roman" w:cs="Times New Roman"/>
          <w:kern w:val="0"/>
          <w:sz w:val="24"/>
        </w:rPr>
      </w:pPr>
      <w:r>
        <w:rPr>
          <w:rStyle w:val="30"/>
          <w:rFonts w:ascii="仿宋" w:hAnsi="仿宋" w:eastAsia="仿宋" w:cs="仿宋"/>
          <w:b/>
          <w:bCs/>
          <w:spacing w:val="0"/>
          <w:kern w:val="0"/>
          <w:sz w:val="32"/>
          <w:szCs w:val="32"/>
        </w:rPr>
        <w:t>十三、机关运行经费：</w:t>
      </w:r>
      <w:r>
        <w:rPr>
          <w:rFonts w:ascii="仿宋" w:hAnsi="仿宋" w:eastAsia="仿宋" w:cs="仿宋"/>
          <w:spacing w:val="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D2C572">
      <w:pPr>
        <w:pStyle w:val="28"/>
        <w:widowControl/>
        <w:spacing w:before="240" w:after="240"/>
        <w:jc w:val="left"/>
        <w:rPr>
          <w:rFonts w:ascii="Times New Roman" w:hAnsi="Times New Roman" w:eastAsia="Times New Roman" w:cs="Times New Roman"/>
          <w:kern w:val="0"/>
          <w:sz w:val="24"/>
        </w:rPr>
      </w:pPr>
    </w:p>
    <w:p w14:paraId="6022DEFB">
      <w:pPr>
        <w:sectPr>
          <w:footerReference r:id="rId22" w:type="default"/>
          <w:pgSz w:w="11906" w:h="16838"/>
          <w:pgMar w:top="1440" w:right="720" w:bottom="1440" w:left="720" w:header="720" w:footer="720" w:gutter="0"/>
          <w:cols w:space="720" w:num="1"/>
        </w:sectPr>
      </w:pPr>
    </w:p>
    <w:p w14:paraId="7B935881">
      <w:pPr>
        <w:widowControl/>
        <w:spacing w:before="240" w:after="240"/>
        <w:jc w:val="left"/>
        <w:rPr>
          <w:rFonts w:ascii="Times New Roman" w:hAnsi="Times New Roman" w:eastAsia="Times New Roman" w:cs="Times New Roman"/>
          <w:vanish/>
          <w:kern w:val="0"/>
          <w:sz w:val="24"/>
        </w:rPr>
      </w:pPr>
      <w:r>
        <w:rPr>
          <w:rFonts w:ascii="Times New Roman" w:hAnsi="Times New Roman" w:eastAsia="Times New Roman" w:cs="Times New Roman"/>
          <w:vanish/>
          <w:kern w:val="0"/>
          <w:sz w:val="24"/>
        </w:rPr>
        <w:t>word page break</w:t>
      </w:r>
    </w:p>
    <w:p w14:paraId="57B66E46">
      <w:pPr>
        <w:pStyle w:val="3"/>
        <w:keepNext w:val="0"/>
        <w:keepLines w:val="0"/>
        <w:spacing w:before="299" w:after="299" w:line="240" w:lineRule="auto"/>
        <w:ind w:firstLine="0" w:firstLineChars="0"/>
        <w:rPr>
          <w:rFonts w:ascii="Times New Roman" w:hAnsi="Times New Roman" w:eastAsia="Times New Roman" w:cs="Times New Roman"/>
          <w:b/>
          <w:bCs/>
          <w:kern w:val="0"/>
          <w:sz w:val="36"/>
          <w:szCs w:val="36"/>
        </w:rPr>
      </w:pPr>
      <w:bookmarkStart w:id="117" w:name="_Toc256000122"/>
      <w:bookmarkStart w:id="118" w:name="_Toc256000091"/>
      <w:bookmarkStart w:id="119" w:name="_Toc256000029"/>
      <w:bookmarkStart w:id="120" w:name="_Toc256000060"/>
      <w:r>
        <w:rPr>
          <w:rFonts w:ascii="黑体" w:hAnsi="黑体" w:eastAsia="黑体" w:cs="黑体"/>
          <w:b/>
          <w:sz w:val="56"/>
          <w:szCs w:val="56"/>
        </w:rPr>
        <w:t>第五部分</w:t>
      </w:r>
      <w:bookmarkEnd w:id="117"/>
      <w:bookmarkEnd w:id="118"/>
      <w:bookmarkEnd w:id="119"/>
      <w:bookmarkEnd w:id="120"/>
      <w:r>
        <w:rPr>
          <w:rFonts w:ascii="Calibri" w:hAnsi="Calibri" w:eastAsia="Calibri" w:cs="Calibri"/>
          <w:b/>
          <w:sz w:val="56"/>
          <w:szCs w:val="56"/>
        </w:rPr>
        <w:t> </w:t>
      </w:r>
    </w:p>
    <w:p w14:paraId="64837974">
      <w:pPr>
        <w:pStyle w:val="3"/>
        <w:keepNext w:val="0"/>
        <w:keepLines w:val="0"/>
        <w:spacing w:before="299" w:after="299" w:line="240" w:lineRule="auto"/>
        <w:ind w:firstLine="0" w:firstLineChars="0"/>
        <w:jc w:val="center"/>
        <w:rPr>
          <w:rFonts w:ascii="黑体" w:hAnsi="黑体" w:eastAsia="黑体" w:cs="黑体"/>
          <w:b/>
          <w:sz w:val="56"/>
          <w:szCs w:val="56"/>
        </w:rPr>
        <w:sectPr>
          <w:footerReference r:id="rId23" w:type="default"/>
          <w:pgSz w:w="11906" w:h="16838"/>
          <w:pgMar w:top="1984" w:right="1083" w:bottom="1984" w:left="1083" w:header="0" w:footer="720" w:gutter="0"/>
          <w:cols w:space="0" w:num="1"/>
          <w:rtlGutter w:val="0"/>
          <w:docGrid w:type="lines" w:linePitch="317" w:charSpace="0"/>
        </w:sectPr>
      </w:pPr>
      <w:bookmarkStart w:id="121" w:name="_Toc256000061"/>
      <w:bookmarkStart w:id="122" w:name="_Toc256000030"/>
      <w:bookmarkStart w:id="123" w:name="_Toc256000092"/>
      <w:bookmarkStart w:id="124" w:name="_Toc256000123"/>
      <w:r>
        <w:rPr>
          <w:rFonts w:ascii="黑体" w:hAnsi="黑体" w:eastAsia="黑体" w:cs="黑体"/>
          <w:b/>
          <w:sz w:val="56"/>
          <w:szCs w:val="56"/>
        </w:rPr>
        <w:t>附件</w:t>
      </w:r>
      <w:bookmarkEnd w:id="121"/>
      <w:bookmarkEnd w:id="122"/>
      <w:bookmarkEnd w:id="123"/>
      <w:bookmarkEnd w:id="124"/>
    </w:p>
    <w:bookmarkEnd w:id="0"/>
    <w:p w14:paraId="258048BD">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32" o:spt="75" type="#_x0000_t75" style="height:537.5pt;width:828.3pt;" o:ole="t" filled="f" o:preferrelative="t" stroked="f" coordsize="21600,21600">
            <v:path/>
            <v:fill on="f" focussize="0,0"/>
            <v:stroke on="f"/>
            <v:imagedata r:id="rId26" o:title=""/>
            <o:lock v:ext="edit" aspectratio="f"/>
            <w10:wrap type="none"/>
            <w10:anchorlock/>
          </v:shape>
          <o:OLEObject Type="Embed" ProgID="Excel.Sheet.12" ShapeID="_x0000_i1032" DrawAspect="Content" ObjectID="_1468075725" r:id="rId25">
            <o:LockedField>false</o:LockedField>
          </o:OLEObject>
        </w:object>
      </w:r>
      <w:bookmarkStart w:id="125" w:name="_GoBack"/>
      <w:bookmarkEnd w:id="125"/>
    </w:p>
    <w:p w14:paraId="5F879B7E">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26" o:spt="75" type="#_x0000_t75" style="height:478.3pt;width:781.1pt;" o:ole="t" filled="f" o:preferrelative="t" stroked="f" coordsize="21600,21600">
            <v:path/>
            <v:fill on="f" focussize="0,0"/>
            <v:stroke on="f"/>
            <v:imagedata r:id="rId28" o:title=""/>
            <o:lock v:ext="edit" aspectratio="f"/>
            <w10:wrap type="none"/>
            <w10:anchorlock/>
          </v:shape>
          <o:OLEObject Type="Embed" ProgID="Excel.Sheet.12" ShapeID="_x0000_i1026" DrawAspect="Content" ObjectID="_1468075726" r:id="rId27">
            <o:LockedField>false</o:LockedField>
          </o:OLEObject>
        </w:object>
      </w:r>
    </w:p>
    <w:p w14:paraId="26031960">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p>
    <w:p w14:paraId="7B75246C">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p>
    <w:p w14:paraId="264ECDF6">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27" o:spt="75" type="#_x0000_t75" style="height:563.75pt;width:826.1pt;" o:ole="t" filled="f" o:preferrelative="t" stroked="f" coordsize="21600,21600">
            <v:path/>
            <v:fill on="f" focussize="0,0"/>
            <v:stroke on="f"/>
            <v:imagedata r:id="rId30" o:title=""/>
            <o:lock v:ext="edit" aspectratio="f"/>
            <w10:wrap type="none"/>
            <w10:anchorlock/>
          </v:shape>
          <o:OLEObject Type="Embed" ProgID="Excel.Sheet.12" ShapeID="_x0000_i1027" DrawAspect="Content" ObjectID="_1468075727" r:id="rId29">
            <o:LockedField>false</o:LockedField>
          </o:OLEObject>
        </w:object>
      </w:r>
    </w:p>
    <w:p w14:paraId="0218A414">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28" o:spt="75" type="#_x0000_t75" style="height:521.2pt;width:826.1pt;" o:ole="t" filled="f" o:preferrelative="t" stroked="f" coordsize="21600,21600">
            <v:path/>
            <v:fill on="f" focussize="0,0"/>
            <v:stroke on="f"/>
            <v:imagedata r:id="rId32" o:title=""/>
            <o:lock v:ext="edit" aspectratio="f"/>
            <w10:wrap type="none"/>
            <w10:anchorlock/>
          </v:shape>
          <o:OLEObject Type="Embed" ProgID="Excel.Sheet.12" ShapeID="_x0000_i1028" DrawAspect="Content" ObjectID="_1468075728" r:id="rId31">
            <o:LockedField>false</o:LockedField>
          </o:OLEObject>
        </w:object>
      </w:r>
    </w:p>
    <w:p w14:paraId="7E50EB64">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30" o:spt="75" type="#_x0000_t75" style="height:520.55pt;width:833.6pt;" o:ole="t" filled="f" o:preferrelative="t" stroked="f" coordsize="21600,21600">
            <v:path/>
            <v:fill on="f" focussize="0,0"/>
            <v:stroke on="f"/>
            <v:imagedata r:id="rId34" o:title=""/>
            <o:lock v:ext="edit" aspectratio="f"/>
            <w10:wrap type="none"/>
            <w10:anchorlock/>
          </v:shape>
          <o:OLEObject Type="Embed" ProgID="Excel.Sheet.12" ShapeID="_x0000_i1030" DrawAspect="Content" ObjectID="_1468075729" r:id="rId33">
            <o:LockedField>false</o:LockedField>
          </o:OLEObject>
        </w:object>
      </w:r>
    </w:p>
    <w:p w14:paraId="7F034E55">
      <w:pPr>
        <w:keepNext w:val="0"/>
        <w:keepLines w:val="0"/>
        <w:pageBreakBefore w:val="0"/>
        <w:widowControl w:val="0"/>
        <w:tabs>
          <w:tab w:val="left" w:pos="8415"/>
        </w:tabs>
        <w:kinsoku/>
        <w:wordWrap/>
        <w:overflowPunct/>
        <w:topLinePunct w:val="0"/>
        <w:autoSpaceDE/>
        <w:autoSpaceDN/>
        <w:bidi w:val="0"/>
        <w:adjustRightInd/>
        <w:snapToGrid/>
        <w:jc w:val="center"/>
        <w:textAlignment w:val="auto"/>
        <w:rPr>
          <w:rFonts w:hint="eastAsia" w:eastAsia="宋体"/>
          <w:lang w:eastAsia="zh-CN"/>
        </w:rPr>
      </w:pPr>
      <w:r>
        <w:rPr>
          <w:rFonts w:hint="eastAsia" w:eastAsia="宋体"/>
          <w:lang w:eastAsia="zh-CN"/>
        </w:rPr>
        <w:object>
          <v:shape id="_x0000_i1031" o:spt="75" type="#_x0000_t75" style="height:524.15pt;width:829.05pt;" o:ole="t" filled="f" o:preferrelative="t" stroked="f" coordsize="21600,21600">
            <v:path/>
            <v:fill on="f" focussize="0,0"/>
            <v:stroke on="f"/>
            <v:imagedata r:id="rId36" o:title=""/>
            <o:lock v:ext="edit" aspectratio="f"/>
            <w10:wrap type="none"/>
            <w10:anchorlock/>
          </v:shape>
          <o:OLEObject Type="Embed" ProgID="Excel.Sheet.12" ShapeID="_x0000_i1031" DrawAspect="Content" ObjectID="_1468075730" r:id="rId35">
            <o:LockedField>false</o:LockedField>
          </o:OLEObject>
        </w:object>
      </w:r>
    </w:p>
    <w:sectPr>
      <w:pgSz w:w="16838" w:h="11906" w:orient="landscape"/>
      <w:pgMar w:top="0" w:right="0" w:bottom="0" w:left="0" w:header="0" w:footer="720"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902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D77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24</w:t>
    </w:r>
    <w:r>
      <w:rPr>
        <w:rFonts w:ascii="宋体" w:hAnsi="宋体" w:eastAsia="宋体" w:cs="宋体"/>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D9D3">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26</w:t>
    </w:r>
    <w:r>
      <w:rPr>
        <w:rFonts w:ascii="宋体" w:hAnsi="宋体" w:eastAsia="宋体" w:cs="宋体"/>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692B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30</w:t>
    </w:r>
    <w:r>
      <w:rPr>
        <w:rFonts w:ascii="宋体" w:hAnsi="宋体" w:eastAsia="宋体" w:cs="宋体"/>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6BC9">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31</w:t>
    </w:r>
    <w:r>
      <w:rPr>
        <w:rFonts w:ascii="宋体" w:hAnsi="宋体" w:eastAsia="宋体" w:cs="宋体"/>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CE6B">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32</w:t>
    </w:r>
    <w:r>
      <w:rPr>
        <w:rFonts w:ascii="宋体" w:hAnsi="宋体" w:eastAsia="宋体" w:cs="宋体"/>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B369E">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33</w:t>
    </w:r>
    <w:r>
      <w:rPr>
        <w:rFonts w:ascii="宋体" w:hAnsi="宋体" w:eastAsia="宋体" w:cs="宋体"/>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3E79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34</w:t>
    </w:r>
    <w:r>
      <w:rPr>
        <w:rFonts w:ascii="宋体" w:hAnsi="宋体" w:eastAsia="宋体" w:cs="宋体"/>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4A3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41</w:t>
    </w:r>
    <w:r>
      <w:rPr>
        <w:rFonts w:ascii="宋体" w:hAnsi="宋体" w:eastAsia="宋体" w:cs="宋体"/>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D6DF">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42</w:t>
    </w:r>
    <w:r>
      <w:rPr>
        <w:rFonts w:ascii="宋体" w:hAnsi="宋体" w:eastAsia="宋体" w:cs="宋体"/>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CE7D">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44</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B4AA">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3</w:t>
    </w:r>
    <w:r>
      <w:rPr>
        <w:rFonts w:ascii="宋体" w:hAnsi="宋体" w:eastAsia="宋体" w:cs="宋体"/>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66A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46</w:t>
    </w:r>
    <w:r>
      <w:rPr>
        <w:rFonts w:ascii="宋体" w:hAnsi="宋体" w:eastAsia="宋体" w:cs="宋体"/>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E8451">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C332">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9</w:t>
    </w:r>
    <w:r>
      <w:rPr>
        <w:rFonts w:ascii="宋体" w:hAnsi="宋体" w:eastAsia="宋体" w:cs="宋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DFB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10</w:t>
    </w:r>
    <w:r>
      <w:rPr>
        <w:rFonts w:ascii="宋体" w:hAnsi="宋体" w:eastAsia="宋体" w:cs="宋体"/>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65048">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11</w:t>
    </w:r>
    <w:r>
      <w:rPr>
        <w:rFonts w:ascii="宋体" w:hAnsi="宋体" w:eastAsia="宋体" w:cs="宋体"/>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DD26">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15</w:t>
    </w:r>
    <w:r>
      <w:rPr>
        <w:rFonts w:ascii="宋体" w:hAnsi="宋体" w:eastAsia="宋体" w:cs="宋体"/>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4679">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17</w:t>
    </w:r>
    <w:r>
      <w:rPr>
        <w:rFonts w:ascii="宋体" w:hAnsi="宋体" w:eastAsia="宋体" w:cs="宋体"/>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234C">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19</w:t>
    </w:r>
    <w:r>
      <w:rPr>
        <w:rFonts w:ascii="宋体" w:hAnsi="宋体" w:eastAsia="宋体" w:cs="宋体"/>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FD74A">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BFAD5"/>
    <w:multiLevelType w:val="singleLevel"/>
    <w:tmpl w:val="9BBBFAD5"/>
    <w:lvl w:ilvl="0" w:tentative="0">
      <w:start w:val="1"/>
      <w:numFmt w:val="decimal"/>
      <w:lvlText w:val="%1."/>
      <w:lvlJc w:val="left"/>
      <w:pPr>
        <w:tabs>
          <w:tab w:val="left" w:pos="312"/>
        </w:tabs>
      </w:pPr>
    </w:lvl>
  </w:abstractNum>
  <w:abstractNum w:abstractNumId="1">
    <w:nsid w:val="A9324CDB"/>
    <w:multiLevelType w:val="singleLevel"/>
    <w:tmpl w:val="A9324CDB"/>
    <w:lvl w:ilvl="0" w:tentative="0">
      <w:start w:val="1"/>
      <w:numFmt w:val="decimal"/>
      <w:lvlText w:val="%1."/>
      <w:lvlJc w:val="left"/>
      <w:pPr>
        <w:tabs>
          <w:tab w:val="left" w:pos="312"/>
        </w:tabs>
      </w:pPr>
    </w:lvl>
  </w:abstractNum>
  <w:abstractNum w:abstractNumId="2">
    <w:nsid w:val="D7D5B542"/>
    <w:multiLevelType w:val="singleLevel"/>
    <w:tmpl w:val="D7D5B542"/>
    <w:lvl w:ilvl="0" w:tentative="0">
      <w:start w:val="1"/>
      <w:numFmt w:val="decimal"/>
      <w:lvlText w:val="%1."/>
      <w:lvlJc w:val="left"/>
      <w:pPr>
        <w:tabs>
          <w:tab w:val="left" w:pos="312"/>
        </w:tabs>
      </w:pPr>
    </w:lvl>
  </w:abstractNum>
  <w:abstractNum w:abstractNumId="3">
    <w:nsid w:val="61BECEA4"/>
    <w:multiLevelType w:val="singleLevel"/>
    <w:tmpl w:val="61BECEA4"/>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A7B84"/>
    <w:rsid w:val="243F6E3C"/>
    <w:rsid w:val="4DFC291D"/>
    <w:rsid w:val="588B7254"/>
    <w:rsid w:val="72452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
      <w:bCs/>
      <w:kern w:val="44"/>
      <w:sz w:val="32"/>
      <w:szCs w:val="44"/>
    </w:rPr>
  </w:style>
  <w:style w:type="paragraph" w:styleId="3">
    <w:name w:val="heading 2"/>
    <w:basedOn w:val="4"/>
    <w:next w:val="4"/>
    <w:qFormat/>
    <w:uiPriority w:val="0"/>
    <w:pPr>
      <w:keepNext/>
      <w:keepLines/>
      <w:spacing w:before="260" w:after="260" w:line="416" w:lineRule="auto"/>
      <w:outlineLvl w:val="1"/>
    </w:pPr>
    <w:rPr>
      <w:rFonts w:ascii="Arial" w:hAnsi="Arial" w:eastAsia="仿宋"/>
      <w:bCs/>
      <w:sz w:val="32"/>
      <w:szCs w:val="32"/>
    </w:rPr>
  </w:style>
  <w:style w:type="paragraph" w:styleId="5">
    <w:name w:val="heading 3"/>
    <w:basedOn w:val="4"/>
    <w:next w:val="4"/>
    <w:link w:val="27"/>
    <w:qFormat/>
    <w:uiPriority w:val="0"/>
    <w:pPr>
      <w:keepNext/>
      <w:keepLines/>
      <w:spacing w:before="260" w:after="260" w:line="416" w:lineRule="auto"/>
      <w:outlineLvl w:val="2"/>
    </w:pPr>
    <w:rPr>
      <w:rFonts w:eastAsia="仿宋"/>
      <w:bCs/>
      <w:sz w:val="32"/>
      <w:szCs w:val="32"/>
    </w:rPr>
  </w:style>
  <w:style w:type="paragraph" w:styleId="6">
    <w:name w:val="heading 4"/>
    <w:basedOn w:val="4"/>
    <w:next w:val="4"/>
    <w:link w:val="23"/>
    <w:qFormat/>
    <w:uiPriority w:val="0"/>
    <w:pPr>
      <w:keepNext/>
      <w:keepLines/>
      <w:spacing w:before="280" w:after="290" w:line="376" w:lineRule="auto"/>
      <w:outlineLvl w:val="3"/>
    </w:pPr>
    <w:rPr>
      <w:rFonts w:ascii="Cambria" w:hAnsi="Cambria" w:eastAsia="仿宋"/>
      <w:bCs/>
      <w:sz w:val="32"/>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paragraph" w:styleId="7">
    <w:name w:val="toc 7"/>
    <w:basedOn w:val="1"/>
    <w:next w:val="1"/>
    <w:qFormat/>
    <w:uiPriority w:val="0"/>
    <w:pPr>
      <w:ind w:left="1260"/>
      <w:jc w:val="left"/>
    </w:pPr>
    <w:rPr>
      <w:sz w:val="20"/>
      <w:szCs w:val="20"/>
    </w:rPr>
  </w:style>
  <w:style w:type="paragraph" w:styleId="8">
    <w:name w:val="Document Map"/>
    <w:basedOn w:val="1"/>
    <w:qFormat/>
    <w:uiPriority w:val="0"/>
    <w:pPr>
      <w:shd w:val="clear" w:color="auto" w:fill="000080"/>
    </w:pPr>
  </w:style>
  <w:style w:type="paragraph" w:styleId="9">
    <w:name w:val="toc 5"/>
    <w:basedOn w:val="1"/>
    <w:next w:val="1"/>
    <w:qFormat/>
    <w:uiPriority w:val="0"/>
    <w:pPr>
      <w:ind w:left="840"/>
      <w:jc w:val="left"/>
    </w:pPr>
    <w:rPr>
      <w:sz w:val="20"/>
      <w:szCs w:val="20"/>
    </w:rPr>
  </w:style>
  <w:style w:type="paragraph" w:styleId="10">
    <w:name w:val="toc 3"/>
    <w:next w:val="5"/>
    <w:qFormat/>
    <w:uiPriority w:val="0"/>
    <w:pPr>
      <w:adjustRightInd w:val="0"/>
      <w:snapToGrid w:val="0"/>
      <w:spacing w:line="360" w:lineRule="auto"/>
      <w:ind w:firstLine="400" w:firstLineChars="400"/>
      <w:jc w:val="left"/>
    </w:pPr>
    <w:rPr>
      <w:rFonts w:ascii="Times New Roman" w:hAnsi="Times New Roman" w:eastAsia="仿宋" w:cs="Times New Roman"/>
      <w:sz w:val="32"/>
      <w:szCs w:val="20"/>
      <w:lang w:val="en-US" w:eastAsia="en-US" w:bidi="ar-SA"/>
    </w:rPr>
  </w:style>
  <w:style w:type="paragraph" w:styleId="11">
    <w:name w:val="toc 8"/>
    <w:basedOn w:val="1"/>
    <w:next w:val="1"/>
    <w:qFormat/>
    <w:uiPriority w:val="0"/>
    <w:pPr>
      <w:ind w:left="1470"/>
      <w:jc w:val="left"/>
    </w:pPr>
    <w:rPr>
      <w:sz w:val="20"/>
      <w:szCs w:val="20"/>
    </w:rPr>
  </w:style>
  <w:style w:type="paragraph" w:styleId="12">
    <w:name w:val="footer"/>
    <w:basedOn w:val="1"/>
    <w:link w:val="25"/>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next w:val="4"/>
    <w:qFormat/>
    <w:uiPriority w:val="0"/>
    <w:pPr>
      <w:adjustRightInd w:val="0"/>
      <w:snapToGrid w:val="0"/>
      <w:spacing w:line="360" w:lineRule="auto"/>
      <w:jc w:val="left"/>
    </w:pPr>
    <w:rPr>
      <w:rFonts w:ascii="Times New Roman" w:hAnsi="Times New Roman" w:eastAsia="仿宋" w:cs="Times New Roman"/>
      <w:bCs/>
      <w:sz w:val="32"/>
      <w:szCs w:val="20"/>
      <w:lang w:val="en-US" w:eastAsia="en-US" w:bidi="ar-SA"/>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next w:val="4"/>
    <w:qFormat/>
    <w:uiPriority w:val="0"/>
    <w:pPr>
      <w:adjustRightInd w:val="0"/>
      <w:snapToGrid w:val="0"/>
      <w:spacing w:line="360" w:lineRule="auto"/>
      <w:ind w:firstLine="200" w:firstLineChars="200"/>
      <w:jc w:val="left"/>
    </w:pPr>
    <w:rPr>
      <w:rFonts w:ascii="Times New Roman" w:hAnsi="Times New Roman" w:eastAsia="仿宋" w:cs="Times New Roman"/>
      <w:iCs/>
      <w:sz w:val="32"/>
      <w:szCs w:val="20"/>
      <w:lang w:val="en-US" w:eastAsia="en-US" w:bidi="ar-SA"/>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qFormat/>
    <w:uiPriority w:val="0"/>
    <w:rPr>
      <w:rFonts w:ascii="宋体" w:hAnsi="宋体" w:eastAsia="仿宋" w:cs="Times New Roman"/>
      <w:kern w:val="2"/>
      <w:sz w:val="32"/>
      <w:szCs w:val="32"/>
      <w:lang w:val="en-US" w:eastAsia="zh-CN" w:bidi="ar-SA"/>
    </w:rPr>
  </w:style>
  <w:style w:type="character" w:customStyle="1" w:styleId="23">
    <w:name w:val="标题 4 字符"/>
    <w:basedOn w:val="20"/>
    <w:link w:val="6"/>
    <w:qFormat/>
    <w:uiPriority w:val="0"/>
    <w:rPr>
      <w:rFonts w:ascii="Cambria" w:hAnsi="Cambria" w:eastAsia="仿宋"/>
      <w:bCs/>
      <w:kern w:val="2"/>
      <w:sz w:val="32"/>
      <w:szCs w:val="28"/>
    </w:rPr>
  </w:style>
  <w:style w:type="character" w:customStyle="1" w:styleId="24">
    <w:name w:val="无间隔 字符"/>
    <w:link w:val="4"/>
    <w:qFormat/>
    <w:locked/>
    <w:uiPriority w:val="0"/>
    <w:rPr>
      <w:rFonts w:eastAsia="仿宋_GB2312"/>
      <w:sz w:val="30"/>
      <w:szCs w:val="22"/>
      <w:lang w:bidi="ar-SA"/>
    </w:rPr>
  </w:style>
  <w:style w:type="character" w:customStyle="1" w:styleId="25">
    <w:name w:val="页脚 字符"/>
    <w:basedOn w:val="20"/>
    <w:link w:val="12"/>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20"/>
    <w:link w:val="5"/>
    <w:qFormat/>
    <w:uiPriority w:val="0"/>
    <w:rPr>
      <w:rFonts w:eastAsia="仿宋"/>
      <w:bCs/>
      <w:kern w:val="2"/>
      <w:sz w:val="32"/>
      <w:szCs w:val="32"/>
    </w:rPr>
  </w:style>
  <w:style w:type="paragraph" w:customStyle="1" w:styleId="28">
    <w:name w:val="MsoNormal"/>
    <w:basedOn w:val="1"/>
    <w:qFormat/>
    <w:uiPriority w:val="0"/>
  </w:style>
  <w:style w:type="paragraph" w:customStyle="1" w:styleId="29">
    <w:name w:val="p"/>
    <w:basedOn w:val="1"/>
    <w:qFormat/>
    <w:uiPriority w:val="0"/>
  </w:style>
  <w:style w:type="character" w:customStyle="1" w:styleId="30">
    <w:name w:val="15"/>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numbering" Target="numbering.xml"/><Relationship Id="rId36" Type="http://schemas.openxmlformats.org/officeDocument/2006/relationships/image" Target="media/image6.emf"/><Relationship Id="rId35" Type="http://schemas.openxmlformats.org/officeDocument/2006/relationships/oleObject" Target="embeddings/oleObject6.bin"/><Relationship Id="rId34" Type="http://schemas.openxmlformats.org/officeDocument/2006/relationships/image" Target="media/image5.emf"/><Relationship Id="rId33" Type="http://schemas.openxmlformats.org/officeDocument/2006/relationships/oleObject" Target="embeddings/oleObject5.bin"/><Relationship Id="rId32" Type="http://schemas.openxmlformats.org/officeDocument/2006/relationships/image" Target="media/image4.emf"/><Relationship Id="rId31" Type="http://schemas.openxmlformats.org/officeDocument/2006/relationships/oleObject" Target="embeddings/oleObject4.bin"/><Relationship Id="rId30" Type="http://schemas.openxmlformats.org/officeDocument/2006/relationships/image" Target="media/image3.e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emf"/><Relationship Id="rId27" Type="http://schemas.openxmlformats.org/officeDocument/2006/relationships/oleObject" Target="embeddings/oleObject2.bin"/><Relationship Id="rId26" Type="http://schemas.openxmlformats.org/officeDocument/2006/relationships/image" Target="media/image1.e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421</Words>
  <Characters>456</Characters>
  <Lines>1</Lines>
  <Paragraphs>1</Paragraphs>
  <TotalTime>31</TotalTime>
  <ScaleCrop>false</ScaleCrop>
  <LinksUpToDate>false</LinksUpToDate>
  <CharactersWithSpaces>549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菜头</cp:lastModifiedBy>
  <cp:lastPrinted>2021-04-16T00:45:00Z</cp:lastPrinted>
  <dcterms:modified xsi:type="dcterms:W3CDTF">2025-07-21T09:50:49Z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F8487F26F56546C3B505E3F23186EBD1_13</vt:lpwstr>
  </property>
  <property fmtid="{D5CDD505-2E9C-101B-9397-08002B2CF9AE}" pid="3" name="KSOProductBuildVer">
    <vt:lpwstr>2052-12.1.0.21915</vt:lpwstr>
  </property>
  <property fmtid="{D5CDD505-2E9C-101B-9397-08002B2CF9AE}" pid="4" name="KSOTemplateDocerSaveRecord">
    <vt:lpwstr>eyJoZGlkIjoiZTk3ZDllYzMyNDVlNTg4MzdlNmU2ZGU4ZDBlNjkwMzQiLCJ1c2VySWQiOiIzMzI0NTA3ODYifQ==</vt:lpwstr>
  </property>
</Properties>
</file>