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widowControl/>
        <w:jc w:val="center"/>
        <w:rPr>
          <w:sz w:val="32"/>
          <w:szCs w:val="32"/>
          <w:highlight w:val="none"/>
        </w:rPr>
      </w:pPr>
    </w:p>
    <w:p>
      <w:pPr>
        <w:widowControl/>
        <w:jc w:val="both"/>
        <w:rPr>
          <w:sz w:val="84"/>
          <w:szCs w:val="84"/>
          <w:highlight w:val="none"/>
        </w:rPr>
      </w:pP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r>
        <w:rPr>
          <w:rFonts w:hint="eastAsia" w:ascii="方正小标宋简体" w:eastAsia="方正小标宋简体"/>
          <w:b/>
          <w:bCs/>
          <w:sz w:val="84"/>
          <w:szCs w:val="84"/>
          <w:highlight w:val="none"/>
        </w:rPr>
        <w:t>年度</w:t>
      </w:r>
    </w:p>
    <w:p>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厦门市湖里区园林绿化中心</w:t>
      </w:r>
    </w:p>
    <w:p>
      <w:pPr>
        <w:widowControl/>
        <w:jc w:val="center"/>
        <w:rPr>
          <w:rFonts w:hint="eastAsia" w:ascii="方正小标宋简体" w:eastAsia="方正小标宋简体"/>
          <w:b/>
          <w:bCs/>
          <w:sz w:val="84"/>
          <w:szCs w:val="84"/>
          <w:highlight w:val="none"/>
          <w:lang w:val="en-US" w:eastAsia="zh-CN"/>
        </w:rPr>
        <w:sectPr>
          <w:footerReference r:id="rId3" w:type="default"/>
          <w:pgSz w:w="11906" w:h="16838"/>
          <w:pgMar w:top="1440" w:right="1083" w:bottom="1440" w:left="1083" w:header="0" w:footer="720"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目录</w:t>
          </w:r>
        </w:p>
        <w:p>
          <w:pPr>
            <w:pStyle w:val="17"/>
            <w:tabs>
              <w:tab w:val="right" w:leader="dot" w:pos="9730"/>
            </w:tabs>
            <w:rPr>
              <w:rFonts w:asciiTheme="minorHAnsi" w:hAnsiTheme="minorHAns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"_Toc256000093" </w:instrText>
          </w:r>
          <w:r>
            <w:fldChar w:fldCharType="separate"/>
          </w:r>
          <w:r>
            <w:rPr>
              <w:rStyle w:val="22"/>
              <w:rFonts w:ascii="黑体" w:hAnsi="黑体" w:eastAsia="黑体" w:cs="黑体"/>
            </w:rPr>
            <w:t>第一部分</w:t>
          </w:r>
          <w:r>
            <w:tab/>
          </w:r>
          <w:r>
            <w:fldChar w:fldCharType="begin"/>
          </w:r>
          <w:r>
            <w:instrText xml:space="preserve"> PAGEREF _Toc256000093 \h </w:instrText>
          </w:r>
          <w:r>
            <w:fldChar w:fldCharType="separate"/>
          </w:r>
          <w:r>
            <w:t>4</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"_Toc256000094" </w:instrText>
          </w:r>
          <w:r>
            <w:fldChar w:fldCharType="separate"/>
          </w:r>
          <w:r>
            <w:rPr>
              <w:rStyle w:val="22"/>
              <w:rFonts w:ascii="黑体" w:hAnsi="黑体" w:eastAsia="黑体" w:cs="黑体"/>
            </w:rPr>
            <w:t>单位概况</w:t>
          </w:r>
          <w:r>
            <w:tab/>
          </w:r>
          <w:r>
            <w:fldChar w:fldCharType="begin"/>
          </w:r>
          <w:r>
            <w:instrText xml:space="preserve"> PAGEREF _Toc256000094 \h </w:instrText>
          </w:r>
          <w:r>
            <w:fldChar w:fldCharType="separate"/>
          </w:r>
          <w:r>
            <w:t>4</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"_Toc256000095" </w:instrText>
          </w:r>
          <w:r>
            <w:fldChar w:fldCharType="separate"/>
          </w:r>
          <w:r>
            <w:rPr>
              <w:rStyle w:val="22"/>
              <w:rFonts w:ascii="黑体" w:hAnsi="黑体" w:eastAsia="黑体" w:cs="黑体"/>
            </w:rPr>
            <w:t>一、单位主要职责</w:t>
          </w:r>
          <w:r>
            <w:tab/>
          </w:r>
          <w:r>
            <w:fldChar w:fldCharType="begin"/>
          </w:r>
          <w:r>
            <w:instrText xml:space="preserve"> PAGEREF _Toc256000095 \h </w:instrText>
          </w:r>
          <w:r>
            <w:fldChar w:fldCharType="separate"/>
          </w:r>
          <w:r>
            <w:t>5</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"_Toc256000096" </w:instrText>
          </w:r>
          <w:r>
            <w:fldChar w:fldCharType="separate"/>
          </w:r>
          <w:r>
            <w:rPr>
              <w:rStyle w:val="22"/>
              <w:rFonts w:ascii="黑体" w:hAnsi="黑体" w:eastAsia="黑体" w:cs="黑体"/>
            </w:rPr>
            <w:t>二、单位基本情况</w:t>
          </w:r>
          <w:r>
            <w:tab/>
          </w:r>
          <w:r>
            <w:fldChar w:fldCharType="begin"/>
          </w:r>
          <w:r>
            <w:instrText xml:space="preserve"> PAGEREF _Toc256000096 \h </w:instrText>
          </w:r>
          <w:r>
            <w:fldChar w:fldCharType="separate"/>
          </w:r>
          <w:r>
            <w:t>5</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"_Toc256000097" </w:instrText>
          </w:r>
          <w:r>
            <w:fldChar w:fldCharType="separate"/>
          </w:r>
          <w:r>
            <w:rPr>
              <w:rStyle w:val="22"/>
              <w:rFonts w:ascii="黑体" w:hAnsi="黑体" w:eastAsia="黑体" w:cs="黑体"/>
            </w:rPr>
            <w:t>三、单位主要工作总结</w:t>
          </w:r>
          <w:r>
            <w:tab/>
          </w:r>
          <w:r>
            <w:fldChar w:fldCharType="begin"/>
          </w:r>
          <w:r>
            <w:instrText xml:space="preserve"> PAGEREF _Toc256000097 \h </w:instrText>
          </w:r>
          <w:r>
            <w:fldChar w:fldCharType="separate"/>
          </w:r>
          <w:r>
            <w:t>5</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"_Toc256000098" </w:instrText>
          </w:r>
          <w:r>
            <w:fldChar w:fldCharType="separate"/>
          </w:r>
          <w:r>
            <w:rPr>
              <w:rStyle w:val="22"/>
              <w:rFonts w:ascii="黑体" w:hAnsi="黑体" w:eastAsia="黑体" w:cs="黑体"/>
            </w:rPr>
            <w:t>第二部分</w:t>
          </w:r>
          <w:r>
            <w:tab/>
          </w:r>
          <w:r>
            <w:fldChar w:fldCharType="begin"/>
          </w:r>
          <w:r>
            <w:instrText xml:space="preserve"> PAGEREF _Toc256000098 \h </w:instrText>
          </w:r>
          <w:r>
            <w:fldChar w:fldCharType="separate"/>
          </w:r>
          <w:r>
            <w:t>8</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"_Toc256000099" </w:instrText>
          </w:r>
          <w:r>
            <w:fldChar w:fldCharType="separate"/>
          </w:r>
          <w:r>
            <w:rPr>
              <w:rStyle w:val="22"/>
              <w:rFonts w:ascii="黑体" w:hAnsi="黑体" w:eastAsia="黑体" w:cs="黑体"/>
            </w:rPr>
            <w:t>2024年度决算表</w:t>
          </w:r>
          <w:r>
            <w:tab/>
          </w:r>
          <w:r>
            <w:fldChar w:fldCharType="begin"/>
          </w:r>
          <w:r>
            <w:instrText xml:space="preserve"> PAGEREF _Toc256000099 \h </w:instrText>
          </w:r>
          <w:r>
            <w:fldChar w:fldCharType="separate"/>
          </w:r>
          <w:r>
            <w:t>8</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"_Toc256000100" </w:instrText>
          </w:r>
          <w:r>
            <w:fldChar w:fldCharType="separate"/>
          </w:r>
          <w:r>
            <w:rPr>
              <w:rStyle w:val="22"/>
              <w:rFonts w:ascii="黑体" w:hAnsi="黑体" w:eastAsia="黑体" w:cs="黑体"/>
            </w:rPr>
            <w:t>一、收入支出决算总表</w:t>
          </w:r>
          <w:r>
            <w:tab/>
          </w:r>
          <w:r>
            <w:fldChar w:fldCharType="begin"/>
          </w:r>
          <w:r>
            <w:instrText xml:space="preserve"> PAGEREF _Toc256000100 \h </w:instrText>
          </w:r>
          <w:r>
            <w:fldChar w:fldCharType="separate"/>
          </w:r>
          <w:r>
            <w:t>9</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"_Toc256000101" </w:instrText>
          </w:r>
          <w:r>
            <w:fldChar w:fldCharType="separate"/>
          </w:r>
          <w:r>
            <w:rPr>
              <w:rStyle w:val="22"/>
              <w:rFonts w:ascii="黑体" w:hAnsi="黑体" w:eastAsia="黑体" w:cs="黑体"/>
            </w:rPr>
            <w:t>二、收入决算表</w:t>
          </w:r>
          <w:r>
            <w:tab/>
          </w:r>
          <w:r>
            <w:fldChar w:fldCharType="begin"/>
          </w:r>
          <w:r>
            <w:instrText xml:space="preserve"> PAGEREF _Toc256000101 \h </w:instrText>
          </w:r>
          <w:r>
            <w:fldChar w:fldCharType="separate"/>
          </w:r>
          <w:r>
            <w:t>13</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"_Toc256000102" </w:instrText>
          </w:r>
          <w:r>
            <w:fldChar w:fldCharType="separate"/>
          </w:r>
          <w:r>
            <w:rPr>
              <w:rStyle w:val="22"/>
              <w:rFonts w:ascii="黑体" w:hAnsi="黑体" w:eastAsia="黑体" w:cs="黑体"/>
            </w:rPr>
            <w:t>三、支出决算表</w:t>
          </w:r>
          <w:r>
            <w:tab/>
          </w:r>
          <w:r>
            <w:fldChar w:fldCharType="begin"/>
          </w:r>
          <w:r>
            <w:instrText xml:space="preserve"> PAGEREF _Toc256000102 \h </w:instrText>
          </w:r>
          <w:r>
            <w:fldChar w:fldCharType="separate"/>
          </w:r>
          <w:r>
            <w:t>17</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"_Toc256000103" </w:instrText>
          </w:r>
          <w:r>
            <w:fldChar w:fldCharType="separate"/>
          </w:r>
          <w:r>
            <w:rPr>
              <w:rStyle w:val="22"/>
              <w:rFonts w:ascii="黑体" w:hAnsi="黑体" w:eastAsia="黑体" w:cs="黑体"/>
            </w:rPr>
            <w:t>四、财政拨款收入支出决算总表</w:t>
          </w:r>
          <w:r>
            <w:tab/>
          </w:r>
          <w:r>
            <w:fldChar w:fldCharType="begin"/>
          </w:r>
          <w:r>
            <w:instrText xml:space="preserve"> PAGEREF _Toc256000103 \h </w:instrText>
          </w:r>
          <w:r>
            <w:fldChar w:fldCharType="separate"/>
          </w:r>
          <w:r>
            <w:t>21</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"_Toc256000104" </w:instrText>
          </w:r>
          <w:r>
            <w:fldChar w:fldCharType="separate"/>
          </w:r>
          <w:r>
            <w:rPr>
              <w:rStyle w:val="22"/>
              <w:rFonts w:ascii="黑体" w:hAnsi="黑体" w:eastAsia="黑体" w:cs="黑体"/>
            </w:rPr>
            <w:t>五、一般公共预算财政拨款支出决算表</w:t>
          </w:r>
          <w:r>
            <w:tab/>
          </w:r>
          <w:r>
            <w:fldChar w:fldCharType="begin"/>
          </w:r>
          <w:r>
            <w:instrText xml:space="preserve"> PAGEREF _Toc256000104 \h </w:instrText>
          </w:r>
          <w:r>
            <w:fldChar w:fldCharType="separate"/>
          </w:r>
          <w:r>
            <w:t>26</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"_Toc256000105" </w:instrText>
          </w:r>
          <w:r>
            <w:fldChar w:fldCharType="separate"/>
          </w:r>
          <w:r>
            <w:rPr>
              <w:rStyle w:val="22"/>
              <w:rFonts w:ascii="黑体" w:hAnsi="黑体" w:eastAsia="黑体" w:cs="黑体"/>
            </w:rPr>
            <w:t>六、一般公共预算财政拨款基本支出决算表</w:t>
          </w:r>
          <w:r>
            <w:tab/>
          </w:r>
          <w:r>
            <w:fldChar w:fldCharType="begin"/>
          </w:r>
          <w:r>
            <w:instrText xml:space="preserve"> PAGEREF _Toc256000105 \h </w:instrText>
          </w:r>
          <w:r>
            <w:fldChar w:fldCharType="separate"/>
          </w:r>
          <w:r>
            <w:t>29</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"_Toc256000106" </w:instrText>
          </w:r>
          <w:r>
            <w:fldChar w:fldCharType="separate"/>
          </w:r>
          <w:r>
            <w:rPr>
              <w:rStyle w:val="22"/>
              <w:rFonts w:ascii="黑体" w:hAnsi="黑体" w:eastAsia="黑体" w:cs="黑体"/>
            </w:rPr>
            <w:t>七、一般公共预算财政拨款“三公”经费支出决算表</w:t>
          </w:r>
          <w:r>
            <w:tab/>
          </w:r>
          <w:r>
            <w:fldChar w:fldCharType="begin"/>
          </w:r>
          <w:r>
            <w:instrText xml:space="preserve"> PAGEREF _Toc256000106 \h </w:instrText>
          </w:r>
          <w:r>
            <w:fldChar w:fldCharType="separate"/>
          </w:r>
          <w:r>
            <w:t>33</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"_Toc256000107" </w:instrText>
          </w:r>
          <w:r>
            <w:fldChar w:fldCharType="separate"/>
          </w:r>
          <w:r>
            <w:rPr>
              <w:rStyle w:val="22"/>
              <w:rFonts w:ascii="黑体" w:hAnsi="黑体" w:eastAsia="黑体" w:cs="黑体"/>
            </w:rPr>
            <w:t>八、政府性基金预算财政拨款收入支出决算表</w:t>
          </w:r>
          <w:r>
            <w:tab/>
          </w:r>
          <w:r>
            <w:fldChar w:fldCharType="begin"/>
          </w:r>
          <w:r>
            <w:instrText xml:space="preserve"> PAGEREF _Toc256000107 \h </w:instrText>
          </w:r>
          <w:r>
            <w:fldChar w:fldCharType="separate"/>
          </w:r>
          <w:r>
            <w:t>34</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"_Toc256000108" </w:instrText>
          </w:r>
          <w:r>
            <w:fldChar w:fldCharType="separate"/>
          </w:r>
          <w:r>
            <w:rPr>
              <w:rStyle w:val="22"/>
              <w:rFonts w:ascii="黑体" w:hAnsi="黑体" w:eastAsia="黑体" w:cs="黑体"/>
            </w:rPr>
            <w:t>九、国有资本经营预算财政拨款支出决算表</w:t>
          </w:r>
          <w:r>
            <w:tab/>
          </w:r>
          <w:r>
            <w:fldChar w:fldCharType="begin"/>
          </w:r>
          <w:r>
            <w:instrText xml:space="preserve"> PAGEREF _Toc256000108 \h </w:instrText>
          </w:r>
          <w:r>
            <w:fldChar w:fldCharType="separate"/>
          </w:r>
          <w:r>
            <w:t>35</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"_Toc256000109" </w:instrText>
          </w:r>
          <w:r>
            <w:fldChar w:fldCharType="separate"/>
          </w:r>
          <w:r>
            <w:rPr>
              <w:rStyle w:val="22"/>
              <w:rFonts w:ascii="黑体" w:hAnsi="黑体" w:eastAsia="黑体" w:cs="黑体"/>
            </w:rPr>
            <w:t>第三部分</w:t>
          </w:r>
          <w:r>
            <w:tab/>
          </w:r>
          <w:r>
            <w:fldChar w:fldCharType="begin"/>
          </w:r>
          <w:r>
            <w:instrText xml:space="preserve"> PAGEREF _Toc256000109 \h </w:instrText>
          </w:r>
          <w:r>
            <w:fldChar w:fldCharType="separate"/>
          </w:r>
          <w:r>
            <w:t>37</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"_Toc256000110" </w:instrText>
          </w:r>
          <w:r>
            <w:fldChar w:fldCharType="separate"/>
          </w:r>
          <w:r>
            <w:rPr>
              <w:rStyle w:val="22"/>
              <w:rFonts w:ascii="黑体" w:hAnsi="黑体" w:eastAsia="黑体" w:cs="黑体"/>
            </w:rPr>
            <w:t>2024年度决算情况说明</w:t>
          </w:r>
          <w:r>
            <w:tab/>
          </w:r>
          <w:r>
            <w:fldChar w:fldCharType="begin"/>
          </w:r>
          <w:r>
            <w:instrText xml:space="preserve"> PAGEREF _Toc256000110 \h </w:instrText>
          </w:r>
          <w:r>
            <w:fldChar w:fldCharType="separate"/>
          </w:r>
          <w:r>
            <w:t>37</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"_Toc256000111" </w:instrText>
          </w:r>
          <w:r>
            <w:fldChar w:fldCharType="separate"/>
          </w:r>
          <w:r>
            <w:rPr>
              <w:rStyle w:val="22"/>
              <w:rFonts w:ascii="黑体" w:hAnsi="黑体" w:eastAsia="黑体" w:cs="黑体"/>
            </w:rPr>
            <w:t>一、收入支出决算总体情况说明</w:t>
          </w:r>
          <w:r>
            <w:tab/>
          </w:r>
          <w:r>
            <w:fldChar w:fldCharType="begin"/>
          </w:r>
          <w:r>
            <w:instrText xml:space="preserve"> PAGEREF _Toc256000111 \h </w:instrText>
          </w:r>
          <w:r>
            <w:fldChar w:fldCharType="separate"/>
          </w:r>
          <w:r>
            <w:t>38</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"_Toc256000112" </w:instrText>
          </w:r>
          <w:r>
            <w:fldChar w:fldCharType="separate"/>
          </w:r>
          <w:r>
            <w:rPr>
              <w:rStyle w:val="22"/>
              <w:rFonts w:ascii="黑体" w:hAnsi="黑体" w:eastAsia="黑体" w:cs="黑体"/>
            </w:rPr>
            <w:t>二、财政拨款收入支出决算总体情况说明</w:t>
          </w:r>
          <w:r>
            <w:tab/>
          </w:r>
          <w:r>
            <w:fldChar w:fldCharType="begin"/>
          </w:r>
          <w:r>
            <w:instrText xml:space="preserve"> PAGEREF _Toc256000112 \h </w:instrText>
          </w:r>
          <w:r>
            <w:fldChar w:fldCharType="separate"/>
          </w:r>
          <w:r>
            <w:t>39</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"_Toc256000113" </w:instrText>
          </w:r>
          <w:r>
            <w:fldChar w:fldCharType="separate"/>
          </w:r>
          <w:r>
            <w:rPr>
              <w:rStyle w:val="22"/>
              <w:rFonts w:ascii="黑体" w:hAnsi="黑体" w:eastAsia="黑体" w:cs="黑体"/>
            </w:rPr>
            <w:t>三、一般公共预算拨款支出决算情况说明</w:t>
          </w:r>
          <w:r>
            <w:tab/>
          </w:r>
          <w:r>
            <w:fldChar w:fldCharType="begin"/>
          </w:r>
          <w:r>
            <w:instrText xml:space="preserve"> PAGEREF _Toc256000113 \h </w:instrText>
          </w:r>
          <w:r>
            <w:fldChar w:fldCharType="separate"/>
          </w:r>
          <w:r>
            <w:t>39</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"_Toc256000114" </w:instrText>
          </w:r>
          <w:r>
            <w:fldChar w:fldCharType="separate"/>
          </w:r>
          <w:r>
            <w:rPr>
              <w:rStyle w:val="22"/>
              <w:rFonts w:ascii="黑体" w:hAnsi="黑体" w:eastAsia="黑体" w:cs="黑体"/>
            </w:rPr>
            <w:t>四、政府性基金预算财政拨款支出决算情况说明</w:t>
          </w:r>
          <w:r>
            <w:tab/>
          </w:r>
          <w:r>
            <w:fldChar w:fldCharType="begin"/>
          </w:r>
          <w:r>
            <w:instrText xml:space="preserve"> PAGEREF _Toc256000114 \h </w:instrText>
          </w:r>
          <w:r>
            <w:fldChar w:fldCharType="separate"/>
          </w:r>
          <w:r>
            <w:t>41</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"_Toc256000115" </w:instrText>
          </w:r>
          <w:r>
            <w:fldChar w:fldCharType="separate"/>
          </w:r>
          <w:r>
            <w:rPr>
              <w:rStyle w:val="22"/>
              <w:rFonts w:ascii="黑体" w:hAnsi="黑体" w:eastAsia="黑体" w:cs="黑体"/>
            </w:rPr>
            <w:t>五、国有资本经营预算财政拨款支出决算情况说明</w:t>
          </w:r>
          <w:r>
            <w:tab/>
          </w:r>
          <w:r>
            <w:fldChar w:fldCharType="begin"/>
          </w:r>
          <w:r>
            <w:instrText xml:space="preserve"> PAGEREF _Toc256000115 \h </w:instrText>
          </w:r>
          <w:r>
            <w:fldChar w:fldCharType="separate"/>
          </w:r>
          <w:r>
            <w:t>41</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"_Toc256000116" </w:instrText>
          </w:r>
          <w:r>
            <w:fldChar w:fldCharType="separate"/>
          </w:r>
          <w:r>
            <w:rPr>
              <w:rStyle w:val="22"/>
              <w:rFonts w:ascii="黑体" w:hAnsi="黑体" w:eastAsia="黑体" w:cs="黑体"/>
            </w:rPr>
            <w:t>六、一般公共预算财政拨款基本支出决算情况说明</w:t>
          </w:r>
          <w:r>
            <w:tab/>
          </w:r>
          <w:r>
            <w:fldChar w:fldCharType="begin"/>
          </w:r>
          <w:r>
            <w:instrText xml:space="preserve"> PAGEREF _Toc256000116 \h </w:instrText>
          </w:r>
          <w:r>
            <w:fldChar w:fldCharType="separate"/>
          </w:r>
          <w:r>
            <w:t>41</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"_Toc256000117" </w:instrText>
          </w:r>
          <w:r>
            <w:fldChar w:fldCharType="separate"/>
          </w:r>
          <w:r>
            <w:rPr>
              <w:rStyle w:val="22"/>
              <w:rFonts w:ascii="黑体" w:hAnsi="黑体" w:eastAsia="黑体" w:cs="黑体"/>
            </w:rPr>
            <w:t>七、一般公共预算拨款“三公”经费支出决算情况说明</w:t>
          </w:r>
          <w:r>
            <w:tab/>
          </w:r>
          <w:r>
            <w:fldChar w:fldCharType="begin"/>
          </w:r>
          <w:r>
            <w:instrText xml:space="preserve"> PAGEREF _Toc256000117 \h </w:instrText>
          </w:r>
          <w:r>
            <w:fldChar w:fldCharType="separate"/>
          </w:r>
          <w:r>
            <w:t>42</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"_Toc256000118" </w:instrText>
          </w:r>
          <w:r>
            <w:fldChar w:fldCharType="separate"/>
          </w:r>
          <w:r>
            <w:rPr>
              <w:rStyle w:val="22"/>
              <w:rFonts w:ascii="黑体" w:hAnsi="黑体" w:eastAsia="黑体" w:cs="黑体"/>
            </w:rPr>
            <w:t>八、预算绩效情况说明</w:t>
          </w:r>
          <w:r>
            <w:tab/>
          </w:r>
          <w:r>
            <w:fldChar w:fldCharType="begin"/>
          </w:r>
          <w:r>
            <w:instrText xml:space="preserve"> PAGEREF _Toc256000118 \h </w:instrText>
          </w:r>
          <w:r>
            <w:fldChar w:fldCharType="separate"/>
          </w:r>
          <w:r>
            <w:t>43</w:t>
          </w:r>
          <w:r>
            <w:fldChar w:fldCharType="end"/>
          </w:r>
          <w:r>
            <w:fldChar w:fldCharType="end"/>
          </w:r>
        </w:p>
        <w:p>
          <w:pPr>
            <w:pStyle w:val="10"/>
            <w:tabs>
              <w:tab w:val="right" w:leader="dot" w:pos="9730"/>
            </w:tabs>
            <w:rPr>
              <w:rFonts w:asciiTheme="minorHAnsi" w:hAnsiTheme="minorHAnsi"/>
              <w:sz w:val="22"/>
            </w:rPr>
          </w:pPr>
          <w:r>
            <w:fldChar w:fldCharType="begin"/>
          </w:r>
          <w:r>
            <w:instrText xml:space="preserve"> HYPERLINK \l "_Toc256000119" </w:instrText>
          </w:r>
          <w:r>
            <w:fldChar w:fldCharType="separate"/>
          </w:r>
          <w:r>
            <w:rPr>
              <w:rStyle w:val="22"/>
              <w:rFonts w:ascii="黑体" w:hAnsi="黑体" w:eastAsia="黑体" w:cs="黑体"/>
            </w:rPr>
            <w:t>九、其他重要事项说明</w:t>
          </w:r>
          <w:r>
            <w:tab/>
          </w:r>
          <w:r>
            <w:fldChar w:fldCharType="begin"/>
          </w:r>
          <w:r>
            <w:instrText xml:space="preserve"> PAGEREF _Toc256000119 \h </w:instrText>
          </w:r>
          <w:r>
            <w:fldChar w:fldCharType="separate"/>
          </w:r>
          <w:r>
            <w:t>43</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"_Toc256000120" </w:instrText>
          </w:r>
          <w:r>
            <w:fldChar w:fldCharType="separate"/>
          </w:r>
          <w:r>
            <w:rPr>
              <w:rStyle w:val="22"/>
              <w:rFonts w:ascii="黑体" w:hAnsi="黑体" w:eastAsia="黑体" w:cs="黑体"/>
            </w:rPr>
            <w:t>第四部分</w:t>
          </w:r>
          <w:r>
            <w:tab/>
          </w:r>
          <w:r>
            <w:fldChar w:fldCharType="begin"/>
          </w:r>
          <w:r>
            <w:instrText xml:space="preserve"> PAGEREF _Toc256000120 \h </w:instrText>
          </w:r>
          <w:r>
            <w:fldChar w:fldCharType="separate"/>
          </w:r>
          <w:r>
            <w:t>45</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"_Toc256000121" </w:instrText>
          </w:r>
          <w:r>
            <w:fldChar w:fldCharType="separate"/>
          </w:r>
          <w:r>
            <w:rPr>
              <w:rStyle w:val="22"/>
              <w:rFonts w:ascii="黑体" w:hAnsi="黑体" w:eastAsia="黑体" w:cs="黑体"/>
            </w:rPr>
            <w:t>名词解释</w:t>
          </w:r>
          <w:r>
            <w:tab/>
          </w:r>
          <w:r>
            <w:fldChar w:fldCharType="begin"/>
          </w:r>
          <w:r>
            <w:instrText xml:space="preserve"> PAGEREF _Toc256000121 \h </w:instrText>
          </w:r>
          <w:r>
            <w:fldChar w:fldCharType="separate"/>
          </w:r>
          <w:r>
            <w:t>45</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"_Toc256000122" </w:instrText>
          </w:r>
          <w:r>
            <w:fldChar w:fldCharType="separate"/>
          </w:r>
          <w:r>
            <w:rPr>
              <w:rStyle w:val="22"/>
              <w:rFonts w:ascii="黑体" w:hAnsi="黑体" w:eastAsia="黑体" w:cs="黑体"/>
            </w:rPr>
            <w:t>第五部分</w:t>
          </w:r>
          <w:r>
            <w:tab/>
          </w:r>
          <w:r>
            <w:fldChar w:fldCharType="begin"/>
          </w:r>
          <w:r>
            <w:instrText xml:space="preserve"> PAGEREF _Toc256000122 \h </w:instrText>
          </w:r>
          <w:r>
            <w:fldChar w:fldCharType="separate"/>
          </w:r>
          <w:r>
            <w:t>48</w:t>
          </w:r>
          <w:r>
            <w:fldChar w:fldCharType="end"/>
          </w:r>
          <w:r>
            <w:fldChar w:fldCharType="end"/>
          </w:r>
        </w:p>
        <w:p>
          <w:pPr>
            <w:pStyle w:val="17"/>
            <w:tabs>
              <w:tab w:val="right" w:leader="dot" w:pos="9730"/>
            </w:tabs>
            <w:rPr>
              <w:rFonts w:asciiTheme="minorHAnsi" w:hAnsiTheme="minorHAnsi"/>
              <w:sz w:val="22"/>
            </w:rPr>
          </w:pPr>
          <w:r>
            <w:fldChar w:fldCharType="begin"/>
          </w:r>
          <w:r>
            <w:instrText xml:space="preserve"> HYPERLINK \l "_Toc256000123" </w:instrText>
          </w:r>
          <w:r>
            <w:fldChar w:fldCharType="separate"/>
          </w:r>
          <w:r>
            <w:rPr>
              <w:rStyle w:val="22"/>
              <w:rFonts w:ascii="黑体" w:hAnsi="黑体" w:eastAsia="黑体" w:cs="黑体"/>
            </w:rPr>
            <w:t>附件</w:t>
          </w:r>
          <w:r>
            <w:tab/>
          </w:r>
          <w:r>
            <w:fldChar w:fldCharType="begin"/>
          </w:r>
          <w:r>
            <w:instrText xml:space="preserve"> PAGEREF _Toc256000123 \h </w:instrText>
          </w:r>
          <w:r>
            <w:fldChar w:fldCharType="separate"/>
          </w:r>
          <w:r>
            <w:t>48</w:t>
          </w:r>
          <w:r>
            <w:fldChar w:fldCharType="end"/>
          </w:r>
          <w:r>
            <w:fldChar w:fldCharType="end"/>
          </w:r>
        </w:p>
        <w:p>
          <w:pPr>
            <w:adjustRightInd w:val="0"/>
            <w:snapToGrid w:val="0"/>
            <w:rPr>
              <w:rFonts w:hint="eastAsia" w:ascii="仿宋" w:hAnsi="仿宋" w:eastAsia="仿宋" w:cs="仿宋"/>
              <w:b w:val="0"/>
              <w:bCs/>
              <w:kern w:val="2"/>
              <w:sz w:val="32"/>
              <w:szCs w:val="32"/>
              <w:lang w:val="en-US" w:eastAsia="zh-CN" w:bidi="ar-SA"/>
            </w:rPr>
            <w:sectPr>
              <w:footerReference r:id="rId4" w:type="default"/>
              <w:pgSz w:w="11906" w:h="16838"/>
              <w:pgMar w:top="1440" w:right="1083" w:bottom="1440" w:left="1083" w:header="0" w:footer="720" w:gutter="0"/>
              <w:cols w:space="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sdtContent>
    </w:sdt>
    <w:p>
      <w:pPr>
        <w:pStyle w:val="28"/>
        <w:widowControl/>
        <w:spacing w:before="100" w:after="270"/>
        <w:ind w:left="0" w:right="0" w:firstLine="0"/>
        <w:jc w:val="center"/>
        <w:rPr>
          <w:rFonts w:ascii="Times New Roman" w:hAnsi="Times New Roman" w:eastAsia="Times New Roman" w:cs="Times New Roman"/>
          <w:kern w:val="0"/>
          <w:sz w:val="24"/>
        </w:rPr>
      </w:pPr>
      <w:bookmarkStart w:id="0" w:name="a000"/>
    </w:p>
    <w:p>
      <w:pPr>
        <w:pStyle w:val="28"/>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1" w:name="_Toc256000093"/>
      <w:bookmarkStart w:id="2" w:name="_Toc256000000"/>
      <w:bookmarkStart w:id="3" w:name="_Toc256000062"/>
      <w:bookmarkStart w:id="4" w:name="_Toc256000031"/>
      <w:r>
        <w:rPr>
          <w:rFonts w:ascii="黑体" w:hAnsi="黑体" w:eastAsia="黑体" w:cs="黑体"/>
          <w:b/>
          <w:spacing w:val="0"/>
          <w:sz w:val="56"/>
          <w:szCs w:val="56"/>
        </w:rPr>
        <w:t>第一部分</w:t>
      </w:r>
      <w:bookmarkEnd w:id="1"/>
      <w:bookmarkEnd w:id="2"/>
      <w:bookmarkEnd w:id="3"/>
      <w:bookmarkEnd w:id="4"/>
      <w:r>
        <w:rPr>
          <w:rFonts w:ascii="宋体" w:hAnsi="宋体" w:eastAsia="宋体" w:cs="宋体"/>
          <w:b/>
          <w:spacing w:val="0"/>
          <w:sz w:val="56"/>
          <w:szCs w:val="56"/>
        </w:rPr>
        <w:t> </w:t>
      </w:r>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5" w:name="_Toc256000063"/>
      <w:bookmarkStart w:id="6" w:name="_Toc256000094"/>
      <w:bookmarkStart w:id="7" w:name="_Toc256000032"/>
      <w:bookmarkStart w:id="8" w:name="_Toc256000001"/>
      <w:r>
        <w:rPr>
          <w:rFonts w:ascii="黑体" w:hAnsi="黑体" w:eastAsia="黑体" w:cs="黑体"/>
          <w:b/>
          <w:spacing w:val="0"/>
          <w:sz w:val="56"/>
          <w:szCs w:val="56"/>
        </w:rPr>
        <w:t>单位概况</w:t>
      </w:r>
      <w:bookmarkEnd w:id="5"/>
      <w:bookmarkEnd w:id="6"/>
      <w:bookmarkEnd w:id="7"/>
      <w:bookmarkEnd w:id="8"/>
    </w:p>
    <w:p>
      <w:pPr>
        <w:pStyle w:val="29"/>
        <w:widowControl/>
        <w:spacing w:before="100" w:after="100"/>
        <w:ind w:left="0" w:right="0" w:firstLine="0"/>
        <w:jc w:val="center"/>
        <w:rPr>
          <w:rFonts w:ascii="Times New Roman" w:hAnsi="Times New Roman" w:eastAsia="Times New Roman" w:cs="Times New Roman"/>
          <w:kern w:val="0"/>
          <w:sz w:val="24"/>
        </w:rPr>
      </w:pPr>
    </w:p>
    <w:p>
      <w:pPr>
        <w:sectPr>
          <w:footerReference r:id="rId5"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r>
        <w:rPr>
          <w:rFonts w:ascii="黑体" w:hAnsi="黑体" w:eastAsia="黑体" w:cs="黑体"/>
          <w:b/>
          <w:spacing w:val="0"/>
        </w:rPr>
        <w:t xml:space="preserve"> </w:t>
      </w:r>
      <w:bookmarkStart w:id="9" w:name="_Toc256000064"/>
      <w:bookmarkStart w:id="10" w:name="_Toc256000002"/>
      <w:bookmarkStart w:id="11" w:name="_Toc256000033"/>
      <w:bookmarkStart w:id="12" w:name="_Toc256000095"/>
      <w:r>
        <w:rPr>
          <w:rFonts w:ascii="黑体" w:hAnsi="黑体" w:eastAsia="黑体" w:cs="黑体"/>
          <w:b/>
          <w:spacing w:val="0"/>
        </w:rPr>
        <w:t>一、单位主要职责</w:t>
      </w:r>
      <w:bookmarkEnd w:id="9"/>
      <w:bookmarkEnd w:id="10"/>
      <w:bookmarkEnd w:id="11"/>
      <w:bookmarkEnd w:id="12"/>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厦门市湖里区园林绿化中心单位的主要职责是：承担辖区内绿化管养、建设、提升及美化，公园管理、景区景点的工程建设、基础设施及配套服务、安全保卫、护林防火、植物病虫害防治，林业湿地资源调查管理、林区动植物保护，生活污水、排水防涝、海绵城市建设等方面的技术性、辅助性和事务性工作。</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3" w:name="_Toc256000096"/>
      <w:bookmarkStart w:id="14" w:name="_Toc256000003"/>
      <w:bookmarkStart w:id="15" w:name="_Toc256000065"/>
      <w:bookmarkStart w:id="16" w:name="_Toc256000034"/>
      <w:r>
        <w:rPr>
          <w:rFonts w:ascii="黑体" w:hAnsi="黑体" w:eastAsia="黑体" w:cs="黑体"/>
          <w:b/>
          <w:spacing w:val="0"/>
        </w:rPr>
        <w:t>二、单位基本情况</w:t>
      </w:r>
      <w:bookmarkEnd w:id="13"/>
      <w:bookmarkEnd w:id="14"/>
      <w:bookmarkEnd w:id="15"/>
      <w:bookmarkEnd w:id="16"/>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从决算单位构成看，本单位包括综合科、园容科、绿化科、林业科、规划建设科、质量考考评科、防治检疫科、安全应急科、水务科共九个内设机构，其中：列入2024年决算编制范围的单位详细情况见下表:</w:t>
      </w:r>
    </w:p>
    <w:tbl>
      <w:tblPr>
        <w:tblStyle w:val="19"/>
        <w:tblW w:w="5000" w:type="pct"/>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3665"/>
        <w:gridCol w:w="68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Header/>
        </w:trPr>
        <w:tc>
          <w:tcPr>
            <w:tcW w:w="3376" w:type="dxa"/>
            <w:tcBorders>
              <w:right w:val="inset" w:color="808080" w:sz="6" w:space="0"/>
            </w:tcBorders>
            <w:noWrap w:val="0"/>
            <w:tcMar>
              <w:top w:w="22" w:type="dxa"/>
              <w:left w:w="22" w:type="dxa"/>
              <w:bottom w:w="22" w:type="dxa"/>
              <w:right w:w="22" w:type="dxa"/>
            </w:tcMar>
            <w:vAlign w:val="center"/>
          </w:tcPr>
          <w:p>
            <w:pPr>
              <w:widowControl/>
              <w:ind w:firstLine="640"/>
              <w:jc w:val="center"/>
              <w:rPr>
                <w:rFonts w:ascii="仿宋" w:hAnsi="仿宋" w:eastAsia="仿宋" w:cs="仿宋"/>
                <w:b/>
                <w:bCs/>
                <w:i w:val="0"/>
                <w:iCs w:val="0"/>
                <w:smallCaps w:val="0"/>
                <w:color w:val="000000"/>
                <w:spacing w:val="0"/>
                <w:kern w:val="0"/>
                <w:sz w:val="24"/>
              </w:rPr>
            </w:pPr>
            <w:r>
              <w:rPr>
                <w:rFonts w:ascii="仿宋" w:hAnsi="仿宋" w:eastAsia="仿宋" w:cs="仿宋"/>
                <w:b/>
                <w:bCs/>
                <w:i w:val="0"/>
                <w:iCs w:val="0"/>
                <w:smallCaps w:val="0"/>
                <w:color w:val="000000"/>
                <w:spacing w:val="0"/>
                <w:kern w:val="0"/>
                <w:sz w:val="24"/>
              </w:rPr>
              <w:t>序号</w:t>
            </w:r>
          </w:p>
        </w:tc>
        <w:tc>
          <w:tcPr>
            <w:tcW w:w="6304" w:type="dxa"/>
            <w:tcBorders>
              <w:left w:val="inset" w:color="808080" w:sz="6" w:space="0"/>
            </w:tcBorders>
            <w:noWrap w:val="0"/>
            <w:tcMar>
              <w:top w:w="22" w:type="dxa"/>
              <w:left w:w="22" w:type="dxa"/>
              <w:bottom w:w="22" w:type="dxa"/>
              <w:right w:w="22" w:type="dxa"/>
            </w:tcMar>
            <w:vAlign w:val="center"/>
          </w:tcPr>
          <w:p>
            <w:pPr>
              <w:widowControl/>
              <w:ind w:firstLine="640"/>
              <w:jc w:val="center"/>
              <w:rPr>
                <w:rFonts w:ascii="仿宋" w:hAnsi="仿宋" w:eastAsia="仿宋" w:cs="仿宋"/>
                <w:b/>
                <w:bCs/>
                <w:i w:val="0"/>
                <w:iCs w:val="0"/>
                <w:smallCaps w:val="0"/>
                <w:color w:val="000000"/>
                <w:spacing w:val="0"/>
                <w:kern w:val="0"/>
                <w:sz w:val="24"/>
              </w:rPr>
            </w:pPr>
            <w:r>
              <w:rPr>
                <w:rFonts w:ascii="仿宋" w:hAnsi="仿宋" w:eastAsia="仿宋" w:cs="仿宋"/>
                <w:b/>
                <w:bCs/>
                <w:i w:val="0"/>
                <w:iCs w:val="0"/>
                <w:smallCaps w:val="0"/>
                <w:color w:val="000000"/>
                <w:spacing w:val="0"/>
                <w:kern w:val="0"/>
                <w:sz w:val="24"/>
              </w:rPr>
              <w:t>单位名称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Header/>
        </w:trPr>
        <w:tc>
          <w:tcPr>
            <w:tcW w:w="3376" w:type="dxa"/>
            <w:tcBorders>
              <w:right w:val="inset" w:color="808080" w:sz="6" w:space="0"/>
            </w:tcBorders>
            <w:noWrap w:val="0"/>
            <w:tcMar>
              <w:top w:w="22" w:type="dxa"/>
              <w:left w:w="22" w:type="dxa"/>
              <w:bottom w:w="22" w:type="dxa"/>
              <w:right w:w="22" w:type="dxa"/>
            </w:tcMar>
            <w:vAlign w:val="center"/>
          </w:tcPr>
          <w:p>
            <w:pPr>
              <w:widowControl/>
              <w:jc w:val="center"/>
              <w:rPr>
                <w:rFonts w:ascii="仿宋" w:hAnsi="仿宋" w:eastAsia="仿宋" w:cs="仿宋"/>
                <w:b/>
                <w:bCs/>
                <w:i w:val="0"/>
                <w:iCs w:val="0"/>
                <w:smallCaps w:val="0"/>
                <w:color w:val="000000"/>
                <w:spacing w:val="0"/>
                <w:kern w:val="0"/>
                <w:sz w:val="24"/>
              </w:rPr>
            </w:pPr>
            <w:bookmarkStart w:id="17" w:name="_Toc256000004"/>
            <w:bookmarkStart w:id="18" w:name="_Toc256000066"/>
            <w:bookmarkStart w:id="19" w:name="_Toc256000035"/>
            <w:bookmarkStart w:id="20" w:name="_Toc256000097"/>
            <w:r>
              <w:rPr>
                <w:rFonts w:ascii="Times New Roman" w:hAnsi="Times New Roman"/>
                <w:kern w:val="0"/>
                <w:sz w:val="32"/>
                <w:szCs w:val="32"/>
              </w:rPr>
              <w:t>1</w:t>
            </w:r>
          </w:p>
        </w:tc>
        <w:tc>
          <w:tcPr>
            <w:tcW w:w="6304" w:type="dxa"/>
            <w:tcBorders>
              <w:left w:val="inset" w:color="808080" w:sz="6" w:space="0"/>
            </w:tcBorders>
            <w:noWrap w:val="0"/>
            <w:tcMar>
              <w:top w:w="22" w:type="dxa"/>
              <w:left w:w="22" w:type="dxa"/>
              <w:bottom w:w="22" w:type="dxa"/>
              <w:right w:w="22" w:type="dxa"/>
            </w:tcMar>
            <w:vAlign w:val="center"/>
          </w:tcPr>
          <w:p>
            <w:pPr>
              <w:widowControl/>
              <w:jc w:val="center"/>
              <w:rPr>
                <w:rFonts w:ascii="仿宋" w:hAnsi="仿宋" w:eastAsia="仿宋" w:cs="仿宋"/>
                <w:b/>
                <w:bCs/>
                <w:i w:val="0"/>
                <w:iCs w:val="0"/>
                <w:smallCaps w:val="0"/>
                <w:color w:val="000000"/>
                <w:spacing w:val="0"/>
                <w:kern w:val="0"/>
                <w:sz w:val="24"/>
              </w:rPr>
            </w:pPr>
            <w:r>
              <w:rPr>
                <w:rFonts w:hint="eastAsia" w:ascii="仿宋" w:hAnsi="仿宋" w:eastAsia="仿宋"/>
                <w:sz w:val="32"/>
                <w:szCs w:val="32"/>
              </w:rPr>
              <w:t>厦门市湖里区</w:t>
            </w:r>
            <w:r>
              <w:rPr>
                <w:rFonts w:hint="eastAsia" w:ascii="仿宋" w:hAnsi="仿宋" w:eastAsia="仿宋"/>
                <w:sz w:val="32"/>
                <w:szCs w:val="32"/>
                <w:lang w:eastAsia="zh-CN"/>
              </w:rPr>
              <w:t>园林绿化中心</w:t>
            </w:r>
          </w:p>
        </w:tc>
      </w:tr>
    </w:tbl>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r>
        <w:rPr>
          <w:rFonts w:ascii="黑体" w:hAnsi="黑体" w:eastAsia="黑体" w:cs="黑体"/>
          <w:b/>
          <w:spacing w:val="0"/>
        </w:rPr>
        <w:t>三、单位主要工作总结</w:t>
      </w:r>
      <w:bookmarkEnd w:id="17"/>
      <w:bookmarkEnd w:id="18"/>
      <w:bookmarkEnd w:id="19"/>
      <w:bookmarkEnd w:id="20"/>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2024年，厦门市湖里区园林绿化中心单位主要任务是：做好湖里区园林绿化事业。围绕上述任务，重点完成了以下工作：</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一）全局在胸，谋定后动抓落实。一是科学谋划统筹引领，年初提出中心党建引领、资产管理、城管融合、东部建设、美丽海湾建设、病虫害防治等年度十大专项工程，并实时跟进十大专工程落实情况。二是统筹推进项目建设，今年已完成投资建设项目15个，在建项目3个，其中包含中骏天荟西侧地块、金枋世家边侧地块等6个口袋公园项目建设，构建慢道、体育场地与设施，解决15分钟便民生活圈问题，落实为民办实事项目。三是落实落细城管融合，结合文明城市创建提升灯塔公园、薛岭山公园、仙岳公园，进一步提升公园品质，同时谋划推进湖边水库东片区城市公园、汤坂里公园、美仑公园项目、五缘湾内外湾清淤项目等。四积极推动林长制工作，以提升林业资源质量为核心，开展生物防治，保障森林资源安全；开展多元宣贯，提升林地保护意识；落实一山一案，强化防火演练和培训，提升应急处置能力，</w:t>
      </w:r>
      <w:r>
        <w:rPr>
          <w:rFonts w:hint="eastAsia" w:ascii="仿宋" w:hAnsi="仿宋" w:eastAsia="仿宋" w:cs="仿宋"/>
          <w:spacing w:val="0"/>
          <w:kern w:val="0"/>
          <w:sz w:val="32"/>
          <w:szCs w:val="32"/>
          <w:lang w:eastAsia="zh-CN"/>
        </w:rPr>
        <w:t>截至目前</w:t>
      </w:r>
      <w:r>
        <w:rPr>
          <w:rFonts w:ascii="仿宋" w:hAnsi="仿宋" w:eastAsia="仿宋" w:cs="仿宋"/>
          <w:spacing w:val="0"/>
          <w:kern w:val="0"/>
          <w:sz w:val="32"/>
          <w:szCs w:val="32"/>
        </w:rPr>
        <w:t>共计组织760余人开展森林防灭火培训和应急演练54余场次。</w:t>
      </w:r>
      <w:r>
        <w:rPr>
          <w:rFonts w:ascii="Calibri" w:hAnsi="Calibri" w:eastAsia="Calibri" w:cs="Calibri"/>
          <w:spacing w:val="0"/>
          <w:kern w:val="0"/>
          <w:sz w:val="32"/>
          <w:szCs w:val="32"/>
        </w:rPr>
        <w:t> </w:t>
      </w:r>
      <w:r>
        <w:rPr>
          <w:rFonts w:ascii="仿宋" w:hAnsi="仿宋" w:eastAsia="仿宋" w:cs="仿宋"/>
          <w:spacing w:val="0"/>
          <w:kern w:val="0"/>
          <w:sz w:val="32"/>
          <w:szCs w:val="32"/>
        </w:rPr>
        <w:t>（二）全力以赴，精准发力抓整改。一是以巡察意见清单抓整改，将区委第二巡察组提出的问题清单建档，明确责任、明确整改时限和措施，按时限完成了3类8个问题的整改工作。二是以督查通报、提案、信访问题抓整改，完成共计35份督查通报、5件人大提案件、2件政协提案件的整改或反馈，包括：薛岭山公园、忠仑公园及仙岳公园文化</w:t>
      </w:r>
      <w:bookmarkStart w:id="125" w:name="_GoBack"/>
      <w:bookmarkEnd w:id="125"/>
      <w:r>
        <w:rPr>
          <w:rFonts w:ascii="仿宋" w:hAnsi="仿宋" w:eastAsia="仿宋" w:cs="仿宋"/>
          <w:spacing w:val="0"/>
          <w:kern w:val="0"/>
          <w:sz w:val="32"/>
          <w:szCs w:val="32"/>
        </w:rPr>
        <w:t>广场等存在问题的整改和反馈，如政协委员提案在湖里公园增设二十四孝小点等事项。三是以12345平台问题抓整改，本年度至今共收平台事部件1504起，涉及基础设施建设、噪音扰民、便民服务、绿化美化等群众追求美好生活向往的问题，现完成1489起，处置率99%，进一步管理与服务水平。（三）全神贯注,强化项目抓创新。一是制定管养新模式，进一步探索科学合理的网格化公园管理模式，充分发挥网格化管理模式的优点，制定湿地公园新管理模式方案、薛岭山公园精细化管理方案。结合重要节假日对几个大公园和主要道路进行花化彩化氛围布置，今年以来，中心公园和道路管理成效多次受到厦门日报、厦门晚报、海西晨报和湖里头条等媒体正面报道。二是推动志愿服务，以志愿者驿站为据点，发挥中心全体人员、国有企业以及市民园长作用，建立“3个日子”工作制（即:每周周三下午为中心全体人员志愿服务日、每周周一下午为国有企业员工志愿服务日、每周周六上午为市民园长、志愿者志愿服务日），开展多元化服务。三是改善治理水质，落实河长制度，督促管养单位加强逮辽水库、新丰水库和天鹅湖湖面垃圾清捞和水域检测，确保湖面干净，水质清澈，配合市对区水质考核；针对康乐湖、湖里公园水质问题，多次与管养单位及相关部门现场研究改善湖水水质对策，采取措施治理水质。（四）全面升级,多措并举抓守护。一是推动安全管理，部署安全会议，完善安全管理，联合代管公司共计出动900余人次，重点检查仙岳公园、薛岭山公园、忠仑公园等8个主要公园和421条湖里区主次干道，发现147个隐患，已完成整改或形成整改方案。二是完善预案规范，修订《防汛防台风应急预案》《园区车辆进出制度完善》等，实现全年零事故、零火灾目标。三是建设基础设施，完成关于湿地公园、灯塔公园无障碍设施整改情况说明，并提出改进方案。生成仙岳公园润心园滑坡修复项目，计划推动公园安全措施综合治理工程、虎头山公园和石头皮山公园边坡修复工程等。以“蓝丝带”为基调，再造五缘湾湿地公园林荫慢跑道6.5公里。四是强化监管考核工作，制定中心道路绿化管养、公园管养考评方案，促进我区绿地日常管理的专业化、规范化、制度化，</w:t>
      </w:r>
      <w:r>
        <w:rPr>
          <w:rFonts w:hint="eastAsia" w:ascii="仿宋" w:hAnsi="仿宋" w:eastAsia="仿宋" w:cs="仿宋"/>
          <w:spacing w:val="0"/>
          <w:kern w:val="0"/>
          <w:sz w:val="32"/>
          <w:szCs w:val="32"/>
          <w:lang w:eastAsia="zh-CN"/>
        </w:rPr>
        <w:t>截至目前</w:t>
      </w:r>
      <w:r>
        <w:rPr>
          <w:rFonts w:ascii="仿宋" w:hAnsi="仿宋" w:eastAsia="仿宋" w:cs="仿宋"/>
          <w:spacing w:val="0"/>
          <w:kern w:val="0"/>
          <w:sz w:val="32"/>
          <w:szCs w:val="32"/>
        </w:rPr>
        <w:t>，共组织完成公园考评50次、道路绿化考评61次，对接市区两级考评14次。（五）全情投入，提振精神抓规范。一是加强理论学习，以党纪学习教育为契机，组织全体党员干部学习《习近平著作选读》《中国共产党纪律处分条例》《中国共产党章程(修正案)》《关于落实省委“深学争优、敢为争先、实干争效”行动的实施方案》等，加强理论学习，武装思想头脑。二是聚焦制度建设，完成公车管理、请销假制度、首问责任制度、扎实开展规范建设，持续推进规范化、标准化建设。三是稳妥整合机构。完成单位办公地点搬迁，明确科室职能、岗位设置，完成中心党支部换届和工会换届，按“人合、事合、心合、力合”的总体要求，推进工作交接、财政、人事整合有序衔接。</w:t>
      </w:r>
    </w:p>
    <w:p>
      <w:pPr>
        <w:sectPr>
          <w:footerReference r:id="rId6"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29"/>
        <w:widowControl/>
        <w:spacing w:before="100" w:after="100"/>
        <w:ind w:left="0" w:right="0" w:firstLine="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21" w:name="_Toc256000098"/>
      <w:bookmarkStart w:id="22" w:name="_Toc256000005"/>
      <w:bookmarkStart w:id="23" w:name="_Toc256000067"/>
      <w:bookmarkStart w:id="24" w:name="_Toc256000036"/>
      <w:r>
        <w:rPr>
          <w:rFonts w:ascii="黑体" w:hAnsi="黑体" w:eastAsia="黑体" w:cs="黑体"/>
          <w:b/>
          <w:spacing w:val="0"/>
          <w:sz w:val="56"/>
          <w:szCs w:val="56"/>
        </w:rPr>
        <w:t>第二部分</w:t>
      </w:r>
      <w:bookmarkEnd w:id="21"/>
      <w:bookmarkEnd w:id="22"/>
      <w:bookmarkEnd w:id="23"/>
      <w:bookmarkEnd w:id="24"/>
      <w:r>
        <w:rPr>
          <w:rFonts w:ascii="宋体" w:hAnsi="宋体" w:eastAsia="宋体" w:cs="宋体"/>
          <w:b/>
          <w:spacing w:val="0"/>
          <w:sz w:val="56"/>
          <w:szCs w:val="56"/>
        </w:rPr>
        <w:t> </w:t>
      </w:r>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25" w:name="_Toc256000006"/>
      <w:bookmarkStart w:id="26" w:name="_Toc256000068"/>
      <w:bookmarkStart w:id="27" w:name="_Toc256000099"/>
      <w:bookmarkStart w:id="28" w:name="_Toc256000037"/>
      <w:r>
        <w:rPr>
          <w:rFonts w:ascii="黑体" w:hAnsi="黑体" w:eastAsia="黑体" w:cs="黑体"/>
          <w:b/>
          <w:spacing w:val="0"/>
          <w:sz w:val="56"/>
          <w:szCs w:val="56"/>
        </w:rPr>
        <w:t>2024年度决算表</w:t>
      </w:r>
      <w:bookmarkEnd w:id="25"/>
      <w:bookmarkEnd w:id="26"/>
      <w:bookmarkEnd w:id="27"/>
      <w:bookmarkEnd w:id="28"/>
    </w:p>
    <w:p>
      <w:pPr>
        <w:pStyle w:val="29"/>
        <w:widowControl/>
        <w:spacing w:before="100" w:after="100"/>
        <w:ind w:left="0" w:right="0" w:firstLine="0"/>
        <w:jc w:val="center"/>
        <w:rPr>
          <w:rFonts w:ascii="Times New Roman" w:hAnsi="Times New Roman" w:eastAsia="Times New Roman" w:cs="Times New Roman"/>
          <w:kern w:val="0"/>
          <w:sz w:val="24"/>
        </w:rPr>
      </w:pPr>
    </w:p>
    <w:p>
      <w:pPr>
        <w:sectPr>
          <w:footerReference r:id="rId7"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29" w:name="_Toc256000038"/>
      <w:bookmarkStart w:id="30" w:name="_Toc256000007"/>
      <w:bookmarkStart w:id="31" w:name="_Toc256000100"/>
      <w:bookmarkStart w:id="32" w:name="_Toc256000069"/>
      <w:r>
        <w:rPr>
          <w:rFonts w:ascii="黑体" w:hAnsi="黑体" w:eastAsia="黑体" w:cs="黑体"/>
          <w:b/>
          <w:spacing w:val="0"/>
        </w:rPr>
        <w:t>一、收入支出决算总表</w:t>
      </w:r>
      <w:bookmarkEnd w:id="29"/>
      <w:bookmarkEnd w:id="30"/>
      <w:bookmarkEnd w:id="31"/>
      <w:bookmarkEnd w:id="32"/>
    </w:p>
    <w:p>
      <w:pPr>
        <w:sectPr>
          <w:footerReference r:id="rId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2498"/>
        <w:gridCol w:w="2497"/>
        <w:gridCol w:w="2497"/>
        <w:gridCol w:w="2497"/>
        <w:gridCol w:w="2497"/>
        <w:gridCol w:w="2497"/>
      </w:tblGrid>
      <w:tr>
        <w:tblPrEx>
          <w:tblCellMar>
            <w:top w:w="15" w:type="dxa"/>
            <w:left w:w="15" w:type="dxa"/>
            <w:bottom w:w="15" w:type="dxa"/>
            <w:right w:w="15" w:type="dxa"/>
          </w:tblCellMar>
        </w:tblPrEx>
        <w:trPr>
          <w:tblHeader/>
        </w:trPr>
        <w:tc>
          <w:tcPr>
            <w:tcW w:w="16380" w:type="dxa"/>
            <w:gridSpan w:val="6"/>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收入支出决算总表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3"/>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176,770,099.78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四、上级补助收入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五、事业收入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六、经营收入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七、附属单位上缴收入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八、其他收入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160,007,109.66</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4,432,963.75</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341,745.58</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使用非财政拨款结余（含专用结余）</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结余分配</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r>
      <w:tr>
        <w:tblPrEx>
          <w:tblCellMar>
            <w:top w:w="15" w:type="dxa"/>
            <w:left w:w="15" w:type="dxa"/>
            <w:bottom w:w="15" w:type="dxa"/>
            <w:right w:w="15" w:type="dxa"/>
          </w:tblCellMar>
        </w:tblPrEx>
        <w:tc>
          <w:tcPr>
            <w:tcW w:w="16380" w:type="dxa"/>
            <w:gridSpan w:val="6"/>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w:t>
            </w:r>
            <w:r>
              <w:rPr>
                <w:rFonts w:ascii="Times New Roman" w:hAnsi="Times New Roman" w:eastAsia="Times New Roman" w:cs="Times New Roman"/>
                <w:b w:val="0"/>
                <w:bCs w:val="0"/>
                <w:i w:val="0"/>
                <w:iCs w:val="0"/>
                <w:smallCaps w:val="0"/>
                <w:color w:val="000000"/>
                <w:kern w:val="0"/>
                <w:sz w:val="26"/>
                <w:szCs w:val="26"/>
              </w:rPr>
              <w:t>1.</w:t>
            </w:r>
            <w:r>
              <w:rPr>
                <w:rFonts w:ascii="宋体" w:hAnsi="宋体" w:eastAsia="宋体" w:cs="宋体"/>
                <w:b w:val="0"/>
                <w:bCs w:val="0"/>
                <w:i w:val="0"/>
                <w:iCs w:val="0"/>
                <w:smallCaps w:val="0"/>
                <w:color w:val="000000"/>
                <w:kern w:val="0"/>
                <w:sz w:val="26"/>
                <w:szCs w:val="26"/>
              </w:rPr>
              <w:t>本表反映部门本年度的总收支和年末结转结余情况。</w:t>
            </w:r>
          </w:p>
        </w:tc>
      </w:tr>
      <w:tr>
        <w:tblPrEx>
          <w:tblCellMar>
            <w:top w:w="15" w:type="dxa"/>
            <w:left w:w="15" w:type="dxa"/>
            <w:bottom w:w="15" w:type="dxa"/>
            <w:right w:w="15" w:type="dxa"/>
          </w:tblCellMar>
        </w:tblPrEx>
        <w:tc>
          <w:tcPr>
            <w:tcW w:w="16380" w:type="dxa"/>
            <w:gridSpan w:val="6"/>
            <w:noWrap w:val="0"/>
            <w:tcMar>
              <w:top w:w="20" w:type="dxa"/>
              <w:left w:w="485"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r>
              <w:rPr>
                <w:rFonts w:ascii="宋体" w:hAnsi="宋体" w:eastAsia="宋体" w:cs="宋体"/>
                <w:b w:val="0"/>
                <w:bCs w:val="0"/>
                <w:i w:val="0"/>
                <w:iCs w:val="0"/>
                <w:smallCaps w:val="0"/>
                <w:color w:val="000000"/>
                <w:kern w:val="0"/>
                <w:sz w:val="26"/>
                <w:szCs w:val="26"/>
              </w:rPr>
              <w:t>本套报表金额单位转换时可能存在尾数误差。</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72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33" w:name="_Toc256000101"/>
      <w:bookmarkStart w:id="34" w:name="_Toc256000070"/>
      <w:bookmarkStart w:id="35" w:name="_Toc256000039"/>
      <w:bookmarkStart w:id="36" w:name="_Toc256000008"/>
      <w:r>
        <w:rPr>
          <w:rFonts w:ascii="黑体" w:hAnsi="黑体" w:eastAsia="黑体" w:cs="黑体"/>
          <w:b/>
          <w:spacing w:val="0"/>
        </w:rPr>
        <w:t>二、收入决算表</w:t>
      </w:r>
      <w:bookmarkEnd w:id="33"/>
      <w:bookmarkEnd w:id="34"/>
      <w:bookmarkEnd w:id="35"/>
      <w:bookmarkEnd w:id="36"/>
    </w:p>
    <w:p>
      <w:pPr>
        <w:sectPr>
          <w:footerReference r:id="rId9"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收入决算表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财政拨款收入</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上级补助收入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附属单位上缴收入</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其他收入</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160,007,109.66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160,007,109.66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其他城乡社区管理事务支出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城乡社区公共设施</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其他城乡社区公共设施支出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公路水路运输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公路养护</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地质勘查与矿产资源管理</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6377" w:type="dxa"/>
            <w:gridSpan w:val="9"/>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注：本表反映部门本年度取得的各项收入情况。</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72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37" w:name="_Toc256000009"/>
      <w:bookmarkStart w:id="38" w:name="_Toc256000040"/>
      <w:bookmarkStart w:id="39" w:name="_Toc256000071"/>
      <w:bookmarkStart w:id="40" w:name="_Toc256000102"/>
      <w:r>
        <w:rPr>
          <w:rFonts w:ascii="黑体" w:hAnsi="黑体" w:eastAsia="黑体" w:cs="黑体"/>
          <w:b/>
          <w:spacing w:val="0"/>
        </w:rPr>
        <w:t>三、支出决算表</w:t>
      </w:r>
      <w:bookmarkEnd w:id="37"/>
      <w:bookmarkEnd w:id="38"/>
      <w:bookmarkEnd w:id="39"/>
      <w:bookmarkEnd w:id="40"/>
    </w:p>
    <w:p>
      <w:pPr>
        <w:sectPr>
          <w:footerReference r:id="rId10"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523"/>
        <w:gridCol w:w="1414"/>
        <w:gridCol w:w="1379"/>
        <w:gridCol w:w="1523"/>
        <w:gridCol w:w="1524"/>
        <w:gridCol w:w="1524"/>
        <w:gridCol w:w="1524"/>
        <w:gridCol w:w="1524"/>
        <w:gridCol w:w="1524"/>
        <w:gridCol w:w="1524"/>
      </w:tblGrid>
      <w:tr>
        <w:tblPrEx>
          <w:tblCellMar>
            <w:top w:w="15" w:type="dxa"/>
            <w:left w:w="15" w:type="dxa"/>
            <w:bottom w:w="15" w:type="dxa"/>
            <w:right w:w="15" w:type="dxa"/>
          </w:tblCellMar>
        </w:tblPrEx>
        <w:trPr>
          <w:tblHeader/>
        </w:trPr>
        <w:tc>
          <w:tcPr>
            <w:tcW w:w="16380" w:type="dxa"/>
            <w:gridSpan w:val="10"/>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支出决算表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999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947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rPr>
          <w:tblHeader/>
        </w:trPr>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上缴上级支出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对附属单位补助支出</w:t>
            </w:r>
          </w:p>
        </w:tc>
      </w:tr>
      <w:tr>
        <w:tblPrEx>
          <w:tblCellMar>
            <w:top w:w="15" w:type="dxa"/>
            <w:left w:w="15" w:type="dxa"/>
            <w:bottom w:w="15" w:type="dxa"/>
            <w:right w:w="15" w:type="dxa"/>
          </w:tblCellMar>
        </w:tblPrEx>
        <w:trPr>
          <w:tblHeader/>
        </w:trPr>
        <w:tc>
          <w:tcPr>
            <w:tcW w:w="21600"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w:t>
            </w:r>
          </w:p>
        </w:tc>
      </w:tr>
      <w:tr>
        <w:tblPrEx>
          <w:tblCellMar>
            <w:top w:w="15" w:type="dxa"/>
            <w:left w:w="15" w:type="dxa"/>
            <w:bottom w:w="15" w:type="dxa"/>
            <w:right w:w="15" w:type="dxa"/>
          </w:tblCellMar>
        </w:tblPrEx>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29,707,061.79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147,193,037.99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160,007,109.66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141,758,197.66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137,615,032.94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其他城乡社区管理事务支出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137,615,032.94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城乡社区公共设施</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其他城乡社区公共设施支出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公路水路运输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公路养护</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地质勘查与矿产资源管理</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17"/>
                <w:szCs w:val="17"/>
              </w:rPr>
            </w:pPr>
            <w:r>
              <w:rPr>
                <w:rFonts w:ascii="宋体" w:hAnsi="宋体" w:eastAsia="宋体" w:cs="宋体"/>
                <w:b w:val="0"/>
                <w:bCs w:val="0"/>
                <w:i w:val="0"/>
                <w:iCs w:val="0"/>
                <w:smallCaps w:val="0"/>
                <w:color w:val="000000"/>
                <w:kern w:val="0"/>
                <w:sz w:val="17"/>
                <w:szCs w:val="17"/>
              </w:rPr>
              <w:t>注：本表反映部门本年度各项支出情况。</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1" w:name="_Toc256000010"/>
      <w:bookmarkStart w:id="42" w:name="_Toc256000041"/>
      <w:bookmarkStart w:id="43" w:name="_Toc256000072"/>
      <w:bookmarkStart w:id="44" w:name="_Toc256000103"/>
      <w:r>
        <w:rPr>
          <w:rFonts w:ascii="黑体" w:hAnsi="黑体" w:eastAsia="黑体" w:cs="黑体"/>
          <w:b/>
          <w:spacing w:val="0"/>
        </w:rPr>
        <w:t>四、财政拨款收入支出决算总表</w:t>
      </w:r>
      <w:bookmarkEnd w:id="41"/>
      <w:bookmarkEnd w:id="42"/>
      <w:bookmarkEnd w:id="43"/>
      <w:bookmarkEnd w:id="44"/>
    </w:p>
    <w:p>
      <w:pPr>
        <w:sectPr>
          <w:footerReference r:id="rId11"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财政拨款收入支出决算总表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国有资本经营预算财政拨款</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176,770,099.78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160,007,109.66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159,877,109.66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176,770,099.78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三、国有资本经营预算财政拨款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176,900,099.78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176,770,099.78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注：本表反映部门本年度一般公共预算财政拨款、政府性基金预算财政拨款和国有资本经营预算财政拨款的总收支和年末结转结余情况。</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5" w:name="_Toc256000011"/>
      <w:bookmarkStart w:id="46" w:name="_Toc256000042"/>
      <w:bookmarkStart w:id="47" w:name="_Toc256000073"/>
      <w:bookmarkStart w:id="48" w:name="_Toc256000104"/>
      <w:r>
        <w:rPr>
          <w:rFonts w:ascii="黑体" w:hAnsi="黑体" w:eastAsia="黑体" w:cs="黑体"/>
          <w:b/>
          <w:spacing w:val="0"/>
        </w:rPr>
        <w:t>五、一般公共预算财政拨款支出决算表</w:t>
      </w:r>
      <w:bookmarkEnd w:id="45"/>
      <w:bookmarkEnd w:id="46"/>
      <w:bookmarkEnd w:id="47"/>
      <w:bookmarkEnd w:id="48"/>
    </w:p>
    <w:p>
      <w:pPr>
        <w:sectPr>
          <w:footerReference r:id="rId12"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872"/>
        <w:gridCol w:w="2186"/>
        <w:gridCol w:w="2185"/>
        <w:gridCol w:w="2185"/>
        <w:gridCol w:w="2185"/>
        <w:gridCol w:w="2185"/>
        <w:gridCol w:w="2185"/>
      </w:tblGrid>
      <w:tr>
        <w:tblPrEx>
          <w:tblCellMar>
            <w:top w:w="15" w:type="dxa"/>
            <w:left w:w="15" w:type="dxa"/>
            <w:bottom w:w="15" w:type="dxa"/>
            <w:right w:w="15" w:type="dxa"/>
          </w:tblCellMar>
        </w:tblPrEx>
        <w:trPr>
          <w:tblHeader/>
        </w:trPr>
        <w:tc>
          <w:tcPr>
            <w:tcW w:w="16381" w:type="dxa"/>
            <w:gridSpan w:val="7"/>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一般公共预算财政拨款支出决算表</w:t>
            </w:r>
          </w:p>
        </w:tc>
      </w:tr>
      <w:tr>
        <w:tblPrEx>
          <w:tblCellMar>
            <w:top w:w="15" w:type="dxa"/>
            <w:left w:w="15" w:type="dxa"/>
            <w:bottom w:w="15" w:type="dxa"/>
            <w:right w:w="15" w:type="dxa"/>
          </w:tblCellMar>
        </w:tblPrEx>
        <w:trPr>
          <w:tblHeader/>
        </w:trPr>
        <w:tc>
          <w:tcPr>
            <w:tcW w:w="1842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18420"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c>
          <w:tcPr>
            <w:tcW w:w="1842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r>
      <w:tr>
        <w:tblPrEx>
          <w:tblCellMar>
            <w:top w:w="15" w:type="dxa"/>
            <w:left w:w="15" w:type="dxa"/>
            <w:bottom w:w="15" w:type="dxa"/>
            <w:right w:w="15" w:type="dxa"/>
          </w:tblCellMar>
        </w:tblPrEx>
        <w:trPr>
          <w:tblHeader/>
        </w:trPr>
        <w:tc>
          <w:tcPr>
            <w:tcW w:w="18420"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gridSpan w:val="3"/>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tblPrEx>
          <w:tblCellMar>
            <w:top w:w="15" w:type="dxa"/>
            <w:left w:w="15" w:type="dxa"/>
            <w:bottom w:w="15" w:type="dxa"/>
            <w:right w:w="15" w:type="dxa"/>
          </w:tblCellMar>
        </w:tblPrEx>
        <w:tc>
          <w:tcPr>
            <w:tcW w:w="18420"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176,770,099.78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29,707,061.79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147,063,037.99</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其他共产党事务支出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2013602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660,131</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10,333,086.22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事业单位离退休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7,571,564.14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1,125,063.57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380,456.53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159,877,109.66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141,628,197.66</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城乡社区管理事务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137,615,032.94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其他城乡社区管理事务支出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155,863,944.94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18,248,912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137,615,032.94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城乡社区公共设施</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其他城乡社区公共设施支出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2,594,184.68</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2120501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城乡社区环境卫生</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1,418,980.04</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交通运输支出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公路水路运输</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2140106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公路养护</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4,432,963.75</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自然资源海洋气象等支出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自然资源事务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r>
      <w:tr>
        <w:tblPrEx>
          <w:tblCellMar>
            <w:top w:w="15" w:type="dxa"/>
            <w:left w:w="15" w:type="dxa"/>
            <w:bottom w:w="15" w:type="dxa"/>
            <w:right w:w="15" w:type="dxa"/>
          </w:tblCellMar>
        </w:tblPrEx>
        <w:tc>
          <w:tcPr>
            <w:tcW w:w="1842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2200114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地质勘查与矿产资源管理</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341,745.58</w:t>
            </w:r>
          </w:p>
        </w:tc>
      </w:tr>
      <w:tr>
        <w:tblPrEx>
          <w:tblCellMar>
            <w:top w:w="15" w:type="dxa"/>
            <w:left w:w="15" w:type="dxa"/>
            <w:bottom w:w="15" w:type="dxa"/>
            <w:right w:w="15" w:type="dxa"/>
          </w:tblCellMar>
        </w:tblPrEx>
        <w:tc>
          <w:tcPr>
            <w:tcW w:w="16381" w:type="dxa"/>
            <w:gridSpan w:val="7"/>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注：本表反映部门本年度一般公共预算财政拨款支出情况。</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24"/>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9" w:name="_Toc256000074"/>
      <w:bookmarkStart w:id="50" w:name="_Toc256000043"/>
      <w:bookmarkStart w:id="51" w:name="_Toc256000012"/>
      <w:bookmarkStart w:id="52" w:name="_Toc256000105"/>
      <w:r>
        <w:rPr>
          <w:rFonts w:ascii="黑体" w:hAnsi="黑体" w:eastAsia="黑体" w:cs="黑体"/>
          <w:b/>
          <w:spacing w:val="0"/>
        </w:rPr>
        <w:t>六、一般公共预算财政拨款基本支出决算表</w:t>
      </w:r>
      <w:bookmarkEnd w:id="49"/>
      <w:bookmarkEnd w:id="50"/>
      <w:bookmarkEnd w:id="51"/>
      <w:bookmarkEnd w:id="52"/>
    </w:p>
    <w:p>
      <w:pPr>
        <w:sectPr>
          <w:footerReference r:id="rId13"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tblPrEx>
          <w:tblCellMar>
            <w:top w:w="15" w:type="dxa"/>
            <w:left w:w="15" w:type="dxa"/>
            <w:bottom w:w="15" w:type="dxa"/>
            <w:right w:w="15" w:type="dxa"/>
          </w:tblCellMar>
        </w:tblPrEx>
        <w:trPr>
          <w:tblHeader/>
        </w:trPr>
        <w:tc>
          <w:tcPr>
            <w:tcW w:w="16377" w:type="dxa"/>
            <w:gridSpan w:val="9"/>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一般公共预算财政拨款基本支出决算表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20,688,070.09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1,172,116.56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3,203,553.5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31,177.67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国外债务发行费用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津贴补贴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3,819,803.82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印刷费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3,840</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6,304,549.5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咨询费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房屋建筑物购建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伙食补助费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手续费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1,941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3,840</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绩效工资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1,558,409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专用设备购置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1,739,222.56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37,209.6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基础设施建设</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职业年金缴费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1,022,299.52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邮电费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46,042.59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大型修缮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职工基本医疗保险缴费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744,607.04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取暖费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信息网络及软件购置更新</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物业管理费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物资储备</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其他社会保障缴费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550,900.15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差旅费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土地补偿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住房公积金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1,744,725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因公出国（境）费用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安置补助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维修（护）费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182,010.25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地上附着物和青苗补偿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其他工资福利支出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租赁费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拆迁补偿</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7,843,035.14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会议费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离休费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培训费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其他交通工具购置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退休费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文物和陈列品购置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退职（役）费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专用材料费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无形资产购置</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抚恤金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208,810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被装购置费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生活补助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159,820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专用燃料费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救济费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资本金注入</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委托业务费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274,870.15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政府投资基金股权投资</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助学金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工会经费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462,083.48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费用补贴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奖励金</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福利费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利息补贴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个人农业生产补贴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57,249.62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代缴社会保险费</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其他对企业补助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其他对个人和家庭的补助</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7,474,405.14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税金及附加费用</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其他商品和服务支出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76,311.2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国家赔偿费用支出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债务利息及费用支出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对民间非营利组织和群众性自治组织补贴</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经常性赠与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国外债务付息</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资本性赠与</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人员经费合计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28,531,105.23</w:t>
            </w:r>
          </w:p>
        </w:tc>
        <w:tc>
          <w:tcPr>
            <w:tcW w:w="21600"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公用经费合计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1,175,956.56</w:t>
            </w:r>
          </w:p>
        </w:tc>
      </w:tr>
      <w:tr>
        <w:tblPrEx>
          <w:tblCellMar>
            <w:top w:w="15" w:type="dxa"/>
            <w:left w:w="15" w:type="dxa"/>
            <w:bottom w:w="15" w:type="dxa"/>
            <w:right w:w="15" w:type="dxa"/>
          </w:tblCellMar>
        </w:tblPrEx>
        <w:tc>
          <w:tcPr>
            <w:tcW w:w="16377" w:type="dxa"/>
            <w:gridSpan w:val="9"/>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注：本表反映部门本年度一般公共预算财政拨款基本支出明细情况。</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53" w:name="_Toc256000013"/>
      <w:bookmarkStart w:id="54" w:name="_Toc256000044"/>
      <w:bookmarkStart w:id="55" w:name="_Toc256000075"/>
      <w:bookmarkStart w:id="56" w:name="_Toc256000106"/>
      <w:r>
        <w:rPr>
          <w:rFonts w:ascii="黑体" w:hAnsi="黑体" w:eastAsia="黑体" w:cs="黑体"/>
          <w:b/>
          <w:spacing w:val="0"/>
        </w:rPr>
        <w:t>七、一般公共预算财政拨款“三公”经费支出决算表</w:t>
      </w:r>
      <w:bookmarkEnd w:id="53"/>
      <w:bookmarkEnd w:id="54"/>
      <w:bookmarkEnd w:id="55"/>
      <w:bookmarkEnd w:id="56"/>
    </w:p>
    <w:p>
      <w:pPr>
        <w:sectPr>
          <w:footerReference r:id="rId14"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248"/>
        <w:gridCol w:w="1248"/>
        <w:gridCol w:w="1248"/>
        <w:gridCol w:w="1248"/>
        <w:gridCol w:w="1248"/>
        <w:gridCol w:w="1249"/>
        <w:gridCol w:w="1249"/>
        <w:gridCol w:w="1249"/>
        <w:gridCol w:w="1249"/>
        <w:gridCol w:w="1249"/>
        <w:gridCol w:w="1249"/>
        <w:gridCol w:w="1249"/>
      </w:tblGrid>
      <w:tr>
        <w:tblPrEx>
          <w:tblCellMar>
            <w:top w:w="15" w:type="dxa"/>
            <w:left w:w="15" w:type="dxa"/>
            <w:bottom w:w="15" w:type="dxa"/>
            <w:right w:w="15" w:type="dxa"/>
          </w:tblCellMar>
        </w:tblPrEx>
        <w:trPr>
          <w:tblHeader/>
        </w:trPr>
        <w:tc>
          <w:tcPr>
            <w:tcW w:w="16380" w:type="dxa"/>
            <w:gridSpan w:val="12"/>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三公</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经费支出决算</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6"/>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预算数</w:t>
            </w:r>
          </w:p>
        </w:tc>
        <w:tc>
          <w:tcPr>
            <w:tcW w:w="2160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决算数</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138,300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135,300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135,300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57,249.62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57,249.62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57,249.62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6380" w:type="dxa"/>
            <w:gridSpan w:val="12"/>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注：本表反映部门本年度财政拨款</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三公</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经费支出预决算情况。其中，预算数为</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三公</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经费全年预算数，反映按规定程序调整后的预算数；决算数是包括当年财政拨款和以前年度结转资金安排的实际支出。</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8"/>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57" w:name="_Toc256000014"/>
      <w:bookmarkStart w:id="58" w:name="_Toc256000045"/>
      <w:bookmarkStart w:id="59" w:name="_Toc256000076"/>
      <w:bookmarkStart w:id="60" w:name="_Toc256000107"/>
      <w:r>
        <w:rPr>
          <w:rFonts w:ascii="黑体" w:hAnsi="黑体" w:eastAsia="黑体" w:cs="黑体"/>
          <w:b/>
          <w:spacing w:val="0"/>
        </w:rPr>
        <w:t>八、政府性基金预算财政拨款收入支出决算表</w:t>
      </w:r>
      <w:bookmarkEnd w:id="57"/>
      <w:bookmarkEnd w:id="58"/>
      <w:bookmarkEnd w:id="59"/>
      <w:bookmarkEnd w:id="60"/>
    </w:p>
    <w:p>
      <w:pPr>
        <w:sectPr>
          <w:footerReference r:id="rId15"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1872"/>
        <w:gridCol w:w="1873"/>
        <w:gridCol w:w="1873"/>
        <w:gridCol w:w="1873"/>
        <w:gridCol w:w="1873"/>
        <w:gridCol w:w="1873"/>
        <w:gridCol w:w="1873"/>
        <w:gridCol w:w="1873"/>
      </w:tblGrid>
      <w:tr>
        <w:tblPrEx>
          <w:tblCellMar>
            <w:top w:w="15" w:type="dxa"/>
            <w:left w:w="15" w:type="dxa"/>
            <w:bottom w:w="15" w:type="dxa"/>
            <w:right w:w="15" w:type="dxa"/>
          </w:tblCellMar>
        </w:tblPrEx>
        <w:trPr>
          <w:tblHeader/>
        </w:trPr>
        <w:tc>
          <w:tcPr>
            <w:tcW w:w="16380" w:type="dxa"/>
            <w:gridSpan w:val="8"/>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政府性基金预算财政拨款收入支出决算表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rPr>
          <w:tblHeader/>
        </w:trPr>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支出功能分类科目编码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6"/>
                <w:szCs w:val="26"/>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城乡社区支出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国有土地使用权出让收入安排的支出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2120803</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城市建设支出</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130,000</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tblPrEx>
          <w:tblCellMar>
            <w:top w:w="15" w:type="dxa"/>
            <w:left w:w="15" w:type="dxa"/>
            <w:bottom w:w="15" w:type="dxa"/>
            <w:right w:w="15" w:type="dxa"/>
          </w:tblCellMar>
        </w:tblPrEx>
        <w:tc>
          <w:tcPr>
            <w:tcW w:w="16380" w:type="dxa"/>
            <w:gridSpan w:val="8"/>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注：本表反映部门本年度政府性基金预算财政拨款收入、支出及结转和结余情况。</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8"/>
        <w:widowControl/>
        <w:spacing w:before="100" w:after="100"/>
        <w:ind w:left="0" w:right="0" w:firstLine="48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61" w:name="_Toc256000046"/>
      <w:bookmarkStart w:id="62" w:name="_Toc256000015"/>
      <w:bookmarkStart w:id="63" w:name="_Toc256000077"/>
      <w:bookmarkStart w:id="64" w:name="_Toc256000108"/>
      <w:r>
        <w:rPr>
          <w:rFonts w:ascii="黑体" w:hAnsi="黑体" w:eastAsia="黑体" w:cs="黑体"/>
          <w:b/>
          <w:spacing w:val="0"/>
        </w:rPr>
        <w:t>九、国有资本经营预算财政拨款支出决算表</w:t>
      </w:r>
      <w:bookmarkEnd w:id="61"/>
      <w:bookmarkEnd w:id="62"/>
      <w:bookmarkEnd w:id="63"/>
      <w:bookmarkEnd w:id="64"/>
    </w:p>
    <w:p>
      <w:pPr>
        <w:sectPr>
          <w:footerReference r:id="rId16" w:type="default"/>
          <w:pgSz w:w="16383" w:h="11906" w:orient="landscape"/>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5000" w:type="pct"/>
        <w:tblInd w:w="20" w:type="dxa"/>
        <w:tblLayout w:type="fixed"/>
        <w:tblCellMar>
          <w:top w:w="15" w:type="dxa"/>
          <w:left w:w="15" w:type="dxa"/>
          <w:bottom w:w="15" w:type="dxa"/>
          <w:right w:w="15" w:type="dxa"/>
        </w:tblCellMar>
      </w:tblPr>
      <w:tblGrid>
        <w:gridCol w:w="2564"/>
        <w:gridCol w:w="2564"/>
        <w:gridCol w:w="2565"/>
        <w:gridCol w:w="2565"/>
        <w:gridCol w:w="2565"/>
      </w:tblGrid>
      <w:tr>
        <w:tblPrEx>
          <w:tblCellMar>
            <w:top w:w="15" w:type="dxa"/>
            <w:left w:w="15" w:type="dxa"/>
            <w:bottom w:w="15" w:type="dxa"/>
            <w:right w:w="15" w:type="dxa"/>
          </w:tblCellMar>
        </w:tblPrEx>
        <w:trPr>
          <w:tblHeader/>
        </w:trPr>
        <w:tc>
          <w:tcPr>
            <w:tcW w:w="16379" w:type="dxa"/>
            <w:gridSpan w:val="5"/>
            <w:noWrap w:val="0"/>
            <w:tcMar>
              <w:top w:w="20" w:type="dxa"/>
              <w:left w:w="20" w:type="dxa"/>
              <w:bottom w:w="20" w:type="dxa"/>
              <w:right w:w="20" w:type="dxa"/>
            </w:tcMar>
            <w:vAlign w:val="center"/>
          </w:tcPr>
          <w:p>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国有资本经营预算财政拨款支出决算表</w:t>
            </w:r>
          </w:p>
        </w:tc>
      </w:tr>
      <w:tr>
        <w:tblPrEx>
          <w:tblCellMar>
            <w:top w:w="15" w:type="dxa"/>
            <w:left w:w="15" w:type="dxa"/>
            <w:bottom w:w="15" w:type="dxa"/>
            <w:right w:w="15" w:type="dxa"/>
          </w:tblCellMar>
        </w:tblPrEx>
        <w:trPr>
          <w:tblHeader/>
        </w:trPr>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单位：厦门市湖里区园林绿化中心</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600"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金额单位：元</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w:t>
            </w:r>
          </w:p>
        </w:tc>
        <w:tc>
          <w:tcPr>
            <w:tcW w:w="21600"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本年支出</w:t>
            </w:r>
          </w:p>
        </w:tc>
      </w:tr>
      <w:tr>
        <w:tblPrEx>
          <w:tblCellMar>
            <w:top w:w="15" w:type="dxa"/>
            <w:left w:w="15" w:type="dxa"/>
            <w:bottom w:w="15" w:type="dxa"/>
            <w:right w:w="15" w:type="dxa"/>
          </w:tblCellMar>
        </w:tblPrEx>
        <w:trPr>
          <w:tblHeader/>
        </w:trPr>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科目代码</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科目名称</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基本支出</w:t>
            </w:r>
          </w:p>
        </w:tc>
        <w:tc>
          <w:tcPr>
            <w:tcW w:w="21600"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项目支出</w:t>
            </w: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CellMar>
            <w:top w:w="15" w:type="dxa"/>
            <w:left w:w="15" w:type="dxa"/>
            <w:bottom w:w="15" w:type="dxa"/>
            <w:right w:w="15" w:type="dxa"/>
          </w:tblCellMar>
        </w:tblPrEx>
        <w:trPr>
          <w:tblHeader/>
        </w:trPr>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c>
          <w:tcPr>
            <w:tcW w:w="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eastAsia="Times New Roman" w:cs="Times New Roman"/>
                <w:b w:val="0"/>
                <w:bCs w:val="0"/>
                <w:i w:val="0"/>
                <w:iCs w:val="0"/>
                <w:smallCaps w:val="0"/>
                <w:color w:val="000000"/>
                <w:kern w:val="0"/>
                <w:sz w:val="29"/>
                <w:szCs w:val="29"/>
              </w:rPr>
            </w:pP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r>
      <w:tr>
        <w:tblPrEx>
          <w:tblCellMar>
            <w:top w:w="15" w:type="dxa"/>
            <w:left w:w="15" w:type="dxa"/>
            <w:bottom w:w="15" w:type="dxa"/>
            <w:right w:w="15" w:type="dxa"/>
          </w:tblCellMar>
        </w:tblPrEx>
        <w:tc>
          <w:tcPr>
            <w:tcW w:w="21600"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160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tblPrEx>
          <w:tblCellMar>
            <w:top w:w="15" w:type="dxa"/>
            <w:left w:w="15" w:type="dxa"/>
            <w:bottom w:w="15" w:type="dxa"/>
            <w:right w:w="15" w:type="dxa"/>
          </w:tblCellMar>
        </w:tblPrEx>
        <w:tc>
          <w:tcPr>
            <w:tcW w:w="16379" w:type="dxa"/>
            <w:gridSpan w:val="5"/>
            <w:noWrap w:val="0"/>
            <w:tcMar>
              <w:top w:w="20" w:type="dxa"/>
              <w:left w:w="20" w:type="dxa"/>
              <w:bottom w:w="20" w:type="dxa"/>
              <w:right w:w="20" w:type="dxa"/>
            </w:tcMar>
            <w:vAlign w:val="center"/>
          </w:tcPr>
          <w:p>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注：本表反映部门本年度国有资本经营预算财政拨款支出情况。</w:t>
            </w:r>
          </w:p>
        </w:tc>
      </w:tr>
    </w:tbl>
    <w:p>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pPr>
        <w:pStyle w:val="28"/>
        <w:widowControl/>
        <w:spacing w:before="240" w:after="240"/>
        <w:jc w:val="left"/>
        <w:rPr>
          <w:rFonts w:ascii="Times New Roman" w:hAnsi="Times New Roman" w:eastAsia="Times New Roman" w:cs="Times New Roman"/>
          <w:kern w:val="0"/>
          <w:sz w:val="24"/>
        </w:rPr>
      </w:pPr>
      <w:r>
        <w:rPr>
          <w:rFonts w:ascii="Calibri" w:hAnsi="Calibri" w:eastAsia="Calibri" w:cs="Calibri"/>
          <w:spacing w:val="0"/>
          <w:kern w:val="0"/>
          <w:sz w:val="56"/>
          <w:szCs w:val="56"/>
        </w:rPr>
        <w:t> </w:t>
      </w:r>
    </w:p>
    <w:p>
      <w:pPr>
        <w:pStyle w:val="28"/>
        <w:widowControl/>
        <w:spacing w:before="240" w:after="240"/>
        <w:jc w:val="left"/>
        <w:rPr>
          <w:rFonts w:ascii="Times New Roman" w:hAnsi="Times New Roman" w:eastAsia="Times New Roman" w:cs="Times New Roman"/>
          <w:kern w:val="0"/>
          <w:sz w:val="24"/>
        </w:rPr>
        <w:sectPr>
          <w:footerReference r:id="rId17" w:type="default"/>
          <w:pgSz w:w="16383" w:h="11906" w:orient="landscape"/>
          <w:pgMar w:top="1440" w:right="1800" w:bottom="1440" w:left="1800" w:header="720" w:footer="720" w:gutter="0"/>
          <w:cols w:space="720" w:num="1"/>
        </w:sect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65" w:name="_Toc256000078"/>
      <w:bookmarkStart w:id="66" w:name="_Toc256000016"/>
      <w:bookmarkStart w:id="67" w:name="_Toc256000047"/>
      <w:bookmarkStart w:id="68" w:name="_Toc256000109"/>
      <w:r>
        <w:rPr>
          <w:rFonts w:ascii="黑体" w:hAnsi="黑体" w:eastAsia="黑体" w:cs="黑体"/>
          <w:b/>
          <w:spacing w:val="0"/>
          <w:sz w:val="56"/>
          <w:szCs w:val="56"/>
        </w:rPr>
        <w:t>第三部分</w:t>
      </w:r>
      <w:bookmarkEnd w:id="65"/>
      <w:bookmarkEnd w:id="66"/>
      <w:bookmarkEnd w:id="67"/>
      <w:bookmarkEnd w:id="68"/>
      <w:r>
        <w:rPr>
          <w:rFonts w:ascii="宋体" w:hAnsi="宋体" w:eastAsia="宋体" w:cs="宋体"/>
          <w:b/>
          <w:spacing w:val="0"/>
          <w:sz w:val="56"/>
          <w:szCs w:val="56"/>
        </w:rPr>
        <w:t> </w:t>
      </w:r>
    </w:p>
    <w:p>
      <w:pPr>
        <w:pStyle w:val="3"/>
        <w:keepNext w:val="0"/>
        <w:keepLines w:val="0"/>
        <w:spacing w:before="100" w:after="100" w:line="600" w:lineRule="atLeast"/>
        <w:ind w:left="0" w:right="0" w:firstLine="0" w:firstLineChars="0"/>
        <w:jc w:val="center"/>
        <w:rPr>
          <w:rFonts w:ascii="Times New Roman" w:hAnsi="Times New Roman" w:eastAsia="Times New Roman" w:cs="Times New Roman"/>
          <w:b/>
          <w:bCs/>
          <w:kern w:val="0"/>
          <w:sz w:val="36"/>
          <w:szCs w:val="36"/>
        </w:rPr>
      </w:pPr>
      <w:bookmarkStart w:id="69" w:name="_Toc256000079"/>
      <w:bookmarkStart w:id="70" w:name="_Toc256000048"/>
      <w:bookmarkStart w:id="71" w:name="_Toc256000110"/>
      <w:bookmarkStart w:id="72" w:name="_Toc256000017"/>
      <w:r>
        <w:rPr>
          <w:rFonts w:ascii="黑体" w:hAnsi="黑体" w:eastAsia="黑体" w:cs="黑体"/>
          <w:b/>
          <w:spacing w:val="0"/>
          <w:sz w:val="56"/>
          <w:szCs w:val="56"/>
        </w:rPr>
        <w:t>2024年度决算情况说明</w:t>
      </w:r>
      <w:bookmarkEnd w:id="69"/>
      <w:bookmarkEnd w:id="70"/>
      <w:bookmarkEnd w:id="71"/>
      <w:bookmarkEnd w:id="72"/>
    </w:p>
    <w:p>
      <w:pPr>
        <w:pStyle w:val="28"/>
        <w:widowControl/>
        <w:spacing w:before="100" w:after="100" w:line="600" w:lineRule="atLeast"/>
        <w:ind w:left="0" w:right="0" w:firstLine="0"/>
        <w:jc w:val="center"/>
        <w:rPr>
          <w:rFonts w:ascii="Times New Roman" w:hAnsi="Times New Roman" w:eastAsia="Times New Roman" w:cs="Times New Roman"/>
          <w:kern w:val="0"/>
          <w:sz w:val="24"/>
        </w:rPr>
      </w:pPr>
    </w:p>
    <w:p>
      <w:pPr>
        <w:sectPr>
          <w:footerReference r:id="rId18"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73" w:name="_Toc256000049"/>
      <w:bookmarkStart w:id="74" w:name="_Toc256000111"/>
      <w:bookmarkStart w:id="75" w:name="_Toc256000080"/>
      <w:bookmarkStart w:id="76" w:name="_Toc256000018"/>
      <w:r>
        <w:rPr>
          <w:rFonts w:ascii="黑体" w:hAnsi="黑体" w:eastAsia="黑体" w:cs="黑体"/>
          <w:b/>
          <w:spacing w:val="0"/>
        </w:rPr>
        <w:t>一、收入支出决算总体情况说明</w:t>
      </w:r>
      <w:bookmarkEnd w:id="73"/>
      <w:bookmarkEnd w:id="74"/>
      <w:bookmarkEnd w:id="75"/>
      <w:bookmarkEnd w:id="76"/>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（一）收入支出决算总体情况说明</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2024年度本单位收入总计17690.01万元，支出总计17690.01万元，与上年决算数相比，各增加12941.98万元，各增长272.58%。主要是机构改革整合，原厦门市湖里区公园中心并入我单位。</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2024年度收入17690.01万元，比上年决算数</w:t>
      </w:r>
      <w:r>
        <w:rPr>
          <w:rFonts w:ascii="仿宋" w:hAnsi="仿宋" w:eastAsia="仿宋" w:cs="仿宋"/>
          <w:kern w:val="0"/>
          <w:sz w:val="32"/>
          <w:szCs w:val="32"/>
        </w:rPr>
        <w:t>增加</w:t>
      </w:r>
      <w:r>
        <w:rPr>
          <w:rFonts w:ascii="仿宋" w:hAnsi="仿宋" w:eastAsia="仿宋" w:cs="仿宋"/>
          <w:spacing w:val="0"/>
          <w:kern w:val="0"/>
          <w:sz w:val="32"/>
          <w:szCs w:val="32"/>
        </w:rPr>
        <w:t>12941.98万元，</w:t>
      </w:r>
      <w:r>
        <w:rPr>
          <w:rFonts w:ascii="仿宋" w:hAnsi="仿宋" w:eastAsia="仿宋" w:cs="仿宋"/>
          <w:kern w:val="0"/>
          <w:sz w:val="32"/>
          <w:szCs w:val="32"/>
        </w:rPr>
        <w:t>增长</w:t>
      </w:r>
      <w:r>
        <w:rPr>
          <w:rFonts w:ascii="仿宋" w:hAnsi="仿宋" w:eastAsia="仿宋" w:cs="仿宋"/>
          <w:spacing w:val="0"/>
          <w:kern w:val="0"/>
          <w:sz w:val="32"/>
          <w:szCs w:val="32"/>
        </w:rPr>
        <w:t>272.58%，具体情况如下：</w:t>
      </w:r>
    </w:p>
    <w:p>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1.一般公共预算财政拨款收入17677.01万元。</w:t>
      </w:r>
    </w:p>
    <w:p>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2.政府性基金预算财政拨款收入13.00万元。</w:t>
      </w:r>
    </w:p>
    <w:p>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3.国有资本经营预算财政拨款收入0万元。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4.上级补助收入0万元。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5.事业收入0万元。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6.经营收入0万元。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7.附属单位上缴收入0万元。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8.其他收入0万元。</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2024年度支出17690.01万元，比上年决算数增加12941.98万元，增长272.58%，具体情况如下：</w:t>
      </w:r>
    </w:p>
    <w:p>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1.基本支出2970.71万元。其中，人员支出2853.11万元，公用支出117.60万元。</w:t>
      </w:r>
    </w:p>
    <w:p>
      <w:pPr>
        <w:pStyle w:val="28"/>
        <w:widowControl/>
        <w:spacing w:before="240" w:after="240"/>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2.项目支出14719.30万元。</w:t>
      </w:r>
    </w:p>
    <w:p>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3.上缴上级支出0万元。</w:t>
      </w:r>
    </w:p>
    <w:p>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4.经营支出0万元。</w:t>
      </w:r>
    </w:p>
    <w:p>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5.对附属单位补助支出0万元。</w:t>
      </w:r>
    </w:p>
    <w:p>
      <w:pPr>
        <w:pStyle w:val="5"/>
        <w:keepNext w:val="0"/>
        <w:keepLines w:val="0"/>
        <w:spacing w:before="100" w:after="100" w:line="240" w:lineRule="auto"/>
        <w:ind w:left="0" w:right="0" w:firstLine="480" w:firstLineChars="0"/>
        <w:rPr>
          <w:rFonts w:ascii="Times New Roman" w:hAnsi="Times New Roman" w:eastAsia="Times New Roman" w:cs="Times New Roman"/>
          <w:b/>
          <w:bCs/>
          <w:kern w:val="0"/>
          <w:sz w:val="28"/>
          <w:szCs w:val="28"/>
        </w:rPr>
      </w:pPr>
      <w:bookmarkStart w:id="77" w:name="_Toc256000019"/>
      <w:bookmarkStart w:id="78" w:name="_Toc256000050"/>
      <w:bookmarkStart w:id="79" w:name="_Toc256000112"/>
      <w:bookmarkStart w:id="80" w:name="_Toc256000081"/>
      <w:r>
        <w:rPr>
          <w:rFonts w:ascii="黑体" w:hAnsi="黑体" w:eastAsia="黑体" w:cs="黑体"/>
          <w:b/>
          <w:spacing w:val="0"/>
        </w:rPr>
        <w:t>二、财政拨款收入支出决算总体情况说明</w:t>
      </w:r>
      <w:bookmarkEnd w:id="77"/>
      <w:bookmarkEnd w:id="78"/>
      <w:bookmarkEnd w:id="79"/>
      <w:bookmarkEnd w:id="80"/>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2024年度财政拨款收入总计17690.01万元，支出总计17690.01万元，与上年决算数相比，各增加12941.98万元，增长272.58%，主要是：机构改革整合，原厦门市湖里区公园中心并入我单位。</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1" w:name="_Toc256000113"/>
      <w:bookmarkStart w:id="82" w:name="_Toc256000082"/>
      <w:bookmarkStart w:id="83" w:name="_Toc256000020"/>
      <w:bookmarkStart w:id="84" w:name="_Toc256000051"/>
      <w:r>
        <w:rPr>
          <w:rFonts w:ascii="黑体" w:hAnsi="黑体" w:eastAsia="黑体" w:cs="黑体"/>
          <w:b/>
          <w:spacing w:val="0"/>
        </w:rPr>
        <w:t>三、一般公共预算拨款支出决算情况说明</w:t>
      </w:r>
      <w:bookmarkEnd w:id="81"/>
      <w:bookmarkEnd w:id="82"/>
      <w:bookmarkEnd w:id="83"/>
      <w:bookmarkEnd w:id="84"/>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2024年一般公共预算支出17677.01万元，比上年决算数增加13189.87万元，增长293.95%，具体情况如下(按</w:t>
      </w:r>
      <w:r>
        <w:rPr>
          <w:rStyle w:val="30"/>
          <w:rFonts w:ascii="仿宋" w:hAnsi="仿宋" w:eastAsia="仿宋" w:cs="仿宋"/>
          <w:spacing w:val="0"/>
          <w:kern w:val="0"/>
          <w:sz w:val="32"/>
          <w:szCs w:val="32"/>
        </w:rPr>
        <w:t>项级科目</w:t>
      </w:r>
      <w:r>
        <w:rPr>
          <w:rFonts w:ascii="仿宋" w:hAnsi="仿宋" w:eastAsia="仿宋" w:cs="仿宋"/>
          <w:spacing w:val="0"/>
          <w:kern w:val="0"/>
          <w:sz w:val="32"/>
          <w:szCs w:val="32"/>
        </w:rPr>
        <w:t>分类统计)：</w:t>
      </w:r>
    </w:p>
    <w:p>
      <w:pPr>
        <w:pStyle w:val="28"/>
        <w:widowControl/>
        <w:spacing w:before="100" w:after="100" w:line="600" w:lineRule="atLeast"/>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（一）2013602 一般行政管理事务 66.01万元，较上年决算数增加66.01万元，增长100%。主要原因是机构改革整合，原厦门市湖里区公园中心并入我单位。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（二）2080502 事业单位离退休 757.16万元，较上年决算数增加151.13万元，增长24.94%。主要原因是机构改革整合，原厦门市湖里区公园中心并入我单位。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（三）2080505 机关事业单位基本养老保险缴费支出 173.92万元，较上年决算数增加58.55万元，增长50.75%。主要原因是机构改革整合，原厦门市湖里区公园中心并入我单位。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（四）2080506 机关事业单位职业年金缴费支出 102.23万元，较上年决算数增加44.54万元，增长77.22%。主要原因是机构改革整合，原厦门市湖里区公园中心并入我单位。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（五）2101102 事业单位医疗 74.46万元，较上年决算数增加25.15万元，增长51.01%。主要原因是机构改革整合，原厦门市湖里区公园中心并入我单位。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（六）2101199 其他行政事业单位医疗支出 38.05万元，较上年决算数增加12.85万元，增长51.01%。主要原因是机构改革整合，原厦门市湖里区公园中心并入我单位。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（七）2120199 其他城乡社区管理事务支出 15,586.39万元，较上年决算数增加13,050.26万元，增长514.57%。主要原因是机构改革整合，原厦门市湖里区公园中心并入我单位。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（八）2120399 其他城乡社区公共设施支出 259.42万元，较上年决算数增加259.42万元，增长100%。主要原因是机构改革整合，原厦门市湖里区公园中心并入我单位。</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（九）2120501 城乡社区环境卫生 141.90万元，较上年决算数减少357.72万元，下降71.60%。主要原因是原市级下放道路绿化管养事权调整，资金来源由市专项变为区级预算资金。</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（十）2140106 公路养护 443.30万元，较上年决算数减少154.50万元，下降25.85%。主要原因是原市级下放道路绿化管养事权调整，资金来源由市专项变为区级预算资金。</w:t>
      </w:r>
      <w:r>
        <w:rPr>
          <w:rFonts w:ascii="仿宋" w:hAnsi="仿宋" w:eastAsia="仿宋" w:cs="仿宋"/>
          <w:spacing w:val="0"/>
          <w:kern w:val="0"/>
          <w:sz w:val="32"/>
          <w:szCs w:val="32"/>
        </w:rPr>
        <w:br w:type="textWrapping"/>
      </w:r>
      <w:r>
        <w:rPr>
          <w:rFonts w:ascii="仿宋" w:hAnsi="仿宋" w:eastAsia="仿宋" w:cs="仿宋"/>
          <w:spacing w:val="0"/>
          <w:kern w:val="0"/>
          <w:sz w:val="32"/>
          <w:szCs w:val="32"/>
        </w:rPr>
        <w:t>（十一）2200114 地质勘查与矿产资源管理 34.17万元，较上年决算数增加34.17万元，增长100%。主要原因是新增市专项资金，用于地质灾害隐患修复。</w:t>
      </w:r>
    </w:p>
    <w:p>
      <w:pPr>
        <w:pStyle w:val="28"/>
        <w:widowControl/>
        <w:spacing w:before="100" w:after="100" w:line="600" w:lineRule="atLeast"/>
        <w:ind w:left="0" w:right="0" w:firstLine="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注：没有一般公共预算拨款支出的单位请说明“本单位2024年度没有使用一般公共预算拨款安排的支出”。</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5" w:name="_Toc256000052"/>
      <w:bookmarkStart w:id="86" w:name="_Toc256000083"/>
      <w:bookmarkStart w:id="87" w:name="_Toc256000114"/>
      <w:bookmarkStart w:id="88" w:name="_Toc256000021"/>
      <w:r>
        <w:rPr>
          <w:rFonts w:ascii="黑体" w:hAnsi="黑体" w:eastAsia="黑体" w:cs="黑体"/>
          <w:b/>
          <w:spacing w:val="0"/>
        </w:rPr>
        <w:t>四、政府性基金预算财政拨款支出决算情况说明</w:t>
      </w:r>
      <w:bookmarkEnd w:id="85"/>
      <w:bookmarkEnd w:id="86"/>
      <w:bookmarkEnd w:id="87"/>
      <w:bookmarkEnd w:id="88"/>
    </w:p>
    <w:p>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2024年度政府性基金支出13.00万元，比上年决算数减少247.89万元，下降95.02%，具体情况如下(按项级科目统计)：</w:t>
      </w:r>
    </w:p>
    <w:p>
      <w:pPr>
        <w:pStyle w:val="28"/>
        <w:widowControl/>
        <w:spacing w:before="100" w:after="100" w:line="600" w:lineRule="atLeast"/>
        <w:ind w:left="0" w:right="0" w:firstLine="0"/>
        <w:jc w:val="left"/>
        <w:rPr>
          <w:rFonts w:ascii="Times New Roman" w:hAnsi="Times New Roman" w:eastAsia="Times New Roman" w:cs="Times New Roman"/>
          <w:kern w:val="0"/>
          <w:sz w:val="24"/>
        </w:rPr>
      </w:pPr>
      <w:r>
        <w:rPr>
          <w:rFonts w:ascii="仿宋" w:hAnsi="仿宋" w:eastAsia="仿宋" w:cs="仿宋"/>
          <w:spacing w:val="0"/>
          <w:kern w:val="0"/>
          <w:sz w:val="32"/>
          <w:szCs w:val="32"/>
        </w:rPr>
        <w:t>（一）2120803 城市建设支出 13.00万元，较上年决算数减少247.89万元，下降95.02%。主要原因是项目进入结算尾款阶段，所需拨付资金减少。</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注：没有政府性基金拨款支出的单位请说明“本单位2024年度没有使用政府性基金预算拨款安排的支出”。</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9" w:name="_Toc256000115"/>
      <w:bookmarkStart w:id="90" w:name="_Toc256000053"/>
      <w:bookmarkStart w:id="91" w:name="_Toc256000022"/>
      <w:bookmarkStart w:id="92" w:name="_Toc256000084"/>
      <w:r>
        <w:rPr>
          <w:rFonts w:ascii="黑体" w:hAnsi="黑体" w:eastAsia="黑体" w:cs="黑体"/>
          <w:b/>
          <w:spacing w:val="0"/>
        </w:rPr>
        <w:t>五、国有资本经营预算财政拨款支出决算情况说明</w:t>
      </w:r>
      <w:bookmarkEnd w:id="89"/>
      <w:bookmarkEnd w:id="90"/>
      <w:bookmarkEnd w:id="91"/>
      <w:bookmarkEnd w:id="92"/>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2024年度国有资本经营预算支出0万元，比上年决算数增加0万元，增长0%，具体情况如下(按项级科目统计)：</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注：没有国有资本经营预算财政拨款支出的单位请说明“本单位2024年度没有使用国有资本经营预算财政拨款安排的支出”。</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3" w:name="_Toc256000085"/>
      <w:bookmarkStart w:id="94" w:name="_Toc256000023"/>
      <w:bookmarkStart w:id="95" w:name="_Toc256000054"/>
      <w:bookmarkStart w:id="96" w:name="_Toc256000116"/>
      <w:r>
        <w:rPr>
          <w:rFonts w:ascii="黑体" w:hAnsi="黑体" w:eastAsia="黑体" w:cs="黑体"/>
          <w:b/>
          <w:spacing w:val="0"/>
        </w:rPr>
        <w:t>六、一般公共预算财政拨款基本支出决算情况说明</w:t>
      </w:r>
      <w:bookmarkEnd w:id="93"/>
      <w:bookmarkEnd w:id="94"/>
      <w:bookmarkEnd w:id="95"/>
      <w:bookmarkEnd w:id="96"/>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2024年度一般公共预算财政拨款基本支出2970.71万元，其中：</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一）人员经费2853.11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用经费117.60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7" w:name="_Toc256000117"/>
      <w:bookmarkStart w:id="98" w:name="_Toc256000024"/>
      <w:bookmarkStart w:id="99" w:name="_Toc256000055"/>
      <w:bookmarkStart w:id="100" w:name="_Toc256000086"/>
      <w:r>
        <w:rPr>
          <w:rFonts w:ascii="黑体" w:hAnsi="黑体" w:eastAsia="黑体" w:cs="黑体"/>
          <w:b/>
          <w:spacing w:val="0"/>
        </w:rPr>
        <w:t>七、一般公共预算拨款“三公”经费支出决算情况说明</w:t>
      </w:r>
      <w:bookmarkEnd w:id="97"/>
      <w:bookmarkEnd w:id="98"/>
      <w:bookmarkEnd w:id="99"/>
      <w:bookmarkEnd w:id="100"/>
    </w:p>
    <w:p>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2024年度一般公共预算拨款“三公”经费支出5.72万元，完成全年预算的 41.40%；较上年增加3.10万元，增长118.35%。主要原因是机构改革整合，原厦门市湖里区公园中心并入我单位。。具体情况如下：</w:t>
      </w:r>
    </w:p>
    <w:p>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（一）因公出国（境）费支出0万元，完成全年预算的 0%；较上年增加0万元，增长0%。全年安排本单位组织的出国团组0 个，参加其他单位出国团组0个；全年因公出国（境）累计0人次。主要是无</w:t>
      </w:r>
    </w:p>
    <w:p>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（二）公务用车购置及运行费支出5.72万元，完成全年预算的42.31%；较上年增加3.10万元，增长118.35%。其中：</w:t>
      </w:r>
    </w:p>
    <w:p>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公务用车购置费支出0万元，完成全年预算的0%；较上年增加0万元，增长0%。2024年公务用车购置0辆，主要是:机构改革整合，原厦门市湖里区公园中心并入我单位。</w:t>
      </w:r>
    </w:p>
    <w:p>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公务用车运行费支出5.72万元，完成全年预算的42.31%；较上年增加3.10万元，增长118.35%。主要是机构改革整合，原厦门市湖里区公园中心并入我单位。。截至2024年12月31日，本单位公务用车保有量为9 辆。</w:t>
      </w:r>
    </w:p>
    <w:p>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（三）公务接待费支出0万元，完成全年预算的 0%；较上年增加0万元，增长0%。主要是0。累计接待0批次、0人次。主要是无</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增减变动金额为0的，请标注“与全年预算（或上年决算）持平”，其中：如预决算（或上年决算）金额均为0，可说明“本年无XX费用支出”；如决算金额不为0，预算金额（或上年决算）为0，可说明增加的金额及主要原因。</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1" w:name="_Toc256000087"/>
      <w:bookmarkStart w:id="102" w:name="_Toc256000025"/>
      <w:bookmarkStart w:id="103" w:name="_Toc256000056"/>
      <w:bookmarkStart w:id="104" w:name="_Toc256000118"/>
      <w:r>
        <w:rPr>
          <w:rFonts w:ascii="黑体" w:hAnsi="黑体" w:eastAsia="黑体" w:cs="黑体"/>
          <w:b/>
          <w:spacing w:val="0"/>
        </w:rPr>
        <w:t>八、预算绩效情况说明</w:t>
      </w:r>
      <w:bookmarkEnd w:id="101"/>
      <w:bookmarkEnd w:id="102"/>
      <w:bookmarkEnd w:id="103"/>
      <w:bookmarkEnd w:id="104"/>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根据预算绩效管理要求，本单位组织对2024年度个项目实施单位自评，分别是等项目，涉及财政拨款资金共计万元。（《项目支出绩效自评表》详见附件）</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注：如该年度本单位无单位自评项目，无需公开空表，仅需简要说明情况。（24年决算公开中的绩效自评表格，以一体化绩效管理模块导出的表格为准）</w:t>
      </w:r>
    </w:p>
    <w:p>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5" w:name="_Toc256000026"/>
      <w:bookmarkStart w:id="106" w:name="_Toc256000088"/>
      <w:bookmarkStart w:id="107" w:name="_Toc256000119"/>
      <w:bookmarkStart w:id="108" w:name="_Toc256000057"/>
      <w:r>
        <w:rPr>
          <w:rFonts w:ascii="黑体" w:hAnsi="黑体" w:eastAsia="黑体" w:cs="黑体"/>
          <w:b/>
          <w:spacing w:val="0"/>
        </w:rPr>
        <w:t>九、其他重要事项说明</w:t>
      </w:r>
      <w:bookmarkEnd w:id="105"/>
      <w:bookmarkEnd w:id="106"/>
      <w:bookmarkEnd w:id="107"/>
      <w:bookmarkEnd w:id="108"/>
    </w:p>
    <w:p>
      <w:pPr>
        <w:pStyle w:val="28"/>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2024年度机关运行经费支出0万元，比上年决算数增加0万元，增长0%，主要原因是:无（具体增减原因由部门根据实际情况填列）。</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w:t>
      </w:r>
      <w:r>
        <w:rPr>
          <w:rFonts w:ascii="Calibri" w:hAnsi="Calibri" w:eastAsia="Calibri" w:cs="Calibri"/>
          <w:spacing w:val="0"/>
          <w:kern w:val="0"/>
          <w:sz w:val="32"/>
          <w:szCs w:val="32"/>
        </w:rPr>
        <w:t> </w:t>
      </w:r>
      <w:r>
        <w:rPr>
          <w:rFonts w:ascii="楷体" w:hAnsi="楷体" w:eastAsia="楷体" w:cs="楷体"/>
          <w:spacing w:val="0"/>
          <w:kern w:val="0"/>
          <w:sz w:val="32"/>
          <w:szCs w:val="32"/>
        </w:rPr>
        <w:t>没有机关运行经费的单位请说明“本单位为事业单位没有机关运行经费”。</w:t>
      </w:r>
    </w:p>
    <w:p>
      <w:pPr>
        <w:pStyle w:val="28"/>
        <w:widowControl/>
        <w:spacing w:before="100" w:after="100" w:line="600" w:lineRule="atLeast"/>
        <w:ind w:left="0" w:right="0" w:firstLine="643"/>
        <w:jc w:val="left"/>
        <w:rPr>
          <w:rFonts w:ascii="Times New Roman" w:hAnsi="Times New Roman" w:eastAsia="Times New Roman" w:cs="Times New Roman"/>
          <w:kern w:val="0"/>
          <w:sz w:val="24"/>
        </w:rPr>
      </w:pPr>
      <w:r>
        <w:rPr>
          <w:rStyle w:val="30"/>
          <w:rFonts w:ascii="楷体" w:hAnsi="楷体" w:eastAsia="楷体" w:cs="楷体"/>
          <w:b/>
          <w:bCs/>
          <w:spacing w:val="0"/>
          <w:kern w:val="0"/>
          <w:sz w:val="32"/>
          <w:szCs w:val="32"/>
        </w:rPr>
        <w:t>（二）政府采购情况</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本单位2024年度政府采购支出总额988.01万元，其中：政府采购货物支出0万元、政府采购工程支出988.01万元、政府采购服务支出0万元。授予中小企业合同金额988.01万元，占政府采购支出总额的100.00%，其中：授予小微企业合同金额320.89万元，占授予中小企业合同金额的32.48%；货物采购授予中小企业合同金额占货物支出金额的0%，工程采购授予中小企业合同金额占工程支出金额的100%，服务采购授予中小企业合同金额占服务支出金额的100%</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注：1.没有政府采购支出的单位请说明“本单位2024年度没有政府采购支出”。</w:t>
      </w:r>
    </w:p>
    <w:p>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r>
        <w:rPr>
          <w:rFonts w:ascii="楷体" w:hAnsi="楷体" w:eastAsia="楷体" w:cs="楷体"/>
          <w:spacing w:val="0"/>
          <w:kern w:val="0"/>
          <w:sz w:val="32"/>
          <w:szCs w:val="32"/>
        </w:rPr>
        <w:t>2.采购数据可从政府采购信息统计报表中提取，请各单位按照政府采购监管部门要求，在财政部地方采购信息统计管理系统中开通、设置账户信息，并按季度填报相关数据。公开的数据原则上应与政府采购信息报表上报的数据一致。（公开时此段需删除）</w:t>
      </w:r>
    </w:p>
    <w:p>
      <w:pPr>
        <w:pStyle w:val="28"/>
        <w:widowControl/>
        <w:spacing w:before="100" w:after="100" w:line="600" w:lineRule="atLeast"/>
        <w:ind w:left="0" w:right="0" w:firstLine="707"/>
        <w:jc w:val="left"/>
        <w:rPr>
          <w:rFonts w:ascii="Times New Roman" w:hAnsi="Times New Roman" w:eastAsia="Times New Roman" w:cs="Times New Roman"/>
          <w:kern w:val="0"/>
          <w:sz w:val="24"/>
        </w:rPr>
      </w:pPr>
      <w:r>
        <w:rPr>
          <w:rStyle w:val="30"/>
          <w:rFonts w:ascii="楷体" w:hAnsi="楷体" w:eastAsia="楷体" w:cs="楷体"/>
          <w:b/>
          <w:bCs/>
          <w:spacing w:val="0"/>
          <w:kern w:val="0"/>
          <w:sz w:val="32"/>
          <w:szCs w:val="32"/>
        </w:rPr>
        <w:t>（三）国有资产占用使用情况</w:t>
      </w:r>
      <w:r>
        <w:rPr>
          <w:rFonts w:ascii="宋体" w:hAnsi="宋体" w:cs="宋体"/>
          <w:spacing w:val="0"/>
          <w:kern w:val="0"/>
          <w:sz w:val="32"/>
          <w:szCs w:val="32"/>
        </w:rPr>
        <w:t> </w:t>
      </w:r>
    </w:p>
    <w:p>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截至2024年12月31日，本单位共有车辆9 辆，其中：副部（省）级以上领导用车0 辆、主要领导干部用车0 辆、机要通信用车0辆、应急保障用车0辆、执法执勤用车0辆、特种专业技术用车0辆、离退休干部用车0辆、其他用车9辆，其他用车主要是公园生产用车；单位价值100万元以上设备（不含车辆）0台（套）。</w:t>
      </w:r>
      <w:r>
        <w:rPr>
          <w:rFonts w:ascii="Calibri" w:hAnsi="Calibri" w:eastAsia="Calibri" w:cs="Calibri"/>
          <w:spacing w:val="0"/>
          <w:kern w:val="0"/>
          <w:sz w:val="32"/>
          <w:szCs w:val="32"/>
        </w:rPr>
        <w:t>  </w:t>
      </w:r>
      <w:r>
        <w:rPr>
          <w:rFonts w:ascii="宋体" w:hAnsi="宋体" w:cs="宋体"/>
          <w:spacing w:val="0"/>
          <w:kern w:val="0"/>
          <w:sz w:val="56"/>
          <w:szCs w:val="56"/>
        </w:rPr>
        <w:t xml:space="preserve"> </w:t>
      </w:r>
    </w:p>
    <w:p>
      <w:pPr>
        <w:sectPr>
          <w:footerReference r:id="rId19"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28"/>
        <w:widowControl/>
        <w:spacing w:before="100" w:after="100"/>
        <w:ind w:left="0" w:right="0" w:firstLine="0"/>
        <w:jc w:val="left"/>
        <w:rPr>
          <w:rFonts w:ascii="Times New Roman" w:hAnsi="Times New Roman" w:eastAsia="Times New Roman" w:cs="Times New Roman"/>
          <w:kern w:val="0"/>
          <w:sz w:val="24"/>
        </w:rPr>
      </w:pPr>
    </w:p>
    <w:p>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109" w:name="_Toc256000058"/>
      <w:bookmarkStart w:id="110" w:name="_Toc256000089"/>
      <w:bookmarkStart w:id="111" w:name="_Toc256000027"/>
      <w:bookmarkStart w:id="112" w:name="_Toc256000120"/>
      <w:r>
        <w:rPr>
          <w:rFonts w:ascii="黑体" w:hAnsi="黑体" w:eastAsia="黑体" w:cs="黑体"/>
          <w:b/>
          <w:spacing w:val="0"/>
          <w:sz w:val="56"/>
          <w:szCs w:val="56"/>
        </w:rPr>
        <w:t>第四部分</w:t>
      </w:r>
      <w:bookmarkEnd w:id="109"/>
      <w:bookmarkEnd w:id="110"/>
      <w:bookmarkEnd w:id="111"/>
      <w:bookmarkEnd w:id="112"/>
      <w:r>
        <w:rPr>
          <w:rFonts w:ascii="宋体" w:hAnsi="宋体" w:eastAsia="宋体" w:cs="宋体"/>
          <w:b/>
          <w:spacing w:val="0"/>
          <w:sz w:val="56"/>
          <w:szCs w:val="56"/>
        </w:rPr>
        <w:t> </w:t>
      </w:r>
    </w:p>
    <w:p>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13" w:name="_Toc256000028"/>
      <w:bookmarkStart w:id="114" w:name="_Toc256000059"/>
      <w:bookmarkStart w:id="115" w:name="_Toc256000090"/>
      <w:bookmarkStart w:id="116" w:name="_Toc256000121"/>
      <w:r>
        <w:rPr>
          <w:rFonts w:ascii="黑体" w:hAnsi="黑体" w:eastAsia="黑体" w:cs="黑体"/>
          <w:b/>
          <w:spacing w:val="0"/>
          <w:sz w:val="56"/>
          <w:szCs w:val="56"/>
        </w:rPr>
        <w:t>名词解释</w:t>
      </w:r>
      <w:bookmarkEnd w:id="113"/>
      <w:bookmarkEnd w:id="114"/>
      <w:bookmarkEnd w:id="115"/>
      <w:bookmarkEnd w:id="116"/>
    </w:p>
    <w:p>
      <w:pPr>
        <w:pStyle w:val="28"/>
        <w:widowControl/>
        <w:spacing w:before="100" w:after="100"/>
        <w:ind w:left="0" w:right="0" w:firstLine="0"/>
        <w:jc w:val="center"/>
        <w:rPr>
          <w:rFonts w:ascii="Times New Roman" w:hAnsi="Times New Roman" w:eastAsia="Times New Roman" w:cs="Times New Roman"/>
          <w:kern w:val="0"/>
          <w:sz w:val="24"/>
        </w:rPr>
      </w:pPr>
    </w:p>
    <w:p>
      <w:pPr>
        <w:sectPr>
          <w:footerReference r:id="rId20"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一、财政拨款收入：</w:t>
      </w:r>
      <w:r>
        <w:rPr>
          <w:rFonts w:ascii="仿宋" w:hAnsi="仿宋" w:eastAsia="仿宋" w:cs="仿宋"/>
          <w:spacing w:val="0"/>
          <w:kern w:val="0"/>
          <w:sz w:val="32"/>
          <w:szCs w:val="32"/>
        </w:rPr>
        <w:t>指单位从本级财政单位取得的财政预算资金，包括一般公共预算财政拨款、政府性基金预算财政拨款和国有资本经营预算财政拨款。</w:t>
      </w: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二、事业收入：</w:t>
      </w:r>
      <w:r>
        <w:rPr>
          <w:rFonts w:ascii="仿宋" w:hAnsi="仿宋" w:eastAsia="仿宋" w:cs="仿宋"/>
          <w:spacing w:val="0"/>
          <w:kern w:val="0"/>
          <w:sz w:val="32"/>
          <w:szCs w:val="32"/>
        </w:rPr>
        <w:t>指事业单位开展专业业务活动及辅助活动所取得的收入。</w:t>
      </w: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三、经营收入：</w:t>
      </w:r>
      <w:r>
        <w:rPr>
          <w:rFonts w:ascii="仿宋" w:hAnsi="仿宋" w:eastAsia="仿宋" w:cs="仿宋"/>
          <w:spacing w:val="0"/>
          <w:kern w:val="0"/>
          <w:sz w:val="32"/>
          <w:szCs w:val="32"/>
        </w:rPr>
        <w:t>指事业单位在专业业务活动及其辅助活动之外开展非独立核算经营活动取得的收入。</w:t>
      </w: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四、其他收入：</w:t>
      </w:r>
      <w:r>
        <w:rPr>
          <w:rFonts w:ascii="仿宋" w:hAnsi="仿宋" w:eastAsia="仿宋" w:cs="仿宋"/>
          <w:spacing w:val="0"/>
          <w:kern w:val="0"/>
          <w:sz w:val="32"/>
          <w:szCs w:val="32"/>
        </w:rPr>
        <w:t>指除上述“财政拨款收入”“事业收入”</w:t>
      </w:r>
      <w:r>
        <w:rPr>
          <w:rFonts w:ascii="宋体" w:hAnsi="宋体" w:cs="宋体"/>
          <w:spacing w:val="0"/>
          <w:kern w:val="0"/>
          <w:szCs w:val="21"/>
        </w:rPr>
        <w:t> </w:t>
      </w:r>
      <w:r>
        <w:rPr>
          <w:rFonts w:ascii="仿宋" w:hAnsi="仿宋" w:eastAsia="仿宋" w:cs="仿宋"/>
          <w:spacing w:val="0"/>
          <w:kern w:val="0"/>
          <w:sz w:val="32"/>
          <w:szCs w:val="32"/>
        </w:rPr>
        <w:t>“上级补助收入”“附属单位上缴收入”“经营收入”等以外取得的各项收入。主要是事业单位固定资产出租收入等。</w:t>
      </w: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五、使用非财政拨款结余：</w:t>
      </w:r>
      <w:r>
        <w:rPr>
          <w:rFonts w:ascii="仿宋" w:hAnsi="仿宋" w:eastAsia="仿宋" w:cs="仿宋"/>
          <w:spacing w:val="0"/>
          <w:kern w:val="0"/>
          <w:sz w:val="32"/>
          <w:szCs w:val="32"/>
        </w:rPr>
        <w:t>指事业单位使用以前年度积累的非财政拨款结余弥补当年收支差额的金额。</w:t>
      </w:r>
    </w:p>
    <w:p>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六、年初结转和结余：</w:t>
      </w:r>
      <w:r>
        <w:rPr>
          <w:rFonts w:ascii="仿宋" w:hAnsi="仿宋" w:eastAsia="仿宋" w:cs="仿宋"/>
          <w:spacing w:val="0"/>
          <w:kern w:val="0"/>
          <w:sz w:val="32"/>
          <w:szCs w:val="32"/>
        </w:rPr>
        <w:t>指单位以前年度尚未完成、结转到本年仍按原规定用途继续使用的资金，或项目已完成等产生的结余资金。</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七、结余分配：</w:t>
      </w:r>
      <w:r>
        <w:rPr>
          <w:rFonts w:ascii="仿宋" w:hAnsi="仿宋" w:eastAsia="仿宋" w:cs="仿宋"/>
          <w:spacing w:val="0"/>
          <w:kern w:val="0"/>
          <w:sz w:val="32"/>
          <w:szCs w:val="32"/>
        </w:rPr>
        <w:t>指事业单位按照会计制度规定缴纳的所得税、提取的专用结余以及转入非财政拨款结余的金额等。</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八、年末结转和结余：</w:t>
      </w:r>
      <w:r>
        <w:rPr>
          <w:rFonts w:ascii="仿宋" w:hAnsi="仿宋" w:eastAsia="仿宋" w:cs="仿宋"/>
          <w:spacing w:val="0"/>
          <w:kern w:val="0"/>
          <w:sz w:val="32"/>
          <w:szCs w:val="32"/>
        </w:rPr>
        <w:t>指单位按有关规定结转到下年或以后年度继续使用的资金，或项目已完成等产生的结余资金。</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九、基本支出：</w:t>
      </w:r>
      <w:r>
        <w:rPr>
          <w:rFonts w:ascii="仿宋" w:hAnsi="仿宋" w:eastAsia="仿宋" w:cs="仿宋"/>
          <w:spacing w:val="0"/>
          <w:kern w:val="0"/>
          <w:sz w:val="32"/>
          <w:szCs w:val="32"/>
        </w:rPr>
        <w:t>指为保障机构正常运转、完成日常工作任务而发生的人员支出和公用支出。</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十、项目支出：</w:t>
      </w:r>
      <w:r>
        <w:rPr>
          <w:rFonts w:ascii="仿宋" w:hAnsi="仿宋" w:eastAsia="仿宋" w:cs="仿宋"/>
          <w:spacing w:val="0"/>
          <w:kern w:val="0"/>
          <w:sz w:val="32"/>
          <w:szCs w:val="32"/>
        </w:rPr>
        <w:t>指在基本支出之外为完成特定行政任务和事业发展目标所发生的支出。</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十一、经营支出：</w:t>
      </w:r>
      <w:r>
        <w:rPr>
          <w:rFonts w:ascii="仿宋" w:hAnsi="仿宋" w:eastAsia="仿宋" w:cs="仿宋"/>
          <w:spacing w:val="0"/>
          <w:kern w:val="0"/>
          <w:sz w:val="32"/>
          <w:szCs w:val="32"/>
        </w:rPr>
        <w:t>指事业单位在专业业务活动及其辅助活动之外开展非独立核算经营活动发生的支出。</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十二、“三公”经费：</w:t>
      </w:r>
      <w:r>
        <w:rPr>
          <w:rFonts w:ascii="仿宋" w:hAnsi="仿宋" w:eastAsia="仿宋" w:cs="仿宋"/>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十三、机关运行经费：</w:t>
      </w:r>
      <w:r>
        <w:rPr>
          <w:rFonts w:ascii="仿宋" w:hAnsi="仿宋" w:eastAsia="仿宋" w:cs="仿宋"/>
          <w:spacing w:val="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widowControl/>
        <w:spacing w:before="240" w:after="240"/>
        <w:jc w:val="left"/>
        <w:rPr>
          <w:rFonts w:ascii="Times New Roman" w:hAnsi="Times New Roman" w:eastAsia="Times New Roman" w:cs="Times New Roman"/>
          <w:kern w:val="0"/>
          <w:sz w:val="24"/>
        </w:rPr>
      </w:pPr>
    </w:p>
    <w:p>
      <w:pPr>
        <w:sectPr>
          <w:footerReference r:id="rId21" w:type="default"/>
          <w:pgSz w:w="11906" w:h="16838"/>
          <w:pgMar w:top="1440" w:right="720" w:bottom="1440" w:left="720" w:header="720" w:footer="720" w:gutter="0"/>
          <w:cols w:space="720" w:num="1"/>
        </w:sectPr>
      </w:pPr>
    </w:p>
    <w:p>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pPr>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28"/>
        <w:widowControl/>
        <w:spacing w:before="240" w:after="240"/>
        <w:jc w:val="left"/>
        <w:rPr>
          <w:rFonts w:ascii="Times New Roman" w:hAnsi="Times New Roman" w:eastAsia="Times New Roman" w:cs="Times New Roman"/>
          <w:kern w:val="0"/>
          <w:sz w:val="24"/>
        </w:rPr>
      </w:pPr>
    </w:p>
    <w:p>
      <w:pPr>
        <w:pStyle w:val="3"/>
        <w:keepNext w:val="0"/>
        <w:keepLines w:val="0"/>
        <w:spacing w:before="299" w:after="299" w:line="240" w:lineRule="auto"/>
        <w:ind w:firstLine="0" w:firstLineChars="0"/>
        <w:rPr>
          <w:rFonts w:ascii="Times New Roman" w:hAnsi="Times New Roman" w:eastAsia="Times New Roman" w:cs="Times New Roman"/>
          <w:b/>
          <w:bCs/>
          <w:kern w:val="0"/>
          <w:sz w:val="36"/>
          <w:szCs w:val="36"/>
        </w:rPr>
      </w:pPr>
      <w:bookmarkStart w:id="117" w:name="_Toc256000091"/>
      <w:bookmarkStart w:id="118" w:name="_Toc256000060"/>
      <w:bookmarkStart w:id="119" w:name="_Toc256000122"/>
      <w:bookmarkStart w:id="120" w:name="_Toc256000029"/>
      <w:r>
        <w:rPr>
          <w:rFonts w:ascii="黑体" w:hAnsi="黑体" w:eastAsia="黑体" w:cs="黑体"/>
          <w:b/>
          <w:sz w:val="56"/>
          <w:szCs w:val="56"/>
        </w:rPr>
        <w:t>第五部分</w:t>
      </w:r>
      <w:bookmarkEnd w:id="117"/>
      <w:bookmarkEnd w:id="118"/>
      <w:bookmarkEnd w:id="119"/>
      <w:bookmarkEnd w:id="120"/>
      <w:r>
        <w:rPr>
          <w:rFonts w:ascii="Calibri" w:hAnsi="Calibri" w:eastAsia="Calibri" w:cs="Calibri"/>
          <w:b/>
          <w:sz w:val="56"/>
          <w:szCs w:val="56"/>
        </w:rPr>
        <w:t> </w:t>
      </w:r>
    </w:p>
    <w:p>
      <w:pPr>
        <w:pStyle w:val="3"/>
        <w:keepNext w:val="0"/>
        <w:keepLines w:val="0"/>
        <w:spacing w:before="299" w:after="299" w:line="240" w:lineRule="auto"/>
        <w:ind w:firstLine="0" w:firstLineChars="0"/>
        <w:jc w:val="center"/>
        <w:rPr>
          <w:rFonts w:ascii="黑体" w:hAnsi="黑体" w:eastAsia="黑体" w:cs="黑体"/>
          <w:b/>
          <w:sz w:val="56"/>
          <w:szCs w:val="56"/>
        </w:rPr>
      </w:pPr>
      <w:bookmarkStart w:id="121" w:name="_Toc256000030"/>
      <w:bookmarkStart w:id="122" w:name="_Toc256000092"/>
      <w:bookmarkStart w:id="123" w:name="_Toc256000061"/>
      <w:bookmarkStart w:id="124" w:name="_Toc256000123"/>
      <w:r>
        <w:rPr>
          <w:rFonts w:ascii="黑体" w:hAnsi="黑体" w:eastAsia="黑体" w:cs="黑体"/>
          <w:b/>
          <w:sz w:val="56"/>
          <w:szCs w:val="56"/>
        </w:rPr>
        <w:t>附件</w:t>
      </w:r>
      <w:bookmarkEnd w:id="121"/>
      <w:bookmarkEnd w:id="122"/>
      <w:bookmarkEnd w:id="123"/>
      <w:bookmarkEnd w:id="124"/>
    </w:p>
    <w:p>
      <w:pPr>
        <w:pStyle w:val="31"/>
        <w:widowControl/>
        <w:spacing w:before="240" w:after="240"/>
        <w:ind w:firstLine="640" w:firstLineChars="200"/>
        <w:jc w:val="left"/>
        <w:rPr>
          <w:rFonts w:ascii="黑体" w:hAnsi="黑体" w:eastAsia="黑体" w:cs="黑体"/>
          <w:kern w:val="0"/>
          <w:sz w:val="36"/>
          <w:szCs w:val="36"/>
        </w:rPr>
      </w:pPr>
      <w:r>
        <w:rPr>
          <w:rFonts w:hint="eastAsia" w:ascii="仿宋" w:hAnsi="仿宋" w:eastAsia="仿宋"/>
          <w:kern w:val="0"/>
          <w:sz w:val="32"/>
          <w:szCs w:val="32"/>
          <w:lang w:val="zh-CN"/>
        </w:rPr>
        <w:t>附件</w:t>
      </w:r>
      <w:r>
        <w:rPr>
          <w:rFonts w:ascii="仿宋" w:hAnsi="仿宋" w:eastAsia="仿宋"/>
          <w:kern w:val="0"/>
          <w:sz w:val="32"/>
          <w:szCs w:val="32"/>
          <w:lang w:val="zh-CN"/>
        </w:rPr>
        <w:t xml:space="preserve">1. </w:t>
      </w:r>
      <w:r>
        <w:rPr>
          <w:rFonts w:hint="eastAsia" w:ascii="仿宋" w:hAnsi="仿宋" w:eastAsia="仿宋"/>
          <w:kern w:val="0"/>
          <w:sz w:val="32"/>
          <w:szCs w:val="32"/>
          <w:lang w:val="zh-CN"/>
        </w:rPr>
        <w:t>厦门市湖里区园林绿化中心项目支出绩效自评表</w:t>
      </w:r>
    </w:p>
    <w:p>
      <w:pPr>
        <w:pStyle w:val="4"/>
      </w:pPr>
    </w:p>
    <w:p>
      <w:pPr>
        <w:pStyle w:val="28"/>
        <w:widowControl/>
        <w:spacing w:before="240" w:after="240"/>
        <w:jc w:val="center"/>
        <w:rPr>
          <w:rFonts w:ascii="Times New Roman" w:hAnsi="Times New Roman" w:eastAsia="Times New Roman" w:cs="Times New Roman"/>
          <w:kern w:val="0"/>
          <w:sz w:val="24"/>
        </w:rPr>
      </w:pPr>
    </w:p>
    <w:bookmarkEnd w:id="0"/>
    <w:p>
      <w:pPr>
        <w:keepNext w:val="0"/>
        <w:keepLines w:val="0"/>
        <w:pageBreakBefore w:val="0"/>
        <w:widowControl w:val="0"/>
        <w:tabs>
          <w:tab w:val="left" w:pos="8415"/>
        </w:tabs>
        <w:kinsoku/>
        <w:wordWrap/>
        <w:overflowPunct/>
        <w:topLinePunct w:val="0"/>
        <w:autoSpaceDE/>
        <w:autoSpaceDN/>
        <w:bidi w:val="0"/>
        <w:adjustRightInd/>
        <w:snapToGrid/>
        <w:textAlignment w:val="auto"/>
      </w:pPr>
    </w:p>
    <w:sectPr>
      <w:footerReference r:id="rId22" w:type="default"/>
      <w:pgSz w:w="11906" w:h="16838"/>
      <w:pgMar w:top="1984" w:right="1083" w:bottom="1984" w:left="1083" w:header="0" w:footer="720"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2000000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29</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33</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34</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35</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36</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37</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44</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45</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47</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49</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7</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8</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9</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13</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17</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21</w:t>
    </w:r>
    <w:r>
      <w:rPr>
        <w:rFonts w:ascii="宋体" w:hAnsi="宋体" w:eastAsia="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OWI3YTQzNmI2OTNjOTAyYzEzNTljYTJhMDQyN2Q0MjIifQ=="/>
  </w:docVars>
  <w:rsids>
    <w:rsidRoot w:val="00000000"/>
    <w:rsid w:val="00814601"/>
    <w:rsid w:val="68344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autoRedefine/>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7"/>
    <w:autoRedefine/>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3"/>
    <w:autoRedefine/>
    <w:qFormat/>
    <w:uiPriority w:val="0"/>
    <w:pPr>
      <w:keepNext/>
      <w:keepLines/>
      <w:spacing w:before="280" w:after="290" w:line="376" w:lineRule="auto"/>
      <w:outlineLvl w:val="3"/>
    </w:pPr>
    <w:rPr>
      <w:rFonts w:ascii="Cambria" w:hAnsi="Cambria" w:eastAsia="仿宋"/>
      <w:bCs/>
      <w:sz w:val="32"/>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 Spacing"/>
    <w:link w:val="24"/>
    <w:autoRedefine/>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autoRedefine/>
    <w:qFormat/>
    <w:uiPriority w:val="0"/>
    <w:pPr>
      <w:ind w:left="1260"/>
      <w:jc w:val="left"/>
    </w:pPr>
    <w:rPr>
      <w:sz w:val="20"/>
      <w:szCs w:val="20"/>
    </w:rPr>
  </w:style>
  <w:style w:type="paragraph" w:styleId="8">
    <w:name w:val="Document Map"/>
    <w:basedOn w:val="1"/>
    <w:autoRedefine/>
    <w:qFormat/>
    <w:uiPriority w:val="0"/>
    <w:pPr>
      <w:shd w:val="clear" w:color="auto" w:fill="000080"/>
    </w:pPr>
  </w:style>
  <w:style w:type="paragraph" w:styleId="9">
    <w:name w:val="toc 5"/>
    <w:basedOn w:val="1"/>
    <w:next w:val="1"/>
    <w:autoRedefine/>
    <w:qFormat/>
    <w:uiPriority w:val="0"/>
    <w:pPr>
      <w:ind w:left="840"/>
      <w:jc w:val="left"/>
    </w:pPr>
    <w:rPr>
      <w:sz w:val="20"/>
      <w:szCs w:val="20"/>
    </w:rPr>
  </w:style>
  <w:style w:type="paragraph" w:styleId="10">
    <w:name w:val="toc 3"/>
    <w:next w:val="5"/>
    <w:autoRedefine/>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5"/>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autoRedefine/>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next w:val="4"/>
    <w:autoRedefine/>
    <w:qFormat/>
    <w:uiPriority w:val="0"/>
    <w:pPr>
      <w:adjustRightInd w:val="0"/>
      <w:snapToGrid w:val="0"/>
      <w:spacing w:line="360" w:lineRule="auto"/>
      <w:ind w:firstLine="200" w:firstLineChars="200"/>
      <w:jc w:val="left"/>
    </w:pPr>
    <w:rPr>
      <w:rFonts w:ascii="Times New Roman" w:hAnsi="Times New Roman" w:eastAsia="仿宋" w:cs="Times New Roman"/>
      <w:iCs/>
      <w:sz w:val="32"/>
      <w:szCs w:val="20"/>
      <w:lang w:val="en-US" w:eastAsia="en-US" w:bidi="ar-SA"/>
    </w:rPr>
  </w:style>
  <w:style w:type="paragraph" w:styleId="18">
    <w:name w:val="toc 9"/>
    <w:basedOn w:val="1"/>
    <w:next w:val="1"/>
    <w:autoRedefine/>
    <w:qFormat/>
    <w:uiPriority w:val="0"/>
    <w:pPr>
      <w:ind w:left="1680"/>
      <w:jc w:val="left"/>
    </w:pPr>
    <w:rPr>
      <w:sz w:val="20"/>
      <w:szCs w:val="20"/>
    </w:rPr>
  </w:style>
  <w:style w:type="character" w:styleId="21">
    <w:name w:val="page number"/>
    <w:basedOn w:val="20"/>
    <w:autoRedefine/>
    <w:qFormat/>
    <w:uiPriority w:val="0"/>
  </w:style>
  <w:style w:type="character" w:styleId="22">
    <w:name w:val="Hyperlink"/>
    <w:autoRedefine/>
    <w:qFormat/>
    <w:uiPriority w:val="0"/>
    <w:rPr>
      <w:rFonts w:ascii="宋体" w:hAnsi="宋体" w:eastAsia="仿宋" w:cs="Times New Roman"/>
      <w:kern w:val="2"/>
      <w:sz w:val="32"/>
      <w:szCs w:val="32"/>
      <w:lang w:val="en-US" w:eastAsia="zh-CN" w:bidi="ar-SA"/>
    </w:rPr>
  </w:style>
  <w:style w:type="character" w:customStyle="1" w:styleId="23">
    <w:name w:val="标题 4 字符"/>
    <w:basedOn w:val="20"/>
    <w:link w:val="6"/>
    <w:autoRedefine/>
    <w:qFormat/>
    <w:uiPriority w:val="0"/>
    <w:rPr>
      <w:rFonts w:ascii="Cambria" w:hAnsi="Cambria" w:eastAsia="仿宋"/>
      <w:bCs/>
      <w:kern w:val="2"/>
      <w:sz w:val="32"/>
      <w:szCs w:val="28"/>
    </w:rPr>
  </w:style>
  <w:style w:type="character" w:customStyle="1" w:styleId="24">
    <w:name w:val="无间隔 字符"/>
    <w:link w:val="4"/>
    <w:autoRedefine/>
    <w:qFormat/>
    <w:locked/>
    <w:uiPriority w:val="0"/>
    <w:rPr>
      <w:rFonts w:eastAsia="仿宋_GB2312"/>
      <w:sz w:val="30"/>
      <w:szCs w:val="22"/>
      <w:lang w:bidi="ar-SA"/>
    </w:rPr>
  </w:style>
  <w:style w:type="character" w:customStyle="1" w:styleId="25">
    <w:name w:val="页脚 字符"/>
    <w:basedOn w:val="20"/>
    <w:link w:val="12"/>
    <w:autoRedefine/>
    <w:qFormat/>
    <w:uiPriority w:val="0"/>
    <w:rPr>
      <w:kern w:val="2"/>
      <w:sz w:val="18"/>
      <w:szCs w:val="18"/>
    </w:rPr>
  </w:style>
  <w:style w:type="paragraph" w:styleId="26">
    <w:name w:val="List Paragraph"/>
    <w:basedOn w:val="1"/>
    <w:autoRedefine/>
    <w:qFormat/>
    <w:uiPriority w:val="0"/>
    <w:pPr>
      <w:ind w:firstLine="420" w:firstLineChars="200"/>
    </w:pPr>
  </w:style>
  <w:style w:type="character" w:customStyle="1" w:styleId="27">
    <w:name w:val="标题 3 字符"/>
    <w:basedOn w:val="20"/>
    <w:link w:val="5"/>
    <w:autoRedefine/>
    <w:qFormat/>
    <w:uiPriority w:val="0"/>
    <w:rPr>
      <w:rFonts w:eastAsia="仿宋"/>
      <w:bCs/>
      <w:kern w:val="2"/>
      <w:sz w:val="32"/>
      <w:szCs w:val="32"/>
    </w:rPr>
  </w:style>
  <w:style w:type="paragraph" w:customStyle="1" w:styleId="28">
    <w:name w:val="MsoNormal"/>
    <w:basedOn w:val="1"/>
    <w:autoRedefine/>
    <w:qFormat/>
    <w:uiPriority w:val="0"/>
  </w:style>
  <w:style w:type="paragraph" w:customStyle="1" w:styleId="29">
    <w:name w:val="p"/>
    <w:basedOn w:val="1"/>
    <w:autoRedefine/>
    <w:qFormat/>
    <w:uiPriority w:val="0"/>
  </w:style>
  <w:style w:type="character" w:customStyle="1" w:styleId="30">
    <w:name w:val="15"/>
    <w:basedOn w:val="20"/>
    <w:autoRedefine/>
    <w:qFormat/>
    <w:uiPriority w:val="0"/>
  </w:style>
  <w:style w:type="paragraph" w:customStyle="1" w:styleId="31">
    <w:name w:val="MsoBodyText"/>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20</Words>
  <Characters>35</Characters>
  <Lines>1</Lines>
  <Paragraphs>1</Paragraphs>
  <TotalTime>4</TotalTime>
  <ScaleCrop>false</ScaleCrop>
  <LinksUpToDate>false</LinksUpToDate>
  <CharactersWithSpaces>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WPS_1669802624</cp:lastModifiedBy>
  <cp:lastPrinted>2021-04-16T00:45:00Z</cp:lastPrinted>
  <dcterms:modified xsi:type="dcterms:W3CDTF">2025-07-29T01:54:45Z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51EA75710E61423394694D1476351CDD_13</vt:lpwstr>
  </property>
  <property fmtid="{D5CDD505-2E9C-101B-9397-08002B2CF9AE}" pid="3" name="KSOProductBuildVer">
    <vt:lpwstr>2052-12.1.0.16388</vt:lpwstr>
  </property>
  <property fmtid="{D5CDD505-2E9C-101B-9397-08002B2CF9AE}" pid="4" name="KSOTemplateDocerSaveRecord">
    <vt:lpwstr>eyJoZGlkIjoiMGU0NWVkNDhlOTkyOTEzYmI4NjBkNjJlZWJjYTAyZDQiLCJ1c2VySWQiOiI0MjEyNzUxNjYifQ==</vt:lpwstr>
  </property>
</Properties>
</file>