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湖里区住房和建设局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u w:val="none"/>
          <w:lang w:eastAsia="zh-CN"/>
        </w:rPr>
      </w:pPr>
      <w:r>
        <w:rPr>
          <w:rFonts w:hint="eastAsia" w:ascii="方正小标宋简体" w:hAnsi="方正小标宋简体" w:eastAsia="方正小标宋简体" w:cs="方正小标宋简体"/>
          <w:sz w:val="44"/>
          <w:szCs w:val="44"/>
          <w:highlight w:val="none"/>
          <w:u w:val="none"/>
        </w:rPr>
        <w:t>202</w:t>
      </w:r>
      <w:r>
        <w:rPr>
          <w:rFonts w:hint="eastAsia" w:ascii="方正小标宋简体" w:hAnsi="方正小标宋简体" w:eastAsia="方正小标宋简体" w:cs="方正小标宋简体"/>
          <w:sz w:val="44"/>
          <w:szCs w:val="44"/>
          <w:highlight w:val="none"/>
          <w:u w:val="none"/>
          <w:lang w:val="en-US" w:eastAsia="zh-CN"/>
        </w:rPr>
        <w:t>4</w:t>
      </w:r>
      <w:r>
        <w:rPr>
          <w:rFonts w:hint="eastAsia" w:ascii="方正小标宋简体" w:hAnsi="方正小标宋简体" w:eastAsia="方正小标宋简体" w:cs="方正小标宋简体"/>
          <w:sz w:val="44"/>
          <w:szCs w:val="44"/>
          <w:highlight w:val="none"/>
          <w:u w:val="none"/>
        </w:rPr>
        <w:t>年</w:t>
      </w:r>
      <w:r>
        <w:rPr>
          <w:rFonts w:hint="eastAsia" w:ascii="方正小标宋简体" w:hAnsi="方正小标宋简体" w:eastAsia="方正小标宋简体" w:cs="方正小标宋简体"/>
          <w:sz w:val="44"/>
          <w:szCs w:val="44"/>
          <w:highlight w:val="none"/>
          <w:u w:val="none"/>
          <w:lang w:eastAsia="zh-CN"/>
        </w:rPr>
        <w:t>法治政府建设</w:t>
      </w:r>
      <w:r>
        <w:rPr>
          <w:rFonts w:hint="eastAsia" w:ascii="方正小标宋简体" w:hAnsi="方正小标宋简体" w:eastAsia="方正小标宋简体" w:cs="方正小标宋简体"/>
          <w:sz w:val="44"/>
          <w:szCs w:val="44"/>
          <w:highlight w:val="none"/>
          <w:u w:val="none"/>
        </w:rPr>
        <w:t>工作</w:t>
      </w:r>
      <w:r>
        <w:rPr>
          <w:rFonts w:hint="eastAsia" w:ascii="方正小标宋简体" w:hAnsi="方正小标宋简体" w:eastAsia="方正小标宋简体" w:cs="方正小标宋简体"/>
          <w:sz w:val="44"/>
          <w:szCs w:val="44"/>
          <w:highlight w:val="none"/>
          <w:u w:val="none"/>
          <w:lang w:eastAsia="zh-CN"/>
        </w:rPr>
        <w:t>报告</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2024年，在区委区政府的坚强领导下，在区委依法治区办的悉心指导下，湖里区住房和建设局紧紧围绕习近平法治思想，严格依照《法治政府建设与责任落实督查工作规定》，扎实推进各项工作，现将相关工作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eastAsia="zh-CN"/>
        </w:rPr>
        <w:t>一、</w:t>
      </w:r>
      <w:r>
        <w:rPr>
          <w:rFonts w:hint="eastAsia" w:ascii="黑体" w:hAnsi="黑体" w:eastAsia="黑体" w:cs="黑体"/>
          <w:b w:val="0"/>
          <w:bCs w:val="0"/>
          <w:sz w:val="32"/>
          <w:szCs w:val="32"/>
          <w:highlight w:val="none"/>
          <w:lang w:val="en-US" w:eastAsia="zh-CN"/>
        </w:rPr>
        <w:t>2024年</w:t>
      </w:r>
      <w:r>
        <w:rPr>
          <w:rFonts w:hint="eastAsia" w:ascii="黑体" w:hAnsi="黑体" w:eastAsia="黑体" w:cs="黑体"/>
          <w:b w:val="0"/>
          <w:bCs w:val="0"/>
          <w:sz w:val="32"/>
          <w:szCs w:val="32"/>
          <w:highlight w:val="none"/>
          <w:lang w:eastAsia="zh-CN"/>
        </w:rPr>
        <w:t>法治政府建设</w:t>
      </w:r>
      <w:r>
        <w:rPr>
          <w:rFonts w:hint="eastAsia" w:ascii="黑体" w:hAnsi="黑体" w:eastAsia="黑体" w:cs="黑体"/>
          <w:b w:val="0"/>
          <w:bCs w:val="0"/>
          <w:sz w:val="32"/>
          <w:szCs w:val="32"/>
          <w:highlight w:val="none"/>
        </w:rPr>
        <w:t>主要举措</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坚持政治引领，牢牢把握法治政府建设正确方向</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将习近平总书记全面依法治国新理念新思想新战略作为重要内容，</w:t>
      </w:r>
      <w:r>
        <w:rPr>
          <w:rFonts w:hint="eastAsia" w:ascii="仿宋_GB2312" w:hAnsi="仿宋_GB2312" w:eastAsia="仿宋_GB2312" w:cs="仿宋_GB2312"/>
          <w:sz w:val="32"/>
          <w:szCs w:val="32"/>
          <w:highlight w:val="none"/>
          <w:lang w:eastAsia="zh-CN"/>
        </w:rPr>
        <w:t>纳入</w:t>
      </w:r>
      <w:r>
        <w:rPr>
          <w:rFonts w:hint="eastAsia" w:ascii="仿宋_GB2312" w:hAnsi="仿宋_GB2312" w:eastAsia="仿宋_GB2312" w:cs="仿宋_GB2312"/>
          <w:b w:val="0"/>
          <w:bCs/>
          <w:color w:val="auto"/>
          <w:sz w:val="32"/>
          <w:szCs w:val="32"/>
          <w:highlight w:val="none"/>
          <w:lang w:eastAsia="zh-CN"/>
        </w:rPr>
        <w:t>局党组中心组理论学习范围，全面贯彻习近平总书记关于法治政府建设的系列重要指示批示精神，切实把习近平法治思想落实到住建领域法治政府建设的全过程和各方面。通过学习法治政府建设基本理论，不断强化法治思维，更好地运用法治思维和法治方式推动工作、解决问题，推动法治政府建设工作向纵深开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聚焦中心工作，以高水平法治护航高质量发展</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color w:val="auto"/>
          <w:sz w:val="32"/>
          <w:szCs w:val="32"/>
          <w:highlight w:val="none"/>
          <w:lang w:eastAsia="zh-CN"/>
        </w:rPr>
        <w:t>将法治政府建设摆在全局工作重要位置，局党组书记亲自研究、亲自部署，分管领导具体负责、协调督促，带领全局干部落实法治政府建设工作职责，为全面贯彻落实法治政府建设提供保障、创造条件。安排专员</w:t>
      </w:r>
      <w:r>
        <w:rPr>
          <w:rFonts w:hint="eastAsia" w:ascii="仿宋_GB2312" w:hAnsi="仿宋_GB2312" w:eastAsia="仿宋_GB2312" w:cs="仿宋_GB2312"/>
          <w:i w:val="0"/>
          <w:iCs w:val="0"/>
          <w:caps w:val="0"/>
          <w:color w:val="1F2329"/>
          <w:spacing w:val="0"/>
          <w:kern w:val="0"/>
          <w:sz w:val="32"/>
          <w:szCs w:val="32"/>
          <w:highlight w:val="none"/>
          <w:shd w:val="clear" w:fill="FFFFFF"/>
          <w:lang w:val="en-US" w:eastAsia="zh-CN" w:bidi="ar"/>
        </w:rPr>
        <w:t>积极主动参与司法行政机关组</w:t>
      </w:r>
      <w:r>
        <w:rPr>
          <w:rFonts w:hint="eastAsia" w:ascii="仿宋_GB2312" w:hAnsi="仿宋_GB2312" w:eastAsia="仿宋_GB2312" w:cs="仿宋_GB2312"/>
          <w:i w:val="0"/>
          <w:iCs w:val="0"/>
          <w:caps w:val="0"/>
          <w:color w:val="1F2329"/>
          <w:spacing w:val="0"/>
          <w:kern w:val="0"/>
          <w:sz w:val="32"/>
          <w:szCs w:val="32"/>
          <w:shd w:val="clear" w:fill="FFFFFF"/>
          <w:lang w:val="en-US" w:eastAsia="zh-CN" w:bidi="ar"/>
        </w:rPr>
        <w:t>织的各类培训交流活动，加强与司法行政机关及其他相关部门的联系沟通，主动寻求更多的专业指导与支持，形成更加紧密的工作合力。</w:t>
      </w:r>
      <w:r>
        <w:rPr>
          <w:rFonts w:hint="eastAsia" w:ascii="仿宋_GB2312" w:hAnsi="仿宋_GB2312" w:eastAsia="仿宋_GB2312" w:cs="仿宋_GB2312"/>
          <w:b w:val="0"/>
          <w:bCs/>
          <w:color w:val="auto"/>
          <w:sz w:val="32"/>
          <w:szCs w:val="32"/>
          <w:highlight w:val="none"/>
          <w:lang w:eastAsia="zh-CN"/>
        </w:rPr>
        <w:t>适时掌握新情况、把握新动向、调整新政策，做到住建系统法治政府建设工作任务的落实落细。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提升执法质效，促进严格规范公正文明执法</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严格按照</w:t>
      </w:r>
      <w:r>
        <w:rPr>
          <w:rFonts w:hint="eastAsia" w:ascii="仿宋_GB2312" w:hAnsi="仿宋_GB2312" w:eastAsia="仿宋_GB2312" w:cs="仿宋_GB2312"/>
          <w:sz w:val="32"/>
          <w:szCs w:val="32"/>
          <w:highlight w:val="none"/>
          <w:lang w:eastAsia="zh-CN"/>
        </w:rPr>
        <w:t>《中华人民共和国行政许可法》</w:t>
      </w:r>
      <w:r>
        <w:rPr>
          <w:rFonts w:hint="eastAsia" w:ascii="仿宋_GB2312" w:hAnsi="仿宋_GB2312" w:eastAsia="仿宋_GB2312" w:cs="仿宋_GB2312"/>
          <w:sz w:val="32"/>
          <w:szCs w:val="32"/>
          <w:highlight w:val="none"/>
        </w:rPr>
        <w:t>等规定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规范行政审批工作，强化行政权力透明公开，向社会公开标准化办事指南（包括办理依据、条件、流程、材料、时限等），严格按照公开内容履行审批职责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抓好抓细行政执法过程中的各个环节，积极主动学习新的法律法规，确保行政执法各环节均合法有效。不定期开展执法经验交流，提高承办科室和工作人</w:t>
      </w:r>
      <w:bookmarkStart w:id="0" w:name="_GoBack"/>
      <w:bookmarkEnd w:id="0"/>
      <w:r>
        <w:rPr>
          <w:rFonts w:hint="eastAsia" w:ascii="仿宋_GB2312" w:hAnsi="仿宋_GB2312" w:eastAsia="仿宋_GB2312" w:cs="仿宋_GB2312"/>
          <w:sz w:val="32"/>
          <w:szCs w:val="32"/>
          <w:highlight w:val="none"/>
        </w:rPr>
        <w:t>员的业务水平，通过常抓行政执法案卷评查工作和业务交流工作，促进</w:t>
      </w:r>
      <w:r>
        <w:rPr>
          <w:rFonts w:hint="eastAsia" w:ascii="仿宋_GB2312" w:hAnsi="仿宋_GB2312" w:eastAsia="仿宋_GB2312" w:cs="仿宋_GB2312"/>
          <w:sz w:val="32"/>
          <w:szCs w:val="32"/>
          <w:highlight w:val="none"/>
          <w:lang w:eastAsia="zh-CN"/>
        </w:rPr>
        <w:t>我</w:t>
      </w:r>
      <w:r>
        <w:rPr>
          <w:rFonts w:hint="eastAsia" w:ascii="仿宋_GB2312" w:hAnsi="仿宋_GB2312" w:eastAsia="仿宋_GB2312" w:cs="仿宋_GB2312"/>
          <w:sz w:val="32"/>
          <w:szCs w:val="32"/>
          <w:highlight w:val="none"/>
        </w:rPr>
        <w:t>局依法行政水平再提高。</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2"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弘扬法治精神，构建法治社会共建共享新格局</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我局通过积极</w:t>
      </w:r>
      <w:r>
        <w:rPr>
          <w:rFonts w:hint="eastAsia" w:ascii="仿宋_GB2312" w:hAnsi="仿宋_GB2312" w:eastAsia="仿宋_GB2312" w:cs="仿宋_GB2312"/>
          <w:bCs/>
          <w:color w:val="auto"/>
          <w:sz w:val="32"/>
          <w:szCs w:val="32"/>
          <w:highlight w:val="none"/>
        </w:rPr>
        <w:t>开展</w:t>
      </w:r>
      <w:r>
        <w:rPr>
          <w:rFonts w:hint="eastAsia" w:ascii="仿宋_GB2312" w:hAnsi="仿宋_GB2312" w:eastAsia="仿宋_GB2312" w:cs="仿宋_GB2312"/>
          <w:bCs/>
          <w:color w:val="auto"/>
          <w:sz w:val="32"/>
          <w:szCs w:val="32"/>
          <w:highlight w:val="none"/>
          <w:lang w:val="en-US" w:eastAsia="zh-CN"/>
        </w:rPr>
        <w:t>宣传</w:t>
      </w:r>
      <w:r>
        <w:rPr>
          <w:rFonts w:hint="eastAsia" w:ascii="仿宋_GB2312" w:hAnsi="仿宋_GB2312" w:eastAsia="仿宋_GB2312" w:cs="仿宋_GB2312"/>
          <w:bCs/>
          <w:color w:val="auto"/>
          <w:sz w:val="32"/>
          <w:szCs w:val="32"/>
          <w:highlight w:val="none"/>
        </w:rPr>
        <w:t>教育</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搭建</w:t>
      </w:r>
      <w:r>
        <w:rPr>
          <w:rFonts w:hint="eastAsia" w:ascii="仿宋_GB2312" w:hAnsi="仿宋_GB2312" w:eastAsia="仿宋_GB2312" w:cs="仿宋_GB2312"/>
          <w:b w:val="0"/>
          <w:bCs/>
          <w:color w:val="auto"/>
          <w:sz w:val="32"/>
          <w:szCs w:val="32"/>
          <w:highlight w:val="none"/>
          <w:lang w:eastAsia="zh-CN"/>
        </w:rPr>
        <w:t>服务</w:t>
      </w:r>
      <w:r>
        <w:rPr>
          <w:rFonts w:hint="eastAsia" w:ascii="仿宋_GB2312" w:hAnsi="仿宋_GB2312" w:eastAsia="仿宋_GB2312" w:cs="仿宋_GB2312"/>
          <w:b w:val="0"/>
          <w:bCs/>
          <w:color w:val="auto"/>
          <w:sz w:val="32"/>
          <w:szCs w:val="32"/>
          <w:highlight w:val="none"/>
        </w:rPr>
        <w:t>平台。</w:t>
      </w:r>
      <w:r>
        <w:rPr>
          <w:rFonts w:hint="eastAsia" w:ascii="仿宋_GB2312" w:hAnsi="仿宋_GB2312" w:eastAsia="仿宋_GB2312" w:cs="仿宋_GB2312"/>
          <w:bCs/>
          <w:strike w:val="0"/>
          <w:dstrike w:val="0"/>
          <w:color w:val="auto"/>
          <w:sz w:val="32"/>
          <w:szCs w:val="32"/>
          <w:highlight w:val="none"/>
          <w:lang w:val="en-US" w:eastAsia="zh-CN"/>
        </w:rPr>
        <w:t>依托</w:t>
      </w:r>
      <w:r>
        <w:rPr>
          <w:rFonts w:hint="eastAsia" w:ascii="仿宋_GB2312" w:hAnsi="仿宋_GB2312" w:eastAsia="仿宋_GB2312" w:cs="仿宋_GB2312"/>
          <w:bCs/>
          <w:strike w:val="0"/>
          <w:dstrike w:val="0"/>
          <w:color w:val="auto"/>
          <w:sz w:val="32"/>
          <w:szCs w:val="32"/>
          <w:highlight w:val="none"/>
        </w:rPr>
        <w:t>区建设行业协会，“八大员”培训平台，畅通从业人员岗前培训渠道。</w:t>
      </w:r>
      <w:r>
        <w:rPr>
          <w:rFonts w:hint="eastAsia" w:ascii="仿宋_GB2312" w:hAnsi="仿宋_GB2312" w:eastAsia="仿宋_GB2312" w:cs="仿宋_GB2312"/>
          <w:b w:val="0"/>
          <w:bCs/>
          <w:color w:val="auto"/>
          <w:sz w:val="32"/>
          <w:szCs w:val="32"/>
          <w:highlight w:val="none"/>
          <w:lang w:eastAsia="zh-CN"/>
        </w:rPr>
        <w:t>推进法治宣传教育。</w:t>
      </w:r>
      <w:r>
        <w:rPr>
          <w:rFonts w:hint="eastAsia" w:ascii="仿宋_GB2312" w:hAnsi="仿宋_GB2312" w:eastAsia="仿宋_GB2312" w:cs="仿宋_GB2312"/>
          <w:bCs/>
          <w:color w:val="auto"/>
          <w:sz w:val="32"/>
          <w:szCs w:val="32"/>
          <w:highlight w:val="none"/>
          <w:lang w:eastAsia="zh-CN"/>
        </w:rPr>
        <w:t>在</w:t>
      </w:r>
      <w:r>
        <w:rPr>
          <w:rFonts w:hint="eastAsia" w:ascii="仿宋_GB2312" w:hAnsi="仿宋_GB2312" w:eastAsia="仿宋_GB2312" w:cs="仿宋_GB2312"/>
          <w:b w:val="0"/>
          <w:bCs/>
          <w:color w:val="auto"/>
          <w:sz w:val="32"/>
          <w:szCs w:val="32"/>
          <w:highlight w:val="none"/>
          <w:lang w:eastAsia="zh-CN"/>
        </w:rPr>
        <w:t>全区建设系统深入推进法治宣传教育，</w:t>
      </w:r>
      <w:r>
        <w:rPr>
          <w:rFonts w:hint="eastAsia" w:ascii="仿宋_GB2312" w:hAnsi="仿宋_GB2312" w:eastAsia="仿宋_GB2312" w:cs="仿宋_GB2312"/>
          <w:b w:val="0"/>
          <w:bCs/>
          <w:strike w:val="0"/>
          <w:dstrike w:val="0"/>
          <w:color w:val="auto"/>
          <w:sz w:val="32"/>
          <w:szCs w:val="32"/>
          <w:highlight w:val="none"/>
          <w:lang w:eastAsia="zh-CN"/>
        </w:rPr>
        <w:t>结合“</w:t>
      </w:r>
      <w:r>
        <w:rPr>
          <w:rFonts w:hint="eastAsia" w:ascii="仿宋_GB2312" w:hAnsi="仿宋_GB2312" w:eastAsia="仿宋_GB2312" w:cs="仿宋_GB2312"/>
          <w:bCs/>
          <w:strike w:val="0"/>
          <w:dstrike w:val="0"/>
          <w:color w:val="auto"/>
          <w:sz w:val="32"/>
          <w:szCs w:val="32"/>
          <w:highlight w:val="none"/>
        </w:rPr>
        <w:t>安全生产月</w:t>
      </w:r>
      <w:r>
        <w:rPr>
          <w:rFonts w:hint="eastAsia" w:ascii="仿宋_GB2312" w:hAnsi="仿宋_GB2312" w:eastAsia="仿宋_GB2312" w:cs="仿宋_GB2312"/>
          <w:b w:val="0"/>
          <w:bCs/>
          <w:strike w:val="0"/>
          <w:dstrike w:val="0"/>
          <w:color w:val="auto"/>
          <w:sz w:val="32"/>
          <w:szCs w:val="32"/>
          <w:highlight w:val="none"/>
          <w:lang w:eastAsia="zh-CN"/>
        </w:rPr>
        <w:t>”等活动开展普法宣传，积极动员建设行业人员、在建工地项目部组织开展知识竞赛，</w:t>
      </w:r>
      <w:r>
        <w:rPr>
          <w:rFonts w:hint="eastAsia" w:ascii="仿宋_GB2312" w:hAnsi="仿宋_GB2312" w:eastAsia="仿宋_GB2312" w:cs="仿宋_GB2312"/>
          <w:b w:val="0"/>
          <w:bCs/>
          <w:color w:val="auto"/>
          <w:sz w:val="32"/>
          <w:szCs w:val="32"/>
          <w:highlight w:val="none"/>
          <w:lang w:eastAsia="zh-CN"/>
        </w:rPr>
        <w:t>融入习近平法治思想，</w:t>
      </w:r>
      <w:r>
        <w:rPr>
          <w:rFonts w:hint="eastAsia" w:ascii="仿宋_GB2312" w:hAnsi="仿宋_GB2312" w:eastAsia="仿宋_GB2312" w:cs="仿宋_GB2312"/>
          <w:b w:val="0"/>
          <w:bCs w:val="0"/>
          <w:color w:val="auto"/>
          <w:spacing w:val="0"/>
          <w:sz w:val="32"/>
          <w:szCs w:val="32"/>
          <w:highlight w:val="none"/>
          <w:u w:val="none"/>
          <w:lang w:val="en-US" w:eastAsia="zh-CN"/>
        </w:rPr>
        <w:t>以赛促学，</w:t>
      </w:r>
      <w:r>
        <w:rPr>
          <w:rFonts w:hint="eastAsia" w:ascii="仿宋_GB2312" w:hAnsi="仿宋_GB2312" w:eastAsia="仿宋_GB2312" w:cs="仿宋_GB2312"/>
          <w:b w:val="0"/>
          <w:bCs/>
          <w:color w:val="auto"/>
          <w:sz w:val="32"/>
          <w:szCs w:val="32"/>
          <w:highlight w:val="none"/>
          <w:lang w:eastAsia="zh-CN"/>
        </w:rPr>
        <w:t>引导企业树立合法合规意识，弘扬法治精神，</w:t>
      </w:r>
      <w:r>
        <w:rPr>
          <w:rFonts w:hint="eastAsia" w:ascii="仿宋_GB2312" w:hAnsi="仿宋_GB2312" w:eastAsia="仿宋_GB2312" w:cs="仿宋_GB2312"/>
          <w:b w:val="0"/>
          <w:bCs w:val="0"/>
          <w:sz w:val="32"/>
          <w:szCs w:val="32"/>
          <w:highlight w:val="none"/>
          <w:lang w:val="en-US" w:eastAsia="zh-CN"/>
        </w:rPr>
        <w:t>构建法治社会共建共享新格局。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法治工作亮点特色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yellow"/>
          <w:lang w:eastAsia="zh-CN"/>
        </w:rPr>
      </w:pPr>
      <w:r>
        <w:rPr>
          <w:rFonts w:hint="eastAsia" w:ascii="仿宋_GB2312" w:hAnsi="仿宋_GB2312" w:eastAsia="仿宋_GB2312" w:cs="仿宋_GB2312"/>
          <w:sz w:val="32"/>
          <w:szCs w:val="32"/>
          <w:highlight w:val="none"/>
        </w:rPr>
        <w:t>在春节、国庆等重要时间节点，做好信访维稳工作，通过领导包案，积极协调重点、难点信访问题。及时分类处理信访系统、12345平台投诉件，依法依规处理</w:t>
      </w:r>
      <w:r>
        <w:rPr>
          <w:rFonts w:hint="eastAsia" w:ascii="仿宋_GB2312" w:hAnsi="仿宋_GB2312" w:eastAsia="仿宋_GB2312" w:cs="仿宋_GB2312"/>
          <w:sz w:val="32"/>
          <w:szCs w:val="32"/>
          <w:highlight w:val="none"/>
          <w:lang w:eastAsia="zh-CN"/>
        </w:rPr>
        <w:t>群众诉求。</w:t>
      </w:r>
      <w:r>
        <w:rPr>
          <w:rFonts w:hint="eastAsia" w:ascii="仿宋_GB2312" w:hAnsi="仿宋_GB2312" w:eastAsia="仿宋_GB2312" w:cs="仿宋_GB2312"/>
          <w:sz w:val="32"/>
          <w:szCs w:val="32"/>
          <w:highlight w:val="none"/>
          <w:lang w:val="en-US" w:eastAsia="zh-CN"/>
        </w:rPr>
        <w:t>自2024年1月1日至2024年12月31日，办理</w:t>
      </w:r>
      <w:r>
        <w:rPr>
          <w:rFonts w:hint="eastAsia" w:ascii="仿宋_GB2312" w:hAnsi="仿宋_GB2312" w:eastAsia="仿宋_GB2312" w:cs="仿宋_GB2312"/>
          <w:sz w:val="32"/>
          <w:szCs w:val="32"/>
          <w:highlight w:val="none"/>
        </w:rPr>
        <w:t>信访件</w:t>
      </w:r>
      <w:r>
        <w:rPr>
          <w:rFonts w:hint="eastAsia" w:ascii="仿宋_GB2312" w:hAnsi="仿宋_GB2312" w:eastAsia="仿宋_GB2312" w:cs="仿宋_GB2312"/>
          <w:sz w:val="32"/>
          <w:szCs w:val="32"/>
          <w:highlight w:val="none"/>
          <w:lang w:val="en-US" w:eastAsia="zh-CN"/>
        </w:rPr>
        <w:t>98</w:t>
      </w:r>
      <w:r>
        <w:rPr>
          <w:rFonts w:hint="eastAsia" w:ascii="仿宋_GB2312" w:hAnsi="仿宋_GB2312" w:eastAsia="仿宋_GB2312" w:cs="仿宋_GB2312"/>
          <w:sz w:val="32"/>
          <w:szCs w:val="32"/>
          <w:highlight w:val="none"/>
        </w:rPr>
        <w:t>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12345平台投诉件</w:t>
      </w:r>
      <w:r>
        <w:rPr>
          <w:rFonts w:hint="eastAsia" w:ascii="仿宋_GB2312" w:hAnsi="仿宋_GB2312" w:eastAsia="仿宋_GB2312" w:cs="仿宋_GB2312"/>
          <w:sz w:val="32"/>
          <w:szCs w:val="32"/>
          <w:highlight w:val="none"/>
          <w:lang w:val="en-US" w:eastAsia="zh-CN"/>
        </w:rPr>
        <w:t>4626条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均能</w:t>
      </w:r>
      <w:r>
        <w:rPr>
          <w:rFonts w:hint="eastAsia" w:ascii="仿宋_GB2312" w:hAnsi="仿宋_GB2312" w:eastAsia="仿宋_GB2312" w:cs="仿宋_GB2312"/>
          <w:sz w:val="32"/>
          <w:szCs w:val="32"/>
          <w:highlight w:val="none"/>
          <w:lang w:eastAsia="zh-CN"/>
        </w:rPr>
        <w:t>做到</w:t>
      </w:r>
      <w:r>
        <w:rPr>
          <w:rFonts w:hint="eastAsia" w:ascii="仿宋_GB2312" w:hAnsi="仿宋_GB2312" w:eastAsia="仿宋_GB2312" w:cs="仿宋_GB2312"/>
          <w:sz w:val="32"/>
          <w:szCs w:val="32"/>
          <w:highlight w:val="none"/>
        </w:rPr>
        <w:t>及时受理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及时答复信访人，</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按期办结</w:t>
      </w:r>
      <w:r>
        <w:rPr>
          <w:rFonts w:hint="eastAsia" w:ascii="仿宋_GB2312" w:hAnsi="仿宋_GB2312" w:eastAsia="仿宋_GB2312" w:cs="仿宋_GB2312"/>
          <w:sz w:val="32"/>
          <w:szCs w:val="32"/>
          <w:highlight w:val="none"/>
          <w:lang w:eastAsia="zh-CN"/>
        </w:rPr>
        <w:t>信访件</w:t>
      </w:r>
      <w:r>
        <w:rPr>
          <w:rFonts w:hint="eastAsia" w:ascii="仿宋_GB2312" w:hAnsi="仿宋_GB2312" w:eastAsia="仿宋_GB2312" w:cs="仿宋_GB2312"/>
          <w:sz w:val="32"/>
          <w:szCs w:val="32"/>
          <w:highlight w:val="none"/>
        </w:rPr>
        <w:t>。同时，</w:t>
      </w:r>
      <w:r>
        <w:rPr>
          <w:rFonts w:hint="eastAsia" w:ascii="仿宋_GB2312" w:hAnsi="仿宋_GB2312" w:eastAsia="仿宋_GB2312" w:cs="仿宋_GB2312"/>
          <w:sz w:val="32"/>
          <w:szCs w:val="32"/>
          <w:highlight w:val="none"/>
          <w:lang w:eastAsia="zh-CN"/>
        </w:rPr>
        <w:t>区住房和建设局通过</w:t>
      </w:r>
      <w:r>
        <w:rPr>
          <w:rFonts w:hint="eastAsia" w:ascii="仿宋_GB2312" w:hAnsi="仿宋_GB2312" w:eastAsia="仿宋_GB2312" w:cs="仿宋_GB2312"/>
          <w:sz w:val="32"/>
          <w:szCs w:val="32"/>
          <w:highlight w:val="none"/>
        </w:rPr>
        <w:t>优化工作流程、提高工作效率，缩短案件办结时限，以满足社会大众对高效服务的需求。</w:t>
      </w:r>
      <w:r>
        <w:rPr>
          <w:rFonts w:hint="eastAsia" w:ascii="仿宋_GB2312" w:hAnsi="仿宋_GB2312" w:eastAsia="仿宋_GB2312" w:cs="仿宋_GB2312"/>
          <w:b w:val="0"/>
          <w:bCs/>
          <w:color w:val="auto"/>
          <w:sz w:val="32"/>
          <w:szCs w:val="32"/>
          <w:highlight w:val="none"/>
          <w:lang w:eastAsia="zh-CN"/>
        </w:rPr>
        <w:t>及时清理“过时”行政规范性文件。落实规范性文件合法性审查制度，2024年度完成行政规范性文件清理工作，清理“过期”文件4件。</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区住房和建设局</w:t>
      </w:r>
      <w:r>
        <w:rPr>
          <w:rFonts w:hint="eastAsia" w:ascii="仿宋_GB2312" w:hAnsi="仿宋_GB2312" w:eastAsia="仿宋_GB2312" w:cs="仿宋_GB2312"/>
          <w:sz w:val="32"/>
          <w:szCs w:val="32"/>
          <w:highlight w:val="none"/>
        </w:rPr>
        <w:t>坚持做好建设系统执法人员信息维护工作，对执法证件进行年审，组织</w:t>
      </w:r>
      <w:r>
        <w:rPr>
          <w:rFonts w:hint="eastAsia" w:ascii="仿宋_GB2312" w:hAnsi="仿宋_GB2312" w:eastAsia="仿宋_GB2312" w:cs="仿宋_GB2312"/>
          <w:sz w:val="32"/>
          <w:szCs w:val="32"/>
          <w:highlight w:val="none"/>
          <w:lang w:val="en-US" w:eastAsia="zh-CN"/>
        </w:rPr>
        <w:t>1名</w:t>
      </w:r>
      <w:r>
        <w:rPr>
          <w:rFonts w:hint="eastAsia" w:ascii="仿宋_GB2312" w:hAnsi="仿宋_GB2312" w:eastAsia="仿宋_GB2312" w:cs="仿宋_GB2312"/>
          <w:sz w:val="32"/>
          <w:szCs w:val="32"/>
          <w:highlight w:val="none"/>
        </w:rPr>
        <w:t>执法人员报名参加执法资格培训</w:t>
      </w:r>
      <w:r>
        <w:rPr>
          <w:rFonts w:hint="eastAsia" w:ascii="仿宋_GB2312" w:hAnsi="仿宋_GB2312" w:eastAsia="仿宋_GB2312" w:cs="仿宋_GB2312"/>
          <w:sz w:val="32"/>
          <w:szCs w:val="32"/>
          <w:highlight w:val="none"/>
          <w:lang w:eastAsia="zh-CN"/>
        </w:rPr>
        <w:t>，并通过</w:t>
      </w:r>
      <w:r>
        <w:rPr>
          <w:rFonts w:hint="eastAsia" w:ascii="仿宋_GB2312" w:hAnsi="仿宋_GB2312" w:eastAsia="仿宋_GB2312" w:cs="仿宋_GB2312"/>
          <w:sz w:val="32"/>
          <w:szCs w:val="32"/>
          <w:highlight w:val="none"/>
        </w:rPr>
        <w:t>考试。202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年共做出行政处罚</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宗，</w:t>
      </w:r>
      <w:r>
        <w:rPr>
          <w:rFonts w:hint="eastAsia" w:ascii="仿宋_GB2312" w:hAnsi="仿宋_GB2312" w:eastAsia="仿宋_GB2312" w:cs="仿宋_GB2312"/>
          <w:sz w:val="32"/>
          <w:szCs w:val="32"/>
          <w:highlight w:val="none"/>
          <w:lang w:eastAsia="zh-CN"/>
        </w:rPr>
        <w:t>按要求开展</w:t>
      </w:r>
      <w:r>
        <w:rPr>
          <w:rFonts w:hint="eastAsia" w:ascii="仿宋_GB2312" w:hAnsi="仿宋_GB2312" w:eastAsia="仿宋_GB2312" w:cs="仿宋_GB2312"/>
          <w:sz w:val="32"/>
          <w:szCs w:val="32"/>
          <w:highlight w:val="none"/>
        </w:rPr>
        <w:t>行政执法，</w:t>
      </w:r>
      <w:r>
        <w:rPr>
          <w:rFonts w:hint="eastAsia" w:ascii="仿宋_GB2312" w:hAnsi="仿宋_GB2312" w:eastAsia="仿宋_GB2312" w:cs="仿宋_GB2312"/>
          <w:sz w:val="32"/>
          <w:szCs w:val="32"/>
          <w:highlight w:val="none"/>
          <w:lang w:eastAsia="zh-CN"/>
        </w:rPr>
        <w:t>从</w:t>
      </w:r>
      <w:r>
        <w:rPr>
          <w:rFonts w:hint="eastAsia" w:ascii="仿宋_GB2312" w:hAnsi="仿宋_GB2312" w:eastAsia="仿宋_GB2312" w:cs="仿宋_GB2312"/>
          <w:sz w:val="32"/>
          <w:szCs w:val="32"/>
          <w:highlight w:val="none"/>
        </w:rPr>
        <w:t>立案审批、调查取证、处罚告知、处罚决定、送达，都有专门科室执行，并报局领导审批。行政执法案卷都能做到主体合法，认定事实清楚，证据确凿，使用法律正确，程序合法、案卷制作规范。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法治政府建设工作成效</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强化组织领导，精心部署工作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sz w:val="32"/>
          <w:szCs w:val="32"/>
          <w:highlight w:val="none"/>
          <w:lang w:eastAsia="zh-CN"/>
        </w:rPr>
        <w:t>区住房和建设局</w:t>
      </w:r>
      <w:r>
        <w:rPr>
          <w:rFonts w:hint="eastAsia" w:ascii="仿宋_GB2312" w:hAnsi="仿宋_GB2312" w:eastAsia="仿宋_GB2312" w:cs="仿宋_GB2312"/>
          <w:sz w:val="32"/>
          <w:szCs w:val="32"/>
          <w:highlight w:val="none"/>
        </w:rPr>
        <w:t>领导班子高度重视</w:t>
      </w:r>
      <w:r>
        <w:rPr>
          <w:rFonts w:hint="eastAsia" w:ascii="仿宋_GB2312" w:hAnsi="仿宋_GB2312" w:eastAsia="仿宋_GB2312" w:cs="仿宋_GB2312"/>
          <w:sz w:val="32"/>
          <w:szCs w:val="32"/>
          <w:highlight w:val="none"/>
          <w:lang w:eastAsia="zh-CN"/>
        </w:rPr>
        <w:t>法治政府建设</w:t>
      </w:r>
      <w:r>
        <w:rPr>
          <w:rFonts w:hint="eastAsia" w:ascii="仿宋_GB2312" w:hAnsi="仿宋_GB2312" w:eastAsia="仿宋_GB2312" w:cs="仿宋_GB2312"/>
          <w:sz w:val="32"/>
          <w:szCs w:val="32"/>
          <w:highlight w:val="none"/>
        </w:rPr>
        <w:t>工作，</w:t>
      </w:r>
      <w:r>
        <w:rPr>
          <w:rFonts w:hint="default" w:ascii="Times New Roman" w:hAnsi="Times New Roman" w:eastAsia="仿宋_GB2312" w:cs="Times New Roman"/>
          <w:bCs/>
          <w:color w:val="auto"/>
          <w:sz w:val="32"/>
          <w:szCs w:val="32"/>
          <w:highlight w:val="none"/>
        </w:rPr>
        <w:t>根据上级部署，</w:t>
      </w:r>
      <w:r>
        <w:rPr>
          <w:rFonts w:hint="eastAsia" w:ascii="仿宋_GB2312" w:hAnsi="仿宋_GB2312" w:eastAsia="仿宋_GB2312" w:cs="仿宋_GB2312"/>
          <w:sz w:val="32"/>
          <w:szCs w:val="32"/>
          <w:highlight w:val="none"/>
          <w:lang w:val="en-US" w:eastAsia="zh-CN"/>
        </w:rPr>
        <w:t>2024年</w:t>
      </w:r>
      <w:r>
        <w:rPr>
          <w:rFonts w:hint="default" w:ascii="Times New Roman" w:hAnsi="Times New Roman" w:eastAsia="仿宋_GB2312" w:cs="Times New Roman"/>
          <w:bCs/>
          <w:color w:val="auto"/>
          <w:sz w:val="32"/>
          <w:szCs w:val="32"/>
          <w:highlight w:val="none"/>
        </w:rPr>
        <w:t>牵头相关部门，深入开展工程领域招投标不规范影响营商环境突出问题专项整治工作，围绕今年发现和查处</w:t>
      </w:r>
      <w:r>
        <w:rPr>
          <w:rFonts w:hint="eastAsia" w:ascii="Times New Roman" w:hAnsi="Times New Roman" w:eastAsia="仿宋_GB2312" w:cs="Times New Roman"/>
          <w:bCs/>
          <w:color w:val="auto"/>
          <w:sz w:val="32"/>
          <w:szCs w:val="32"/>
          <w:highlight w:val="none"/>
          <w:lang w:eastAsia="zh-CN"/>
        </w:rPr>
        <w:t>党</w:t>
      </w:r>
      <w:r>
        <w:rPr>
          <w:rFonts w:hint="default" w:ascii="Times New Roman" w:hAnsi="Times New Roman" w:eastAsia="仿宋_GB2312" w:cs="Times New Roman"/>
          <w:bCs/>
          <w:color w:val="auto"/>
          <w:sz w:val="32"/>
          <w:szCs w:val="32"/>
          <w:highlight w:val="none"/>
        </w:rPr>
        <w:t>的二十大以来工程建设领域各类问题线索，从工程立项、工程发包、联标卖标、标后监管等四大方面重点整治问题入手，解决一批突出问题、通报一批典型案例、完善一批制度规则，构建公平公正、规范高效、阳光透明的招标投标市场环境。开展整治工作以来</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共发现处理重点整治的四大类型</w:t>
      </w:r>
      <w:r>
        <w:rPr>
          <w:rFonts w:hint="eastAsia" w:ascii="仿宋_GB2312" w:hAnsi="仿宋_GB2312" w:eastAsia="仿宋_GB2312" w:cs="仿宋_GB2312"/>
          <w:bCs/>
          <w:color w:val="auto"/>
          <w:sz w:val="32"/>
          <w:szCs w:val="32"/>
          <w:highlight w:val="none"/>
        </w:rPr>
        <w:t>问题38个</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sz w:val="32"/>
          <w:szCs w:val="32"/>
          <w:highlight w:val="none"/>
        </w:rPr>
        <w:t>将</w:t>
      </w:r>
      <w:r>
        <w:rPr>
          <w:rFonts w:hint="eastAsia" w:ascii="仿宋_GB2312" w:hAnsi="仿宋_GB2312" w:eastAsia="仿宋_GB2312" w:cs="仿宋_GB2312"/>
          <w:sz w:val="32"/>
          <w:szCs w:val="32"/>
          <w:highlight w:val="none"/>
          <w:lang w:eastAsia="zh-CN"/>
        </w:rPr>
        <w:t>法治政府建设</w:t>
      </w:r>
      <w:r>
        <w:rPr>
          <w:rFonts w:hint="eastAsia" w:ascii="仿宋_GB2312" w:hAnsi="仿宋_GB2312" w:eastAsia="仿宋_GB2312" w:cs="仿宋_GB2312"/>
          <w:sz w:val="32"/>
          <w:szCs w:val="32"/>
          <w:highlight w:val="none"/>
        </w:rPr>
        <w:t>工作落到实处。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优化法治环境，推动法治创新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2024年，</w:t>
      </w:r>
      <w:r>
        <w:rPr>
          <w:rFonts w:hint="eastAsia" w:ascii="仿宋_GB2312" w:hAnsi="仿宋_GB2312" w:eastAsia="仿宋_GB2312" w:cs="仿宋_GB2312"/>
          <w:sz w:val="32"/>
          <w:szCs w:val="32"/>
          <w:highlight w:val="none"/>
          <w:lang w:eastAsia="zh-CN"/>
        </w:rPr>
        <w:t>区住房和建设局</w:t>
      </w:r>
      <w:r>
        <w:rPr>
          <w:rFonts w:hint="eastAsia" w:ascii="仿宋_GB2312" w:hAnsi="仿宋_GB2312" w:eastAsia="仿宋_GB2312" w:cs="仿宋_GB2312"/>
          <w:sz w:val="32"/>
          <w:szCs w:val="32"/>
          <w:highlight w:val="none"/>
        </w:rPr>
        <w:t>根据《湖里区促进建筑业发展实施办法》</w:t>
      </w:r>
      <w:r>
        <w:rPr>
          <w:rFonts w:hint="eastAsia" w:ascii="仿宋_GB2312" w:hAnsi="仿宋_GB2312" w:eastAsia="仿宋_GB2312" w:cs="仿宋_GB2312"/>
          <w:sz w:val="32"/>
          <w:szCs w:val="32"/>
          <w:highlight w:val="none"/>
          <w:lang w:eastAsia="zh-CN"/>
        </w:rPr>
        <w:t>等文件要求，</w:t>
      </w:r>
      <w:r>
        <w:rPr>
          <w:rFonts w:hint="eastAsia" w:ascii="仿宋_GB2312" w:hAnsi="仿宋_GB2312" w:eastAsia="仿宋_GB2312" w:cs="仿宋_GB2312"/>
          <w:sz w:val="32"/>
          <w:szCs w:val="32"/>
          <w:highlight w:val="none"/>
        </w:rPr>
        <w:t>推进政策兑现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设置新引进企业、产值增长、创优工程、资质升级、</w:t>
      </w:r>
      <w:r>
        <w:rPr>
          <w:rFonts w:hint="eastAsia" w:ascii="仿宋_GB2312" w:hAnsi="仿宋_GB2312" w:eastAsia="仿宋_GB2312" w:cs="仿宋_GB2312"/>
          <w:sz w:val="32"/>
          <w:szCs w:val="32"/>
          <w:highlight w:val="none"/>
        </w:rPr>
        <w:t>季度产值增长</w:t>
      </w:r>
      <w:r>
        <w:rPr>
          <w:rFonts w:hint="eastAsia" w:ascii="仿宋_GB2312" w:hAnsi="仿宋_GB2312" w:eastAsia="仿宋_GB2312" w:cs="仿宋_GB2312"/>
          <w:sz w:val="32"/>
          <w:szCs w:val="32"/>
          <w:highlight w:val="none"/>
          <w:lang w:val="en-US" w:eastAsia="zh-CN"/>
        </w:rPr>
        <w:t>等奖励</w:t>
      </w:r>
      <w:r>
        <w:rPr>
          <w:rFonts w:hint="eastAsia" w:ascii="仿宋_GB2312" w:hAnsi="仿宋_GB2312" w:eastAsia="仿宋_GB2312" w:cs="仿宋_GB2312"/>
          <w:sz w:val="32"/>
          <w:szCs w:val="32"/>
          <w:highlight w:val="none"/>
        </w:rPr>
        <w:t>政策，促进企业健康发展</w:t>
      </w:r>
      <w:r>
        <w:rPr>
          <w:rFonts w:hint="eastAsia" w:ascii="仿宋_GB2312" w:hAnsi="仿宋_GB2312" w:eastAsia="仿宋_GB2312" w:cs="仿宋_GB2312"/>
          <w:sz w:val="32"/>
          <w:szCs w:val="32"/>
          <w:highlight w:val="none"/>
          <w:lang w:eastAsia="zh-CN"/>
        </w:rPr>
        <w:t>，优化法治环境。通过</w:t>
      </w:r>
      <w:r>
        <w:rPr>
          <w:rFonts w:hint="eastAsia" w:ascii="仿宋_GB2312" w:hAnsi="仿宋_GB2312" w:eastAsia="仿宋_GB2312" w:cs="仿宋_GB2312"/>
          <w:b w:val="0"/>
          <w:bCs/>
          <w:sz w:val="32"/>
          <w:szCs w:val="32"/>
          <w:highlight w:val="none"/>
          <w:lang w:eastAsia="zh-CN"/>
        </w:rPr>
        <w:t>主动靠前服务，加强统筹调度，强化部门联动，做好项目审批、现场技术指导、验收等各环节的联合服务保障工作，及时研究解决项目遇到</w:t>
      </w:r>
      <w:r>
        <w:rPr>
          <w:rFonts w:hint="eastAsia" w:ascii="仿宋_GB2312" w:hAnsi="仿宋_GB2312" w:eastAsia="仿宋_GB2312" w:cs="仿宋_GB2312"/>
          <w:b w:val="0"/>
          <w:bCs/>
          <w:color w:val="auto"/>
          <w:sz w:val="32"/>
          <w:szCs w:val="32"/>
          <w:highlight w:val="none"/>
          <w:lang w:eastAsia="zh-CN"/>
        </w:rPr>
        <w:t>问题，</w:t>
      </w:r>
      <w:r>
        <w:rPr>
          <w:rFonts w:hint="eastAsia" w:ascii="仿宋_GB2312" w:hAnsi="仿宋_GB2312" w:eastAsia="仿宋_GB2312" w:cs="仿宋_GB2312"/>
          <w:kern w:val="2"/>
          <w:sz w:val="32"/>
          <w:szCs w:val="32"/>
          <w:highlight w:val="none"/>
          <w:lang w:val="en-US" w:eastAsia="zh-CN" w:bidi="ar-SA"/>
        </w:rPr>
        <w:t>提高政务服务效能</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sz w:val="32"/>
          <w:szCs w:val="32"/>
          <w:highlight w:val="none"/>
          <w:lang w:eastAsia="zh-CN"/>
        </w:rPr>
        <w:t>区住房和建设局</w:t>
      </w:r>
      <w:r>
        <w:rPr>
          <w:rFonts w:hint="eastAsia" w:ascii="仿宋_GB2312" w:hAnsi="仿宋_GB2312" w:eastAsia="仿宋_GB2312" w:cs="仿宋_GB2312"/>
          <w:bCs/>
          <w:color w:val="auto"/>
          <w:sz w:val="32"/>
          <w:szCs w:val="32"/>
          <w:highlight w:val="none"/>
        </w:rPr>
        <w:t>推动万佳国际酒店项目基坑支护工程、象屿配送中心转型改造等53个项目办理施工许可，推动2020P07地块、联想大厦（拆除重建）、坂美民俗文化园</w:t>
      </w:r>
      <w:r>
        <w:rPr>
          <w:rFonts w:hint="eastAsia" w:ascii="仿宋_GB2312" w:hAnsi="仿宋_GB2312" w:eastAsia="仿宋_GB2312" w:cs="仿宋_GB2312"/>
          <w:color w:val="auto"/>
          <w:sz w:val="32"/>
          <w:szCs w:val="32"/>
          <w:highlight w:val="none"/>
        </w:rPr>
        <w:t>等20个项</w:t>
      </w:r>
      <w:r>
        <w:rPr>
          <w:rFonts w:hint="eastAsia" w:ascii="仿宋_GB2312" w:hAnsi="仿宋_GB2312" w:eastAsia="仿宋_GB2312" w:cs="仿宋_GB2312"/>
          <w:bCs/>
          <w:color w:val="auto"/>
          <w:sz w:val="32"/>
          <w:szCs w:val="32"/>
          <w:highlight w:val="none"/>
        </w:rPr>
        <w:t>目完成竣工备案。</w:t>
      </w:r>
      <w:r>
        <w:rPr>
          <w:rFonts w:hint="eastAsia" w:ascii="仿宋_GB2312" w:hAnsi="仿宋_GB2312" w:eastAsia="仿宋_GB2312" w:cs="仿宋_GB2312"/>
          <w:kern w:val="2"/>
          <w:sz w:val="32"/>
          <w:szCs w:val="32"/>
          <w:highlight w:val="none"/>
          <w:lang w:val="en-US" w:eastAsia="zh-CN" w:bidi="ar-SA"/>
        </w:rPr>
        <w:t>以法治思维和法治方式推动建设领域破解发展难题。</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强化法治宣传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bidi="ar-SA"/>
        </w:rPr>
        <w:t>加强法治文化建设。</w:t>
      </w:r>
      <w:r>
        <w:rPr>
          <w:rFonts w:hint="eastAsia" w:ascii="仿宋_GB2312" w:hAnsi="仿宋_GB2312" w:eastAsia="仿宋_GB2312" w:cs="仿宋_GB2312"/>
          <w:sz w:val="32"/>
          <w:szCs w:val="32"/>
          <w:highlight w:val="none"/>
        </w:rPr>
        <w:t>积极动员各在建工地项目部充分运用新媒体平台、项目现场展示等多种渠道，广泛宣传</w:t>
      </w:r>
      <w:r>
        <w:rPr>
          <w:rFonts w:hint="eastAsia" w:ascii="仿宋_GB2312" w:hAnsi="仿宋_GB2312" w:eastAsia="仿宋_GB2312" w:cs="仿宋_GB2312"/>
          <w:sz w:val="32"/>
          <w:szCs w:val="32"/>
          <w:highlight w:val="none"/>
          <w:lang w:eastAsia="zh-CN"/>
        </w:rPr>
        <w:t>安全生产主题及法治意识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val="0"/>
          <w:strike w:val="0"/>
          <w:dstrike w:val="0"/>
          <w:color w:val="auto"/>
          <w:sz w:val="32"/>
          <w:szCs w:val="32"/>
          <w:highlight w:val="none"/>
        </w:rPr>
        <w:t>2</w:t>
      </w:r>
      <w:r>
        <w:rPr>
          <w:rFonts w:hint="eastAsia" w:ascii="仿宋_GB2312" w:hAnsi="仿宋_GB2312" w:eastAsia="仿宋_GB2312" w:cs="仿宋_GB2312"/>
          <w:bCs/>
          <w:strike w:val="0"/>
          <w:dstrike w:val="0"/>
          <w:color w:val="auto"/>
          <w:sz w:val="32"/>
          <w:szCs w:val="32"/>
          <w:highlight w:val="none"/>
        </w:rPr>
        <w:t>02</w:t>
      </w:r>
      <w:r>
        <w:rPr>
          <w:rFonts w:hint="eastAsia" w:ascii="仿宋_GB2312" w:hAnsi="仿宋_GB2312" w:eastAsia="仿宋_GB2312" w:cs="仿宋_GB2312"/>
          <w:bCs/>
          <w:strike w:val="0"/>
          <w:dstrike w:val="0"/>
          <w:color w:val="auto"/>
          <w:sz w:val="32"/>
          <w:szCs w:val="32"/>
          <w:highlight w:val="none"/>
          <w:lang w:val="en-US" w:eastAsia="zh-CN"/>
        </w:rPr>
        <w:t>4</w:t>
      </w:r>
      <w:r>
        <w:rPr>
          <w:rFonts w:hint="eastAsia" w:ascii="仿宋_GB2312" w:hAnsi="仿宋_GB2312" w:eastAsia="仿宋_GB2312" w:cs="仿宋_GB2312"/>
          <w:bCs/>
          <w:strike w:val="0"/>
          <w:dstrike w:val="0"/>
          <w:color w:val="auto"/>
          <w:sz w:val="32"/>
          <w:szCs w:val="32"/>
          <w:highlight w:val="none"/>
        </w:rPr>
        <w:t>年</w:t>
      </w:r>
      <w:r>
        <w:rPr>
          <w:rFonts w:hint="eastAsia" w:ascii="仿宋_GB2312" w:hAnsi="仿宋_GB2312" w:eastAsia="仿宋_GB2312" w:cs="仿宋_GB2312"/>
          <w:bCs/>
          <w:strike w:val="0"/>
          <w:dstrike w:val="0"/>
          <w:color w:val="auto"/>
          <w:sz w:val="32"/>
          <w:szCs w:val="32"/>
          <w:highlight w:val="none"/>
          <w:lang w:eastAsia="zh-CN"/>
        </w:rPr>
        <w:t>，</w:t>
      </w:r>
      <w:r>
        <w:rPr>
          <w:rFonts w:hint="eastAsia" w:ascii="仿宋_GB2312" w:hAnsi="仿宋_GB2312" w:eastAsia="仿宋_GB2312" w:cs="仿宋_GB2312"/>
          <w:sz w:val="32"/>
          <w:szCs w:val="32"/>
          <w:highlight w:val="none"/>
          <w:lang w:eastAsia="zh-CN"/>
        </w:rPr>
        <w:t>区住房和建设局</w:t>
      </w:r>
      <w:r>
        <w:rPr>
          <w:rFonts w:hint="eastAsia" w:ascii="仿宋_GB2312" w:hAnsi="仿宋_GB2312" w:eastAsia="仿宋_GB2312" w:cs="仿宋_GB2312"/>
          <w:bCs/>
          <w:strike w:val="0"/>
          <w:dstrike w:val="0"/>
          <w:color w:val="auto"/>
          <w:sz w:val="32"/>
          <w:szCs w:val="32"/>
          <w:highlight w:val="none"/>
        </w:rPr>
        <w:t>结合“安全生产月”</w:t>
      </w:r>
      <w:r>
        <w:rPr>
          <w:rFonts w:hint="eastAsia" w:ascii="仿宋_GB2312" w:hAnsi="仿宋_GB2312" w:eastAsia="仿宋_GB2312" w:cs="仿宋_GB2312"/>
          <w:bCs/>
          <w:color w:val="auto"/>
          <w:sz w:val="32"/>
          <w:szCs w:val="32"/>
          <w:highlight w:val="none"/>
        </w:rPr>
        <w:t>和“质量月”</w:t>
      </w:r>
      <w:r>
        <w:rPr>
          <w:rFonts w:hint="eastAsia" w:ascii="仿宋_GB2312" w:hAnsi="仿宋_GB2312" w:eastAsia="仿宋_GB2312" w:cs="仿宋_GB2312"/>
          <w:bCs/>
          <w:color w:val="auto"/>
          <w:sz w:val="32"/>
          <w:szCs w:val="32"/>
          <w:highlight w:val="none"/>
          <w:lang w:val="en-US" w:eastAsia="zh-CN"/>
        </w:rPr>
        <w:t>宣传</w:t>
      </w:r>
      <w:r>
        <w:rPr>
          <w:rFonts w:hint="eastAsia" w:ascii="仿宋_GB2312" w:hAnsi="仿宋_GB2312" w:eastAsia="仿宋_GB2312" w:cs="仿宋_GB2312"/>
          <w:bCs/>
          <w:color w:val="auto"/>
          <w:sz w:val="32"/>
          <w:szCs w:val="32"/>
          <w:highlight w:val="none"/>
        </w:rPr>
        <w:t>活动，举办</w:t>
      </w:r>
      <w:r>
        <w:rPr>
          <w:rFonts w:hint="eastAsia" w:ascii="仿宋_GB2312" w:hAnsi="仿宋_GB2312" w:eastAsia="仿宋_GB2312" w:cs="仿宋_GB2312"/>
          <w:bCs/>
          <w:color w:val="auto"/>
          <w:sz w:val="32"/>
          <w:szCs w:val="32"/>
          <w:highlight w:val="none"/>
          <w:lang w:val="en-US" w:eastAsia="zh-CN"/>
        </w:rPr>
        <w:t>6</w:t>
      </w:r>
      <w:r>
        <w:rPr>
          <w:rFonts w:hint="eastAsia" w:ascii="仿宋_GB2312" w:hAnsi="仿宋_GB2312" w:eastAsia="仿宋_GB2312" w:cs="仿宋_GB2312"/>
          <w:bCs/>
          <w:color w:val="auto"/>
          <w:sz w:val="32"/>
          <w:szCs w:val="32"/>
          <w:highlight w:val="none"/>
        </w:rPr>
        <w:t>场知识讲座、</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场知识（技能）竞赛</w:t>
      </w:r>
      <w:r>
        <w:rPr>
          <w:rFonts w:hint="eastAsia" w:ascii="仿宋_GB2312" w:hAnsi="仿宋_GB2312" w:eastAsia="仿宋_GB2312" w:cs="仿宋_GB2312"/>
          <w:bCs/>
          <w:color w:val="auto"/>
          <w:sz w:val="32"/>
          <w:szCs w:val="32"/>
          <w:highlight w:val="none"/>
          <w:lang w:val="en-US" w:eastAsia="zh-CN"/>
        </w:rPr>
        <w:t>和1</w:t>
      </w:r>
      <w:r>
        <w:rPr>
          <w:rFonts w:hint="eastAsia" w:ascii="仿宋_GB2312" w:hAnsi="仿宋_GB2312" w:eastAsia="仿宋_GB2312" w:cs="仿宋_GB2312"/>
          <w:bCs/>
          <w:color w:val="auto"/>
          <w:sz w:val="32"/>
          <w:szCs w:val="32"/>
          <w:highlight w:val="none"/>
        </w:rPr>
        <w:t>场观摩活动，引导</w:t>
      </w:r>
      <w:r>
        <w:rPr>
          <w:rFonts w:hint="eastAsia" w:ascii="仿宋_GB2312" w:hAnsi="仿宋_GB2312" w:eastAsia="仿宋_GB2312" w:cs="仿宋_GB2312"/>
          <w:bCs/>
          <w:color w:val="auto"/>
          <w:sz w:val="32"/>
          <w:szCs w:val="32"/>
          <w:highlight w:val="none"/>
          <w:lang w:val="en-US" w:eastAsia="zh-CN"/>
        </w:rPr>
        <w:t>相关从业人员</w:t>
      </w:r>
      <w:r>
        <w:rPr>
          <w:rFonts w:hint="eastAsia" w:ascii="仿宋_GB2312" w:hAnsi="仿宋_GB2312" w:eastAsia="仿宋_GB2312" w:cs="仿宋_GB2312"/>
          <w:bCs/>
          <w:color w:val="auto"/>
          <w:sz w:val="32"/>
          <w:szCs w:val="32"/>
          <w:highlight w:val="none"/>
        </w:rPr>
        <w:t>立足岗位学技术，提高员工</w:t>
      </w:r>
      <w:r>
        <w:rPr>
          <w:rFonts w:hint="eastAsia" w:ascii="仿宋_GB2312" w:hAnsi="仿宋_GB2312" w:eastAsia="仿宋_GB2312" w:cs="仿宋_GB2312"/>
          <w:bCs/>
          <w:color w:val="auto"/>
          <w:sz w:val="32"/>
          <w:szCs w:val="32"/>
          <w:highlight w:val="none"/>
          <w:lang w:eastAsia="zh-CN"/>
        </w:rPr>
        <w:t>思想</w:t>
      </w:r>
      <w:r>
        <w:rPr>
          <w:rFonts w:hint="eastAsia" w:ascii="仿宋_GB2312" w:hAnsi="仿宋_GB2312" w:eastAsia="仿宋_GB2312" w:cs="仿宋_GB2312"/>
          <w:bCs/>
          <w:color w:val="auto"/>
          <w:sz w:val="32"/>
          <w:szCs w:val="32"/>
          <w:highlight w:val="none"/>
        </w:rPr>
        <w:t>素质，促进</w:t>
      </w:r>
      <w:r>
        <w:rPr>
          <w:rFonts w:hint="eastAsia" w:ascii="仿宋_GB2312" w:hAnsi="仿宋_GB2312" w:eastAsia="仿宋_GB2312" w:cs="仿宋_GB2312"/>
          <w:bCs/>
          <w:color w:val="auto"/>
          <w:sz w:val="32"/>
          <w:szCs w:val="32"/>
          <w:highlight w:val="none"/>
          <w:lang w:eastAsia="zh-CN"/>
        </w:rPr>
        <w:t>法治观念普及及</w:t>
      </w:r>
      <w:r>
        <w:rPr>
          <w:rFonts w:hint="eastAsia" w:ascii="仿宋_GB2312" w:hAnsi="仿宋_GB2312" w:eastAsia="仿宋_GB2312" w:cs="仿宋_GB2312"/>
          <w:bCs/>
          <w:color w:val="auto"/>
          <w:sz w:val="32"/>
          <w:szCs w:val="32"/>
          <w:highlight w:val="none"/>
        </w:rPr>
        <w:t>工程质量稳步提升</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提高各企业从业人员知识和技能水平，共惠及辖区2</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00余人次建设从业人员。</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四、</w:t>
      </w:r>
      <w:r>
        <w:rPr>
          <w:rFonts w:hint="eastAsia" w:ascii="黑体" w:hAnsi="黑体" w:eastAsia="黑体" w:cs="黑体"/>
          <w:b w:val="0"/>
          <w:bCs w:val="0"/>
          <w:sz w:val="32"/>
          <w:szCs w:val="32"/>
          <w:highlight w:val="none"/>
        </w:rPr>
        <w:t>存在问题</w:t>
      </w:r>
      <w:r>
        <w:rPr>
          <w:rFonts w:hint="eastAsia" w:ascii="黑体" w:hAnsi="黑体" w:eastAsia="黑体" w:cs="黑体"/>
          <w:b w:val="0"/>
          <w:bCs w:val="0"/>
          <w:sz w:val="32"/>
          <w:szCs w:val="32"/>
          <w:highlight w:val="none"/>
          <w:lang w:eastAsia="zh-CN"/>
        </w:rPr>
        <w:t>和相关建议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区住房和建设局</w:t>
      </w:r>
      <w:r>
        <w:rPr>
          <w:rFonts w:hint="eastAsia" w:ascii="仿宋_GB2312" w:hAnsi="仿宋_GB2312" w:eastAsia="仿宋_GB2312" w:cs="仿宋_GB2312"/>
          <w:sz w:val="32"/>
          <w:szCs w:val="32"/>
          <w:highlight w:val="none"/>
        </w:rPr>
        <w:t>在推进</w:t>
      </w:r>
      <w:r>
        <w:rPr>
          <w:rFonts w:hint="eastAsia" w:ascii="仿宋_GB2312" w:hAnsi="仿宋_GB2312" w:eastAsia="仿宋_GB2312" w:cs="仿宋_GB2312"/>
          <w:sz w:val="32"/>
          <w:szCs w:val="32"/>
          <w:highlight w:val="none"/>
          <w:lang w:eastAsia="zh-CN"/>
        </w:rPr>
        <w:t>法治政府建设</w:t>
      </w:r>
      <w:r>
        <w:rPr>
          <w:rFonts w:hint="eastAsia" w:ascii="仿宋_GB2312" w:hAnsi="仿宋_GB2312" w:eastAsia="仿宋_GB2312" w:cs="仿宋_GB2312"/>
          <w:sz w:val="32"/>
          <w:szCs w:val="32"/>
          <w:highlight w:val="none"/>
        </w:rPr>
        <w:t>工作中取得了一定的成绩，但仍然存在一些问题和不足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sz w:val="32"/>
          <w:szCs w:val="32"/>
          <w:highlight w:val="none"/>
          <w:lang w:eastAsia="zh-CN"/>
        </w:rPr>
        <w:t>部分执法人员学习法律的主动性不够强，执法水平有待提高；</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sz w:val="32"/>
          <w:szCs w:val="32"/>
          <w:highlight w:val="none"/>
          <w:lang w:eastAsia="zh-CN"/>
        </w:rPr>
        <w:t>法治教育培训还不系统，还没有形成长效制度，</w:t>
      </w:r>
      <w:r>
        <w:rPr>
          <w:rFonts w:hint="eastAsia" w:ascii="仿宋_GB2312" w:hAnsi="仿宋_GB2312" w:eastAsia="仿宋_GB2312" w:cs="仿宋_GB2312"/>
          <w:sz w:val="32"/>
          <w:szCs w:val="32"/>
          <w:highlight w:val="none"/>
        </w:rPr>
        <w:t>法治培训的针对性和实效性还需提高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eastAsia="zh-CN"/>
        </w:rPr>
        <w:t>三是</w:t>
      </w:r>
      <w:r>
        <w:rPr>
          <w:rFonts w:hint="eastAsia" w:ascii="仿宋_GB2312" w:hAnsi="仿宋_GB2312" w:eastAsia="仿宋_GB2312" w:cs="仿宋_GB2312"/>
          <w:sz w:val="32"/>
          <w:szCs w:val="32"/>
          <w:highlight w:val="none"/>
          <w:lang w:eastAsia="zh-CN"/>
        </w:rPr>
        <w:t>新的执法手段运用不多，对信息技术手段的运用不多；</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sz w:val="32"/>
          <w:szCs w:val="32"/>
          <w:highlight w:val="none"/>
        </w:rPr>
        <w:t>普法宣传的覆盖面和影响力还需扩大。在今后的工作中，</w:t>
      </w:r>
      <w:r>
        <w:rPr>
          <w:rFonts w:hint="eastAsia" w:ascii="仿宋_GB2312" w:hAnsi="仿宋_GB2312" w:eastAsia="仿宋_GB2312" w:cs="仿宋_GB2312"/>
          <w:sz w:val="32"/>
          <w:szCs w:val="32"/>
          <w:highlight w:val="none"/>
          <w:lang w:eastAsia="zh-CN"/>
        </w:rPr>
        <w:t>区住房和建设局</w:t>
      </w:r>
      <w:r>
        <w:rPr>
          <w:rFonts w:hint="eastAsia" w:ascii="仿宋_GB2312" w:hAnsi="仿宋_GB2312" w:eastAsia="仿宋_GB2312" w:cs="仿宋_GB2312"/>
          <w:sz w:val="32"/>
          <w:szCs w:val="32"/>
          <w:highlight w:val="none"/>
        </w:rPr>
        <w:t>将继续深入学习贯彻习近平法治思想，紧紧围绕区委、区政府的决策部署，以更加务实的作风、更加有力的措施，全面推进我局</w:t>
      </w:r>
      <w:r>
        <w:rPr>
          <w:rFonts w:hint="eastAsia" w:ascii="仿宋_GB2312" w:hAnsi="仿宋_GB2312" w:eastAsia="仿宋_GB2312" w:cs="仿宋_GB2312"/>
          <w:sz w:val="32"/>
          <w:szCs w:val="32"/>
          <w:highlight w:val="none"/>
          <w:lang w:eastAsia="zh-CN"/>
        </w:rPr>
        <w:t>法治政府建设</w:t>
      </w:r>
      <w:r>
        <w:rPr>
          <w:rFonts w:hint="eastAsia" w:ascii="仿宋_GB2312" w:hAnsi="仿宋_GB2312" w:eastAsia="仿宋_GB2312" w:cs="仿宋_GB2312"/>
          <w:sz w:val="32"/>
          <w:szCs w:val="32"/>
          <w:highlight w:val="none"/>
        </w:rPr>
        <w:t>工作，为湖里区城市建设发展提供更加有力的法治保障。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sz w:val="32"/>
          <w:szCs w:val="32"/>
          <w:highlight w:val="none"/>
          <w:lang w:eastAsia="zh-CN"/>
        </w:rPr>
        <w:t>五、</w:t>
      </w:r>
      <w:r>
        <w:rPr>
          <w:rFonts w:hint="eastAsia" w:ascii="黑体" w:hAnsi="黑体" w:eastAsia="黑体" w:cs="黑体"/>
          <w:b w:val="0"/>
          <w:bCs w:val="0"/>
          <w:sz w:val="32"/>
          <w:szCs w:val="32"/>
          <w:highlight w:val="none"/>
          <w:lang w:val="en-US" w:eastAsia="zh-CN"/>
        </w:rPr>
        <w:t>2025年法治政府建设工作思路和重点工作安排</w:t>
      </w:r>
    </w:p>
    <w:p>
      <w:pPr>
        <w:keepNext w:val="0"/>
        <w:keepLines w:val="0"/>
        <w:pageBreakBefore w:val="0"/>
        <w:widowControl w:val="0"/>
        <w:numPr>
          <w:ilvl w:val="0"/>
          <w:numId w:val="4"/>
        </w:numPr>
        <w:kinsoku/>
        <w:wordWrap/>
        <w:overflowPunct/>
        <w:topLinePunct w:val="0"/>
        <w:autoSpaceDE/>
        <w:autoSpaceDN/>
        <w:bidi w:val="0"/>
        <w:spacing w:line="560" w:lineRule="exact"/>
        <w:ind w:firstLine="645"/>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不断深入法治思想学习</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把深入学习宣传贯彻习近平法治思想作为推进全面依法治区暨法治政府建设工作的头等大事，持续将习近平法治思想以及宪法、</w:t>
      </w:r>
      <w:r>
        <w:rPr>
          <w:rFonts w:hint="eastAsia" w:ascii="仿宋_GB2312" w:hAnsi="仿宋_GB2312" w:eastAsia="仿宋_GB2312" w:cs="仿宋_GB2312"/>
          <w:sz w:val="32"/>
          <w:szCs w:val="32"/>
          <w:highlight w:val="none"/>
          <w:lang w:eastAsia="zh-CN"/>
        </w:rPr>
        <w:t>《中华人民共和国民法典》</w:t>
      </w:r>
      <w:r>
        <w:rPr>
          <w:rFonts w:hint="eastAsia" w:ascii="仿宋_GB2312" w:hAnsi="仿宋_GB2312" w:eastAsia="仿宋_GB2312" w:cs="仿宋_GB2312"/>
          <w:sz w:val="32"/>
          <w:szCs w:val="32"/>
          <w:highlight w:val="none"/>
        </w:rPr>
        <w:t>等相关法律法规列为重要学习内容，深入开展理论学习并结合实际工作情况展开讨论，不断深化法治思想、筑牢理论根基，真正将法治思想落到实处。</w:t>
      </w:r>
    </w:p>
    <w:p>
      <w:pPr>
        <w:keepNext w:val="0"/>
        <w:keepLines w:val="0"/>
        <w:pageBreakBefore w:val="0"/>
        <w:widowControl w:val="0"/>
        <w:numPr>
          <w:ilvl w:val="0"/>
          <w:numId w:val="4"/>
        </w:numPr>
        <w:kinsoku/>
        <w:wordWrap/>
        <w:overflowPunct/>
        <w:topLinePunct w:val="0"/>
        <w:autoSpaceDE/>
        <w:autoSpaceDN/>
        <w:bidi w:val="0"/>
        <w:spacing w:line="560" w:lineRule="exact"/>
        <w:ind w:left="0" w:leftChars="0" w:firstLine="645" w:firstLine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持续优化建筑营商环境</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强化与区建设行业协会的工作联系，依法规范会员单位诚信经营，建立健全协会发展平台</w:t>
      </w:r>
      <w:r>
        <w:rPr>
          <w:rFonts w:hint="eastAsia" w:ascii="仿宋_GB2312" w:hAnsi="仿宋_GB2312" w:eastAsia="仿宋_GB2312" w:cs="仿宋_GB2312"/>
          <w:sz w:val="32"/>
          <w:szCs w:val="32"/>
          <w:highlight w:val="none"/>
          <w:lang w:eastAsia="zh-CN"/>
        </w:rPr>
        <w:t>。确保</w:t>
      </w:r>
      <w:r>
        <w:rPr>
          <w:rFonts w:hint="eastAsia" w:ascii="仿宋_GB2312" w:hAnsi="仿宋_GB2312" w:eastAsia="仿宋_GB2312" w:cs="仿宋_GB2312"/>
          <w:b w:val="0"/>
          <w:bCs/>
          <w:color w:val="auto"/>
          <w:sz w:val="32"/>
          <w:szCs w:val="32"/>
          <w:highlight w:val="none"/>
        </w:rPr>
        <w:t>审批服务提速增效。</w:t>
      </w:r>
      <w:r>
        <w:rPr>
          <w:rFonts w:hint="eastAsia" w:ascii="仿宋_GB2312" w:hAnsi="仿宋_GB2312" w:eastAsia="仿宋_GB2312" w:cs="仿宋_GB2312"/>
          <w:bCs/>
          <w:color w:val="auto"/>
          <w:sz w:val="32"/>
          <w:szCs w:val="32"/>
          <w:highlight w:val="none"/>
        </w:rPr>
        <w:t>不断优化审批环节，提高审批效率，实现“一趟不用跑”，同时在审批过程中落实“日清月结”制度，所有工程事项申报件当天出具受理意见，做到一次性告知且即办件当天办结。强化指导服务，</w:t>
      </w:r>
      <w:r>
        <w:rPr>
          <w:rFonts w:hint="eastAsia" w:ascii="仿宋_GB2312" w:hAnsi="仿宋_GB2312" w:eastAsia="仿宋_GB2312" w:cs="仿宋_GB2312"/>
          <w:color w:val="auto"/>
          <w:sz w:val="32"/>
          <w:szCs w:val="32"/>
          <w:highlight w:val="none"/>
        </w:rPr>
        <w:t>建立“专人服务、靠前指导”工作机制，审批服务关口前移，对重点项目常态化开展上门服务，并指定专人进行跟踪指导，在一线发现问题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解决问题，多措并举促进重点项目早开工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早投入</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numPr>
          <w:ilvl w:val="0"/>
          <w:numId w:val="4"/>
        </w:numPr>
        <w:kinsoku/>
        <w:wordWrap/>
        <w:overflowPunct/>
        <w:topLinePunct w:val="0"/>
        <w:autoSpaceDE/>
        <w:autoSpaceDN/>
        <w:bidi w:val="0"/>
        <w:spacing w:line="560" w:lineRule="exact"/>
        <w:ind w:left="0" w:leftChars="0" w:firstLine="645" w:firstLine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继续强化行政执法工作</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val="0"/>
          <w:bCs w:val="0"/>
          <w:sz w:val="32"/>
          <w:szCs w:val="32"/>
          <w:highlight w:val="none"/>
        </w:rPr>
        <w:t>提升案卷制作和行政执法的水平，不定期开展执法经验交流和培训，提高承办科室和工作人员的业务水平。常抓行政执法案卷评查工作和业务培训交流工作，</w:t>
      </w:r>
      <w:r>
        <w:rPr>
          <w:rFonts w:hint="eastAsia" w:ascii="仿宋_GB2312" w:hAnsi="仿宋_GB2312" w:eastAsia="仿宋_GB2312" w:cs="仿宋_GB2312"/>
          <w:b w:val="0"/>
          <w:bCs w:val="0"/>
          <w:color w:val="auto"/>
          <w:sz w:val="32"/>
          <w:szCs w:val="32"/>
          <w:highlight w:val="none"/>
          <w:lang w:eastAsia="zh-CN"/>
        </w:rPr>
        <w:t>在作出</w:t>
      </w:r>
      <w:r>
        <w:rPr>
          <w:rFonts w:hint="eastAsia" w:ascii="仿宋_GB2312" w:hAnsi="仿宋_GB2312" w:eastAsia="仿宋_GB2312" w:cs="仿宋_GB2312"/>
          <w:b w:val="0"/>
          <w:bCs/>
          <w:color w:val="auto"/>
          <w:sz w:val="32"/>
          <w:szCs w:val="32"/>
          <w:highlight w:val="none"/>
          <w:lang w:eastAsia="zh-CN"/>
        </w:rPr>
        <w:t>行政处罚决定书之前，均由局法治审查机构先行对行政主体、执法人员、执法程序、案件事实、适用法律法规、自由裁量等内容进行审核，确保处罚合法，切实保障每一位公民的合法权益，</w:t>
      </w:r>
      <w:r>
        <w:rPr>
          <w:rFonts w:hint="eastAsia" w:ascii="仿宋_GB2312" w:hAnsi="仿宋_GB2312" w:eastAsia="仿宋_GB2312" w:cs="仿宋_GB2312"/>
          <w:b w:val="0"/>
          <w:bCs w:val="0"/>
          <w:sz w:val="32"/>
          <w:szCs w:val="32"/>
          <w:highlight w:val="none"/>
        </w:rPr>
        <w:t>促进</w:t>
      </w:r>
      <w:r>
        <w:rPr>
          <w:rFonts w:hint="eastAsia" w:ascii="仿宋_GB2312" w:hAnsi="仿宋_GB2312" w:eastAsia="仿宋_GB2312" w:cs="仿宋_GB2312"/>
          <w:sz w:val="32"/>
          <w:szCs w:val="32"/>
          <w:highlight w:val="none"/>
          <w:lang w:eastAsia="zh-CN"/>
        </w:rPr>
        <w:t>区住房和建设局</w:t>
      </w:r>
      <w:r>
        <w:rPr>
          <w:rFonts w:hint="eastAsia" w:ascii="仿宋_GB2312" w:hAnsi="仿宋_GB2312" w:eastAsia="仿宋_GB2312" w:cs="仿宋_GB2312"/>
          <w:b w:val="0"/>
          <w:bCs w:val="0"/>
          <w:sz w:val="32"/>
          <w:szCs w:val="32"/>
          <w:highlight w:val="none"/>
        </w:rPr>
        <w:t>依法行政水平再提高。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FZXBSJW--GB1-0">
    <w:altName w:val="文泉驿微米黑"/>
    <w:panose1 w:val="00000000000000000000"/>
    <w:charset w:val="00"/>
    <w:family w:val="roman"/>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文泉驿微米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72B0E"/>
    <w:multiLevelType w:val="singleLevel"/>
    <w:tmpl w:val="99E72B0E"/>
    <w:lvl w:ilvl="0" w:tentative="0">
      <w:start w:val="1"/>
      <w:numFmt w:val="chineseCounting"/>
      <w:suff w:val="nothing"/>
      <w:lvlText w:val="（%1）"/>
      <w:lvlJc w:val="left"/>
      <w:rPr>
        <w:rFonts w:hint="eastAsia"/>
      </w:rPr>
    </w:lvl>
  </w:abstractNum>
  <w:abstractNum w:abstractNumId="1">
    <w:nsid w:val="DEED79AD"/>
    <w:multiLevelType w:val="singleLevel"/>
    <w:tmpl w:val="DEED79AD"/>
    <w:lvl w:ilvl="0" w:tentative="0">
      <w:start w:val="1"/>
      <w:numFmt w:val="chineseCounting"/>
      <w:suff w:val="nothing"/>
      <w:lvlText w:val="（%1）"/>
      <w:lvlJc w:val="left"/>
      <w:rPr>
        <w:rFonts w:hint="eastAsia"/>
      </w:rPr>
    </w:lvl>
  </w:abstractNum>
  <w:abstractNum w:abstractNumId="2">
    <w:nsid w:val="FB7E47DC"/>
    <w:multiLevelType w:val="singleLevel"/>
    <w:tmpl w:val="FB7E47DC"/>
    <w:lvl w:ilvl="0" w:tentative="0">
      <w:start w:val="1"/>
      <w:numFmt w:val="chineseCounting"/>
      <w:suff w:val="nothing"/>
      <w:lvlText w:val="（%1）"/>
      <w:lvlJc w:val="left"/>
      <w:rPr>
        <w:rFonts w:hint="eastAsia"/>
      </w:rPr>
    </w:lvl>
  </w:abstractNum>
  <w:abstractNum w:abstractNumId="3">
    <w:nsid w:val="FFAFF784"/>
    <w:multiLevelType w:val="singleLevel"/>
    <w:tmpl w:val="FFAFF784"/>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EB"/>
    <w:rsid w:val="000B1D45"/>
    <w:rsid w:val="003861F6"/>
    <w:rsid w:val="005652C2"/>
    <w:rsid w:val="0059688E"/>
    <w:rsid w:val="007853F0"/>
    <w:rsid w:val="007F3F1A"/>
    <w:rsid w:val="00876125"/>
    <w:rsid w:val="00915793"/>
    <w:rsid w:val="0097231A"/>
    <w:rsid w:val="00B41D58"/>
    <w:rsid w:val="00D11A59"/>
    <w:rsid w:val="00D57AEF"/>
    <w:rsid w:val="00E063CC"/>
    <w:rsid w:val="00FC74FB"/>
    <w:rsid w:val="00FD4EEB"/>
    <w:rsid w:val="093D4654"/>
    <w:rsid w:val="0C9E6416"/>
    <w:rsid w:val="17B721C5"/>
    <w:rsid w:val="1BA7D613"/>
    <w:rsid w:val="2DB10363"/>
    <w:rsid w:val="2DEB4901"/>
    <w:rsid w:val="335BADC0"/>
    <w:rsid w:val="36B79261"/>
    <w:rsid w:val="380D6563"/>
    <w:rsid w:val="3A5D8E2C"/>
    <w:rsid w:val="3CBA38CD"/>
    <w:rsid w:val="3CFB77CA"/>
    <w:rsid w:val="5257381C"/>
    <w:rsid w:val="5315225F"/>
    <w:rsid w:val="5BDA2805"/>
    <w:rsid w:val="5EEAE9D3"/>
    <w:rsid w:val="5F3BF3D7"/>
    <w:rsid w:val="5F4F8BFA"/>
    <w:rsid w:val="5FBAB24B"/>
    <w:rsid w:val="667F577B"/>
    <w:rsid w:val="67CD7376"/>
    <w:rsid w:val="6CFF85F5"/>
    <w:rsid w:val="6D56C323"/>
    <w:rsid w:val="6FE3BCB8"/>
    <w:rsid w:val="71EBDCE7"/>
    <w:rsid w:val="72FFB3FC"/>
    <w:rsid w:val="757FA256"/>
    <w:rsid w:val="75D4A7A6"/>
    <w:rsid w:val="75F3E7EF"/>
    <w:rsid w:val="75F7E556"/>
    <w:rsid w:val="7655502E"/>
    <w:rsid w:val="76D84CA1"/>
    <w:rsid w:val="777B9694"/>
    <w:rsid w:val="78153DB3"/>
    <w:rsid w:val="786EDD70"/>
    <w:rsid w:val="78DB0FE6"/>
    <w:rsid w:val="7B2D9472"/>
    <w:rsid w:val="7B99F399"/>
    <w:rsid w:val="7B9E76F1"/>
    <w:rsid w:val="7BBF42E7"/>
    <w:rsid w:val="7DF73483"/>
    <w:rsid w:val="7E7C1534"/>
    <w:rsid w:val="7EF5093B"/>
    <w:rsid w:val="7F411D1F"/>
    <w:rsid w:val="7F57309C"/>
    <w:rsid w:val="7FAF1953"/>
    <w:rsid w:val="7FE3DF55"/>
    <w:rsid w:val="7FEB3C4D"/>
    <w:rsid w:val="7FFB15C3"/>
    <w:rsid w:val="7FFF7B3F"/>
    <w:rsid w:val="8EEEAC34"/>
    <w:rsid w:val="94FA497F"/>
    <w:rsid w:val="94FED161"/>
    <w:rsid w:val="9E9B2C9F"/>
    <w:rsid w:val="9F6AC82F"/>
    <w:rsid w:val="A7DFB687"/>
    <w:rsid w:val="AC9BCE03"/>
    <w:rsid w:val="ACCD14C7"/>
    <w:rsid w:val="ACDF73F7"/>
    <w:rsid w:val="AFDDC057"/>
    <w:rsid w:val="BC6EF3C1"/>
    <w:rsid w:val="BDDBDEFA"/>
    <w:rsid w:val="BEFB7FCB"/>
    <w:rsid w:val="BF5FB866"/>
    <w:rsid w:val="BFF272CD"/>
    <w:rsid w:val="CFBBA5B6"/>
    <w:rsid w:val="CFF1917F"/>
    <w:rsid w:val="D7F561B0"/>
    <w:rsid w:val="DBBFCEAD"/>
    <w:rsid w:val="DDFF3E18"/>
    <w:rsid w:val="DE6FC5DC"/>
    <w:rsid w:val="DFCFBCD9"/>
    <w:rsid w:val="E0C77B83"/>
    <w:rsid w:val="E275FE89"/>
    <w:rsid w:val="E34F71CF"/>
    <w:rsid w:val="E6D8D56E"/>
    <w:rsid w:val="E7FFB0FA"/>
    <w:rsid w:val="EB7ED5CF"/>
    <w:rsid w:val="EBB94AB0"/>
    <w:rsid w:val="EC1E57BD"/>
    <w:rsid w:val="EC76DB49"/>
    <w:rsid w:val="ED5F0BA9"/>
    <w:rsid w:val="EDB3D6DC"/>
    <w:rsid w:val="EDDBAEE3"/>
    <w:rsid w:val="F5F34283"/>
    <w:rsid w:val="F79F5B01"/>
    <w:rsid w:val="FB98A136"/>
    <w:rsid w:val="FBCFB52B"/>
    <w:rsid w:val="FBDD6364"/>
    <w:rsid w:val="FDBEE670"/>
    <w:rsid w:val="FE9E8A5D"/>
    <w:rsid w:val="FEDFDC97"/>
    <w:rsid w:val="FEF95BDD"/>
    <w:rsid w:val="FF7B24F8"/>
    <w:rsid w:val="FFDF2935"/>
    <w:rsid w:val="FFF35D4E"/>
    <w:rsid w:val="FFF7CE60"/>
    <w:rsid w:val="FFFE3D61"/>
    <w:rsid w:val="FFFF1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next w:val="3"/>
    <w:qFormat/>
    <w:uiPriority w:val="0"/>
  </w:style>
  <w:style w:type="paragraph" w:styleId="3">
    <w:name w:val="index 5"/>
    <w:basedOn w:val="1"/>
    <w:next w:val="1"/>
    <w:qFormat/>
    <w:uiPriority w:val="0"/>
    <w:pPr>
      <w:ind w:left="1680"/>
    </w:pPr>
    <w:rPr>
      <w:rFonts w:eastAsia="宋体"/>
      <w:color w:val="333333"/>
    </w:rPr>
  </w:style>
  <w:style w:type="paragraph" w:styleId="4">
    <w:name w:val="Normal Indent"/>
    <w:basedOn w:val="1"/>
    <w:qFormat/>
    <w:uiPriority w:val="0"/>
    <w:pPr>
      <w:ind w:firstLine="420" w:firstLineChars="200"/>
    </w:pPr>
  </w:style>
  <w:style w:type="paragraph" w:styleId="5">
    <w:name w:val="annotation text"/>
    <w:basedOn w:val="1"/>
    <w:link w:val="15"/>
    <w:semiHidden/>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5"/>
    <w:next w:val="5"/>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fontstyle01"/>
    <w:basedOn w:val="10"/>
    <w:qFormat/>
    <w:uiPriority w:val="0"/>
    <w:rPr>
      <w:rFonts w:hint="default" w:ascii="FZXBSJW--GB1-0" w:hAnsi="FZXBSJW--GB1-0"/>
      <w:color w:val="000000"/>
      <w:sz w:val="44"/>
      <w:szCs w:val="44"/>
    </w:rPr>
  </w:style>
  <w:style w:type="character" w:customStyle="1" w:styleId="15">
    <w:name w:val="批注文字 字符"/>
    <w:basedOn w:val="10"/>
    <w:link w:val="5"/>
    <w:semiHidden/>
    <w:qFormat/>
    <w:uiPriority w:val="99"/>
  </w:style>
  <w:style w:type="character" w:customStyle="1" w:styleId="16">
    <w:name w:val="批注主题 字符"/>
    <w:basedOn w:val="15"/>
    <w:link w:val="8"/>
    <w:semiHidden/>
    <w:qFormat/>
    <w:uiPriority w:val="99"/>
    <w:rPr>
      <w:b/>
      <w:bCs/>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2957</Words>
  <Characters>3019</Characters>
  <Lines>4</Lines>
  <Paragraphs>1</Paragraphs>
  <TotalTime>18</TotalTime>
  <ScaleCrop>false</ScaleCrop>
  <LinksUpToDate>false</LinksUpToDate>
  <CharactersWithSpaces>3022</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2023-01-25T23:36:00Z</dcterms:created>
  <dc:creator>过 微风</dc:creator>
  <cp:lastModifiedBy>xmadmin</cp:lastModifiedBy>
  <cp:lastPrinted>2023-02-07T08:43:00Z</cp:lastPrinted>
  <dcterms:modified xsi:type="dcterms:W3CDTF">2025-04-18T10:06:50Z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0C27E36AD8604E24A85140A4AD5EFB12_13</vt:lpwstr>
  </property>
  <property fmtid="{D5CDD505-2E9C-101B-9397-08002B2CF9AE}" pid="4" name="KSOTemplateDocerSaveRecord">
    <vt:lpwstr>eyJoZGlkIjoiNjgyNmI3NGE0MjZhNTRiODcyNDA1ZTkxM2NhZmY0NGYiLCJ1c2VySWQiOiI0NzYxOTEwOTYifQ==</vt:lpwstr>
  </property>
</Properties>
</file>