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eastAsia="宋体" w:cs="宋体"/>
          <w:b/>
          <w:bCs/>
        </w:rPr>
      </w:pPr>
      <w:r>
        <w:rPr>
          <w:rFonts w:hint="eastAsia" w:ascii="宋体" w:hAnsi="宋体" w:eastAsia="宋体" w:cs="宋体"/>
          <w:b/>
          <w:bCs/>
        </w:rPr>
        <w:t>附件1：</w:t>
      </w:r>
    </w:p>
    <w:p>
      <w:pPr>
        <w:spacing w:line="560" w:lineRule="exact"/>
        <w:jc w:val="center"/>
        <w:rPr>
          <w:rFonts w:ascii="宋体" w:hAnsi="宋体" w:eastAsia="宋体" w:cs="宋体"/>
          <w:b/>
          <w:bCs/>
          <w:sz w:val="36"/>
          <w:szCs w:val="36"/>
        </w:rPr>
      </w:pPr>
    </w:p>
    <w:p>
      <w:pPr>
        <w:spacing w:line="56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厦门市梧桐实验学校</w:t>
      </w:r>
      <w:r>
        <w:rPr>
          <w:rFonts w:hint="eastAsia" w:ascii="宋体" w:hAnsi="宋体" w:eastAsia="宋体" w:cs="宋体"/>
          <w:b/>
          <w:bCs/>
          <w:sz w:val="44"/>
          <w:szCs w:val="44"/>
          <w:lang w:eastAsia="zh-CN"/>
        </w:rPr>
        <w:t>（暂名）</w:t>
      </w:r>
    </w:p>
    <w:p>
      <w:pPr>
        <w:spacing w:line="560" w:lineRule="exact"/>
        <w:jc w:val="center"/>
        <w:rPr>
          <w:rFonts w:ascii="宋体" w:hAnsi="宋体" w:eastAsia="宋体" w:cs="宋体"/>
          <w:b/>
          <w:bCs/>
          <w:color w:val="000000"/>
          <w:kern w:val="0"/>
          <w:sz w:val="36"/>
          <w:szCs w:val="36"/>
        </w:rPr>
      </w:pPr>
      <w:r>
        <w:rPr>
          <w:rFonts w:hint="eastAsia" w:ascii="宋体" w:hAnsi="宋体" w:eastAsia="宋体" w:cs="宋体"/>
          <w:b/>
          <w:bCs/>
          <w:sz w:val="44"/>
          <w:szCs w:val="44"/>
        </w:rPr>
        <w:t>划片招生方案</w:t>
      </w:r>
    </w:p>
    <w:p>
      <w:pPr>
        <w:spacing w:line="360" w:lineRule="auto"/>
        <w:ind w:firstLine="640"/>
        <w:rPr>
          <w:rFonts w:ascii="仿宋" w:hAnsi="仿宋" w:eastAsia="仿宋" w:cs="仿宋"/>
        </w:rPr>
      </w:pPr>
      <w:bookmarkStart w:id="0" w:name="_GoBack"/>
      <w:bookmarkEnd w:id="0"/>
    </w:p>
    <w:p>
      <w:pPr>
        <w:spacing w:line="560" w:lineRule="exact"/>
        <w:ind w:firstLine="640"/>
        <w:rPr>
          <w:rFonts w:ascii="仿宋_GB2312" w:hAnsi="仿宋" w:eastAsia="仿宋_GB2312" w:cs="仿宋"/>
        </w:rPr>
      </w:pPr>
      <w:r>
        <w:rPr>
          <w:rFonts w:hint="eastAsia" w:ascii="仿宋_GB2312" w:hAnsi="仿宋" w:eastAsia="仿宋_GB2312" w:cs="仿宋"/>
        </w:rPr>
        <w:t>厦门市梧桐实验学校（</w:t>
      </w:r>
      <w:r>
        <w:rPr>
          <w:rFonts w:hint="eastAsia" w:ascii="仿宋_GB2312" w:hAnsi="仿宋" w:eastAsia="仿宋_GB2312" w:cs="仿宋"/>
          <w:lang w:eastAsia="zh-CN"/>
        </w:rPr>
        <w:t>暂名，</w:t>
      </w:r>
      <w:r>
        <w:rPr>
          <w:rFonts w:hint="eastAsia" w:ascii="仿宋_GB2312" w:hAnsi="仿宋" w:eastAsia="仿宋_GB2312" w:cs="仿宋"/>
        </w:rPr>
        <w:t>以下简称“梧桐实验学校”）位于枋湖路以南，枋湖南路以北，蔡坑路以西，永建顶尚以东地块，占地面积约为1.73万平方米，总建筑面积3.04万平方米，设计办学规模为1-9</w:t>
      </w:r>
      <w:r>
        <w:rPr>
          <w:rFonts w:hint="eastAsia" w:ascii="仿宋_GB2312" w:hAnsi="仿宋" w:eastAsia="仿宋_GB2312" w:cs="仿宋"/>
          <w:color w:val="000000" w:themeColor="text1"/>
        </w:rPr>
        <w:t>年级共36个班的九年一贯制学校。拟于2021年秋季开始招生。根据教育部和福建省教育</w:t>
      </w:r>
      <w:r>
        <w:rPr>
          <w:rFonts w:hint="eastAsia" w:ascii="仿宋_GB2312" w:hAnsi="仿宋" w:eastAsia="仿宋_GB2312" w:cs="仿宋"/>
        </w:rPr>
        <w:t>厅有关义务教育学校划片招生工作的规定及该校区周边的实际情况，梧桐实验学校招生片区拟采用与距离较近的湖里实验小学教育集团附小校区（以下简称“附小校区”）“多校划片，随机派位”的方式划定，具体办法如下：</w:t>
      </w:r>
    </w:p>
    <w:p>
      <w:pPr>
        <w:numPr>
          <w:ilvl w:val="0"/>
          <w:numId w:val="1"/>
        </w:numPr>
        <w:spacing w:line="560" w:lineRule="exact"/>
        <w:ind w:firstLine="640" w:firstLineChars="200"/>
        <w:rPr>
          <w:rFonts w:ascii="仿宋_GB2312" w:hAnsi="仿宋" w:eastAsia="仿宋_GB2312" w:cs="仿宋"/>
        </w:rPr>
      </w:pPr>
      <w:r>
        <w:rPr>
          <w:rFonts w:hint="eastAsia" w:ascii="仿宋_GB2312" w:hAnsi="仿宋" w:eastAsia="仿宋_GB2312" w:cs="仿宋"/>
          <w:color w:val="000000"/>
          <w:kern w:val="0"/>
        </w:rPr>
        <w:t>多校划片范围。</w:t>
      </w:r>
    </w:p>
    <w:p>
      <w:pPr>
        <w:spacing w:line="560" w:lineRule="exact"/>
        <w:ind w:firstLine="640" w:firstLineChars="200"/>
        <w:rPr>
          <w:rFonts w:ascii="仿宋_GB2312" w:hAnsi="仿宋" w:eastAsia="仿宋_GB2312" w:cs="仿宋"/>
        </w:rPr>
      </w:pPr>
      <w:r>
        <w:rPr>
          <w:rFonts w:hint="eastAsia" w:ascii="仿宋_GB2312" w:hAnsi="仿宋" w:eastAsia="仿宋_GB2312" w:cs="仿宋"/>
        </w:rPr>
        <w:t>梧桐实验学校和附小校区两所学校的划片范围为“</w:t>
      </w:r>
      <w:r>
        <w:rPr>
          <w:rFonts w:hint="eastAsia" w:ascii="仿宋_GB2312" w:hAnsi="仿宋_GB2312" w:eastAsia="仿宋_GB2312" w:cs="仿宋_GB2312"/>
          <w:szCs w:val="40"/>
        </w:rPr>
        <w:t>金尚路以东、云顶北路以西、枋湖北二路以南、虎头山等其他与金山街道分界线以北的片区以及湖里实验小学教育集团实小片区范围内2019年1月后交付使用的新楼盘。”</w:t>
      </w:r>
    </w:p>
    <w:p>
      <w:pPr>
        <w:numPr>
          <w:ilvl w:val="0"/>
          <w:numId w:val="1"/>
        </w:numPr>
        <w:spacing w:line="560" w:lineRule="exact"/>
        <w:ind w:firstLine="640" w:firstLineChars="200"/>
        <w:rPr>
          <w:rFonts w:ascii="仿宋_GB2312" w:hAnsi="仿宋" w:eastAsia="仿宋_GB2312" w:cs="仿宋"/>
          <w:color w:val="000000"/>
          <w:kern w:val="0"/>
        </w:rPr>
      </w:pPr>
      <w:r>
        <w:rPr>
          <w:rFonts w:hint="eastAsia" w:ascii="仿宋_GB2312" w:hAnsi="仿宋" w:eastAsia="仿宋_GB2312" w:cs="仿宋"/>
        </w:rPr>
        <w:t>随机派位的招生对象、条件和办法</w:t>
      </w:r>
      <w:r>
        <w:rPr>
          <w:rFonts w:hint="eastAsia" w:ascii="仿宋_GB2312" w:hAnsi="仿宋" w:eastAsia="仿宋_GB2312" w:cs="仿宋"/>
          <w:color w:val="000000"/>
          <w:kern w:val="0"/>
        </w:rPr>
        <w:t>。</w:t>
      </w:r>
    </w:p>
    <w:p>
      <w:pPr>
        <w:spacing w:line="500" w:lineRule="exact"/>
        <w:ind w:firstLine="640" w:firstLineChars="200"/>
        <w:rPr>
          <w:rFonts w:ascii="仿宋_GB2312" w:hAnsi="仿宋_GB2312" w:eastAsia="仿宋_GB2312" w:cs="仿宋_GB2312"/>
          <w:szCs w:val="40"/>
        </w:rPr>
      </w:pPr>
      <w:r>
        <w:rPr>
          <w:rFonts w:hint="eastAsia" w:ascii="仿宋_GB2312" w:hAnsi="仿宋_GB2312" w:eastAsia="仿宋_GB2312" w:cs="仿宋_GB2312"/>
          <w:szCs w:val="40"/>
        </w:rPr>
        <w:t>以下两类招生对象可参加随机派位。</w:t>
      </w:r>
    </w:p>
    <w:p>
      <w:pPr>
        <w:spacing w:line="560" w:lineRule="exact"/>
        <w:ind w:firstLine="640" w:firstLineChars="200"/>
        <w:rPr>
          <w:rFonts w:ascii="仿宋_GB2312" w:hAnsi="仿宋_GB2312" w:eastAsia="仿宋_GB2312" w:cs="仿宋_GB2312"/>
          <w:szCs w:val="40"/>
        </w:rPr>
      </w:pPr>
      <w:r>
        <w:rPr>
          <w:rFonts w:hint="eastAsia" w:ascii="仿宋_GB2312" w:hAnsi="仿宋_GB2312" w:eastAsia="仿宋_GB2312" w:cs="仿宋_GB2312"/>
          <w:szCs w:val="40"/>
        </w:rPr>
        <w:fldChar w:fldCharType="begin"/>
      </w:r>
      <w:r>
        <w:rPr>
          <w:rFonts w:hint="eastAsia" w:ascii="仿宋_GB2312" w:hAnsi="仿宋_GB2312" w:eastAsia="仿宋_GB2312" w:cs="仿宋_GB2312"/>
          <w:szCs w:val="40"/>
        </w:rPr>
        <w:instrText xml:space="preserve"> = 1 \* GB3 </w:instrText>
      </w:r>
      <w:r>
        <w:rPr>
          <w:rFonts w:hint="eastAsia" w:ascii="仿宋_GB2312" w:hAnsi="仿宋_GB2312" w:eastAsia="仿宋_GB2312" w:cs="仿宋_GB2312"/>
          <w:szCs w:val="40"/>
        </w:rPr>
        <w:fldChar w:fldCharType="separate"/>
      </w:r>
      <w:r>
        <w:rPr>
          <w:rFonts w:hint="eastAsia" w:ascii="仿宋_GB2312" w:hAnsi="仿宋_GB2312" w:eastAsia="仿宋_GB2312" w:cs="仿宋_GB2312"/>
          <w:szCs w:val="40"/>
        </w:rPr>
        <w:t>①</w:t>
      </w:r>
      <w:r>
        <w:rPr>
          <w:rFonts w:hint="eastAsia" w:ascii="仿宋_GB2312" w:hAnsi="仿宋_GB2312" w:eastAsia="仿宋_GB2312" w:cs="仿宋_GB2312"/>
          <w:szCs w:val="40"/>
        </w:rPr>
        <w:fldChar w:fldCharType="end"/>
      </w:r>
      <w:r>
        <w:rPr>
          <w:rFonts w:hint="eastAsia" w:ascii="仿宋_GB2312" w:hAnsi="仿宋_GB2312" w:eastAsia="仿宋_GB2312" w:cs="仿宋_GB2312"/>
          <w:szCs w:val="40"/>
        </w:rPr>
        <w:t>湖里实验小学教育集团实小校区</w:t>
      </w:r>
      <w:r>
        <w:rPr>
          <w:rFonts w:hint="eastAsia" w:ascii="仿宋_GB2312" w:hAnsi="仿宋_GB2312" w:eastAsia="仿宋_GB2312" w:cs="仿宋_GB2312"/>
          <w:color w:val="000000" w:themeColor="text1"/>
          <w:szCs w:val="40"/>
        </w:rPr>
        <w:t>划片范围内</w:t>
      </w:r>
      <w:r>
        <w:rPr>
          <w:rFonts w:hint="eastAsia" w:ascii="仿宋_GB2312" w:hAnsi="仿宋_GB2312" w:eastAsia="仿宋_GB2312" w:cs="仿宋_GB2312"/>
          <w:szCs w:val="40"/>
        </w:rPr>
        <w:t>符合“两一致”的片内溢出生源。</w:t>
      </w:r>
    </w:p>
    <w:p>
      <w:pPr>
        <w:spacing w:line="500" w:lineRule="exact"/>
        <w:ind w:firstLine="640" w:firstLineChars="200"/>
        <w:rPr>
          <w:rFonts w:ascii="仿宋_GB2312" w:hAnsi="仿宋_GB2312" w:eastAsia="仿宋_GB2312" w:cs="仿宋_GB2312"/>
          <w:color w:val="000000" w:themeColor="text1"/>
          <w:szCs w:val="40"/>
        </w:rPr>
      </w:pPr>
      <w:r>
        <w:rPr>
          <w:rFonts w:ascii="仿宋_GB2312" w:hAnsi="仿宋_GB2312" w:eastAsia="仿宋_GB2312" w:cs="仿宋_GB2312"/>
          <w:color w:val="000000" w:themeColor="text1"/>
          <w:szCs w:val="40"/>
        </w:rPr>
        <w:fldChar w:fldCharType="begin"/>
      </w:r>
      <w:r>
        <w:rPr>
          <w:rFonts w:ascii="仿宋_GB2312" w:hAnsi="仿宋_GB2312" w:eastAsia="仿宋_GB2312" w:cs="仿宋_GB2312"/>
          <w:color w:val="000000" w:themeColor="text1"/>
          <w:szCs w:val="40"/>
        </w:rPr>
        <w:instrText xml:space="preserve"> </w:instrText>
      </w:r>
      <w:r>
        <w:rPr>
          <w:rFonts w:hint="eastAsia" w:ascii="仿宋_GB2312" w:hAnsi="仿宋_GB2312" w:eastAsia="仿宋_GB2312" w:cs="仿宋_GB2312"/>
          <w:color w:val="000000" w:themeColor="text1"/>
          <w:szCs w:val="40"/>
        </w:rPr>
        <w:instrText xml:space="preserve">= 2 \* GB3</w:instrText>
      </w:r>
      <w:r>
        <w:rPr>
          <w:rFonts w:ascii="仿宋_GB2312" w:hAnsi="仿宋_GB2312" w:eastAsia="仿宋_GB2312" w:cs="仿宋_GB2312"/>
          <w:color w:val="000000" w:themeColor="text1"/>
          <w:szCs w:val="40"/>
        </w:rPr>
        <w:instrText xml:space="preserve"> </w:instrText>
      </w:r>
      <w:r>
        <w:rPr>
          <w:rFonts w:ascii="仿宋_GB2312" w:hAnsi="仿宋_GB2312" w:eastAsia="仿宋_GB2312" w:cs="仿宋_GB2312"/>
          <w:color w:val="000000" w:themeColor="text1"/>
          <w:szCs w:val="40"/>
        </w:rPr>
        <w:fldChar w:fldCharType="separate"/>
      </w:r>
      <w:r>
        <w:rPr>
          <w:rFonts w:hint="eastAsia" w:ascii="仿宋_GB2312" w:hAnsi="仿宋_GB2312" w:eastAsia="仿宋_GB2312" w:cs="仿宋_GB2312"/>
          <w:color w:val="000000" w:themeColor="text1"/>
          <w:szCs w:val="40"/>
        </w:rPr>
        <w:t>②</w:t>
      </w:r>
      <w:r>
        <w:rPr>
          <w:rFonts w:ascii="仿宋_GB2312" w:hAnsi="仿宋_GB2312" w:eastAsia="仿宋_GB2312" w:cs="仿宋_GB2312"/>
          <w:color w:val="000000" w:themeColor="text1"/>
          <w:szCs w:val="40"/>
        </w:rPr>
        <w:fldChar w:fldCharType="end"/>
      </w:r>
      <w:r>
        <w:rPr>
          <w:rFonts w:hint="eastAsia" w:ascii="仿宋_GB2312" w:hAnsi="仿宋" w:eastAsia="仿宋_GB2312" w:cs="仿宋"/>
        </w:rPr>
        <w:t>梧桐实验学校</w:t>
      </w:r>
      <w:r>
        <w:rPr>
          <w:rFonts w:hint="eastAsia" w:ascii="仿宋_GB2312" w:hAnsi="仿宋_GB2312" w:eastAsia="仿宋_GB2312" w:cs="仿宋_GB2312"/>
          <w:color w:val="000000" w:themeColor="text1"/>
          <w:szCs w:val="40"/>
        </w:rPr>
        <w:t>和附小校区两所学校划片范围内符合“两一致”的适龄儿童。</w:t>
      </w:r>
    </w:p>
    <w:p>
      <w:pPr>
        <w:spacing w:line="500" w:lineRule="exact"/>
        <w:ind w:firstLine="640" w:firstLineChars="200"/>
        <w:rPr>
          <w:rFonts w:ascii="仿宋_GB2312" w:hAnsi="仿宋_GB2312" w:eastAsia="仿宋_GB2312" w:cs="仿宋_GB2312"/>
          <w:szCs w:val="40"/>
        </w:rPr>
      </w:pPr>
      <w:r>
        <w:rPr>
          <w:rFonts w:hint="eastAsia" w:ascii="仿宋_GB2312" w:hAnsi="仿宋_GB2312" w:eastAsia="仿宋_GB2312" w:cs="仿宋_GB2312"/>
          <w:szCs w:val="40"/>
        </w:rPr>
        <w:t>以上两类招生对象，可自愿填报志愿，选择梧桐实验学校和附小校区其中一所，</w:t>
      </w:r>
      <w:r>
        <w:rPr>
          <w:rFonts w:hint="eastAsia" w:ascii="仿宋_GB2312" w:hAnsi="仿宋" w:eastAsia="仿宋_GB2312" w:cs="仿宋"/>
        </w:rPr>
        <w:t>经</w:t>
      </w:r>
      <w:r>
        <w:rPr>
          <w:rFonts w:hint="eastAsia" w:ascii="仿宋_GB2312" w:hAnsi="仿宋" w:eastAsia="仿宋_GB2312" w:cs="仿宋"/>
          <w:color w:val="000000"/>
          <w:kern w:val="0"/>
        </w:rPr>
        <w:t>审核并公示名单后，</w:t>
      </w:r>
      <w:r>
        <w:rPr>
          <w:rFonts w:hint="eastAsia" w:ascii="仿宋_GB2312" w:hAnsi="仿宋_GB2312" w:eastAsia="仿宋_GB2312" w:cs="仿宋_GB2312"/>
          <w:szCs w:val="40"/>
        </w:rPr>
        <w:t>志愿填报人数超出学校招生规模的，随机</w:t>
      </w:r>
      <w:r>
        <w:rPr>
          <w:rFonts w:hint="eastAsia" w:ascii="仿宋_GB2312" w:hAnsi="仿宋_GB2312" w:eastAsia="仿宋_GB2312" w:cs="仿宋_GB2312"/>
          <w:szCs w:val="40"/>
          <w:lang w:eastAsia="zh-CN"/>
        </w:rPr>
        <w:t>抽选</w:t>
      </w:r>
      <w:r>
        <w:rPr>
          <w:rFonts w:hint="eastAsia" w:ascii="仿宋_GB2312" w:hAnsi="仿宋_GB2312" w:eastAsia="仿宋_GB2312" w:cs="仿宋_GB2312"/>
          <w:szCs w:val="40"/>
        </w:rPr>
        <w:t>超出部分派位到另一所学校就读。</w:t>
      </w:r>
    </w:p>
    <w:p>
      <w:pPr>
        <w:spacing w:line="560" w:lineRule="exact"/>
        <w:ind w:firstLine="640" w:firstLineChars="200"/>
        <w:rPr>
          <w:rFonts w:ascii="仿宋_GB2312" w:hAnsi="仿宋_GB2312" w:eastAsia="仿宋_GB2312" w:cs="仿宋_GB2312"/>
          <w:color w:val="000000" w:themeColor="text1"/>
          <w:szCs w:val="40"/>
        </w:rPr>
      </w:pPr>
      <w:r>
        <w:rPr>
          <w:rFonts w:hint="eastAsia" w:ascii="仿宋_GB2312" w:hAnsi="仿宋" w:eastAsia="仿宋_GB2312" w:cs="仿宋"/>
        </w:rPr>
        <w:t>以上方案自2021</w:t>
      </w:r>
      <w:r>
        <w:rPr>
          <w:rFonts w:hint="eastAsia" w:ascii="仿宋_GB2312" w:hAnsi="仿宋" w:eastAsia="仿宋_GB2312" w:cs="仿宋"/>
          <w:color w:val="000000" w:themeColor="text1"/>
        </w:rPr>
        <w:t>年秋季招生开始实施。</w:t>
      </w:r>
      <w:r>
        <w:rPr>
          <w:rFonts w:hint="eastAsia" w:ascii="仿宋_GB2312" w:hAnsi="仿宋_GB2312" w:eastAsia="仿宋_GB2312" w:cs="仿宋_GB2312"/>
          <w:color w:val="000000" w:themeColor="text1"/>
          <w:szCs w:val="40"/>
        </w:rPr>
        <w:t>2022年秋季多校划片招生对象除符合“两一致”外还需落户满1年，具体招生条件以当年发出的招生预警公告为准。</w:t>
      </w:r>
    </w:p>
    <w:p>
      <w:pPr>
        <w:spacing w:line="560" w:lineRule="exact"/>
        <w:ind w:left="634"/>
        <w:rPr>
          <w:rFonts w:ascii="仿宋_GB2312" w:hAnsi="仿宋" w:eastAsia="仿宋_GB2312" w:cs="仿宋"/>
          <w:color w:val="000000" w:themeColor="text1"/>
          <w:kern w:val="0"/>
        </w:rPr>
      </w:pPr>
    </w:p>
    <w:p>
      <w:pPr>
        <w:spacing w:line="560" w:lineRule="exact"/>
        <w:jc w:val="center"/>
        <w:rPr>
          <w:rFonts w:ascii="仿宋_GB2312" w:hAnsi="仿宋" w:eastAsia="仿宋_GB2312" w:cs="仿宋"/>
          <w:bCs/>
        </w:rPr>
      </w:pPr>
      <w:r>
        <w:rPr>
          <w:rFonts w:hint="eastAsia" w:ascii="仿宋_GB2312" w:hAnsi="仿宋" w:eastAsia="仿宋_GB2312" w:cs="仿宋"/>
        </w:rPr>
        <w:t xml:space="preserve">                                  </w:t>
      </w:r>
      <w:r>
        <w:rPr>
          <w:rFonts w:hint="eastAsia" w:ascii="仿宋_GB2312" w:hAnsi="仿宋" w:eastAsia="仿宋_GB2312" w:cs="仿宋"/>
          <w:b/>
        </w:rPr>
        <w:t xml:space="preserve">  </w:t>
      </w:r>
      <w:r>
        <w:rPr>
          <w:rFonts w:hint="eastAsia" w:ascii="仿宋_GB2312" w:hAnsi="仿宋" w:eastAsia="仿宋_GB2312" w:cs="仿宋"/>
          <w:bCs/>
        </w:rPr>
        <w:t xml:space="preserve"> </w:t>
      </w:r>
    </w:p>
    <w:p>
      <w:pPr>
        <w:spacing w:line="560" w:lineRule="exact"/>
        <w:jc w:val="center"/>
        <w:rPr>
          <w:rFonts w:ascii="仿宋_GB2312" w:hAnsi="仿宋" w:eastAsia="仿宋_GB2312" w:cs="仿宋"/>
          <w:bCs/>
        </w:rPr>
      </w:pPr>
    </w:p>
    <w:p>
      <w:pPr>
        <w:spacing w:line="560" w:lineRule="exact"/>
        <w:jc w:val="right"/>
        <w:rPr>
          <w:rFonts w:ascii="仿宋_GB2312" w:hAnsi="仿宋" w:eastAsia="仿宋_GB2312" w:cs="仿宋"/>
          <w:bCs/>
        </w:rPr>
      </w:pPr>
      <w:r>
        <w:rPr>
          <w:rFonts w:hint="eastAsia" w:ascii="仿宋_GB2312" w:hAnsi="仿宋" w:eastAsia="仿宋_GB2312" w:cs="仿宋"/>
          <w:bCs/>
        </w:rPr>
        <w:t>湖里区教育局</w:t>
      </w:r>
    </w:p>
    <w:p>
      <w:pPr>
        <w:spacing w:line="560" w:lineRule="exact"/>
        <w:jc w:val="right"/>
        <w:rPr>
          <w:rFonts w:ascii="仿宋_GB2312" w:hAnsi="仿宋" w:eastAsia="仿宋_GB2312" w:cs="仿宋"/>
          <w:bCs/>
        </w:rPr>
      </w:pPr>
      <w:r>
        <w:rPr>
          <w:rFonts w:hint="eastAsia" w:ascii="仿宋_GB2312" w:hAnsi="仿宋" w:eastAsia="仿宋_GB2312" w:cs="仿宋"/>
          <w:bCs/>
        </w:rPr>
        <w:t xml:space="preserve">                                     2021年4月</w:t>
      </w:r>
      <w:r>
        <w:rPr>
          <w:rFonts w:hint="eastAsia" w:ascii="仿宋_GB2312" w:hAnsi="仿宋" w:eastAsia="仿宋_GB2312" w:cs="仿宋"/>
          <w:bCs/>
          <w:lang w:val="en-US" w:eastAsia="zh-CN"/>
        </w:rPr>
        <w:t>20</w:t>
      </w:r>
      <w:r>
        <w:rPr>
          <w:rFonts w:hint="eastAsia" w:ascii="仿宋_GB2312" w:hAnsi="仿宋" w:eastAsia="仿宋_GB2312" w:cs="仿宋"/>
          <w:bCs/>
        </w:rPr>
        <w:t>日</w:t>
      </w:r>
    </w:p>
    <w:p>
      <w:pPr>
        <w:spacing w:line="560" w:lineRule="exact"/>
        <w:rPr>
          <w:rFonts w:ascii="仿宋_GB2312" w:eastAsia="仿宋_GB2312"/>
        </w:rPr>
      </w:pPr>
    </w:p>
    <w:p>
      <w:pPr>
        <w:spacing w:line="560" w:lineRule="exact"/>
        <w:ind w:firstLine="640"/>
        <w:rPr>
          <w:rFonts w:ascii="仿宋_GB2312" w:hAnsi="仿宋" w:eastAsia="仿宋_GB2312" w:cs="仿宋"/>
          <w:sz w:val="28"/>
          <w:szCs w:val="28"/>
        </w:rPr>
      </w:pPr>
    </w:p>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320D7"/>
    <w:multiLevelType w:val="singleLevel"/>
    <w:tmpl w:val="65D320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4BB5D1F"/>
    <w:rsid w:val="000E7B12"/>
    <w:rsid w:val="005660B2"/>
    <w:rsid w:val="008F639D"/>
    <w:rsid w:val="10E741CB"/>
    <w:rsid w:val="46936E11"/>
    <w:rsid w:val="53701A5A"/>
    <w:rsid w:val="708601D3"/>
    <w:rsid w:val="74BB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 w:asciiTheme="minorHAnsi" w:hAnsiTheme="minorHAnsi" w:cstheme="minorBidi"/>
      <w:kern w:val="2"/>
      <w:sz w:val="32"/>
      <w:szCs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eastAsia="方正仿宋" w:asciiTheme="minorHAnsi" w:hAnsiTheme="minorHAnsi" w:cstheme="minorBidi"/>
      <w:kern w:val="2"/>
      <w:sz w:val="18"/>
      <w:szCs w:val="18"/>
    </w:rPr>
  </w:style>
  <w:style w:type="character" w:customStyle="1" w:styleId="7">
    <w:name w:val="页脚 Char"/>
    <w:basedOn w:val="4"/>
    <w:link w:val="2"/>
    <w:qFormat/>
    <w:uiPriority w:val="0"/>
    <w:rPr>
      <w:rFonts w:eastAsia="方正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教育局</Company>
  <Pages>2</Pages>
  <Words>111</Words>
  <Characters>639</Characters>
  <Lines>5</Lines>
  <Paragraphs>1</Paragraphs>
  <TotalTime>1</TotalTime>
  <ScaleCrop>false</ScaleCrop>
  <LinksUpToDate>false</LinksUpToDate>
  <CharactersWithSpaces>749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2021-04-17T08:44:00Z</dcterms:created>
  <dc:creator>Dell</dc:creator>
  <cp:lastModifiedBy>Dell</cp:lastModifiedBy>
  <cp:lastPrinted>2021-04-20T02:04:00Z</cp:lastPrinted>
  <dcterms:modified xsi:type="dcterms:W3CDTF">2021-04-20T04:12:45Z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