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66AC" w14:textId="749E6A61" w:rsidR="00A94FDF" w:rsidRPr="006B4934" w:rsidRDefault="006B4934">
      <w:pPr>
        <w:spacing w:line="500" w:lineRule="atLeast"/>
        <w:ind w:firstLineChars="100" w:firstLine="320"/>
        <w:jc w:val="left"/>
        <w:rPr>
          <w:rFonts w:ascii="黑体" w:eastAsia="黑体" w:hAnsi="黑体" w:cs="仿宋_GB2312" w:hint="eastAsia"/>
          <w:sz w:val="32"/>
          <w:szCs w:val="32"/>
        </w:rPr>
      </w:pPr>
      <w:r w:rsidRPr="006B4934">
        <w:rPr>
          <w:rFonts w:ascii="黑体" w:eastAsia="黑体" w:hAnsi="黑体" w:cs="仿宋_GB2312" w:hint="eastAsia"/>
          <w:sz w:val="32"/>
          <w:szCs w:val="32"/>
          <w:lang w:val="en"/>
        </w:rPr>
        <w:t>附件</w:t>
      </w:r>
      <w:r w:rsidRPr="006B4934">
        <w:rPr>
          <w:rFonts w:ascii="黑体" w:eastAsia="黑体" w:hAnsi="黑体" w:cs="仿宋_GB2312" w:hint="eastAsia"/>
          <w:sz w:val="32"/>
          <w:szCs w:val="32"/>
        </w:rPr>
        <w:t>2</w:t>
      </w:r>
    </w:p>
    <w:p w14:paraId="026CA689" w14:textId="77777777" w:rsidR="00A94FDF" w:rsidRDefault="00A94FDF">
      <w:pPr>
        <w:spacing w:line="500" w:lineRule="atLeas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D3D8547" w14:textId="77777777" w:rsidR="00A94FDF" w:rsidRDefault="006B4934">
      <w:pPr>
        <w:spacing w:line="500" w:lineRule="atLeas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年度行政事业性国有资产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报告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填报说明提纲</w:t>
      </w:r>
    </w:p>
    <w:p w14:paraId="5C2EAE6A" w14:textId="77777777" w:rsidR="00A94FDF" w:rsidRDefault="00A94FDF">
      <w:pPr>
        <w:spacing w:line="500" w:lineRule="atLeast"/>
        <w:jc w:val="center"/>
        <w:rPr>
          <w:rFonts w:ascii="仿宋_GB2312" w:eastAsia="仿宋_GB2312" w:hAnsi="楷体" w:cs="楷体" w:hint="eastAsia"/>
          <w:sz w:val="32"/>
          <w:szCs w:val="32"/>
        </w:rPr>
      </w:pPr>
    </w:p>
    <w:p w14:paraId="05E5FD24" w14:textId="77777777" w:rsidR="00A94FDF" w:rsidRDefault="006B4934">
      <w:pPr>
        <w:pStyle w:val="a5"/>
        <w:ind w:left="640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一、数据填报口径</w:t>
      </w:r>
    </w:p>
    <w:p w14:paraId="632CFF61" w14:textId="77777777" w:rsidR="00A94FDF" w:rsidRDefault="006B4934">
      <w:pPr>
        <w:pStyle w:val="a5"/>
        <w:ind w:firstLine="640"/>
        <w:rPr>
          <w:rFonts w:hAnsi="仿宋" w:hint="eastAsia"/>
          <w:sz w:val="32"/>
          <w:szCs w:val="32"/>
        </w:rPr>
      </w:pPr>
      <w:r>
        <w:rPr>
          <w:rFonts w:hAnsi="Calibri" w:hint="eastAsia"/>
          <w:color w:val="000000" w:themeColor="text1"/>
          <w:kern w:val="2"/>
          <w:sz w:val="32"/>
          <w:szCs w:val="32"/>
        </w:rPr>
        <w:t>本地区、本部门应纳入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202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4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年度行政事业性国有资产报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表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（以下简称资产报表）填报范围的行政事业单位共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XX</w:t>
      </w:r>
      <w:proofErr w:type="gramStart"/>
      <w:r>
        <w:rPr>
          <w:rFonts w:hAnsi="Calibri" w:hint="eastAsia"/>
          <w:color w:val="000000" w:themeColor="text1"/>
          <w:kern w:val="2"/>
          <w:sz w:val="32"/>
          <w:szCs w:val="32"/>
        </w:rPr>
        <w:t>个</w:t>
      </w:r>
      <w:proofErr w:type="gramEnd"/>
      <w:r>
        <w:rPr>
          <w:rFonts w:hAnsi="Calibri" w:hint="eastAsia"/>
          <w:color w:val="000000" w:themeColor="text1"/>
          <w:kern w:val="2"/>
          <w:sz w:val="32"/>
          <w:szCs w:val="32"/>
        </w:rPr>
        <w:t>，实际上报单位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XX</w:t>
      </w:r>
      <w:proofErr w:type="gramStart"/>
      <w:r>
        <w:rPr>
          <w:rFonts w:hAnsi="Calibri" w:hint="eastAsia"/>
          <w:color w:val="000000" w:themeColor="text1"/>
          <w:kern w:val="2"/>
          <w:sz w:val="32"/>
          <w:szCs w:val="32"/>
        </w:rPr>
        <w:t>个</w:t>
      </w:r>
      <w:proofErr w:type="gramEnd"/>
      <w:r>
        <w:rPr>
          <w:rFonts w:hAnsi="Calibri" w:hint="eastAsia"/>
          <w:color w:val="000000" w:themeColor="text1"/>
          <w:kern w:val="2"/>
          <w:sz w:val="32"/>
          <w:szCs w:val="32"/>
        </w:rPr>
        <w:t>。说明未上报单位原因。</w:t>
      </w:r>
    </w:p>
    <w:p w14:paraId="504E1A02" w14:textId="77777777" w:rsidR="00A94FDF" w:rsidRDefault="006B4934">
      <w:pPr>
        <w:pStyle w:val="a5"/>
        <w:ind w:left="640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二、数据审核情况</w:t>
      </w:r>
    </w:p>
    <w:p w14:paraId="5F489C89" w14:textId="77777777" w:rsidR="00A94FDF" w:rsidRDefault="006B4934">
      <w:pPr>
        <w:pStyle w:val="a5"/>
        <w:ind w:firstLineChars="147" w:firstLine="472"/>
        <w:rPr>
          <w:rFonts w:ascii="楷体_GB2312" w:eastAsia="楷体_GB2312" w:hAnsi="仿宋" w:cs="仿宋" w:hint="eastAsia"/>
          <w:b/>
          <w:sz w:val="32"/>
          <w:szCs w:val="32"/>
        </w:rPr>
      </w:pPr>
      <w:r>
        <w:rPr>
          <w:rFonts w:ascii="楷体_GB2312" w:eastAsia="楷体_GB2312" w:hAnsi="仿宋" w:cs="仿宋" w:hint="eastAsia"/>
          <w:b/>
          <w:sz w:val="32"/>
          <w:szCs w:val="32"/>
        </w:rPr>
        <w:t>（一）审核情况。</w:t>
      </w:r>
    </w:p>
    <w:p w14:paraId="7FAA1D7D" w14:textId="77777777" w:rsidR="00A94FDF" w:rsidRDefault="006B4934">
      <w:pPr>
        <w:pStyle w:val="a5"/>
        <w:ind w:firstLine="640"/>
        <w:rPr>
          <w:rFonts w:hAnsi="Calibri"/>
          <w:color w:val="000000" w:themeColor="text1"/>
          <w:kern w:val="2"/>
          <w:sz w:val="32"/>
          <w:szCs w:val="32"/>
        </w:rPr>
      </w:pPr>
      <w:r>
        <w:rPr>
          <w:rFonts w:hAnsi="Calibri" w:hint="eastAsia"/>
          <w:color w:val="000000" w:themeColor="text1"/>
          <w:kern w:val="2"/>
          <w:sz w:val="32"/>
          <w:szCs w:val="32"/>
        </w:rPr>
        <w:t>1.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核实性审核。本地区、本</w:t>
      </w:r>
      <w:proofErr w:type="gramStart"/>
      <w:r>
        <w:rPr>
          <w:rFonts w:hAnsi="Calibri" w:hint="eastAsia"/>
          <w:color w:val="000000" w:themeColor="text1"/>
          <w:kern w:val="2"/>
          <w:sz w:val="32"/>
          <w:szCs w:val="32"/>
        </w:rPr>
        <w:t>部门全表审核</w:t>
      </w:r>
      <w:proofErr w:type="gramEnd"/>
      <w:r>
        <w:rPr>
          <w:rFonts w:hAnsi="Calibri" w:hint="eastAsia"/>
          <w:color w:val="000000" w:themeColor="text1"/>
          <w:kern w:val="2"/>
          <w:sz w:val="32"/>
          <w:szCs w:val="32"/>
        </w:rPr>
        <w:t>后核实性问题</w:t>
      </w:r>
      <w:proofErr w:type="gramStart"/>
      <w:r>
        <w:rPr>
          <w:rFonts w:hAnsi="Calibri" w:hint="eastAsia"/>
          <w:color w:val="000000" w:themeColor="text1"/>
          <w:kern w:val="2"/>
          <w:sz w:val="32"/>
          <w:szCs w:val="32"/>
        </w:rPr>
        <w:t>提示共</w:t>
      </w:r>
      <w:proofErr w:type="gramEnd"/>
      <w:r>
        <w:rPr>
          <w:rFonts w:hAnsi="Calibri" w:hint="eastAsia"/>
          <w:color w:val="000000" w:themeColor="text1"/>
          <w:kern w:val="2"/>
          <w:sz w:val="32"/>
          <w:szCs w:val="32"/>
        </w:rPr>
        <w:t>XX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条，涉及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XX</w:t>
      </w:r>
      <w:proofErr w:type="gramStart"/>
      <w:r>
        <w:rPr>
          <w:rFonts w:hAnsi="Calibri" w:hint="eastAsia"/>
          <w:color w:val="000000" w:themeColor="text1"/>
          <w:kern w:val="2"/>
          <w:sz w:val="32"/>
          <w:szCs w:val="32"/>
        </w:rPr>
        <w:t>个</w:t>
      </w:r>
      <w:proofErr w:type="gramEnd"/>
      <w:r>
        <w:rPr>
          <w:rFonts w:hAnsi="Calibri" w:hint="eastAsia"/>
          <w:color w:val="000000" w:themeColor="text1"/>
          <w:kern w:val="2"/>
          <w:sz w:val="32"/>
          <w:szCs w:val="32"/>
        </w:rPr>
        <w:t>单位，说明主要原因。</w:t>
      </w:r>
    </w:p>
    <w:p w14:paraId="3C3A4FED" w14:textId="77777777" w:rsidR="00A94FDF" w:rsidRDefault="006B4934">
      <w:pPr>
        <w:pStyle w:val="a5"/>
        <w:ind w:firstLine="640"/>
        <w:rPr>
          <w:rFonts w:hAnsi="Calibri"/>
          <w:color w:val="000000" w:themeColor="text1"/>
          <w:kern w:val="2"/>
          <w:sz w:val="32"/>
          <w:szCs w:val="32"/>
        </w:rPr>
      </w:pPr>
      <w:r>
        <w:rPr>
          <w:rFonts w:hAnsi="Calibri" w:hint="eastAsia"/>
          <w:color w:val="000000" w:themeColor="text1"/>
          <w:kern w:val="2"/>
          <w:sz w:val="32"/>
          <w:szCs w:val="32"/>
        </w:rPr>
        <w:t>2.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基础数据审核。本地区、本部门资产数据与上年对比，增减超过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20%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且≥±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100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万元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的，说明主要原因。</w:t>
      </w:r>
    </w:p>
    <w:p w14:paraId="24191955" w14:textId="77777777" w:rsidR="00A94FDF" w:rsidRDefault="006B4934">
      <w:pPr>
        <w:pStyle w:val="a5"/>
        <w:ind w:firstLine="640"/>
        <w:rPr>
          <w:rFonts w:hAnsi="Calibri"/>
          <w:color w:val="000000" w:themeColor="text1"/>
          <w:kern w:val="2"/>
          <w:sz w:val="32"/>
          <w:szCs w:val="32"/>
        </w:rPr>
      </w:pPr>
      <w:r>
        <w:rPr>
          <w:rFonts w:hAnsi="Calibri" w:hint="eastAsia"/>
          <w:color w:val="000000" w:themeColor="text1"/>
          <w:kern w:val="2"/>
          <w:sz w:val="32"/>
          <w:szCs w:val="32"/>
        </w:rPr>
        <w:t>3.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与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中央部门所属企业名录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对比审核。对外投资情况表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中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被投资单位与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中央部门所属企业名录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是否一致，若有差异说明原因。</w:t>
      </w:r>
    </w:p>
    <w:p w14:paraId="71ED8A5F" w14:textId="77777777" w:rsidR="00A94FDF" w:rsidRDefault="006B4934">
      <w:pPr>
        <w:pStyle w:val="a5"/>
        <w:ind w:firstLine="640"/>
        <w:rPr>
          <w:rFonts w:hAnsi="Calibri"/>
          <w:color w:val="000000" w:themeColor="text1"/>
          <w:kern w:val="2"/>
          <w:sz w:val="32"/>
          <w:szCs w:val="32"/>
        </w:rPr>
      </w:pPr>
      <w:r>
        <w:rPr>
          <w:rFonts w:hAnsi="Calibri" w:hint="eastAsia"/>
          <w:color w:val="000000" w:themeColor="text1"/>
          <w:kern w:val="2"/>
          <w:sz w:val="32"/>
          <w:szCs w:val="32"/>
        </w:rPr>
        <w:t>4.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与政府部门财务报告对比审核。本地区、本部门报送资产报表的单位中，有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XX</w:t>
      </w:r>
      <w:proofErr w:type="gramStart"/>
      <w:r>
        <w:rPr>
          <w:rFonts w:hAnsi="Calibri" w:hint="eastAsia"/>
          <w:color w:val="000000" w:themeColor="text1"/>
          <w:kern w:val="2"/>
          <w:sz w:val="32"/>
          <w:szCs w:val="32"/>
        </w:rPr>
        <w:t>个</w:t>
      </w:r>
      <w:proofErr w:type="gramEnd"/>
      <w:r>
        <w:rPr>
          <w:rFonts w:hAnsi="Calibri" w:hint="eastAsia"/>
          <w:color w:val="000000" w:themeColor="text1"/>
          <w:kern w:val="2"/>
          <w:sz w:val="32"/>
          <w:szCs w:val="32"/>
        </w:rPr>
        <w:t>单位未纳入政府部门财务报告；纳入本地区、本部门政府部门财务报告的行政事业单位（不含企业化管理事业单位）有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XX</w:t>
      </w:r>
      <w:proofErr w:type="gramStart"/>
      <w:r>
        <w:rPr>
          <w:rFonts w:hAnsi="Calibri" w:hint="eastAsia"/>
          <w:color w:val="000000" w:themeColor="text1"/>
          <w:kern w:val="2"/>
          <w:sz w:val="32"/>
          <w:szCs w:val="32"/>
        </w:rPr>
        <w:t>个</w:t>
      </w:r>
      <w:proofErr w:type="gramEnd"/>
      <w:r>
        <w:rPr>
          <w:rFonts w:hAnsi="Calibri" w:hint="eastAsia"/>
          <w:color w:val="000000" w:themeColor="text1"/>
          <w:kern w:val="2"/>
          <w:sz w:val="32"/>
          <w:szCs w:val="32"/>
        </w:rPr>
        <w:t>未报送资产报表，说明主要原因。</w:t>
      </w:r>
    </w:p>
    <w:p w14:paraId="40E25D11" w14:textId="77777777" w:rsidR="00A94FDF" w:rsidRDefault="006B4934">
      <w:pPr>
        <w:pStyle w:val="a5"/>
        <w:ind w:firstLine="640"/>
        <w:rPr>
          <w:rFonts w:hAnsi="Calibri"/>
          <w:color w:val="000000" w:themeColor="text1"/>
          <w:kern w:val="2"/>
          <w:sz w:val="32"/>
          <w:szCs w:val="32"/>
        </w:rPr>
      </w:pPr>
      <w:r>
        <w:rPr>
          <w:rFonts w:hAnsi="Calibri" w:hint="eastAsia"/>
          <w:color w:val="000000" w:themeColor="text1"/>
          <w:kern w:val="2"/>
          <w:sz w:val="32"/>
          <w:szCs w:val="32"/>
        </w:rPr>
        <w:lastRenderedPageBreak/>
        <w:t>5.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与部门决算对比审核。本地区、本部门资产报表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中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房屋、车辆、单价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100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万元（含）以上的设备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等重点资产</w:t>
      </w:r>
      <w:r>
        <w:rPr>
          <w:rFonts w:hAnsi="Calibri" w:hint="eastAsia"/>
          <w:color w:val="000000" w:themeColor="text1"/>
          <w:kern w:val="2"/>
          <w:sz w:val="32"/>
          <w:szCs w:val="32"/>
        </w:rPr>
        <w:t>，与部门决算相关数据对比，若有差异说明原因。</w:t>
      </w:r>
    </w:p>
    <w:p w14:paraId="47192713" w14:textId="77777777" w:rsidR="00A94FDF" w:rsidRDefault="006B4934">
      <w:pPr>
        <w:pStyle w:val="a5"/>
        <w:ind w:firstLine="640"/>
        <w:rPr>
          <w:rFonts w:hAnsi="Calibri"/>
          <w:kern w:val="2"/>
          <w:sz w:val="32"/>
          <w:szCs w:val="32"/>
        </w:rPr>
      </w:pPr>
      <w:r>
        <w:rPr>
          <w:rFonts w:hAnsi="Calibri" w:hint="eastAsia"/>
          <w:kern w:val="2"/>
          <w:sz w:val="32"/>
          <w:szCs w:val="32"/>
        </w:rPr>
        <w:t>6.</w:t>
      </w:r>
      <w:r>
        <w:rPr>
          <w:rFonts w:hAnsi="Calibri" w:hint="eastAsia"/>
          <w:kern w:val="2"/>
          <w:sz w:val="32"/>
          <w:szCs w:val="32"/>
        </w:rPr>
        <w:t>公共基础设施等行政事业性国有资产增长变化情况。</w:t>
      </w:r>
      <w:r>
        <w:rPr>
          <w:rFonts w:hAnsi="Calibri" w:hint="eastAsia"/>
          <w:kern w:val="2"/>
          <w:sz w:val="32"/>
          <w:szCs w:val="32"/>
        </w:rPr>
        <w:t>本地区、本部门</w:t>
      </w:r>
      <w:r>
        <w:rPr>
          <w:rFonts w:hAnsi="Calibri" w:hint="eastAsia"/>
          <w:kern w:val="2"/>
          <w:sz w:val="32"/>
          <w:szCs w:val="32"/>
        </w:rPr>
        <w:t>公共基础设施（包括交通、水利、市政、其他公共基础设施）、政府储备物资、保障性住房、文物文化资产与上年变化情况分析，变化差异较大的说明原因。</w:t>
      </w:r>
    </w:p>
    <w:p w14:paraId="2AFCCBD6" w14:textId="77777777" w:rsidR="00A94FDF" w:rsidRDefault="006B4934">
      <w:pPr>
        <w:pStyle w:val="a5"/>
        <w:ind w:firstLineChars="147" w:firstLine="472"/>
        <w:rPr>
          <w:rFonts w:ascii="楷体_GB2312" w:eastAsia="楷体_GB2312" w:hAnsi="仿宋" w:cs="仿宋" w:hint="eastAsia"/>
          <w:b/>
          <w:sz w:val="32"/>
          <w:szCs w:val="32"/>
        </w:rPr>
      </w:pPr>
      <w:r>
        <w:rPr>
          <w:rFonts w:ascii="楷体_GB2312" w:eastAsia="楷体_GB2312" w:hAnsi="仿宋" w:cs="仿宋" w:hint="eastAsia"/>
          <w:b/>
          <w:sz w:val="32"/>
          <w:szCs w:val="32"/>
        </w:rPr>
        <w:t>（二）对报表指标、审核公式和分析表的设置建议。</w:t>
      </w:r>
    </w:p>
    <w:p w14:paraId="3F24929B" w14:textId="77777777" w:rsidR="00A94FDF" w:rsidRDefault="006B4934">
      <w:pPr>
        <w:pStyle w:val="a5"/>
        <w:ind w:firstLine="640"/>
        <w:rPr>
          <w:rFonts w:hAnsi="仿宋" w:hint="eastAsia"/>
          <w:sz w:val="32"/>
          <w:szCs w:val="32"/>
        </w:rPr>
      </w:pPr>
      <w:r>
        <w:rPr>
          <w:rFonts w:hAnsi="仿宋" w:hint="eastAsia"/>
          <w:sz w:val="32"/>
          <w:szCs w:val="32"/>
        </w:rPr>
        <w:t>1.</w:t>
      </w:r>
      <w:r>
        <w:rPr>
          <w:rFonts w:hAnsi="仿宋" w:hint="eastAsia"/>
          <w:sz w:val="32"/>
          <w:szCs w:val="32"/>
        </w:rPr>
        <w:t>对</w:t>
      </w:r>
      <w:r>
        <w:rPr>
          <w:rFonts w:hAnsi="仿宋" w:hint="eastAsia"/>
          <w:sz w:val="32"/>
          <w:szCs w:val="32"/>
        </w:rPr>
        <w:t>资产</w:t>
      </w:r>
      <w:r>
        <w:rPr>
          <w:rFonts w:hAnsi="仿宋" w:hint="eastAsia"/>
          <w:sz w:val="32"/>
          <w:szCs w:val="32"/>
        </w:rPr>
        <w:t>报表指标设置的建议。</w:t>
      </w:r>
    </w:p>
    <w:p w14:paraId="7919112F" w14:textId="77777777" w:rsidR="00A94FDF" w:rsidRDefault="006B4934">
      <w:pPr>
        <w:pStyle w:val="a5"/>
        <w:ind w:firstLine="640"/>
        <w:rPr>
          <w:rFonts w:hAnsi="仿宋" w:hint="eastAsia"/>
          <w:sz w:val="32"/>
          <w:szCs w:val="32"/>
        </w:rPr>
      </w:pPr>
      <w:r>
        <w:rPr>
          <w:rFonts w:hAnsi="仿宋" w:hint="eastAsia"/>
          <w:sz w:val="32"/>
          <w:szCs w:val="32"/>
        </w:rPr>
        <w:t>2.</w:t>
      </w:r>
      <w:r>
        <w:rPr>
          <w:rFonts w:hAnsi="仿宋" w:hint="eastAsia"/>
          <w:sz w:val="32"/>
          <w:szCs w:val="32"/>
        </w:rPr>
        <w:t>如有不适用的审核公式，列出并说明修改意见。</w:t>
      </w:r>
    </w:p>
    <w:p w14:paraId="51B51FD9" w14:textId="77777777" w:rsidR="00A94FDF" w:rsidRDefault="006B4934">
      <w:pPr>
        <w:pStyle w:val="a5"/>
        <w:ind w:firstLine="640"/>
        <w:rPr>
          <w:rFonts w:hAnsi="仿宋" w:hint="eastAsia"/>
          <w:sz w:val="32"/>
          <w:szCs w:val="32"/>
        </w:rPr>
      </w:pPr>
      <w:r>
        <w:rPr>
          <w:rFonts w:hAnsi="仿宋" w:hint="eastAsia"/>
          <w:sz w:val="32"/>
          <w:szCs w:val="32"/>
        </w:rPr>
        <w:t>3.</w:t>
      </w:r>
      <w:r>
        <w:rPr>
          <w:rFonts w:hAnsi="仿宋" w:hint="eastAsia"/>
          <w:sz w:val="32"/>
          <w:szCs w:val="32"/>
        </w:rPr>
        <w:t>对</w:t>
      </w:r>
      <w:r>
        <w:rPr>
          <w:rFonts w:hAnsi="仿宋" w:hint="eastAsia"/>
          <w:sz w:val="32"/>
          <w:szCs w:val="32"/>
        </w:rPr>
        <w:t>本地区、本部门自行增加的审核公式，列出并说明设置依据。</w:t>
      </w:r>
    </w:p>
    <w:p w14:paraId="2C93B7B4" w14:textId="77777777" w:rsidR="00A94FDF" w:rsidRDefault="006B4934">
      <w:pPr>
        <w:ind w:firstLineChars="225" w:firstLine="720"/>
        <w:rPr>
          <w:rFonts w:ascii="黑体" w:eastAsia="黑体"/>
          <w:color w:val="000000" w:themeColor="text1"/>
          <w:sz w:val="32"/>
          <w:szCs w:val="32"/>
        </w:rPr>
      </w:pPr>
      <w:r>
        <w:rPr>
          <w:rFonts w:ascii="黑体" w:eastAsia="黑体" w:hAnsi="仿宋" w:hint="eastAsia"/>
          <w:color w:val="000000" w:themeColor="text1"/>
          <w:sz w:val="32"/>
          <w:szCs w:val="32"/>
        </w:rPr>
        <w:t>三</w:t>
      </w:r>
      <w:r>
        <w:rPr>
          <w:rFonts w:ascii="黑体" w:eastAsia="黑体" w:hAnsi="仿宋" w:hint="eastAsia"/>
          <w:color w:val="000000" w:themeColor="text1"/>
          <w:sz w:val="32"/>
          <w:szCs w:val="32"/>
        </w:rPr>
        <w:t>、其他需要</w:t>
      </w:r>
      <w:r>
        <w:rPr>
          <w:rFonts w:ascii="黑体" w:eastAsia="黑体" w:hAnsi="仿宋" w:hint="eastAsia"/>
          <w:color w:val="000000" w:themeColor="text1"/>
          <w:sz w:val="32"/>
          <w:szCs w:val="32"/>
        </w:rPr>
        <w:t>说明</w:t>
      </w:r>
      <w:r>
        <w:rPr>
          <w:rFonts w:ascii="黑体" w:eastAsia="黑体" w:hAnsi="仿宋" w:hint="eastAsia"/>
          <w:color w:val="000000" w:themeColor="text1"/>
          <w:sz w:val="32"/>
          <w:szCs w:val="32"/>
        </w:rPr>
        <w:t>的重要事项</w:t>
      </w:r>
    </w:p>
    <w:p w14:paraId="39FB2F23" w14:textId="77777777" w:rsidR="00A94FDF" w:rsidRDefault="006B4934">
      <w:pPr>
        <w:spacing w:line="360" w:lineRule="auto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（一）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对本地区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本部门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资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产损失、权属</w:t>
      </w:r>
      <w:r>
        <w:rPr>
          <w:rFonts w:ascii="仿宋_GB2312" w:eastAsia="仿宋_GB2312"/>
          <w:color w:val="000000" w:themeColor="text1"/>
          <w:sz w:val="32"/>
          <w:szCs w:val="32"/>
        </w:rPr>
        <w:t>不清晰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等重要</w:t>
      </w:r>
      <w:r>
        <w:rPr>
          <w:rFonts w:ascii="仿宋_GB2312" w:eastAsia="仿宋_GB2312"/>
          <w:color w:val="000000" w:themeColor="text1"/>
          <w:sz w:val="32"/>
          <w:szCs w:val="32"/>
        </w:rPr>
        <w:t>资产情况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以及其他重要事项进行详细分析说明。</w:t>
      </w:r>
    </w:p>
    <w:p w14:paraId="744C14C6" w14:textId="77777777" w:rsidR="00A94FDF" w:rsidRDefault="006B4934">
      <w:pPr>
        <w:spacing w:line="360" w:lineRule="auto"/>
        <w:ind w:firstLineChars="200" w:firstLine="640"/>
        <w:rPr>
          <w:color w:val="000000" w:themeColor="text1"/>
          <w:sz w:val="32"/>
          <w:szCs w:val="32"/>
        </w:rPr>
      </w:pPr>
      <w:r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（二）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本地区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本部门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公共基础设施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政府储备物资、文物文化资产、保障性住房数据与行业统计数据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的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对比情况，如不一致应说明差异原因。</w:t>
      </w:r>
    </w:p>
    <w:p w14:paraId="25C5DF93" w14:textId="77777777" w:rsidR="00A94FDF" w:rsidRDefault="00A94FDF">
      <w:pPr>
        <w:pStyle w:val="a5"/>
        <w:ind w:left="640"/>
        <w:rPr>
          <w:rFonts w:ascii="仿宋" w:eastAsia="仿宋" w:hAnsi="仿宋" w:cs="仿宋" w:hint="eastAsia"/>
          <w:sz w:val="32"/>
          <w:szCs w:val="32"/>
        </w:rPr>
      </w:pPr>
    </w:p>
    <w:sectPr w:rsidR="00A94FDF">
      <w:headerReference w:type="default" r:id="rId7"/>
      <w:footerReference w:type="default" r:id="rId8"/>
      <w:pgSz w:w="11906" w:h="16838"/>
      <w:pgMar w:top="1440" w:right="1576" w:bottom="1440" w:left="157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FBF3E" w14:textId="77777777" w:rsidR="006B4934" w:rsidRDefault="006B4934">
      <w:r>
        <w:separator/>
      </w:r>
    </w:p>
  </w:endnote>
  <w:endnote w:type="continuationSeparator" w:id="0">
    <w:p w14:paraId="59E27255" w14:textId="77777777" w:rsidR="006B4934" w:rsidRDefault="006B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5D34" w14:textId="77777777" w:rsidR="00A94FDF" w:rsidRDefault="006B493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2346F87" w14:textId="77777777" w:rsidR="00A94FDF" w:rsidRDefault="00A94F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18779" w14:textId="77777777" w:rsidR="006B4934" w:rsidRDefault="006B4934">
      <w:r>
        <w:separator/>
      </w:r>
    </w:p>
  </w:footnote>
  <w:footnote w:type="continuationSeparator" w:id="0">
    <w:p w14:paraId="2D89BC51" w14:textId="77777777" w:rsidR="006B4934" w:rsidRDefault="006B4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D161" w14:textId="77777777" w:rsidR="00A94FDF" w:rsidRDefault="00A94FDF">
    <w:pPr>
      <w:pStyle w:val="aa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BhNjYwZmFmZTEzMzg4ZDU3OTU4Y2JlMWFiNmM2NTYifQ=="/>
  </w:docVars>
  <w:rsids>
    <w:rsidRoot w:val="00335991"/>
    <w:rsid w:val="878BA896"/>
    <w:rsid w:val="93BF2E66"/>
    <w:rsid w:val="9FEFCF98"/>
    <w:rsid w:val="9FF792B2"/>
    <w:rsid w:val="A5FFA20C"/>
    <w:rsid w:val="A6FFD064"/>
    <w:rsid w:val="B79AAEF0"/>
    <w:rsid w:val="BD13A10C"/>
    <w:rsid w:val="BFDCF171"/>
    <w:rsid w:val="BFDF761B"/>
    <w:rsid w:val="D5F1B7A1"/>
    <w:rsid w:val="D6BFA14A"/>
    <w:rsid w:val="DF33AF87"/>
    <w:rsid w:val="EF7FA113"/>
    <w:rsid w:val="F34BFA3F"/>
    <w:rsid w:val="F9F75A4B"/>
    <w:rsid w:val="FBA31278"/>
    <w:rsid w:val="FDAF9B61"/>
    <w:rsid w:val="FF3E2ACB"/>
    <w:rsid w:val="FFBF9013"/>
    <w:rsid w:val="FFF64885"/>
    <w:rsid w:val="FFF9CC54"/>
    <w:rsid w:val="FFFAF144"/>
    <w:rsid w:val="FFFF7B0E"/>
    <w:rsid w:val="000049FE"/>
    <w:rsid w:val="00025FE2"/>
    <w:rsid w:val="00060164"/>
    <w:rsid w:val="0006365D"/>
    <w:rsid w:val="00070D4D"/>
    <w:rsid w:val="00093C60"/>
    <w:rsid w:val="000A6954"/>
    <w:rsid w:val="000C0B41"/>
    <w:rsid w:val="000E1A94"/>
    <w:rsid w:val="00112231"/>
    <w:rsid w:val="001317CB"/>
    <w:rsid w:val="00135BD3"/>
    <w:rsid w:val="00186827"/>
    <w:rsid w:val="001A699D"/>
    <w:rsid w:val="001F1D3F"/>
    <w:rsid w:val="001F4EF9"/>
    <w:rsid w:val="00260835"/>
    <w:rsid w:val="002B7325"/>
    <w:rsid w:val="002E4761"/>
    <w:rsid w:val="002F1B98"/>
    <w:rsid w:val="00313106"/>
    <w:rsid w:val="00335991"/>
    <w:rsid w:val="00343D3A"/>
    <w:rsid w:val="00344E53"/>
    <w:rsid w:val="0039703D"/>
    <w:rsid w:val="003D4053"/>
    <w:rsid w:val="003F286C"/>
    <w:rsid w:val="004127EB"/>
    <w:rsid w:val="00432B1F"/>
    <w:rsid w:val="004B14B2"/>
    <w:rsid w:val="004C4497"/>
    <w:rsid w:val="004E66B6"/>
    <w:rsid w:val="00517084"/>
    <w:rsid w:val="00521A84"/>
    <w:rsid w:val="00544332"/>
    <w:rsid w:val="00591362"/>
    <w:rsid w:val="0059651B"/>
    <w:rsid w:val="005A1BA1"/>
    <w:rsid w:val="005B3DE9"/>
    <w:rsid w:val="005B7631"/>
    <w:rsid w:val="005E68B1"/>
    <w:rsid w:val="006048B6"/>
    <w:rsid w:val="00654FF0"/>
    <w:rsid w:val="00666CFD"/>
    <w:rsid w:val="00684169"/>
    <w:rsid w:val="006949CA"/>
    <w:rsid w:val="006B4934"/>
    <w:rsid w:val="006E6AEC"/>
    <w:rsid w:val="00702284"/>
    <w:rsid w:val="00704CA6"/>
    <w:rsid w:val="007259D4"/>
    <w:rsid w:val="00725D34"/>
    <w:rsid w:val="00732BFE"/>
    <w:rsid w:val="00754EED"/>
    <w:rsid w:val="00796F97"/>
    <w:rsid w:val="0084501D"/>
    <w:rsid w:val="00846FA0"/>
    <w:rsid w:val="008E1490"/>
    <w:rsid w:val="00922278"/>
    <w:rsid w:val="00952E45"/>
    <w:rsid w:val="009636B1"/>
    <w:rsid w:val="0098376A"/>
    <w:rsid w:val="0099011D"/>
    <w:rsid w:val="009965F0"/>
    <w:rsid w:val="009A568B"/>
    <w:rsid w:val="009A678D"/>
    <w:rsid w:val="009B1B2E"/>
    <w:rsid w:val="009C2E68"/>
    <w:rsid w:val="009E32C4"/>
    <w:rsid w:val="009E6C2B"/>
    <w:rsid w:val="00A053A5"/>
    <w:rsid w:val="00A209C9"/>
    <w:rsid w:val="00A22192"/>
    <w:rsid w:val="00A52B3F"/>
    <w:rsid w:val="00A74088"/>
    <w:rsid w:val="00A75CAF"/>
    <w:rsid w:val="00A94FDF"/>
    <w:rsid w:val="00AA7BFE"/>
    <w:rsid w:val="00AB43E0"/>
    <w:rsid w:val="00AB7AC4"/>
    <w:rsid w:val="00AD0838"/>
    <w:rsid w:val="00AD48AD"/>
    <w:rsid w:val="00AF54B7"/>
    <w:rsid w:val="00B0148B"/>
    <w:rsid w:val="00B10C3B"/>
    <w:rsid w:val="00B235AD"/>
    <w:rsid w:val="00B244F1"/>
    <w:rsid w:val="00B675BA"/>
    <w:rsid w:val="00B70B23"/>
    <w:rsid w:val="00B718A3"/>
    <w:rsid w:val="00B756DE"/>
    <w:rsid w:val="00BB0DA5"/>
    <w:rsid w:val="00BB25C0"/>
    <w:rsid w:val="00BC3E15"/>
    <w:rsid w:val="00C05D96"/>
    <w:rsid w:val="00C17C36"/>
    <w:rsid w:val="00C222AF"/>
    <w:rsid w:val="00C55A00"/>
    <w:rsid w:val="00C830C8"/>
    <w:rsid w:val="00C90C24"/>
    <w:rsid w:val="00C9528A"/>
    <w:rsid w:val="00CA4EA2"/>
    <w:rsid w:val="00CB2D15"/>
    <w:rsid w:val="00CE68C6"/>
    <w:rsid w:val="00CE68D6"/>
    <w:rsid w:val="00CF4439"/>
    <w:rsid w:val="00CF6577"/>
    <w:rsid w:val="00D15D43"/>
    <w:rsid w:val="00DA0CE3"/>
    <w:rsid w:val="00DD1279"/>
    <w:rsid w:val="00DE6C71"/>
    <w:rsid w:val="00DF0C51"/>
    <w:rsid w:val="00E05042"/>
    <w:rsid w:val="00E058EC"/>
    <w:rsid w:val="00E31B8A"/>
    <w:rsid w:val="00E85851"/>
    <w:rsid w:val="00EB7A21"/>
    <w:rsid w:val="00EC503B"/>
    <w:rsid w:val="00ED2A87"/>
    <w:rsid w:val="00ED5731"/>
    <w:rsid w:val="00F05080"/>
    <w:rsid w:val="00F30282"/>
    <w:rsid w:val="00F9113D"/>
    <w:rsid w:val="00FA395F"/>
    <w:rsid w:val="00FE4709"/>
    <w:rsid w:val="00FE6BEE"/>
    <w:rsid w:val="01B72FE8"/>
    <w:rsid w:val="04300CB7"/>
    <w:rsid w:val="05400E9B"/>
    <w:rsid w:val="05630DED"/>
    <w:rsid w:val="05737DA7"/>
    <w:rsid w:val="05DD0AAC"/>
    <w:rsid w:val="07C8056D"/>
    <w:rsid w:val="0803606E"/>
    <w:rsid w:val="086FDFDD"/>
    <w:rsid w:val="09445E4C"/>
    <w:rsid w:val="0A14573C"/>
    <w:rsid w:val="0AF7BDE6"/>
    <w:rsid w:val="12AA1829"/>
    <w:rsid w:val="17CB7957"/>
    <w:rsid w:val="18043766"/>
    <w:rsid w:val="189C500A"/>
    <w:rsid w:val="1A140B8C"/>
    <w:rsid w:val="1A3E4A12"/>
    <w:rsid w:val="1ADA5C0C"/>
    <w:rsid w:val="1C8E2CFC"/>
    <w:rsid w:val="1CE47404"/>
    <w:rsid w:val="1D1B3B15"/>
    <w:rsid w:val="1EA83571"/>
    <w:rsid w:val="2398650F"/>
    <w:rsid w:val="23F148EF"/>
    <w:rsid w:val="24B63E8F"/>
    <w:rsid w:val="24E34B4D"/>
    <w:rsid w:val="27343E39"/>
    <w:rsid w:val="27403D23"/>
    <w:rsid w:val="277CDB2B"/>
    <w:rsid w:val="2BDC8CC2"/>
    <w:rsid w:val="2C810C7E"/>
    <w:rsid w:val="2CE92C08"/>
    <w:rsid w:val="2D983B51"/>
    <w:rsid w:val="356A0CBA"/>
    <w:rsid w:val="368C3FCD"/>
    <w:rsid w:val="36E74043"/>
    <w:rsid w:val="3AB5BD6B"/>
    <w:rsid w:val="3B1D4ADF"/>
    <w:rsid w:val="3D0F0E7C"/>
    <w:rsid w:val="3D7C6550"/>
    <w:rsid w:val="3D7FBC8A"/>
    <w:rsid w:val="3DC04017"/>
    <w:rsid w:val="3DE16936"/>
    <w:rsid w:val="3E981F4A"/>
    <w:rsid w:val="3EE67CFE"/>
    <w:rsid w:val="3EF65B0D"/>
    <w:rsid w:val="3F890E9E"/>
    <w:rsid w:val="42015F7A"/>
    <w:rsid w:val="42A55E52"/>
    <w:rsid w:val="437755FB"/>
    <w:rsid w:val="46F564D1"/>
    <w:rsid w:val="46FA99D2"/>
    <w:rsid w:val="49007BB4"/>
    <w:rsid w:val="4B95391B"/>
    <w:rsid w:val="4BDC7BBB"/>
    <w:rsid w:val="4D1508E9"/>
    <w:rsid w:val="4D8455FF"/>
    <w:rsid w:val="4E1E6695"/>
    <w:rsid w:val="4E8F59DC"/>
    <w:rsid w:val="4F366B63"/>
    <w:rsid w:val="4FED1790"/>
    <w:rsid w:val="4FF26E69"/>
    <w:rsid w:val="4FFF3EE2"/>
    <w:rsid w:val="529714CD"/>
    <w:rsid w:val="54D20C7A"/>
    <w:rsid w:val="559E2E51"/>
    <w:rsid w:val="57F9262B"/>
    <w:rsid w:val="581C0110"/>
    <w:rsid w:val="58F32484"/>
    <w:rsid w:val="59536C3D"/>
    <w:rsid w:val="5976AA47"/>
    <w:rsid w:val="59CC555B"/>
    <w:rsid w:val="5C6B7BAA"/>
    <w:rsid w:val="5CEC8F21"/>
    <w:rsid w:val="5EC7117B"/>
    <w:rsid w:val="5FCC6669"/>
    <w:rsid w:val="60A52CFD"/>
    <w:rsid w:val="64CF0348"/>
    <w:rsid w:val="69B45402"/>
    <w:rsid w:val="6B065441"/>
    <w:rsid w:val="6BA8786E"/>
    <w:rsid w:val="6C4E4249"/>
    <w:rsid w:val="6D144208"/>
    <w:rsid w:val="6FDFDA5D"/>
    <w:rsid w:val="70913962"/>
    <w:rsid w:val="71422B97"/>
    <w:rsid w:val="71FD9D4F"/>
    <w:rsid w:val="757AFE72"/>
    <w:rsid w:val="76187CCC"/>
    <w:rsid w:val="770A1366"/>
    <w:rsid w:val="773C062C"/>
    <w:rsid w:val="775FF4C9"/>
    <w:rsid w:val="777F0CA0"/>
    <w:rsid w:val="77ADC790"/>
    <w:rsid w:val="77B598FD"/>
    <w:rsid w:val="77B70831"/>
    <w:rsid w:val="77E76F2F"/>
    <w:rsid w:val="79327D46"/>
    <w:rsid w:val="7942105E"/>
    <w:rsid w:val="7B8C49D8"/>
    <w:rsid w:val="7BCA240B"/>
    <w:rsid w:val="7CFD8B18"/>
    <w:rsid w:val="7E6FCA89"/>
    <w:rsid w:val="7ED71BDD"/>
    <w:rsid w:val="7F3FFD1E"/>
    <w:rsid w:val="7F5EE705"/>
    <w:rsid w:val="7F5F3D23"/>
    <w:rsid w:val="7F7B8E36"/>
    <w:rsid w:val="7F7FD9F4"/>
    <w:rsid w:val="7F9F4FC8"/>
    <w:rsid w:val="7FFF8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3C523A"/>
  <w15:docId w15:val="{CE238FBA-8635-4A59-A22E-BDE43FA1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qFormat/>
    <w:pPr>
      <w:widowControl/>
      <w:adjustRightInd w:val="0"/>
      <w:snapToGrid w:val="0"/>
      <w:spacing w:line="360" w:lineRule="auto"/>
    </w:pPr>
    <w:rPr>
      <w:rFonts w:ascii="仿宋_GB2312" w:eastAsia="仿宋_GB2312" w:hAnsi="宋体"/>
      <w:kern w:val="0"/>
      <w:sz w:val="2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ab">
    <w:name w:val="页眉 字符"/>
    <w:link w:val="aa"/>
    <w:qFormat/>
    <w:rPr>
      <w:kern w:val="2"/>
      <w:sz w:val="18"/>
      <w:szCs w:val="18"/>
    </w:rPr>
  </w:style>
  <w:style w:type="character" w:customStyle="1" w:styleId="a7">
    <w:name w:val="批注框文本 字符"/>
    <w:link w:val="a6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ad">
    <w:name w:val="批注主题 字符"/>
    <w:link w:val="ac"/>
    <w:qFormat/>
    <w:rPr>
      <w:b/>
      <w:bCs/>
      <w:kern w:val="2"/>
      <w:sz w:val="21"/>
      <w:szCs w:val="24"/>
    </w:rPr>
  </w:style>
  <w:style w:type="character" w:customStyle="1" w:styleId="a9">
    <w:name w:val="页脚 字符"/>
    <w:link w:val="a8"/>
    <w:uiPriority w:val="99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4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行政事业单位资产编报说明</dc:title>
  <dc:creator>ThiknT450</dc:creator>
  <cp:lastModifiedBy>莎 陈</cp:lastModifiedBy>
  <cp:revision>11</cp:revision>
  <cp:lastPrinted>2023-10-18T19:01:00Z</cp:lastPrinted>
  <dcterms:created xsi:type="dcterms:W3CDTF">2020-09-29T10:27:00Z</dcterms:created>
  <dcterms:modified xsi:type="dcterms:W3CDTF">2024-12-22T07:53:00Z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B9AA6401AEDC4CBD90AC8E969FA1A252</vt:lpwstr>
  </property>
</Properties>
</file>