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sz w:val="2"/>
          <w:szCs w:val="24"/>
        </w:rPr>
      </w:pPr>
    </w:p>
    <w:p>
      <w:pPr>
        <w:spacing w:line="560" w:lineRule="exact"/>
        <w:jc w:val="center"/>
        <w:rPr>
          <w:rFonts w:hint="eastAsia" w:eastAsia="方正小标宋简体"/>
          <w:sz w:val="44"/>
          <w:szCs w:val="44"/>
        </w:rPr>
      </w:pPr>
      <w:r>
        <w:rPr>
          <w:rFonts w:hint="default" w:eastAsia="方正小标宋简体"/>
          <w:sz w:val="44"/>
          <w:szCs w:val="44"/>
          <w:lang w:eastAsia="zh-CN"/>
        </w:rPr>
        <w:t>2026年度</w:t>
      </w:r>
      <w:r>
        <w:rPr>
          <w:rFonts w:hint="eastAsia" w:eastAsia="方正小标宋简体"/>
          <w:sz w:val="44"/>
          <w:szCs w:val="44"/>
          <w:lang w:eastAsia="zh-CN"/>
        </w:rPr>
        <w:t>厦门市湖里区市政园林环卫中心</w:t>
      </w:r>
      <w:r>
        <w:rPr>
          <w:rFonts w:eastAsia="方正小标宋简体"/>
          <w:sz w:val="44"/>
          <w:szCs w:val="44"/>
        </w:rPr>
        <w:t>单位预算说明</w:t>
      </w:r>
    </w:p>
    <w:p>
      <w:pPr>
        <w:ind w:firstLine="0" w:firstLineChars="0"/>
        <w:jc w:val="center"/>
        <w:rPr>
          <w:rFonts w:hint="default"/>
        </w:rPr>
      </w:pPr>
    </w:p>
    <w:p>
      <w:pPr>
        <w:ind w:firstLine="0" w:firstLineChars="0"/>
        <w:jc w:val="center"/>
        <w:rPr>
          <w:rFonts w:hint="default"/>
        </w:rPr>
      </w:pPr>
      <w:r>
        <w:rPr>
          <w:rFonts w:hint="default"/>
        </w:rPr>
        <w:t>目　　录</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第一部分   单位概况</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一、单位主要职责</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二、单位基本情况</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三、单位主要工作任务</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第二部分   2026年单位预算说明</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一、2026年单位预算收支总体情况</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二、一般公共预算财政拨款支出预算情况</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三、政府性基金预算财政拨款支出情况</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四、“三公”经费财政拨款预算情况</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五、其他重要事项的情况说明</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第三部分   名词解释</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第四部分   2026年单位预算附表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一、部门收支预算总体情况表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二、部门收入预算总体情况表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三、部门支出预算总体情况表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四、财政拨款收支预算总体情况表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五、 一般公共预算支出情况表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六、一般公共预算基本支出情况表（经济分类款级科目）</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七、一般公共预算“三公”经费支出情况表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八、政府性基金预算支出情况表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九、区对镇（街）转移支付支出预算表</w:t>
      </w:r>
    </w:p>
    <w:p>
      <w:pPr>
        <w:tabs>
          <w:tab w:val="left" w:pos="7513"/>
        </w:tabs>
        <w:autoSpaceDE/>
        <w:autoSpaceDN/>
        <w:adjustRightInd w:val="0"/>
        <w:snapToGrid w:val="0"/>
        <w:spacing w:line="560" w:lineRule="exact"/>
        <w:ind w:firstLine="640" w:firstLineChars="200"/>
        <w:jc w:val="both"/>
        <w:rPr>
          <w:rFonts w:hint="default" w:ascii="黑体" w:hAnsi="Times New Roman" w:eastAsia="黑体"/>
          <w:kern w:val="2"/>
          <w:sz w:val="32"/>
          <w:szCs w:val="32"/>
          <w:lang w:val="en-US" w:eastAsia="zh-CN" w:bidi="ar-SA"/>
        </w:rPr>
      </w:pPr>
      <w:r>
        <w:rPr>
          <w:rFonts w:hint="default" w:ascii="黑体" w:hAnsi="Times New Roman" w:eastAsia="黑体"/>
          <w:kern w:val="2"/>
          <w:sz w:val="32"/>
          <w:szCs w:val="32"/>
          <w:lang w:val="en-US" w:eastAsia="zh-CN" w:bidi="ar-SA"/>
        </w:rPr>
        <w:t>十、二级项目绩效目标表</w:t>
      </w:r>
      <w:r>
        <w:rPr>
          <w:rFonts w:hint="default" w:ascii="黑体" w:hAnsi="Times New Roman" w:eastAsia="黑体"/>
          <w:kern w:val="2"/>
          <w:sz w:val="32"/>
          <w:szCs w:val="32"/>
          <w:lang w:val="en-US" w:eastAsia="zh-CN" w:bidi="ar-SA"/>
        </w:rPr>
        <w:tab/>
      </w:r>
    </w:p>
    <w:p>
      <w:pPr>
        <w:tabs>
          <w:tab w:val="left" w:pos="7513"/>
        </w:tabs>
        <w:autoSpaceDE/>
        <w:autoSpaceDN/>
        <w:adjustRightInd w:val="0"/>
        <w:snapToGrid w:val="0"/>
        <w:spacing w:line="560" w:lineRule="exact"/>
        <w:jc w:val="center"/>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第一部分  单位概况</w:t>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一、单位主要职责</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厦门市湖里区市政园林环卫中心的主要职责是：承担市政设施管理、公园景区管理、绿化美化、林地湿地管理、污水治理、排水防涝、道路桥梁、市容环境卫生管理考评、垃圾分类等方面技术性、辅助性和事务性工作。</w:t>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二、单位基本情况</w:t>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eastAsia" w:ascii="仿宋" w:hAnsi="仿宋" w:eastAsia="仿宋" w:cs="仿宋"/>
          <w:kern w:val="2"/>
          <w:sz w:val="32"/>
          <w:szCs w:val="32"/>
          <w:lang w:val="en-US" w:eastAsia="zh-CN" w:bidi="ar-SA"/>
        </w:rPr>
        <w:t>厦门市湖里区市政园林环卫</w:t>
      </w:r>
      <w:r>
        <w:rPr>
          <w:rFonts w:hint="eastAsia" w:ascii="仿宋" w:hAnsi="仿宋" w:eastAsia="仿宋" w:cs="仿宋"/>
          <w:kern w:val="2"/>
          <w:sz w:val="32"/>
          <w:szCs w:val="32"/>
          <w:lang w:val="en-US" w:eastAsia="zh-CN" w:bidi="ar-SA"/>
        </w:rPr>
        <w:t>中心内设九个科室，包括：综合科、市政科、园林科、绿化科、水务排水科、市容环境科、垃圾分类科、质量考评科、安全应急科。我中心年初在编人数76人，非在编人数62人。经费性质是财政核拨。</w:t>
      </w:r>
      <w:r>
        <w:rPr>
          <w:rFonts w:hint="default" w:ascii="Times New Roman" w:hAnsi="Times New Roman" w:eastAsia="黑体"/>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三、单位主要工作任务</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厦门市湖里区市政园林环卫</w:t>
      </w:r>
      <w:r>
        <w:rPr>
          <w:rFonts w:hint="eastAsia" w:ascii="仿宋" w:hAnsi="仿宋" w:eastAsia="仿宋" w:cs="仿宋"/>
          <w:kern w:val="2"/>
          <w:sz w:val="32"/>
          <w:szCs w:val="32"/>
          <w:lang w:val="en-US" w:eastAsia="zh-CN" w:bidi="ar-SA"/>
        </w:rPr>
        <w:t>中心在上级主管单位的正确领导下，认真立足本职岗位，不断创新、创先、创优工作，实行精细化管理，提高为全区市政园林环卫管理水平。</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（一）坚持科学管理。</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推行国企化管养政策，借助湖里建发城建集团的行业优势，以单位高专业水平为依托，科学有效地将管理力量运用到全区范围，始终保持对市政园林环卫工作的高效管理。</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（二）统筹规划建设。根据城市建设规划，组织编制公园、道路建设规划，上报审批，并按批准的规划组织建设和开发、组织、管理好公园、道路的绿化养护、卫生保洁及病虫害防治检疫等管理工作。</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（三）做好安全应急管理工作。建立市政园林环卫安全生产应急联动管理机制，进一步加强安全生产工作的统筹协调能力，切实做到风险共防、防患共治、事故联动，提升整体防控水平。</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（四）科学安排，精准谋划，统筹做好林业、绿化、水务工作。</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（五）党建引领，模范先行。</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加强理论学习。我中心坚持不懈加强新时代党的理论武装教育，不断提高党员干部政治素养，履职能力；二是着力党建工作，定期召开党员大会、支委会、线上会议等，增强党组织政治能力和组织力凝聚力；三是发挥党员先锋模范作用，并以点带面，推动全体职工共同参与。</w:t>
      </w:r>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ab/>
      </w:r>
    </w:p>
    <w:p>
      <w:pPr>
        <w:tabs>
          <w:tab w:val="left" w:pos="7513"/>
        </w:tabs>
        <w:autoSpaceDE/>
        <w:autoSpaceDN/>
        <w:adjustRightInd w:val="0"/>
        <w:snapToGrid w:val="0"/>
        <w:spacing w:line="560" w:lineRule="exact"/>
        <w:jc w:val="center"/>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第二部分  2026年单位预算说明</w:t>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一、2026年单位预算收支总体情况</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根据预算管理的有关规定，单位的全部收入和支出均纳入部门预算管理。</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（一）厦门市湖里区市政园林环卫中心2026年收入预算为66,992.76万元，比2025年预算数增加39,996.10万元，增长148.15％，具体情况如下：</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1.财政拨款收入66,992.76万元，其中一般公共预算拨款收入66,152.76万元，政府性基金拨款收入840.00万元，国有资本经营预算拨款收入0.00万元；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2.财政专户管理资金收入0.00万元；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3.事业收入0.00万元；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4.事业单位经营收入0.00万元；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5.上级补助收入0.00万元；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6.附属单位上缴收入0.00万元；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7.其他收入0.00万元；</w:t>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eastAsia" w:ascii="仿宋" w:hAnsi="仿宋" w:eastAsia="仿宋" w:cs="仿宋"/>
          <w:kern w:val="2"/>
          <w:sz w:val="32"/>
          <w:szCs w:val="32"/>
          <w:lang w:val="en-US" w:eastAsia="zh-CN" w:bidi="ar-SA"/>
        </w:rPr>
        <w:t>8.上年结转结余0.00万元。</w:t>
      </w:r>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（二）厦门市湖里区市政园林环卫中心2026年支出预算为66,992.76万元（不含市对区转移支付项目），比2025年预算数增加39,996.10万元，增长148.15％，具体情况如下：</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1.财政拨款基本支出3,407.68万元，其中，人员支出3,078.56万元，公用支出329.13万元；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2.财政拨款项目支出63,585.08万元；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3.非财政拨款支出0.00万元。</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（三）厦门市湖里区市政园林环卫中心2026年区对镇（街）转移支付项目预算为0万元。</w:t>
      </w:r>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二、一般公共预算财政拨款支出预算情况</w:t>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2026年度一般公共预算支出66,152.76万元（不含市对区转移支付项目），比2025年预算数增加39,156.10万元，增长145.04%，主要是由于单位职能调整，增加市政、环卫业务。支出项目(按项级科目分类统计)包括：</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1.社会保障和就业支出（类）行政事业单位养老支出（款）事业单位离退休（项）763.80万元。主要用于发放事业单位退休人员生活补贴等支出。</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2.社会保障和就业支出（类）行政事业单位养老支出（款）机关事业单位基本养老保险缴费支出（项）197.36万元。主要用于缴交机关事业单位基本养老保险支出。</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3.社会保障和就业支出（类）行政事业单位养老支出（款）机关事业单位职业年金缴费支出（项）98.68万元。主要用于缴交职业年金。</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eastAsia"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4.卫生健康支出（类）行政事业单位医疗（款）事业单位医疗（项）84.50万元。</w:t>
      </w:r>
      <w:r>
        <w:rPr>
          <w:rFonts w:hint="eastAsia" w:ascii="Times New Roman" w:hAnsi="Times New Roman" w:eastAsia="仿宋_GB2312"/>
          <w:kern w:val="2"/>
          <w:sz w:val="32"/>
          <w:szCs w:val="32"/>
          <w:lang w:val="en-US" w:eastAsia="zh-CN" w:bidi="ar-SA"/>
        </w:rPr>
        <w:t>主要用于缴交我单位人员医疗保险支出。</w:t>
      </w:r>
    </w:p>
    <w:p>
      <w:pPr>
        <w:tabs>
          <w:tab w:val="left" w:pos="7513"/>
        </w:tabs>
        <w:adjustRightInd w:val="0"/>
        <w:snapToGrid w:val="0"/>
        <w:spacing w:line="560" w:lineRule="exact"/>
        <w:ind w:firstLine="640" w:firstLineChars="200"/>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5.卫生健康支出（类）行政事业单位医疗（款）其他行政事业单位医疗支出（项）43.17万元。</w:t>
      </w:r>
      <w:r>
        <w:rPr>
          <w:rFonts w:ascii="Times New Roman" w:eastAsia="仿宋_GB2312"/>
          <w:sz w:val="32"/>
          <w:szCs w:val="32"/>
        </w:rPr>
        <w:t>主要用于缴交我单位人员的医疗补助支出。</w:t>
      </w:r>
      <w:r>
        <w:rPr>
          <w:rFonts w:hint="default" w:ascii="Times New Roman" w:hAnsi="Times New Roman" w:eastAsia="仿宋_GB2312"/>
          <w:kern w:val="2"/>
          <w:sz w:val="32"/>
          <w:szCs w:val="32"/>
          <w:lang w:val="en-US" w:eastAsia="zh-CN" w:bidi="ar-SA"/>
        </w:rPr>
        <w:tab/>
      </w:r>
    </w:p>
    <w:p>
      <w:pPr>
        <w:tabs>
          <w:tab w:val="left" w:pos="7513"/>
        </w:tabs>
        <w:adjustRightInd w:val="0"/>
        <w:snapToGrid w:val="0"/>
        <w:spacing w:line="560" w:lineRule="exact"/>
        <w:ind w:firstLine="640" w:firstLineChars="200"/>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6.城乡社区支出（类）城乡社区管理事务（款）其他城乡社区管理事务支出（项）29,965.84万元。</w:t>
      </w:r>
      <w:r>
        <w:rPr>
          <w:rFonts w:ascii="Times New Roman" w:eastAsia="仿宋_GB2312"/>
          <w:sz w:val="32"/>
          <w:szCs w:val="32"/>
        </w:rPr>
        <w:t>主要用于我</w:t>
      </w:r>
      <w:r>
        <w:rPr>
          <w:rFonts w:hint="eastAsia" w:ascii="Times New Roman" w:eastAsia="仿宋_GB2312"/>
          <w:sz w:val="32"/>
          <w:szCs w:val="32"/>
          <w:lang w:eastAsia="zh-CN"/>
        </w:rPr>
        <w:t>单位运行管理支出</w:t>
      </w:r>
      <w:r>
        <w:rPr>
          <w:rFonts w:ascii="Times New Roman" w:eastAsia="仿宋_GB2312"/>
          <w:sz w:val="32"/>
          <w:szCs w:val="32"/>
        </w:rPr>
        <w:t>。</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7.城乡社区支出（类）城乡社区公共设施（款）其他城乡社区公共设施支出（项）1,169.41万元。</w:t>
      </w:r>
      <w:r>
        <w:rPr>
          <w:rFonts w:ascii="Times New Roman" w:eastAsia="仿宋_GB2312"/>
          <w:sz w:val="32"/>
          <w:szCs w:val="32"/>
        </w:rPr>
        <w:t>主要用于我</w:t>
      </w:r>
      <w:r>
        <w:rPr>
          <w:rFonts w:hint="eastAsia" w:ascii="Times New Roman" w:eastAsia="仿宋_GB2312"/>
          <w:sz w:val="32"/>
          <w:szCs w:val="32"/>
          <w:lang w:eastAsia="zh-CN"/>
        </w:rPr>
        <w:t>单位运行管理支出</w:t>
      </w:r>
      <w:r>
        <w:rPr>
          <w:rFonts w:ascii="Times New Roman" w:eastAsia="仿宋_GB2312"/>
          <w:sz w:val="32"/>
          <w:szCs w:val="32"/>
        </w:rPr>
        <w:t>。</w:t>
      </w:r>
      <w:r>
        <w:rPr>
          <w:rFonts w:hint="default" w:ascii="Times New Roman" w:hAnsi="Times New Roman" w:eastAsia="仿宋_GB2312"/>
          <w:kern w:val="2"/>
          <w:sz w:val="32"/>
          <w:szCs w:val="32"/>
          <w:lang w:val="en-US" w:eastAsia="zh-CN" w:bidi="ar-SA"/>
        </w:rPr>
        <w:tab/>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8.城乡社区支出（类）城乡社区环境卫生（款）城乡社区环境卫生（项）33,730.00万元。</w:t>
      </w:r>
      <w:r>
        <w:rPr>
          <w:rFonts w:ascii="Times New Roman" w:eastAsia="仿宋_GB2312"/>
          <w:sz w:val="32"/>
          <w:szCs w:val="32"/>
        </w:rPr>
        <w:t>主要用于我</w:t>
      </w:r>
      <w:r>
        <w:rPr>
          <w:rFonts w:hint="eastAsia" w:ascii="Times New Roman" w:eastAsia="仿宋_GB2312"/>
          <w:sz w:val="32"/>
          <w:szCs w:val="32"/>
          <w:lang w:eastAsia="zh-CN"/>
        </w:rPr>
        <w:t>单位运行管理支出</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both"/>
        <w:rPr>
          <w:rFonts w:hint="default" w:ascii="Times New Roman" w:hAnsi="Times New Roman" w:eastAsia="仿宋_GB2312"/>
          <w:kern w:val="2"/>
          <w:sz w:val="32"/>
          <w:szCs w:val="32"/>
          <w:lang w:val="en-US" w:eastAsia="zh-CN" w:bidi="ar-SA"/>
        </w:rPr>
      </w:pPr>
      <w:r>
        <w:rPr>
          <w:rFonts w:hint="default" w:ascii="Times New Roman" w:hAnsi="Times New Roman" w:eastAsia="仿宋_GB2312"/>
          <w:kern w:val="2"/>
          <w:sz w:val="32"/>
          <w:szCs w:val="32"/>
          <w:lang w:val="en-US" w:eastAsia="zh-CN" w:bidi="ar-SA"/>
        </w:rPr>
        <w:t>9.城乡社区支出（类）其他城乡社区支出（款）其他城乡社区支出（项）100.00万元。</w:t>
      </w:r>
      <w:r>
        <w:rPr>
          <w:rFonts w:ascii="Times New Roman" w:eastAsia="仿宋_GB2312"/>
          <w:sz w:val="32"/>
          <w:szCs w:val="32"/>
        </w:rPr>
        <w:t>主要用于我</w:t>
      </w:r>
      <w:r>
        <w:rPr>
          <w:rFonts w:hint="eastAsia" w:ascii="Times New Roman" w:eastAsia="仿宋_GB2312"/>
          <w:sz w:val="32"/>
          <w:szCs w:val="32"/>
          <w:lang w:eastAsia="zh-CN"/>
        </w:rPr>
        <w:t>单位运行管理支出</w:t>
      </w:r>
      <w:r>
        <w:rPr>
          <w:rFonts w:ascii="Times New Roman" w:eastAsia="仿宋_GB2312"/>
          <w:sz w:val="32"/>
          <w:szCs w:val="32"/>
        </w:rPr>
        <w:t>。</w:t>
      </w:r>
      <w:r>
        <w:rPr>
          <w:rFonts w:hint="default" w:ascii="Times New Roman" w:hAnsi="Times New Roman" w:eastAsia="仿宋_GB2312"/>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三、政府性基金预算财政拨款支出情况</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2026年度政府性基金支出840.00万元（不含市对区转移支付项目），比2025年预算数增加840.00万元，增长100%，主要是由于单位增加市政道路建设职能。支出项目（按项级科目分类统计）：</w:t>
      </w:r>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1.城乡社区支出（类）国有土地使用权出让收入安排的支出（款）城市建设支出（项）840.00万元。主要用于市政道路建设尾款拨付。</w:t>
      </w:r>
      <w:r>
        <w:rPr>
          <w:rFonts w:hint="eastAsia" w:ascii="仿宋" w:hAnsi="仿宋" w:eastAsia="仿宋" w:cs="仿宋"/>
          <w:kern w:val="2"/>
          <w:sz w:val="32"/>
          <w:szCs w:val="32"/>
          <w:lang w:val="en-US" w:eastAsia="zh-CN" w:bidi="ar-SA"/>
        </w:rPr>
        <w:tab/>
      </w:r>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四、“三公”经费财政拨款预算情况</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厦门市湖里区市政园林环卫中心单位2026年“三公”经费财政拨款预算数为54.13万元，其中：因公出国（境）经费0.00万元，公务接待费0.00万元，公务用车购置及运行费54.13万元。具体情况如下：</w:t>
      </w:r>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（一）因公出国（境）经费</w:t>
      </w:r>
    </w:p>
    <w:p>
      <w:pPr>
        <w:tabs>
          <w:tab w:val="left" w:pos="7513"/>
        </w:tabs>
        <w:adjustRightInd w:val="0"/>
        <w:snapToGrid w:val="0"/>
        <w:spacing w:line="560" w:lineRule="exact"/>
        <w:ind w:firstLine="640" w:firstLineChars="200"/>
        <w:rPr>
          <w:rFonts w:ascii="Times New Roman" w:hAnsi="Times New Roman" w:eastAsia="仿宋_GB2312"/>
          <w:sz w:val="32"/>
          <w:szCs w:val="32"/>
        </w:rPr>
      </w:pPr>
      <w:r>
        <w:rPr>
          <w:rFonts w:hint="eastAsia" w:ascii="仿宋" w:hAnsi="仿宋" w:eastAsia="仿宋" w:cs="仿宋"/>
          <w:kern w:val="2"/>
          <w:sz w:val="32"/>
          <w:szCs w:val="32"/>
          <w:lang w:val="en-US" w:eastAsia="zh-CN" w:bidi="ar-SA"/>
        </w:rPr>
        <w:t>2026年预算安排0.00万元，</w:t>
      </w:r>
      <w:r>
        <w:rPr>
          <w:rFonts w:ascii="Times New Roman" w:eastAsia="仿宋_GB2312"/>
          <w:sz w:val="32"/>
          <w:szCs w:val="32"/>
        </w:rPr>
        <w:t>与上年预算相比</w:t>
      </w:r>
      <w:r>
        <w:rPr>
          <w:rFonts w:hint="eastAsia" w:ascii="Times New Roman" w:eastAsia="仿宋_GB2312"/>
          <w:sz w:val="32"/>
          <w:szCs w:val="32"/>
          <w:lang w:eastAsia="zh-CN"/>
        </w:rPr>
        <w:t>下降</w:t>
      </w:r>
      <w:r>
        <w:rPr>
          <w:rFonts w:hint="eastAsia" w:ascii="Times New Roman" w:eastAsia="仿宋_GB2312"/>
          <w:sz w:val="32"/>
          <w:szCs w:val="32"/>
          <w:lang w:val="en-US" w:eastAsia="zh-CN"/>
        </w:rPr>
        <w:t>0.00%</w:t>
      </w:r>
      <w:r>
        <w:rPr>
          <w:rFonts w:ascii="Times New Roman" w:eastAsia="仿宋_GB2312"/>
          <w:sz w:val="32"/>
          <w:szCs w:val="32"/>
        </w:rPr>
        <w:t>，</w:t>
      </w:r>
      <w:r>
        <w:rPr>
          <w:rFonts w:hint="eastAsia" w:ascii="Times New Roman" w:eastAsia="仿宋_GB2312"/>
          <w:sz w:val="32"/>
          <w:szCs w:val="32"/>
          <w:lang w:eastAsia="zh-CN"/>
        </w:rPr>
        <w:t>与上年持平。</w:t>
      </w:r>
      <w:r>
        <w:rPr>
          <w:rFonts w:ascii="Times New Roman" w:eastAsia="仿宋_GB2312"/>
          <w:sz w:val="32"/>
          <w:szCs w:val="32"/>
        </w:rPr>
        <w:t>主要原因是</w:t>
      </w:r>
      <w:r>
        <w:rPr>
          <w:rFonts w:ascii="Times New Roman" w:hAnsi="Times New Roman" w:eastAsia="仿宋_GB2312"/>
          <w:sz w:val="32"/>
          <w:szCs w:val="32"/>
        </w:rPr>
        <w:t>:</w:t>
      </w:r>
      <w:r>
        <w:rPr>
          <w:rFonts w:ascii="Times New Roman" w:eastAsia="仿宋_GB2312"/>
          <w:sz w:val="32"/>
          <w:szCs w:val="32"/>
        </w:rPr>
        <w:t>我单位无此类业务需要。</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（二）公务接待费</w:t>
      </w:r>
    </w:p>
    <w:p>
      <w:pPr>
        <w:tabs>
          <w:tab w:val="left" w:pos="7513"/>
        </w:tabs>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6</w:t>
      </w:r>
      <w:r>
        <w:rPr>
          <w:rFonts w:ascii="Times New Roman" w:eastAsia="仿宋_GB2312"/>
          <w:kern w:val="0"/>
          <w:sz w:val="32"/>
          <w:szCs w:val="32"/>
        </w:rPr>
        <w:t>年预算安排</w:t>
      </w:r>
      <w:r>
        <w:rPr>
          <w:rFonts w:hint="eastAsia" w:ascii="Times New Roman" w:eastAsia="仿宋_GB2312"/>
          <w:kern w:val="0"/>
          <w:sz w:val="32"/>
          <w:szCs w:val="32"/>
          <w:lang w:val="en-US" w:eastAsia="zh-CN"/>
        </w:rPr>
        <w:t>0.00</w:t>
      </w:r>
      <w:r>
        <w:rPr>
          <w:rFonts w:ascii="Times New Roman" w:eastAsia="仿宋_GB2312"/>
          <w:kern w:val="0"/>
          <w:sz w:val="32"/>
          <w:szCs w:val="32"/>
        </w:rPr>
        <w:t>万元</w:t>
      </w:r>
      <w:r>
        <w:rPr>
          <w:rFonts w:ascii="Times New Roman" w:hAnsi="Times New Roman" w:eastAsia="仿宋_GB2312"/>
          <w:sz w:val="32"/>
          <w:szCs w:val="32"/>
        </w:rPr>
        <w:t>,</w:t>
      </w:r>
      <w:r>
        <w:rPr>
          <w:rFonts w:ascii="Times New Roman" w:eastAsia="仿宋_GB2312"/>
          <w:sz w:val="32"/>
          <w:szCs w:val="32"/>
        </w:rPr>
        <w:t>与上年预算相比</w:t>
      </w:r>
      <w:r>
        <w:rPr>
          <w:rFonts w:hint="eastAsia" w:ascii="Times New Roman" w:eastAsia="仿宋_GB2312"/>
          <w:sz w:val="32"/>
          <w:szCs w:val="32"/>
          <w:lang w:eastAsia="zh-CN"/>
        </w:rPr>
        <w:t>下降</w:t>
      </w:r>
      <w:r>
        <w:rPr>
          <w:rFonts w:hint="eastAsia" w:ascii="Times New Roman" w:eastAsia="仿宋_GB2312"/>
          <w:sz w:val="32"/>
          <w:szCs w:val="32"/>
          <w:lang w:val="en-US" w:eastAsia="zh-CN"/>
        </w:rPr>
        <w:t>0.00%</w:t>
      </w:r>
      <w:r>
        <w:rPr>
          <w:rFonts w:ascii="Times New Roman" w:eastAsia="仿宋_GB2312"/>
          <w:sz w:val="32"/>
          <w:szCs w:val="32"/>
        </w:rPr>
        <w:t>，</w:t>
      </w:r>
      <w:r>
        <w:rPr>
          <w:rFonts w:hint="eastAsia" w:ascii="Times New Roman" w:eastAsia="仿宋_GB2312"/>
          <w:sz w:val="32"/>
          <w:szCs w:val="32"/>
          <w:lang w:eastAsia="zh-CN"/>
        </w:rPr>
        <w:t>与上年持平。</w:t>
      </w:r>
      <w:r>
        <w:rPr>
          <w:rFonts w:ascii="Times New Roman" w:eastAsia="仿宋_GB2312"/>
          <w:sz w:val="32"/>
          <w:szCs w:val="32"/>
        </w:rPr>
        <w:t>主要原因是</w:t>
      </w:r>
      <w:r>
        <w:rPr>
          <w:rFonts w:ascii="Times New Roman" w:hAnsi="Times New Roman" w:eastAsia="仿宋_GB2312"/>
          <w:sz w:val="32"/>
          <w:szCs w:val="32"/>
        </w:rPr>
        <w:t>:</w:t>
      </w:r>
      <w:r>
        <w:rPr>
          <w:rFonts w:hint="eastAsia" w:ascii="Times New Roman" w:hAnsi="Times New Roman" w:eastAsia="仿宋_GB2312"/>
          <w:sz w:val="32"/>
          <w:szCs w:val="32"/>
          <w:lang w:eastAsia="zh-CN"/>
        </w:rPr>
        <w:t>根据历年接待情况（无）未安排公务接待费预算</w:t>
      </w:r>
      <w:r>
        <w:rPr>
          <w:rFonts w:ascii="Times New Roman" w:eastAsia="仿宋_GB2312"/>
          <w:sz w:val="32"/>
          <w:szCs w:val="32"/>
        </w:rPr>
        <w:t>。</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（三）公务用车购置及运行费</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预算安排54.13万元，其中：公务用车运行费54.13万元，主要用于公务用车燃油、维修、保险等方面支出；公务用车购置费0.00万元。与上年预算相比，增加36.09万元，增长200%，主要原因是:单位机构调整，市政及环卫业务并入我中心，车辆随之划转。</w:t>
      </w:r>
      <w:bookmarkStart w:id="0" w:name="_GoBack"/>
      <w:bookmarkEnd w:id="0"/>
      <w:r>
        <w:rPr>
          <w:rFonts w:hint="eastAsia" w:ascii="仿宋" w:hAnsi="仿宋" w:eastAsia="仿宋" w:cs="仿宋"/>
          <w:kern w:val="2"/>
          <w:sz w:val="32"/>
          <w:szCs w:val="32"/>
          <w:lang w:val="en-US" w:eastAsia="zh-CN" w:bidi="ar-SA"/>
        </w:rPr>
        <w:tab/>
      </w:r>
    </w:p>
    <w:p>
      <w:pPr>
        <w:tabs>
          <w:tab w:val="left" w:pos="7513"/>
        </w:tabs>
        <w:autoSpaceDE/>
        <w:autoSpaceDN/>
        <w:adjustRightInd w:val="0"/>
        <w:snapToGrid w:val="0"/>
        <w:spacing w:line="560" w:lineRule="exact"/>
        <w:ind w:firstLine="640" w:firstLineChars="200"/>
        <w:jc w:val="left"/>
        <w:rPr>
          <w:rFonts w:hint="default" w:ascii="Times New Roman" w:hAnsi="Times New Roman" w:eastAsia="黑体"/>
          <w:kern w:val="2"/>
          <w:sz w:val="32"/>
          <w:szCs w:val="32"/>
          <w:lang w:val="en-US" w:eastAsia="zh-CN" w:bidi="ar-SA"/>
        </w:rPr>
      </w:pPr>
      <w:r>
        <w:rPr>
          <w:rFonts w:hint="default" w:ascii="Times New Roman" w:hAnsi="Times New Roman" w:eastAsia="黑体"/>
          <w:kern w:val="2"/>
          <w:sz w:val="32"/>
          <w:szCs w:val="32"/>
          <w:lang w:val="en-US" w:eastAsia="zh-CN" w:bidi="ar-SA"/>
        </w:rPr>
        <w:t>五、其他重要事项的情况说明</w:t>
      </w:r>
    </w:p>
    <w:p>
      <w:pPr>
        <w:spacing w:beforeLines="0" w:afterLines="0" w:line="555" w:lineRule="exact"/>
        <w:ind w:firstLine="640" w:firstLineChars="200"/>
        <w:rPr>
          <w:rFonts w:hint="eastAsia" w:ascii="仿宋_GB2312" w:hAnsi="仿宋_GB2312" w:eastAsia="仿宋_GB2312"/>
          <w:sz w:val="32"/>
        </w:rPr>
      </w:pPr>
      <w:r>
        <w:rPr>
          <w:rFonts w:hint="eastAsia" w:ascii="楷体_GB2312" w:hAnsi="楷体_GB2312" w:eastAsia="楷体_GB2312"/>
          <w:sz w:val="32"/>
        </w:rPr>
        <w:t>（一）机关运行经费</w:t>
      </w:r>
    </w:p>
    <w:p>
      <w:pPr>
        <w:spacing w:beforeLines="0" w:afterLines="0" w:line="555" w:lineRule="exact"/>
        <w:ind w:firstLine="645"/>
        <w:rPr>
          <w:rFonts w:hint="eastAsia" w:ascii="华文仿宋" w:hAnsi="华文仿宋" w:eastAsia="华文仿宋"/>
          <w:color w:val="auto"/>
          <w:sz w:val="32"/>
        </w:rPr>
      </w:pPr>
      <w:r>
        <w:rPr>
          <w:rFonts w:hint="eastAsia" w:ascii="仿宋_GB2312" w:hAnsi="仿宋_GB2312" w:eastAsia="仿宋_GB2312"/>
          <w:sz w:val="32"/>
          <w:lang w:eastAsia="zh-CN"/>
        </w:rPr>
        <w:t>202</w:t>
      </w:r>
      <w:r>
        <w:rPr>
          <w:rFonts w:hint="eastAsia" w:ascii="仿宋_GB2312" w:hAnsi="仿宋_GB2312" w:eastAsia="仿宋_GB2312"/>
          <w:sz w:val="32"/>
          <w:lang w:val="en-US" w:eastAsia="zh-CN"/>
        </w:rPr>
        <w:t>6</w:t>
      </w:r>
      <w:r>
        <w:rPr>
          <w:rFonts w:hint="eastAsia" w:ascii="仿宋_GB2312" w:hAnsi="仿宋_GB2312" w:eastAsia="仿宋_GB2312"/>
          <w:sz w:val="32"/>
        </w:rPr>
        <w:t>年厦门市湖里区</w:t>
      </w:r>
      <w:r>
        <w:rPr>
          <w:rFonts w:hint="eastAsia" w:ascii="仿宋_GB2312" w:hAnsi="仿宋_GB2312" w:eastAsia="仿宋_GB2312"/>
          <w:sz w:val="32"/>
          <w:lang w:eastAsia="zh-CN"/>
        </w:rPr>
        <w:t>园林绿化中心</w:t>
      </w:r>
      <w:r>
        <w:rPr>
          <w:rFonts w:hint="eastAsia" w:ascii="仿宋_GB2312" w:hAnsi="仿宋_GB2312" w:eastAsia="仿宋_GB2312"/>
          <w:sz w:val="32"/>
        </w:rPr>
        <w:t>的机关运行经费财政拨款预算</w:t>
      </w:r>
      <w:r>
        <w:rPr>
          <w:rFonts w:hint="eastAsia" w:ascii="仿宋_GB2312" w:hAnsi="仿宋_GB2312" w:eastAsia="仿宋_GB2312"/>
          <w:sz w:val="32"/>
          <w:lang w:val="en-US" w:eastAsia="zh-CN"/>
        </w:rPr>
        <w:t>0.00</w:t>
      </w:r>
      <w:r>
        <w:rPr>
          <w:rFonts w:hint="eastAsia" w:ascii="仿宋_GB2312" w:hAnsi="仿宋_GB2312" w:eastAsia="仿宋_GB2312"/>
          <w:sz w:val="32"/>
        </w:rPr>
        <w:t>万元，比</w:t>
      </w:r>
      <w:r>
        <w:rPr>
          <w:rFonts w:hint="eastAsia" w:ascii="仿宋_GB2312" w:hAnsi="仿宋_GB2312" w:eastAsia="仿宋_GB2312"/>
          <w:sz w:val="32"/>
          <w:lang w:eastAsia="zh-CN"/>
        </w:rPr>
        <w:t>202</w:t>
      </w:r>
      <w:r>
        <w:rPr>
          <w:rFonts w:hint="eastAsia" w:ascii="仿宋_GB2312" w:hAnsi="仿宋_GB2312" w:eastAsia="仿宋_GB2312"/>
          <w:sz w:val="32"/>
          <w:lang w:val="en-US" w:eastAsia="zh-CN"/>
        </w:rPr>
        <w:t>5</w:t>
      </w:r>
      <w:r>
        <w:rPr>
          <w:rFonts w:hint="eastAsia" w:ascii="仿宋_GB2312" w:hAnsi="仿宋_GB2312" w:eastAsia="仿宋_GB2312"/>
          <w:sz w:val="32"/>
        </w:rPr>
        <w:t>年预算减少（增加）</w:t>
      </w:r>
      <w:r>
        <w:rPr>
          <w:rFonts w:hint="eastAsia" w:ascii="仿宋_GB2312" w:hAnsi="仿宋_GB2312" w:eastAsia="仿宋_GB2312"/>
          <w:color w:val="auto"/>
          <w:sz w:val="32"/>
          <w:lang w:val="en-US" w:eastAsia="zh-CN"/>
        </w:rPr>
        <w:t>0.00</w:t>
      </w:r>
      <w:r>
        <w:rPr>
          <w:rFonts w:hint="eastAsia" w:ascii="仿宋_GB2312" w:hAnsi="仿宋_GB2312" w:eastAsia="仿宋_GB2312"/>
          <w:color w:val="auto"/>
          <w:sz w:val="32"/>
        </w:rPr>
        <w:t>万元，下降（增长）</w:t>
      </w:r>
      <w:r>
        <w:rPr>
          <w:rFonts w:hint="eastAsia" w:ascii="仿宋_GB2312" w:hAnsi="仿宋_GB2312" w:eastAsia="仿宋_GB2312"/>
          <w:color w:val="auto"/>
          <w:sz w:val="32"/>
          <w:lang w:val="en-US" w:eastAsia="zh-CN"/>
        </w:rPr>
        <w:t>0.00</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本单位为事业单位，本年度无安排此项预算</w:t>
      </w:r>
      <w:r>
        <w:rPr>
          <w:rFonts w:hint="eastAsia" w:ascii="仿宋_GB2312" w:hAnsi="仿宋_GB2312" w:eastAsia="仿宋_GB2312"/>
          <w:color w:val="auto"/>
          <w:sz w:val="32"/>
        </w:rPr>
        <w:t>。</w:t>
      </w:r>
    </w:p>
    <w:p>
      <w:pPr>
        <w:tabs>
          <w:tab w:val="left" w:pos="7513"/>
        </w:tabs>
        <w:adjustRightInd w:val="0"/>
        <w:snapToGrid w:val="0"/>
        <w:spacing w:line="560" w:lineRule="exact"/>
        <w:ind w:firstLine="640" w:firstLineChars="200"/>
        <w:rPr>
          <w:rFonts w:ascii="Times New Roman" w:hAnsi="Times New Roman" w:eastAsia="楷体_GB2312"/>
          <w:sz w:val="32"/>
          <w:szCs w:val="32"/>
        </w:rPr>
      </w:pPr>
      <w:r>
        <w:rPr>
          <w:rFonts w:ascii="Times New Roman" w:eastAsia="楷体_GB2312"/>
          <w:sz w:val="32"/>
          <w:szCs w:val="32"/>
        </w:rPr>
        <w:t>（</w:t>
      </w:r>
      <w:r>
        <w:rPr>
          <w:rFonts w:hint="eastAsia" w:ascii="Times New Roman" w:eastAsia="楷体_GB2312"/>
          <w:sz w:val="32"/>
          <w:szCs w:val="32"/>
          <w:lang w:eastAsia="zh-CN"/>
        </w:rPr>
        <w:t>二</w:t>
      </w:r>
      <w:r>
        <w:rPr>
          <w:rFonts w:ascii="Times New Roman" w:eastAsia="楷体_GB2312"/>
          <w:sz w:val="32"/>
          <w:szCs w:val="32"/>
        </w:rPr>
        <w:t>）政府采购情况</w:t>
      </w:r>
    </w:p>
    <w:p>
      <w:pPr>
        <w:tabs>
          <w:tab w:val="left" w:pos="7513"/>
        </w:tabs>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6</w:t>
      </w:r>
      <w:r>
        <w:rPr>
          <w:rFonts w:ascii="Times New Roman" w:eastAsia="仿宋_GB2312"/>
          <w:kern w:val="0"/>
          <w:sz w:val="32"/>
          <w:szCs w:val="32"/>
        </w:rPr>
        <w:t>年我单位政府采购预算总额</w:t>
      </w:r>
      <w:r>
        <w:rPr>
          <w:rFonts w:hint="eastAsia"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Times New Roman" w:eastAsia="仿宋_GB2312"/>
          <w:kern w:val="0"/>
          <w:sz w:val="32"/>
          <w:szCs w:val="32"/>
        </w:rPr>
        <w:t>万元，其中：政府采购货物预算</w:t>
      </w:r>
      <w:r>
        <w:rPr>
          <w:rFonts w:hint="eastAsia"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Times New Roman" w:eastAsia="仿宋_GB2312"/>
          <w:kern w:val="0"/>
          <w:sz w:val="32"/>
          <w:szCs w:val="32"/>
        </w:rPr>
        <w:t>万元，政府采购工程预算</w:t>
      </w:r>
      <w:r>
        <w:rPr>
          <w:rFonts w:hint="eastAsia"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Times New Roman" w:eastAsia="仿宋_GB2312"/>
          <w:kern w:val="0"/>
          <w:sz w:val="32"/>
          <w:szCs w:val="32"/>
        </w:rPr>
        <w:t>万元，政府采购服务预算</w:t>
      </w:r>
      <w:r>
        <w:rPr>
          <w:rFonts w:hint="eastAsia" w:ascii="仿宋" w:hAnsi="仿宋" w:eastAsia="仿宋" w:cs="宋体"/>
          <w:kern w:val="0"/>
          <w:sz w:val="32"/>
          <w:szCs w:val="32"/>
        </w:rPr>
        <w:t>0</w:t>
      </w:r>
      <w:r>
        <w:rPr>
          <w:rFonts w:hint="eastAsia" w:ascii="仿宋" w:hAnsi="仿宋" w:eastAsia="仿宋" w:cs="宋体"/>
          <w:kern w:val="0"/>
          <w:sz w:val="32"/>
          <w:szCs w:val="32"/>
          <w:lang w:val="en-US" w:eastAsia="zh-CN"/>
        </w:rPr>
        <w:t>.00</w:t>
      </w:r>
      <w:r>
        <w:rPr>
          <w:rFonts w:ascii="Times New Roman" w:eastAsia="仿宋_GB2312"/>
          <w:kern w:val="0"/>
          <w:sz w:val="32"/>
          <w:szCs w:val="32"/>
        </w:rPr>
        <w:t>万元。</w:t>
      </w:r>
    </w:p>
    <w:p>
      <w:pPr>
        <w:tabs>
          <w:tab w:val="left" w:pos="7513"/>
        </w:tabs>
        <w:adjustRightInd w:val="0"/>
        <w:snapToGrid w:val="0"/>
        <w:spacing w:line="560" w:lineRule="exact"/>
        <w:ind w:firstLine="640" w:firstLineChars="200"/>
        <w:rPr>
          <w:rFonts w:ascii="Times New Roman" w:hAnsi="Times New Roman" w:eastAsia="楷体_GB2312"/>
          <w:sz w:val="32"/>
          <w:szCs w:val="32"/>
        </w:rPr>
      </w:pPr>
      <w:r>
        <w:rPr>
          <w:rFonts w:ascii="Times New Roman" w:eastAsia="楷体_GB2312"/>
          <w:sz w:val="32"/>
          <w:szCs w:val="32"/>
        </w:rPr>
        <w:t>（</w:t>
      </w:r>
      <w:r>
        <w:rPr>
          <w:rFonts w:hint="eastAsia" w:ascii="Times New Roman" w:eastAsia="楷体_GB2312"/>
          <w:sz w:val="32"/>
          <w:szCs w:val="32"/>
          <w:lang w:eastAsia="zh-CN"/>
        </w:rPr>
        <w:t>三</w:t>
      </w:r>
      <w:r>
        <w:rPr>
          <w:rFonts w:ascii="Times New Roman" w:eastAsia="楷体_GB2312"/>
          <w:sz w:val="32"/>
          <w:szCs w:val="32"/>
        </w:rPr>
        <w:t>）国有资产占有使用情况</w:t>
      </w:r>
    </w:p>
    <w:p>
      <w:pPr>
        <w:tabs>
          <w:tab w:val="left" w:pos="7513"/>
        </w:tabs>
        <w:adjustRightInd w:val="0"/>
        <w:snapToGrid w:val="0"/>
        <w:spacing w:line="560" w:lineRule="exact"/>
        <w:ind w:firstLine="640" w:firstLineChars="200"/>
        <w:rPr>
          <w:rFonts w:ascii="Times New Roman" w:hAnsi="Times New Roman" w:eastAsia="仿宋_GB2312"/>
          <w:kern w:val="0"/>
          <w:sz w:val="32"/>
          <w:szCs w:val="32"/>
        </w:rPr>
      </w:pPr>
      <w:r>
        <w:rPr>
          <w:rFonts w:ascii="Times New Roman" w:eastAsia="仿宋_GB2312"/>
          <w:kern w:val="0"/>
          <w:sz w:val="32"/>
          <w:szCs w:val="32"/>
        </w:rPr>
        <w:t>截</w:t>
      </w:r>
      <w:r>
        <w:rPr>
          <w:rFonts w:ascii="Times New Roman" w:eastAsia="仿宋_GB2312"/>
          <w:sz w:val="32"/>
          <w:szCs w:val="32"/>
        </w:rPr>
        <w:t>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5</w:t>
      </w:r>
      <w:r>
        <w:rPr>
          <w:rFonts w:ascii="Times New Roman" w:eastAsia="仿宋_GB2312"/>
          <w:sz w:val="32"/>
          <w:szCs w:val="32"/>
        </w:rPr>
        <w:t>年</w:t>
      </w:r>
      <w:r>
        <w:rPr>
          <w:rFonts w:ascii="Times New Roman" w:hAnsi="Times New Roman" w:eastAsia="仿宋_GB2312"/>
          <w:sz w:val="32"/>
          <w:szCs w:val="32"/>
        </w:rPr>
        <w:t>12</w:t>
      </w:r>
      <w:r>
        <w:rPr>
          <w:rFonts w:ascii="Times New Roman" w:eastAsia="仿宋_GB2312"/>
          <w:sz w:val="32"/>
          <w:szCs w:val="32"/>
        </w:rPr>
        <w:t>月</w:t>
      </w:r>
      <w:r>
        <w:rPr>
          <w:rFonts w:ascii="Times New Roman" w:hAnsi="Times New Roman" w:eastAsia="仿宋_GB2312"/>
          <w:sz w:val="32"/>
          <w:szCs w:val="32"/>
        </w:rPr>
        <w:t>31</w:t>
      </w:r>
      <w:r>
        <w:rPr>
          <w:rFonts w:ascii="Times New Roman" w:eastAsia="仿宋_GB2312"/>
          <w:sz w:val="32"/>
          <w:szCs w:val="32"/>
        </w:rPr>
        <w:t>日，</w:t>
      </w:r>
      <w:r>
        <w:rPr>
          <w:rFonts w:hint="eastAsia" w:ascii="仿宋" w:hAnsi="仿宋" w:eastAsia="仿宋" w:cs="仿宋"/>
          <w:kern w:val="2"/>
          <w:sz w:val="32"/>
          <w:szCs w:val="32"/>
          <w:lang w:val="en-US" w:eastAsia="zh-CN" w:bidi="ar-SA"/>
        </w:rPr>
        <w:t>厦门市湖里区市政园林环卫中心</w:t>
      </w:r>
      <w:r>
        <w:rPr>
          <w:rFonts w:ascii="Times New Roman" w:eastAsia="仿宋_GB2312"/>
          <w:sz w:val="32"/>
          <w:szCs w:val="32"/>
        </w:rPr>
        <w:t>共有车辆</w:t>
      </w:r>
      <w:r>
        <w:rPr>
          <w:rFonts w:hint="eastAsia" w:ascii="Times New Roman" w:hAnsi="Times New Roman" w:eastAsia="仿宋_GB2312"/>
          <w:sz w:val="32"/>
          <w:szCs w:val="32"/>
          <w:lang w:val="en-US" w:eastAsia="zh-CN"/>
        </w:rPr>
        <w:t>34</w:t>
      </w:r>
      <w:r>
        <w:rPr>
          <w:rFonts w:ascii="Times New Roman" w:eastAsia="仿宋_GB2312"/>
          <w:sz w:val="32"/>
          <w:szCs w:val="32"/>
        </w:rPr>
        <w:t>辆</w:t>
      </w:r>
      <w:r>
        <w:rPr>
          <w:rFonts w:ascii="Times New Roman" w:hAnsi="Times New Roman" w:eastAsia="仿宋_GB2312"/>
          <w:sz w:val="32"/>
          <w:szCs w:val="32"/>
        </w:rPr>
        <w:t>,</w:t>
      </w:r>
      <w:r>
        <w:rPr>
          <w:rFonts w:ascii="Times New Roman" w:eastAsia="仿宋_GB2312"/>
          <w:sz w:val="32"/>
          <w:szCs w:val="32"/>
        </w:rPr>
        <w:t>其中：部级领导干部用车</w:t>
      </w:r>
      <w:r>
        <w:rPr>
          <w:rFonts w:hint="eastAsia" w:ascii="仿宋" w:hAnsi="仿宋" w:eastAsia="仿宋" w:cs="宋体"/>
          <w:kern w:val="0"/>
          <w:sz w:val="32"/>
          <w:szCs w:val="32"/>
        </w:rPr>
        <w:t>0</w:t>
      </w:r>
      <w:r>
        <w:rPr>
          <w:rFonts w:ascii="Times New Roman" w:eastAsia="仿宋_GB2312"/>
          <w:sz w:val="32"/>
          <w:szCs w:val="32"/>
        </w:rPr>
        <w:t>辆；机要通信用车</w:t>
      </w:r>
      <w:r>
        <w:rPr>
          <w:rFonts w:ascii="Times New Roman" w:hAnsi="Times New Roman" w:eastAsia="仿宋_GB2312"/>
          <w:sz w:val="32"/>
          <w:szCs w:val="32"/>
        </w:rPr>
        <w:t>0</w:t>
      </w:r>
      <w:r>
        <w:rPr>
          <w:rFonts w:ascii="Times New Roman" w:eastAsia="仿宋_GB2312"/>
          <w:sz w:val="32"/>
          <w:szCs w:val="32"/>
        </w:rPr>
        <w:t>辆；应急保障用车</w:t>
      </w:r>
      <w:r>
        <w:rPr>
          <w:rFonts w:ascii="Times New Roman" w:hAnsi="Times New Roman" w:eastAsia="仿宋_GB2312"/>
          <w:sz w:val="32"/>
          <w:szCs w:val="32"/>
        </w:rPr>
        <w:t>0</w:t>
      </w:r>
      <w:r>
        <w:rPr>
          <w:rFonts w:ascii="Times New Roman" w:eastAsia="仿宋_GB2312"/>
          <w:sz w:val="32"/>
          <w:szCs w:val="32"/>
        </w:rPr>
        <w:t>辆；一般执法执勤用车</w:t>
      </w:r>
      <w:r>
        <w:rPr>
          <w:rFonts w:ascii="Times New Roman" w:hAnsi="Times New Roman" w:eastAsia="仿宋_GB2312"/>
          <w:sz w:val="32"/>
          <w:szCs w:val="32"/>
        </w:rPr>
        <w:t>0</w:t>
      </w:r>
      <w:r>
        <w:rPr>
          <w:rFonts w:ascii="Times New Roman" w:eastAsia="仿宋_GB2312"/>
          <w:sz w:val="32"/>
          <w:szCs w:val="32"/>
        </w:rPr>
        <w:t>辆；特种专业技术用车</w:t>
      </w:r>
      <w:r>
        <w:rPr>
          <w:rFonts w:ascii="Times New Roman" w:hAnsi="Times New Roman" w:eastAsia="仿宋_GB2312"/>
          <w:sz w:val="32"/>
          <w:szCs w:val="32"/>
        </w:rPr>
        <w:t>0</w:t>
      </w:r>
      <w:r>
        <w:rPr>
          <w:rFonts w:ascii="Times New Roman" w:eastAsia="仿宋_GB2312"/>
          <w:sz w:val="32"/>
          <w:szCs w:val="32"/>
        </w:rPr>
        <w:t>辆；其他用车</w:t>
      </w:r>
      <w:r>
        <w:rPr>
          <w:rFonts w:hint="eastAsia" w:ascii="Times New Roman" w:hAnsi="Times New Roman" w:eastAsia="仿宋_GB2312"/>
          <w:sz w:val="32"/>
          <w:szCs w:val="32"/>
          <w:lang w:val="en-US" w:eastAsia="zh-CN"/>
        </w:rPr>
        <w:t>34</w:t>
      </w:r>
      <w:r>
        <w:rPr>
          <w:rFonts w:ascii="Times New Roman" w:eastAsia="仿宋_GB2312"/>
          <w:sz w:val="32"/>
          <w:szCs w:val="32"/>
        </w:rPr>
        <w:t>辆。单位价值</w:t>
      </w:r>
      <w:r>
        <w:rPr>
          <w:rFonts w:ascii="Times New Roman" w:hAnsi="Times New Roman" w:eastAsia="仿宋_GB2312"/>
          <w:sz w:val="32"/>
          <w:szCs w:val="32"/>
        </w:rPr>
        <w:t>50</w:t>
      </w:r>
      <w:r>
        <w:rPr>
          <w:rFonts w:ascii="Times New Roman" w:eastAsia="仿宋_GB2312"/>
          <w:sz w:val="32"/>
          <w:szCs w:val="32"/>
        </w:rPr>
        <w:t>万以上通用设备</w:t>
      </w:r>
      <w:r>
        <w:rPr>
          <w:rFonts w:ascii="Times New Roman" w:hAnsi="Times New Roman" w:eastAsia="仿宋_GB2312"/>
          <w:sz w:val="32"/>
          <w:szCs w:val="32"/>
        </w:rPr>
        <w:t>0</w:t>
      </w:r>
      <w:r>
        <w:rPr>
          <w:rFonts w:ascii="Times New Roman" w:eastAsia="仿宋_GB2312"/>
          <w:sz w:val="32"/>
          <w:szCs w:val="32"/>
        </w:rPr>
        <w:t>台（套），单位价值</w:t>
      </w:r>
      <w:r>
        <w:rPr>
          <w:rFonts w:ascii="Times New Roman" w:hAnsi="Times New Roman" w:eastAsia="仿宋_GB2312"/>
          <w:sz w:val="32"/>
          <w:szCs w:val="32"/>
        </w:rPr>
        <w:t>100</w:t>
      </w:r>
      <w:r>
        <w:rPr>
          <w:rFonts w:ascii="Times New Roman" w:eastAsia="仿宋_GB2312"/>
          <w:sz w:val="32"/>
          <w:szCs w:val="32"/>
        </w:rPr>
        <w:t>万以上专用设备</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0</w:t>
      </w:r>
      <w:r>
        <w:rPr>
          <w:rFonts w:ascii="Times New Roman" w:eastAsia="仿宋_GB2312"/>
          <w:sz w:val="32"/>
          <w:szCs w:val="32"/>
        </w:rPr>
        <w:t>套。</w:t>
      </w:r>
    </w:p>
    <w:p>
      <w:pPr>
        <w:tabs>
          <w:tab w:val="left" w:pos="7513"/>
        </w:tabs>
        <w:adjustRightInd w:val="0"/>
        <w:snapToGrid w:val="0"/>
        <w:spacing w:line="560" w:lineRule="exact"/>
        <w:ind w:firstLine="640" w:firstLineChars="200"/>
        <w:rPr>
          <w:rFonts w:hint="eastAsia" w:ascii="Times New Roman" w:eastAsia="楷体_GB2312"/>
          <w:sz w:val="32"/>
          <w:szCs w:val="32"/>
          <w:lang w:val="en-US" w:eastAsia="zh-CN"/>
        </w:rPr>
      </w:pPr>
      <w:r>
        <w:rPr>
          <w:rFonts w:hint="eastAsia" w:ascii="Times New Roman" w:eastAsia="楷体_GB2312"/>
          <w:sz w:val="32"/>
          <w:szCs w:val="32"/>
          <w:lang w:val="en-US" w:eastAsia="zh-CN"/>
        </w:rPr>
        <w:t>（四）绩效目标设置情况</w:t>
      </w:r>
    </w:p>
    <w:p>
      <w:pPr>
        <w:tabs>
          <w:tab w:val="left" w:pos="7513"/>
        </w:tabs>
        <w:autoSpaceDE/>
        <w:autoSpaceDN/>
        <w:adjustRightInd w:val="0"/>
        <w:snapToGrid w:val="0"/>
        <w:spacing w:line="56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厦门市湖里区市政园林环卫中心2026年实行绩效目标管理的二级项目115个，涉及一般公共预算拨款62,745.08万元、政府性基金预算拨款840.00万元。</w:t>
      </w:r>
      <w:r>
        <w:rPr>
          <w:rFonts w:hint="eastAsia" w:ascii="仿宋" w:hAnsi="仿宋" w:eastAsia="仿宋" w:cs="仿宋"/>
          <w:kern w:val="2"/>
          <w:sz w:val="32"/>
          <w:szCs w:val="32"/>
          <w:lang w:val="en-US" w:eastAsia="zh-CN" w:bidi="ar-SA"/>
        </w:rPr>
        <w:tab/>
      </w:r>
    </w:p>
    <w:p>
      <w:pPr>
        <w:tabs>
          <w:tab w:val="left" w:pos="7513"/>
        </w:tabs>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第三部分  名词解释</w:t>
      </w:r>
    </w:p>
    <w:p>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楷体_GB2312" w:hAnsi="仿宋" w:eastAsia="楷体_GB2312" w:cs="仿宋_GB2312"/>
          <w:sz w:val="32"/>
          <w:szCs w:val="32"/>
        </w:rPr>
        <w:t>一、基本支出</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指为保障机构正常运转、完成日常工作任务而发生的人员支出、对个人和家庭的补助支出和公用支出。</w:t>
      </w:r>
    </w:p>
    <w:p>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楷体_GB2312" w:hAnsi="仿宋" w:eastAsia="楷体_GB2312" w:cs="仿宋_GB2312"/>
          <w:sz w:val="32"/>
          <w:szCs w:val="32"/>
        </w:rPr>
        <w:t>二、项目支出</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指在基本支出之外为完成特定行政任务和事业发展目标所发生的支出，</w:t>
      </w:r>
      <w:r>
        <w:rPr>
          <w:rFonts w:hint="eastAsia" w:ascii="仿宋_GB2312" w:hAnsi="仿宋" w:eastAsia="仿宋_GB2312"/>
          <w:sz w:val="32"/>
          <w:szCs w:val="32"/>
        </w:rPr>
        <w:t>包括单位专项、发展经费和基建项目。</w:t>
      </w:r>
    </w:p>
    <w:p>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楷体_GB2312" w:hAnsi="仿宋" w:eastAsia="楷体_GB2312" w:cs="仿宋_GB2312"/>
          <w:sz w:val="32"/>
          <w:szCs w:val="32"/>
        </w:rPr>
        <w:t>三、“三公”经费</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纳入</w:t>
      </w:r>
      <w:r>
        <w:rPr>
          <w:rFonts w:hint="eastAsia" w:ascii="仿宋_GB2312" w:hAnsi="仿宋" w:eastAsia="仿宋_GB2312" w:cs="宋体"/>
          <w:kern w:val="0"/>
          <w:sz w:val="32"/>
          <w:szCs w:val="32"/>
          <w:lang w:eastAsia="zh-CN"/>
        </w:rPr>
        <w:t>区</w:t>
      </w:r>
      <w:r>
        <w:rPr>
          <w:rFonts w:hint="eastAsia" w:ascii="仿宋_GB2312" w:hAnsi="仿宋" w:eastAsia="仿宋_GB2312" w:cs="宋体"/>
          <w:kern w:val="0"/>
          <w:sz w:val="32"/>
          <w:szCs w:val="32"/>
        </w:rPr>
        <w:t>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beforeLines="0" w:afterLines="0" w:line="555" w:lineRule="exact"/>
        <w:ind w:firstLine="640" w:firstLineChars="200"/>
        <w:rPr>
          <w:rFonts w:hint="eastAsia" w:ascii="楷体_GB2312" w:hAnsi="楷体_GB2312" w:eastAsia="楷体_GB2312"/>
          <w:sz w:val="32"/>
        </w:rPr>
      </w:pPr>
      <w:r>
        <w:rPr>
          <w:rFonts w:hint="eastAsia" w:ascii="楷体_GB2312" w:hAnsi="楷体_GB2312" w:eastAsia="楷体_GB2312"/>
          <w:sz w:val="32"/>
        </w:rPr>
        <w:t>四、机关运行经费：</w:t>
      </w:r>
      <w:r>
        <w:rPr>
          <w:rFonts w:hint="eastAsia" w:ascii="仿宋_GB2312" w:hAnsi="仿宋_GB2312" w:eastAsia="仿宋_GB2312"/>
          <w:sz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楷体_GB2312" w:hAnsi="仿宋" w:eastAsia="楷体_GB2312" w:cs="仿宋_GB2312"/>
          <w:sz w:val="32"/>
          <w:szCs w:val="32"/>
          <w:lang w:eastAsia="zh-CN"/>
        </w:rPr>
        <w:t>五</w:t>
      </w:r>
      <w:r>
        <w:rPr>
          <w:rFonts w:hint="eastAsia" w:ascii="楷体_GB2312" w:hAnsi="仿宋" w:eastAsia="楷体_GB2312" w:cs="仿宋_GB2312"/>
          <w:sz w:val="32"/>
          <w:szCs w:val="32"/>
        </w:rPr>
        <w:t>、其他名词解释</w:t>
      </w:r>
      <w:r>
        <w:rPr>
          <w:rFonts w:hint="eastAsia" w:ascii="仿宋_GB2312" w:hAnsi="仿宋" w:eastAsia="仿宋_GB2312" w:cs="仿宋_GB2312"/>
          <w:sz w:val="32"/>
          <w:szCs w:val="32"/>
        </w:rPr>
        <w:t>：无。</w:t>
      </w:r>
    </w:p>
    <w:p>
      <w:pPr>
        <w:tabs>
          <w:tab w:val="left" w:pos="7513"/>
        </w:tabs>
        <w:adjustRightInd w:val="0"/>
        <w:snapToGrid w:val="0"/>
        <w:spacing w:line="560" w:lineRule="exact"/>
        <w:jc w:val="center"/>
        <w:rPr>
          <w:rFonts w:hint="eastAsia" w:ascii="黑体" w:hAnsi="黑体" w:eastAsia="黑体"/>
          <w:sz w:val="32"/>
          <w:szCs w:val="32"/>
        </w:rPr>
      </w:pPr>
      <w:r>
        <w:rPr>
          <w:rFonts w:hint="eastAsia" w:ascii="黑体" w:hAnsi="黑体" w:eastAsia="黑体"/>
          <w:sz w:val="32"/>
          <w:szCs w:val="32"/>
        </w:rPr>
        <w:t xml:space="preserve">第四部分  </w:t>
      </w:r>
      <w:r>
        <w:rPr>
          <w:rFonts w:hint="eastAsia" w:ascii="黑体" w:hAnsi="黑体" w:eastAsia="黑体"/>
          <w:sz w:val="32"/>
          <w:szCs w:val="32"/>
          <w:lang w:eastAsia="zh-CN"/>
        </w:rPr>
        <w:t>2025</w:t>
      </w:r>
      <w:r>
        <w:rPr>
          <w:rFonts w:hint="eastAsia" w:ascii="黑体" w:hAnsi="黑体" w:eastAsia="黑体"/>
          <w:sz w:val="32"/>
          <w:szCs w:val="32"/>
        </w:rPr>
        <w:t>年单位预算附表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一、单位收支预算总体情况表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二、单位收入预算总体情况表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三、单位支出预算总体情况表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四、财政拨款收支预算总体情况表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五、</w:t>
      </w:r>
      <w:r>
        <w:rPr>
          <w:rFonts w:hint="eastAsia"/>
        </w:rPr>
        <w:t xml:space="preserve"> </w:t>
      </w:r>
      <w:r>
        <w:rPr>
          <w:rFonts w:hint="eastAsia" w:ascii="仿宋_GB2312" w:hAnsi="仿宋" w:eastAsia="仿宋_GB2312" w:cs="仿宋_GB2312"/>
          <w:sz w:val="32"/>
          <w:szCs w:val="32"/>
        </w:rPr>
        <w:t>一般公共预算支出情况表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六、一般公共预算基本支出情况表（经济分类款级科目）</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七、一般公共预算“三公”经费支出情况表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八、政府性基金预算支出情况表</w:t>
      </w:r>
    </w:p>
    <w:p>
      <w:pPr>
        <w:shd w:val="clear" w:color="auto" w:fill="FFFFFF"/>
        <w:tabs>
          <w:tab w:val="left" w:pos="7513"/>
        </w:tabs>
        <w:adjustRightInd w:val="0"/>
        <w:snapToGrid w:val="0"/>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九、</w:t>
      </w:r>
      <w:r>
        <w:rPr>
          <w:rFonts w:hint="eastAsia" w:ascii="仿宋_GB2312" w:hAnsi="仿宋" w:eastAsia="仿宋_GB2312" w:cs="仿宋_GB2312"/>
          <w:sz w:val="32"/>
          <w:szCs w:val="32"/>
          <w:lang w:eastAsia="zh-CN"/>
        </w:rPr>
        <w:t>区对镇（街）</w:t>
      </w:r>
      <w:r>
        <w:rPr>
          <w:rFonts w:hint="eastAsia" w:ascii="仿宋_GB2312" w:hAnsi="仿宋" w:eastAsia="仿宋_GB2312" w:cs="仿宋_GB2312"/>
          <w:sz w:val="32"/>
          <w:szCs w:val="32"/>
        </w:rPr>
        <w:t>转移支付支出预算表</w:t>
      </w:r>
    </w:p>
    <w:p>
      <w:pPr>
        <w:shd w:val="clear" w:color="auto" w:fill="FFFFFF"/>
        <w:tabs>
          <w:tab w:val="left" w:pos="7513"/>
        </w:tabs>
        <w:adjustRightInd w:val="0"/>
        <w:snapToGrid w:val="0"/>
        <w:spacing w:line="560" w:lineRule="exact"/>
        <w:ind w:firstLine="640" w:firstLineChars="200"/>
        <w:rPr>
          <w:rFonts w:hint="default" w:ascii="Times New Roman" w:hAnsi="Times New Roman" w:eastAsia="黑体"/>
          <w:kern w:val="2"/>
          <w:sz w:val="32"/>
          <w:szCs w:val="32"/>
          <w:lang w:val="en-US" w:eastAsia="zh-CN" w:bidi="ar-SA"/>
        </w:rPr>
      </w:pPr>
      <w:r>
        <w:rPr>
          <w:rFonts w:hint="eastAsia" w:ascii="仿宋_GB2312" w:hAnsi="仿宋" w:eastAsia="仿宋_GB2312" w:cs="仿宋_GB2312"/>
          <w:sz w:val="32"/>
          <w:szCs w:val="32"/>
        </w:rPr>
        <w:t>十、二级项目绩效目标表</w:t>
      </w:r>
    </w:p>
    <w:sectPr>
      <w:footerReference r:id="rId3" w:type="default"/>
      <w:pgSz w:w="11905" w:h="16837"/>
      <w:pgMar w:top="1388" w:right="1559" w:bottom="1388" w:left="1559"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roman"/>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94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63"/>
      <w:gridCol w:w="3163"/>
      <w:gridCol w:w="31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163" w:type="dxa"/>
          <w:tcBorders>
            <w:top w:val="nil"/>
            <w:left w:val="nil"/>
            <w:bottom w:val="nil"/>
            <w:right w:val="nil"/>
            <w:tl2br w:val="nil"/>
            <w:tr2bl w:val="nil"/>
          </w:tcBorders>
          <w:shd w:val="clear" w:color="auto" w:fill="FFFFFF"/>
          <w:noWrap w:val="0"/>
          <w:vAlign w:val="top"/>
        </w:tcPr>
        <w:p>
          <w:pPr>
            <w:rPr>
              <w:rFonts w:hint="default"/>
              <w:sz w:val="24"/>
              <w:szCs w:val="24"/>
            </w:rPr>
          </w:pPr>
        </w:p>
      </w:tc>
      <w:tc>
        <w:tcPr>
          <w:tcW w:w="3163" w:type="dxa"/>
          <w:tcBorders>
            <w:top w:val="nil"/>
            <w:left w:val="nil"/>
            <w:bottom w:val="nil"/>
            <w:right w:val="nil"/>
            <w:tl2br w:val="nil"/>
            <w:tr2bl w:val="nil"/>
          </w:tcBorders>
          <w:shd w:val="clear" w:color="auto" w:fill="FFFFFF"/>
          <w:noWrap w:val="0"/>
          <w:vAlign w:val="top"/>
        </w:tcPr>
        <w:p>
          <w:pPr>
            <w:spacing w:line="320" w:lineRule="atLeast"/>
            <w:jc w:val="center"/>
            <w:rPr>
              <w:rFonts w:hint="eastAsia" w:ascii="宋体" w:hAnsi="宋体"/>
              <w:sz w:val="18"/>
              <w:szCs w:val="24"/>
            </w:rPr>
          </w:pPr>
          <w:r>
            <w:rPr>
              <w:rFonts w:hint="eastAsia" w:ascii="宋体" w:hAnsi="宋体"/>
              <w:sz w:val="18"/>
              <w:szCs w:val="24"/>
            </w:rPr>
            <w:fldChar w:fldCharType="begin"/>
          </w:r>
          <w:r>
            <w:rPr>
              <w:rFonts w:hint="eastAsia" w:ascii="宋体" w:hAnsi="宋体"/>
              <w:sz w:val="18"/>
              <w:szCs w:val="24"/>
            </w:rPr>
            <w:instrText xml:space="preserve">PAGE</w:instrText>
          </w:r>
          <w:r>
            <w:rPr>
              <w:rFonts w:hint="eastAsia" w:ascii="宋体" w:hAnsi="宋体"/>
              <w:sz w:val="18"/>
              <w:szCs w:val="24"/>
            </w:rPr>
            <w:fldChar w:fldCharType="separate"/>
          </w:r>
          <w:r>
            <w:rPr>
              <w:rFonts w:hint="eastAsia" w:ascii="宋体" w:hAnsi="宋体"/>
              <w:sz w:val="18"/>
              <w:szCs w:val="24"/>
            </w:rPr>
            <w:t xml:space="preserve"> </w:t>
          </w:r>
          <w:r>
            <w:rPr>
              <w:rFonts w:hint="eastAsia" w:ascii="宋体" w:hAnsi="宋体"/>
              <w:sz w:val="18"/>
              <w:szCs w:val="24"/>
            </w:rPr>
            <w:fldChar w:fldCharType="end"/>
          </w:r>
          <w:r>
            <w:rPr>
              <w:rFonts w:hint="eastAsia" w:ascii="宋体" w:hAnsi="宋体"/>
              <w:sz w:val="18"/>
              <w:szCs w:val="24"/>
            </w:rPr>
            <w:t xml:space="preserve"> </w:t>
          </w:r>
        </w:p>
      </w:tc>
      <w:tc>
        <w:tcPr>
          <w:tcW w:w="3163" w:type="dxa"/>
          <w:tcBorders>
            <w:top w:val="nil"/>
            <w:left w:val="nil"/>
            <w:bottom w:val="nil"/>
            <w:right w:val="nil"/>
            <w:tl2br w:val="nil"/>
            <w:tr2bl w:val="nil"/>
          </w:tcBorders>
          <w:shd w:val="clear" w:color="auto" w:fill="FFFFFF"/>
          <w:noWrap w:val="0"/>
          <w:vAlign w:val="top"/>
        </w:tcPr>
        <w:p>
          <w:pPr>
            <w:rPr>
              <w:rFonts w:hint="default"/>
              <w:sz w:val="24"/>
              <w:szCs w:val="24"/>
            </w:rPr>
          </w:pPr>
        </w:p>
      </w:tc>
    </w:tr>
  </w:tbl>
  <w:p>
    <w:pPr>
      <w:rPr>
        <w:rFonts w:hint="default"/>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mMyYThlOGU5MGY5ZDI3YjExMjA0NDI0MDAwZjEifQ=="/>
  </w:docVars>
  <w:rsids>
    <w:rsidRoot w:val="00172A27"/>
    <w:rsid w:val="02646D5E"/>
    <w:rsid w:val="6BB05A10"/>
    <w:rsid w:val="6D8673D3"/>
    <w:rsid w:val="74453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autoSpaceDE w:val="0"/>
      <w:autoSpaceDN w:val="0"/>
      <w:adjustRightInd w:val="0"/>
    </w:pPr>
    <w:rPr>
      <w:rFonts w:hint="default" w:ascii="Arial" w:hAnsi="Arial" w:eastAsia="宋体" w:cs="Times New Roman"/>
      <w:color w:val="000000"/>
      <w:sz w:val="24"/>
      <w:szCs w:val="24"/>
    </w:rPr>
  </w:style>
  <w:style w:type="paragraph" w:styleId="3">
    <w:name w:val="heading 1"/>
    <w:unhideWhenUsed/>
    <w:uiPriority w:val="99"/>
    <w:pPr>
      <w:widowControl w:val="0"/>
      <w:autoSpaceDE w:val="0"/>
      <w:autoSpaceDN w:val="0"/>
      <w:adjustRightInd w:val="0"/>
    </w:pPr>
    <w:rPr>
      <w:rFonts w:hint="default" w:ascii="Arial" w:hAnsi="Arial" w:eastAsia="宋体" w:cs="Times New Roman"/>
      <w:b/>
      <w:color w:val="000000"/>
      <w:sz w:val="32"/>
      <w:szCs w:val="24"/>
    </w:rPr>
  </w:style>
  <w:style w:type="paragraph" w:styleId="4">
    <w:name w:val="heading 2"/>
    <w:unhideWhenUsed/>
    <w:uiPriority w:val="99"/>
    <w:pPr>
      <w:widowControl w:val="0"/>
      <w:autoSpaceDE w:val="0"/>
      <w:autoSpaceDN w:val="0"/>
      <w:adjustRightInd w:val="0"/>
    </w:pPr>
    <w:rPr>
      <w:rFonts w:hint="default" w:ascii="Arial" w:hAnsi="Arial" w:eastAsia="宋体" w:cs="Times New Roman"/>
      <w:b/>
      <w:i/>
      <w:color w:val="000000"/>
      <w:sz w:val="28"/>
      <w:szCs w:val="24"/>
    </w:rPr>
  </w:style>
  <w:style w:type="paragraph" w:styleId="5">
    <w:name w:val="heading 3"/>
    <w:unhideWhenUsed/>
    <w:uiPriority w:val="99"/>
    <w:pPr>
      <w:widowControl w:val="0"/>
      <w:autoSpaceDE w:val="0"/>
      <w:autoSpaceDN w:val="0"/>
      <w:adjustRightInd w:val="0"/>
    </w:pPr>
    <w:rPr>
      <w:rFonts w:hint="default" w:ascii="Arial" w:hAnsi="Arial" w:eastAsia="宋体" w:cs="Times New Roman"/>
      <w:b/>
      <w:color w:val="000000"/>
      <w:sz w:val="26"/>
      <w:szCs w:val="24"/>
    </w:rPr>
  </w:style>
  <w:style w:type="character" w:default="1" w:styleId="8">
    <w:name w:val="Default Paragraph Font"/>
    <w:unhideWhenUsed/>
    <w:uiPriority w:val="99"/>
    <w:rPr>
      <w:rFonts w:hint="default"/>
      <w:sz w:val="24"/>
      <w:szCs w:val="24"/>
    </w:rPr>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1.正文"/>
    <w:basedOn w:val="1"/>
    <w:unhideWhenUsed/>
    <w:qFormat/>
    <w:uiPriority w:val="99"/>
    <w:rPr>
      <w:rFonts w:hint="default"/>
      <w:sz w:val="24"/>
      <w:szCs w:val="24"/>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2026-01-29T10:34:00Z</dcterms:created>
  <dc:creator>Administrator</dc:creator>
  <cp:lastModifiedBy>WPS_1669802624</cp:lastModifiedBy>
  <dcterms:modified xsi:type="dcterms:W3CDTF">2026-01-30T04:37:28Z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CD9838ACD03F4751B9B7146FD758D66C_12</vt:lpwstr>
  </property>
</Properties>
</file>