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beforeLines="0" w:afterLines="0"/>
        <w:rPr>
          <w:rFonts w:hint="default" w:ascii="Times New Roman" w:eastAsia="Times New Roman"/>
          <w:color w:val="auto"/>
          <w:sz w:val="2"/>
        </w:rPr>
      </w:pPr>
    </w:p>
    <w:p>
      <w:pPr>
        <w:spacing w:beforeLines="0" w:afterLines="0" w:line="525" w:lineRule="exact"/>
        <w:jc w:val="center"/>
        <w:rPr>
          <w:rFonts w:hint="default" w:ascii="??" w:hAnsi="??" w:eastAsia="方正小标宋简体"/>
          <w:sz w:val="30"/>
        </w:rPr>
      </w:pPr>
      <w:r>
        <w:rPr>
          <w:rFonts w:hint="eastAsia" w:ascii="方正小标宋简体" w:hAnsi="Times New Roman" w:eastAsia="方正小标宋简体"/>
          <w:sz w:val="44"/>
        </w:rPr>
        <w:t>2023年厦门市湖里区东渡幼儿园预算说明</w:t>
      </w:r>
    </w:p>
    <w:p>
      <w:pPr>
        <w:spacing w:beforeLines="0" w:afterLines="0" w:line="525" w:lineRule="exact"/>
        <w:jc w:val="both"/>
        <w:rPr>
          <w:rFonts w:hint="default" w:ascii="??" w:hAnsi="??" w:eastAsia="方正小标宋简体"/>
          <w:sz w:val="30"/>
        </w:rPr>
      </w:pPr>
    </w:p>
    <w:p>
      <w:pPr>
        <w:spacing w:beforeLines="0" w:afterLines="0" w:line="525" w:lineRule="exact"/>
        <w:jc w:val="center"/>
        <w:rPr>
          <w:rFonts w:hint="default" w:ascii="黑体" w:hAnsi="??" w:eastAsia="黑体"/>
          <w:sz w:val="32"/>
        </w:rPr>
      </w:pPr>
      <w:r>
        <w:rPr>
          <w:rFonts w:hint="eastAsia" w:ascii="黑体" w:hAnsi="??" w:eastAsia="黑体"/>
          <w:sz w:val="32"/>
        </w:rPr>
        <w:t>目　　录</w:t>
      </w:r>
    </w:p>
    <w:p>
      <w:pPr>
        <w:spacing w:beforeLines="0" w:afterLines="0" w:line="555" w:lineRule="exact"/>
        <w:jc w:val="both"/>
        <w:rPr>
          <w:rFonts w:hint="default" w:ascii="??" w:hAnsi="??" w:eastAsia="黑体"/>
          <w:sz w:val="32"/>
        </w:rPr>
      </w:pPr>
      <w:r>
        <w:rPr>
          <w:rFonts w:hint="eastAsia" w:ascii="黑体" w:hAnsi="Times New Roman" w:eastAsia="黑体"/>
          <w:sz w:val="32"/>
        </w:rPr>
        <w:t xml:space="preserve">　　第一部分 </w:t>
      </w:r>
      <w:r>
        <w:rPr>
          <w:rFonts w:hint="default" w:ascii="黑体" w:hAnsi="Times New Roman" w:eastAsia="黑体"/>
          <w:sz w:val="32"/>
        </w:rPr>
        <w:t> </w:t>
      </w:r>
      <w:r>
        <w:rPr>
          <w:rFonts w:hint="eastAsia" w:ascii="黑体" w:hAnsi="Times New Roman" w:eastAsia="黑体"/>
          <w:sz w:val="32"/>
        </w:rPr>
        <w:t xml:space="preserve"> 单位概况</w:t>
      </w:r>
    </w:p>
    <w:p>
      <w:pPr>
        <w:spacing w:beforeLines="0" w:afterLines="0" w:line="555" w:lineRule="exact"/>
        <w:jc w:val="both"/>
        <w:rPr>
          <w:rFonts w:hint="default" w:ascii="??_GB2312" w:hAnsi="??_GB2312" w:eastAsia="仿宋_GB2312"/>
          <w:sz w:val="32"/>
        </w:rPr>
      </w:pPr>
      <w:r>
        <w:rPr>
          <w:rFonts w:hint="eastAsia" w:ascii="仿宋_GB2312" w:hAnsi="??" w:eastAsia="仿宋_GB2312"/>
          <w:sz w:val="32"/>
        </w:rPr>
        <w:t>　　一、单位主要职责</w:t>
      </w:r>
    </w:p>
    <w:p>
      <w:pPr>
        <w:spacing w:beforeLines="0" w:afterLines="0" w:line="555" w:lineRule="exact"/>
        <w:jc w:val="both"/>
        <w:rPr>
          <w:rFonts w:hint="default" w:ascii="??_GB2312" w:hAnsi="??_GB2312" w:eastAsia="仿宋_GB2312"/>
          <w:sz w:val="32"/>
        </w:rPr>
      </w:pPr>
      <w:r>
        <w:rPr>
          <w:rFonts w:hint="eastAsia" w:ascii="仿宋_GB2312" w:hAnsi="??_GB2312" w:eastAsia="仿宋_GB2312"/>
          <w:sz w:val="32"/>
        </w:rPr>
        <w:t>　　二、单位基本情况</w:t>
      </w:r>
    </w:p>
    <w:p>
      <w:pPr>
        <w:spacing w:beforeLines="0" w:afterLines="0" w:line="555" w:lineRule="exact"/>
        <w:jc w:val="both"/>
        <w:rPr>
          <w:rFonts w:hint="default" w:ascii="??" w:hAnsi="??" w:eastAsia="仿宋_GB2312"/>
          <w:sz w:val="32"/>
        </w:rPr>
      </w:pPr>
      <w:r>
        <w:rPr>
          <w:rFonts w:hint="eastAsia" w:ascii="仿宋_GB2312" w:hAnsi="??_GB2312" w:eastAsia="仿宋_GB2312"/>
          <w:sz w:val="32"/>
        </w:rPr>
        <w:t>　　三、单位主要工作任务</w:t>
      </w:r>
    </w:p>
    <w:p>
      <w:pPr>
        <w:spacing w:beforeLines="0" w:afterLines="0" w:line="555" w:lineRule="exact"/>
        <w:jc w:val="both"/>
        <w:rPr>
          <w:rFonts w:hint="default" w:ascii="??" w:hAnsi="??" w:eastAsia="黑体"/>
          <w:sz w:val="32"/>
        </w:rPr>
      </w:pPr>
      <w:r>
        <w:rPr>
          <w:rFonts w:hint="eastAsia" w:ascii="黑体" w:hAnsi="??" w:eastAsia="黑体"/>
          <w:sz w:val="32"/>
        </w:rPr>
        <w:t xml:space="preserve">　　第二部分 </w:t>
      </w:r>
      <w:r>
        <w:rPr>
          <w:rFonts w:hint="default" w:ascii="黑体" w:hAnsi="??" w:eastAsia="黑体"/>
          <w:sz w:val="32"/>
        </w:rPr>
        <w:t> </w:t>
      </w:r>
      <w:r>
        <w:rPr>
          <w:rFonts w:hint="eastAsia" w:ascii="黑体" w:hAnsi="??" w:eastAsia="黑体"/>
          <w:sz w:val="32"/>
        </w:rPr>
        <w:t xml:space="preserve"> 2023年单位预算说明</w:t>
      </w:r>
    </w:p>
    <w:p>
      <w:pPr>
        <w:spacing w:beforeLines="0" w:afterLines="0" w:line="555" w:lineRule="exact"/>
        <w:jc w:val="both"/>
        <w:rPr>
          <w:rFonts w:hint="default" w:ascii="??_GB2312" w:hAnsi="??_GB2312" w:eastAsia="仿宋_GB2312"/>
          <w:sz w:val="32"/>
        </w:rPr>
      </w:pPr>
      <w:r>
        <w:rPr>
          <w:rFonts w:hint="eastAsia" w:ascii="仿宋_GB2312" w:hAnsi="??" w:eastAsia="仿宋_GB2312"/>
          <w:sz w:val="32"/>
        </w:rPr>
        <w:t>　　一、2023年单位预算收支总体情况</w:t>
      </w:r>
    </w:p>
    <w:p>
      <w:pPr>
        <w:spacing w:beforeLines="0" w:afterLines="0" w:line="555" w:lineRule="exact"/>
        <w:jc w:val="both"/>
        <w:rPr>
          <w:rFonts w:hint="default" w:ascii="??_GB2312" w:hAnsi="??_GB2312" w:eastAsia="仿宋_GB2312"/>
          <w:sz w:val="32"/>
        </w:rPr>
      </w:pPr>
      <w:r>
        <w:rPr>
          <w:rFonts w:hint="eastAsia" w:ascii="仿宋_GB2312" w:hAnsi="??_GB2312" w:eastAsia="仿宋_GB2312"/>
          <w:sz w:val="32"/>
        </w:rPr>
        <w:t>　　二、一般公共预算财政拨款支出预算情况</w:t>
      </w:r>
    </w:p>
    <w:p>
      <w:pPr>
        <w:spacing w:beforeLines="0" w:afterLines="0" w:line="555" w:lineRule="exact"/>
        <w:jc w:val="both"/>
        <w:rPr>
          <w:rFonts w:hint="default" w:ascii="??_GB2312" w:hAnsi="??_GB2312" w:eastAsia="仿宋_GB2312"/>
          <w:sz w:val="32"/>
        </w:rPr>
      </w:pPr>
      <w:r>
        <w:rPr>
          <w:rFonts w:hint="eastAsia" w:ascii="仿宋_GB2312" w:hAnsi="??_GB2312" w:eastAsia="仿宋_GB2312"/>
          <w:sz w:val="32"/>
        </w:rPr>
        <w:t>　　三、政府性基金预算财政拨款支出情况</w:t>
      </w:r>
    </w:p>
    <w:p>
      <w:pPr>
        <w:spacing w:beforeLines="0" w:afterLines="0" w:line="555" w:lineRule="exact"/>
        <w:jc w:val="both"/>
        <w:rPr>
          <w:rFonts w:hint="default" w:ascii="??_GB2312" w:hAnsi="??_GB2312" w:eastAsia="仿宋_GB2312"/>
          <w:sz w:val="32"/>
        </w:rPr>
      </w:pPr>
      <w:r>
        <w:rPr>
          <w:rFonts w:hint="eastAsia" w:ascii="仿宋_GB2312" w:hAnsi="??_GB2312" w:eastAsia="仿宋_GB2312"/>
          <w:sz w:val="32"/>
        </w:rPr>
        <w:t>　　四、“三公”经费财政拨款预算情况</w:t>
      </w:r>
    </w:p>
    <w:p>
      <w:pPr>
        <w:spacing w:beforeLines="0" w:afterLines="0" w:line="555" w:lineRule="exact"/>
        <w:jc w:val="both"/>
        <w:rPr>
          <w:rFonts w:hint="default" w:ascii="??" w:hAnsi="??" w:eastAsia="仿宋_GB2312"/>
          <w:sz w:val="32"/>
        </w:rPr>
      </w:pPr>
      <w:r>
        <w:rPr>
          <w:rFonts w:hint="eastAsia" w:ascii="仿宋_GB2312" w:hAnsi="??_GB2312" w:eastAsia="仿宋_GB2312"/>
          <w:sz w:val="32"/>
        </w:rPr>
        <w:t>　　五、其他重要事项的情况说明</w:t>
      </w:r>
    </w:p>
    <w:p>
      <w:pPr>
        <w:spacing w:beforeLines="0" w:afterLines="0" w:line="555" w:lineRule="exact"/>
        <w:jc w:val="both"/>
        <w:rPr>
          <w:rFonts w:hint="default" w:ascii="??" w:hAnsi="??" w:eastAsia="黑体"/>
          <w:sz w:val="32"/>
        </w:rPr>
      </w:pPr>
      <w:r>
        <w:rPr>
          <w:rFonts w:hint="eastAsia" w:ascii="黑体" w:hAnsi="??" w:eastAsia="黑体"/>
          <w:sz w:val="32"/>
        </w:rPr>
        <w:t xml:space="preserve">　　第三部分 </w:t>
      </w:r>
      <w:r>
        <w:rPr>
          <w:rFonts w:hint="default" w:ascii="黑体" w:hAnsi="??" w:eastAsia="黑体"/>
          <w:sz w:val="32"/>
        </w:rPr>
        <w:t> </w:t>
      </w:r>
      <w:r>
        <w:rPr>
          <w:rFonts w:hint="eastAsia" w:ascii="黑体" w:hAnsi="??" w:eastAsia="黑体"/>
          <w:sz w:val="32"/>
        </w:rPr>
        <w:t xml:space="preserve"> 名词解释</w:t>
      </w:r>
    </w:p>
    <w:p>
      <w:pPr>
        <w:spacing w:beforeLines="0" w:afterLines="0" w:line="555" w:lineRule="exact"/>
        <w:jc w:val="both"/>
        <w:rPr>
          <w:rFonts w:hint="default" w:ascii="??" w:hAnsi="??" w:eastAsia="黑体"/>
          <w:sz w:val="32"/>
        </w:rPr>
      </w:pPr>
      <w:r>
        <w:rPr>
          <w:rFonts w:hint="eastAsia" w:ascii="黑体" w:hAnsi="??" w:eastAsia="黑体"/>
          <w:sz w:val="32"/>
        </w:rPr>
        <w:t xml:space="preserve">　　第四部分 </w:t>
      </w:r>
      <w:r>
        <w:rPr>
          <w:rFonts w:hint="default" w:ascii="黑体" w:hAnsi="??" w:eastAsia="黑体"/>
          <w:sz w:val="32"/>
        </w:rPr>
        <w:t> </w:t>
      </w:r>
      <w:r>
        <w:rPr>
          <w:rFonts w:hint="eastAsia" w:ascii="黑体" w:hAnsi="??" w:eastAsia="黑体"/>
          <w:sz w:val="32"/>
        </w:rPr>
        <w:t xml:space="preserve"> 2023年单位预算附表</w:t>
      </w:r>
    </w:p>
    <w:p>
      <w:pPr>
        <w:spacing w:beforeLines="0" w:afterLines="0" w:line="555" w:lineRule="exact"/>
        <w:jc w:val="both"/>
        <w:rPr>
          <w:rFonts w:hint="default" w:ascii="??_GB2312" w:hAnsi="??_GB2312" w:eastAsia="仿宋_GB2312"/>
          <w:sz w:val="32"/>
        </w:rPr>
      </w:pPr>
      <w:r>
        <w:rPr>
          <w:rFonts w:hint="eastAsia" w:ascii="仿宋_GB2312" w:hAnsi="??" w:eastAsia="仿宋_GB2312"/>
          <w:sz w:val="32"/>
        </w:rPr>
        <w:t>　　一、部门收支预算总体情况表</w:t>
      </w:r>
    </w:p>
    <w:p>
      <w:pPr>
        <w:spacing w:beforeLines="0" w:afterLines="0" w:line="555" w:lineRule="exact"/>
        <w:jc w:val="both"/>
        <w:rPr>
          <w:rFonts w:hint="default" w:ascii="??_GB2312" w:hAnsi="??_GB2312" w:eastAsia="仿宋_GB2312"/>
          <w:sz w:val="32"/>
        </w:rPr>
      </w:pPr>
      <w:r>
        <w:rPr>
          <w:rFonts w:hint="eastAsia" w:ascii="仿宋_GB2312" w:hAnsi="??_GB2312" w:eastAsia="仿宋_GB2312"/>
          <w:sz w:val="32"/>
        </w:rPr>
        <w:t>　　二、部门收入预算总体情况表</w:t>
      </w:r>
    </w:p>
    <w:p>
      <w:pPr>
        <w:spacing w:beforeLines="0" w:afterLines="0" w:line="555" w:lineRule="exact"/>
        <w:jc w:val="both"/>
        <w:rPr>
          <w:rFonts w:hint="default" w:ascii="??_GB2312" w:hAnsi="??_GB2312" w:eastAsia="仿宋_GB2312"/>
          <w:sz w:val="32"/>
        </w:rPr>
      </w:pPr>
      <w:r>
        <w:rPr>
          <w:rFonts w:hint="eastAsia" w:ascii="仿宋_GB2312" w:hAnsi="??_GB2312" w:eastAsia="仿宋_GB2312"/>
          <w:sz w:val="32"/>
        </w:rPr>
        <w:t>　　三、部门支出预算总体情况表</w:t>
      </w:r>
    </w:p>
    <w:p>
      <w:pPr>
        <w:spacing w:beforeLines="0" w:afterLines="0" w:line="555" w:lineRule="exact"/>
        <w:jc w:val="both"/>
        <w:rPr>
          <w:rFonts w:hint="default" w:ascii="??_GB2312" w:hAnsi="??_GB2312" w:eastAsia="仿宋_GB2312"/>
          <w:sz w:val="32"/>
        </w:rPr>
      </w:pPr>
      <w:r>
        <w:rPr>
          <w:rFonts w:hint="eastAsia" w:ascii="仿宋_GB2312" w:hAnsi="??_GB2312" w:eastAsia="仿宋_GB2312"/>
          <w:sz w:val="32"/>
        </w:rPr>
        <w:t>　　四、财政拨款收支预算总体情况表</w:t>
      </w:r>
    </w:p>
    <w:p>
      <w:pPr>
        <w:spacing w:beforeLines="0" w:afterLines="0" w:line="555" w:lineRule="exact"/>
        <w:jc w:val="both"/>
        <w:rPr>
          <w:rFonts w:hint="default" w:ascii="??_GB2312" w:hAnsi="??_GB2312" w:eastAsia="仿宋_GB2312"/>
          <w:sz w:val="32"/>
        </w:rPr>
      </w:pPr>
      <w:r>
        <w:rPr>
          <w:rFonts w:hint="eastAsia" w:ascii="仿宋_GB2312" w:hAnsi="??_GB2312" w:eastAsia="仿宋_GB2312"/>
          <w:sz w:val="32"/>
        </w:rPr>
        <w:t>　　五、 一般公共预算支出情况表</w:t>
      </w:r>
    </w:p>
    <w:p>
      <w:pPr>
        <w:spacing w:beforeLines="0" w:afterLines="0" w:line="555" w:lineRule="exact"/>
        <w:jc w:val="both"/>
        <w:rPr>
          <w:rFonts w:hint="default" w:ascii="??_GB2312" w:hAnsi="??_GB2312" w:eastAsia="仿宋_GB2312"/>
          <w:sz w:val="32"/>
        </w:rPr>
      </w:pPr>
      <w:r>
        <w:rPr>
          <w:rFonts w:hint="eastAsia" w:ascii="仿宋_GB2312" w:hAnsi="??_GB2312" w:eastAsia="仿宋_GB2312"/>
          <w:sz w:val="32"/>
        </w:rPr>
        <w:t>　　六、一般公共预算基本支出情况表（经济分类款级科目）</w:t>
      </w:r>
    </w:p>
    <w:p>
      <w:pPr>
        <w:spacing w:beforeLines="0" w:afterLines="0" w:line="555" w:lineRule="exact"/>
        <w:jc w:val="both"/>
        <w:rPr>
          <w:rFonts w:hint="default" w:ascii="??_GB2312" w:hAnsi="??_GB2312" w:eastAsia="仿宋_GB2312"/>
          <w:sz w:val="32"/>
        </w:rPr>
      </w:pPr>
      <w:r>
        <w:rPr>
          <w:rFonts w:hint="eastAsia" w:ascii="仿宋_GB2312" w:hAnsi="??_GB2312" w:eastAsia="仿宋_GB2312"/>
          <w:sz w:val="32"/>
        </w:rPr>
        <w:t>　　七、一般公共预算“三公”经费支出情况表</w:t>
      </w:r>
    </w:p>
    <w:p>
      <w:pPr>
        <w:spacing w:beforeLines="0" w:afterLines="0" w:line="555" w:lineRule="exact"/>
        <w:jc w:val="both"/>
        <w:rPr>
          <w:rFonts w:hint="default" w:ascii="??_GB2312" w:hAnsi="??_GB2312" w:eastAsia="仿宋_GB2312"/>
          <w:sz w:val="32"/>
        </w:rPr>
      </w:pPr>
      <w:r>
        <w:rPr>
          <w:rFonts w:hint="eastAsia" w:ascii="仿宋_GB2312" w:hAnsi="??_GB2312" w:eastAsia="仿宋_GB2312"/>
          <w:sz w:val="32"/>
        </w:rPr>
        <w:t>　　八、政府性基金预算支出情况表</w:t>
      </w:r>
    </w:p>
    <w:p>
      <w:pPr>
        <w:spacing w:beforeLines="0" w:afterLines="0" w:line="555" w:lineRule="exact"/>
        <w:jc w:val="both"/>
        <w:rPr>
          <w:rFonts w:hint="default" w:ascii="??_GB2312" w:hAnsi="??_GB2312" w:eastAsia="仿宋_GB2312"/>
          <w:sz w:val="32"/>
        </w:rPr>
      </w:pPr>
      <w:r>
        <w:rPr>
          <w:rFonts w:hint="eastAsia" w:ascii="仿宋_GB2312" w:hAnsi="??_GB2312" w:eastAsia="仿宋_GB2312"/>
          <w:sz w:val="32"/>
        </w:rPr>
        <w:t>　　九、区对镇（街）转移支付支出预算表</w:t>
      </w:r>
    </w:p>
    <w:p>
      <w:pPr>
        <w:spacing w:beforeLines="0" w:afterLines="0" w:line="555" w:lineRule="exact"/>
        <w:jc w:val="both"/>
        <w:rPr>
          <w:rFonts w:hint="default" w:ascii="仿宋_GB2312" w:hAnsi="??_GB2312" w:eastAsia="仿宋_GB2312"/>
          <w:sz w:val="32"/>
        </w:rPr>
      </w:pPr>
      <w:r>
        <w:rPr>
          <w:rFonts w:hint="eastAsia" w:ascii="仿宋_GB2312" w:hAnsi="??_GB2312" w:eastAsia="仿宋_GB2312"/>
          <w:sz w:val="32"/>
        </w:rPr>
        <w:t>　　十、二级项目绩效目标表</w:t>
      </w:r>
    </w:p>
    <w:p>
      <w:pPr>
        <w:spacing w:beforeLines="0" w:afterLines="0" w:line="555" w:lineRule="exact"/>
        <w:ind w:left="20"/>
        <w:jc w:val="center"/>
        <w:rPr>
          <w:rFonts w:hint="default" w:ascii="黑体" w:hAnsi="Times New Roman" w:eastAsia="黑体"/>
          <w:sz w:val="32"/>
        </w:rPr>
      </w:pPr>
      <w:r>
        <w:rPr>
          <w:rFonts w:hint="eastAsia" w:ascii="黑体" w:hAnsi="Times New Roman" w:eastAsia="黑体"/>
          <w:sz w:val="32"/>
        </w:rPr>
        <w:t>第一部分  单位概况</w:t>
      </w:r>
    </w:p>
    <w:p>
      <w:pPr>
        <w:spacing w:beforeLines="0" w:afterLines="0" w:line="555" w:lineRule="exact"/>
        <w:jc w:val="both"/>
        <w:rPr>
          <w:rFonts w:hint="default" w:ascii="??_GB2312" w:hAnsi="??_GB2312" w:eastAsia="黑体"/>
          <w:color w:val="auto"/>
          <w:sz w:val="32"/>
        </w:rPr>
      </w:pPr>
      <w:r>
        <w:rPr>
          <w:rFonts w:hint="eastAsia" w:ascii="黑体" w:hAnsi="Times New Roman" w:eastAsia="黑体"/>
          <w:color w:val="auto"/>
          <w:sz w:val="32"/>
        </w:rPr>
        <w:t>　　一、单位主要职责</w:t>
      </w:r>
    </w:p>
    <w:p>
      <w:pPr>
        <w:spacing w:beforeLines="0" w:afterLines="0" w:line="555" w:lineRule="exact"/>
        <w:jc w:val="both"/>
        <w:rPr>
          <w:rFonts w:hint="default" w:ascii="??_GB2312" w:hAnsi="??_GB2312" w:eastAsia="仿宋_GB2312"/>
          <w:color w:val="auto"/>
          <w:sz w:val="32"/>
        </w:rPr>
      </w:pPr>
      <w:r>
        <w:rPr>
          <w:rFonts w:hint="eastAsia" w:ascii="仿宋_GB2312" w:hAnsi="??_GB2312" w:eastAsia="仿宋_GB2312"/>
          <w:color w:val="auto"/>
          <w:sz w:val="32"/>
        </w:rPr>
        <w:t>　　厦门市湖里区东渡幼儿园的主要职责是：</w:t>
      </w:r>
    </w:p>
    <w:p>
      <w:pPr>
        <w:spacing w:beforeLines="0" w:afterLines="0" w:line="555" w:lineRule="exact"/>
        <w:jc w:val="both"/>
        <w:rPr>
          <w:rFonts w:hint="default" w:ascii="仿宋_GB2312" w:hAnsi="??_GB2312" w:eastAsia="仿宋_GB2312"/>
          <w:color w:val="auto"/>
          <w:sz w:val="32"/>
        </w:rPr>
      </w:pPr>
      <w:r>
        <w:rPr>
          <w:rFonts w:hint="eastAsia" w:ascii="仿宋_GB2312" w:hAnsi="??_GB2312" w:eastAsia="仿宋_GB2312"/>
          <w:color w:val="auto"/>
          <w:sz w:val="32"/>
        </w:rPr>
        <w:t>　　（一）认真贯彻执行党和国家的有关法律法规、方针、政策，坚持依法办园，执行上级主管部门的指示和决定。</w:t>
      </w:r>
    </w:p>
    <w:p>
      <w:pPr>
        <w:spacing w:beforeLines="0" w:afterLines="0" w:line="555" w:lineRule="exact"/>
        <w:ind w:firstLine="640" w:firstLineChars="200"/>
        <w:jc w:val="both"/>
        <w:rPr>
          <w:rFonts w:hint="default" w:ascii="仿宋_GB2312" w:hAnsi="??_GB2312" w:eastAsia="仿宋_GB2312"/>
          <w:color w:val="auto"/>
          <w:sz w:val="32"/>
        </w:rPr>
      </w:pPr>
      <w:r>
        <w:rPr>
          <w:rFonts w:hint="eastAsia" w:ascii="仿宋_GB2312" w:hAnsi="??_GB2312" w:eastAsia="仿宋_GB2312"/>
          <w:color w:val="auto"/>
          <w:sz w:val="32"/>
        </w:rPr>
        <w:t>（二）实行保育和教育相结合的原则，对幼儿实施体、智、德、美诸方面全面发展的教育，促进其身心和谐发展。</w:t>
      </w:r>
    </w:p>
    <w:p>
      <w:pPr>
        <w:spacing w:beforeLines="0" w:afterLines="0" w:line="555" w:lineRule="exact"/>
        <w:ind w:firstLine="640" w:firstLineChars="200"/>
        <w:jc w:val="both"/>
        <w:rPr>
          <w:rFonts w:hint="default" w:ascii="仿宋_GB2312" w:hAnsi="??_GB2312" w:eastAsia="仿宋_GB2312"/>
          <w:color w:val="auto"/>
          <w:sz w:val="32"/>
        </w:rPr>
      </w:pPr>
      <w:r>
        <w:rPr>
          <w:rFonts w:hint="eastAsia" w:ascii="仿宋_GB2312" w:hAnsi="??_GB2312" w:eastAsia="仿宋_GB2312"/>
          <w:color w:val="auto"/>
          <w:sz w:val="32"/>
        </w:rPr>
        <w:t>（三）为儿童提供健康、丰富的生活和活动环境，合理组织幼儿一日生活活动和其它活动。</w:t>
      </w:r>
    </w:p>
    <w:p>
      <w:pPr>
        <w:spacing w:beforeLines="0" w:afterLines="0" w:line="555" w:lineRule="exact"/>
        <w:ind w:firstLine="640" w:firstLineChars="200"/>
        <w:jc w:val="both"/>
        <w:rPr>
          <w:rFonts w:hint="eastAsia" w:ascii="仿宋_GB2312" w:hAnsi="??_GB2312" w:eastAsia="仿宋_GB2312"/>
          <w:color w:val="auto"/>
          <w:sz w:val="32"/>
          <w:lang w:eastAsia="zh-CN"/>
        </w:rPr>
      </w:pPr>
      <w:r>
        <w:rPr>
          <w:rFonts w:hint="eastAsia" w:ascii="仿宋_GB2312" w:hAnsi="??_GB2312" w:eastAsia="仿宋_GB2312"/>
          <w:color w:val="auto"/>
          <w:sz w:val="32"/>
        </w:rPr>
        <w:t>（四）贯彻幼儿教育法规、传播科学教育理念、开展教育科学研究、培训师资，发挥市示范性幼儿园的示范、辐射作用</w:t>
      </w:r>
      <w:r>
        <w:rPr>
          <w:rFonts w:hint="eastAsia" w:ascii="仿宋_GB2312" w:hAnsi="??_GB2312" w:eastAsia="仿宋_GB2312"/>
          <w:color w:val="auto"/>
          <w:sz w:val="32"/>
          <w:lang w:eastAsia="zh-CN"/>
        </w:rPr>
        <w:t>。</w:t>
      </w:r>
    </w:p>
    <w:p>
      <w:pPr>
        <w:spacing w:beforeLines="0" w:afterLines="0" w:line="555" w:lineRule="exact"/>
        <w:ind w:firstLine="640" w:firstLineChars="200"/>
        <w:jc w:val="both"/>
        <w:rPr>
          <w:rFonts w:hint="default" w:ascii="??_GB2312" w:hAnsi="??_GB2312" w:eastAsia="黑体"/>
          <w:color w:val="auto"/>
          <w:sz w:val="32"/>
        </w:rPr>
      </w:pPr>
      <w:r>
        <w:rPr>
          <w:rFonts w:hint="eastAsia" w:ascii="黑体" w:hAnsi="??" w:eastAsia="黑体"/>
          <w:color w:val="auto"/>
          <w:sz w:val="32"/>
        </w:rPr>
        <w:t>二、单位基本情况</w:t>
      </w:r>
    </w:p>
    <w:p>
      <w:pPr>
        <w:spacing w:beforeLines="0" w:afterLines="0" w:line="555" w:lineRule="exact"/>
        <w:jc w:val="both"/>
        <w:rPr>
          <w:rFonts w:hint="default" w:ascii="仿宋_GB2312" w:hAnsi="??_GB2312" w:eastAsia="仿宋_GB2312"/>
          <w:color w:val="auto"/>
          <w:sz w:val="32"/>
        </w:rPr>
      </w:pPr>
      <w:r>
        <w:rPr>
          <w:rFonts w:hint="eastAsia" w:ascii="仿宋_GB2312" w:hAnsi="??_GB2312" w:eastAsia="仿宋_GB2312"/>
          <w:color w:val="auto"/>
          <w:sz w:val="32"/>
        </w:rPr>
        <w:t>　　厦门市湖里区东渡幼儿园包括</w:t>
      </w:r>
      <w:r>
        <w:rPr>
          <w:rFonts w:hint="default" w:ascii="仿宋_GB2312" w:hAnsi="??_GB2312" w:eastAsia="仿宋_GB2312"/>
          <w:color w:val="auto"/>
          <w:sz w:val="32"/>
        </w:rPr>
        <w:t>0</w:t>
      </w:r>
      <w:r>
        <w:rPr>
          <w:rFonts w:hint="eastAsia" w:ascii="仿宋_GB2312" w:hAnsi="??_GB2312" w:eastAsia="仿宋_GB2312"/>
          <w:color w:val="auto"/>
          <w:sz w:val="32"/>
        </w:rPr>
        <w:t>个处室/科室，人员编制数27人，在职人数9人。</w:t>
      </w:r>
    </w:p>
    <w:p>
      <w:pPr>
        <w:spacing w:beforeLines="0" w:afterLines="0" w:line="555" w:lineRule="exact"/>
        <w:jc w:val="both"/>
        <w:rPr>
          <w:rFonts w:hint="default" w:ascii="??_GB2312" w:hAnsi="??_GB2312" w:eastAsia="黑体"/>
          <w:color w:val="auto"/>
          <w:sz w:val="32"/>
        </w:rPr>
      </w:pPr>
      <w:r>
        <w:rPr>
          <w:rFonts w:hint="eastAsia" w:ascii="黑体" w:hAnsi="Times New Roman" w:eastAsia="黑体"/>
          <w:color w:val="auto"/>
          <w:sz w:val="32"/>
        </w:rPr>
        <w:t>　　三、单位主要工作任务</w:t>
      </w:r>
    </w:p>
    <w:p>
      <w:pPr>
        <w:spacing w:beforeLines="0" w:afterLines="0" w:line="555" w:lineRule="exact"/>
        <w:jc w:val="both"/>
        <w:rPr>
          <w:rFonts w:hint="default" w:ascii="仿宋_GB2312" w:hAnsi="??_GB2312" w:eastAsia="仿宋_GB2312"/>
          <w:color w:val="auto"/>
          <w:sz w:val="32"/>
        </w:rPr>
      </w:pPr>
      <w:r>
        <w:rPr>
          <w:rFonts w:hint="eastAsia" w:ascii="仿宋_GB2312" w:hAnsi="??_GB2312" w:eastAsia="仿宋_GB2312"/>
          <w:color w:val="auto"/>
          <w:sz w:val="32"/>
        </w:rPr>
        <w:t>　　2023年，厦门市湖里区东渡幼儿园主要任务是：为学龄前儿童提供保育和教育服务。围绕上述任务，重点抓好以下工作：</w:t>
      </w:r>
    </w:p>
    <w:p>
      <w:pPr>
        <w:spacing w:beforeLines="0" w:afterLines="0" w:line="555" w:lineRule="exact"/>
        <w:ind w:firstLine="640" w:firstLineChars="200"/>
        <w:jc w:val="both"/>
        <w:rPr>
          <w:rFonts w:hint="default" w:ascii="仿宋_GB2312" w:hAnsi="??_GB2312" w:eastAsia="仿宋_GB2312"/>
          <w:color w:val="auto"/>
          <w:sz w:val="32"/>
        </w:rPr>
      </w:pPr>
      <w:r>
        <w:rPr>
          <w:rFonts w:hint="eastAsia" w:ascii="仿宋_GB2312" w:hAnsi="??_GB2312" w:eastAsia="仿宋_GB2312"/>
          <w:color w:val="auto"/>
          <w:sz w:val="32"/>
        </w:rPr>
        <w:t>（一）认真贯彻执行国家的法律法规，贯彻落实《幼儿园教育指导纲要》和《3-6岁幼儿学习与发展指南》，从健康、语言、社会、科学、艺术五大领域引领幼儿的学习发展，各个领域与主题教育、游戏活动等相互融合。</w:t>
      </w:r>
    </w:p>
    <w:p>
      <w:pPr>
        <w:spacing w:beforeLines="0" w:afterLines="0" w:line="555" w:lineRule="exact"/>
        <w:ind w:firstLine="640" w:firstLineChars="200"/>
        <w:jc w:val="both"/>
        <w:rPr>
          <w:rFonts w:hint="default" w:ascii="仿宋_GB2312" w:hAnsi="??_GB2312" w:eastAsia="仿宋_GB2312"/>
          <w:color w:val="auto"/>
          <w:sz w:val="32"/>
        </w:rPr>
      </w:pPr>
      <w:r>
        <w:rPr>
          <w:rFonts w:hint="eastAsia" w:ascii="仿宋_GB2312" w:hAnsi="??_GB2312" w:eastAsia="仿宋_GB2312"/>
          <w:color w:val="auto"/>
          <w:sz w:val="32"/>
        </w:rPr>
        <w:t>（二）根据我市及上级部门的要求做好保教及幼儿园的各项工作。</w:t>
      </w:r>
      <w:r>
        <w:rPr>
          <w:rFonts w:hint="default" w:ascii="仿宋_GB2312" w:hAnsi="??_GB2312" w:eastAsia="仿宋_GB2312"/>
          <w:color w:val="auto"/>
          <w:sz w:val="32"/>
        </w:rPr>
        <w:br w:type="textWrapping"/>
      </w:r>
      <w:r>
        <w:rPr>
          <w:rFonts w:hint="eastAsia" w:ascii="仿宋_GB2312" w:hAnsi="??_GB2312" w:eastAsia="仿宋_GB2312"/>
          <w:color w:val="auto"/>
          <w:sz w:val="32"/>
        </w:rPr>
        <w:t xml:space="preserve">    （三）保证第一线教学的正常进行，做好教学设备的配置，做好安全保障和后勤服务。</w:t>
      </w:r>
    </w:p>
    <w:p>
      <w:pPr>
        <w:spacing w:beforeLines="0" w:afterLines="0" w:line="555" w:lineRule="exact"/>
        <w:ind w:left="20"/>
        <w:jc w:val="center"/>
        <w:rPr>
          <w:rFonts w:hint="default" w:ascii="黑体" w:hAnsi="Times New Roman" w:eastAsia="黑体"/>
          <w:sz w:val="32"/>
        </w:rPr>
      </w:pPr>
      <w:r>
        <w:rPr>
          <w:rFonts w:hint="eastAsia" w:ascii="黑体" w:hAnsi="Times New Roman" w:eastAsia="黑体"/>
          <w:sz w:val="32"/>
        </w:rPr>
        <w:t>第二部分  2023年单位预算说明</w:t>
      </w:r>
    </w:p>
    <w:p>
      <w:pPr>
        <w:spacing w:beforeLines="0" w:afterLines="0" w:line="555" w:lineRule="exact"/>
        <w:jc w:val="both"/>
        <w:rPr>
          <w:rFonts w:hint="default" w:ascii="??_GB2312" w:hAnsi="??_GB2312" w:eastAsia="黑体"/>
          <w:sz w:val="32"/>
        </w:rPr>
      </w:pPr>
      <w:r>
        <w:rPr>
          <w:rFonts w:hint="eastAsia" w:ascii="黑体" w:hAnsi="Times New Roman" w:eastAsia="黑体"/>
          <w:sz w:val="32"/>
        </w:rPr>
        <w:t>　　一、2023年单位预算收支总体情况</w:t>
      </w:r>
    </w:p>
    <w:p>
      <w:pPr>
        <w:spacing w:beforeLines="0" w:afterLines="0" w:line="555" w:lineRule="exact"/>
        <w:jc w:val="both"/>
        <w:rPr>
          <w:rFonts w:hint="default" w:ascii="??_GB2312" w:hAnsi="??_GB2312" w:eastAsia="仿宋_GB2312"/>
          <w:sz w:val="32"/>
        </w:rPr>
      </w:pPr>
      <w:r>
        <w:rPr>
          <w:rFonts w:hint="eastAsia" w:ascii="仿宋_GB2312" w:hAnsi="??_GB2312" w:eastAsia="仿宋_GB2312"/>
          <w:sz w:val="32"/>
        </w:rPr>
        <w:t>　　根据预算管理的有关规定，单位的全部收入和支出均纳入部门预算管理。</w:t>
      </w:r>
    </w:p>
    <w:p>
      <w:pPr>
        <w:spacing w:beforeLines="0" w:afterLines="0" w:line="555" w:lineRule="exact"/>
        <w:jc w:val="both"/>
        <w:rPr>
          <w:rFonts w:hint="default" w:ascii="??_GB2312" w:hAnsi="??_GB2312" w:eastAsia="仿宋_GB2312"/>
          <w:sz w:val="32"/>
        </w:rPr>
      </w:pPr>
      <w:r>
        <w:rPr>
          <w:rFonts w:hint="eastAsia" w:ascii="仿宋_GB2312" w:hAnsi="??_GB2312" w:eastAsia="仿宋_GB2312"/>
          <w:sz w:val="32"/>
        </w:rPr>
        <w:t>　　（一）厦门</w:t>
      </w:r>
      <w:r>
        <w:rPr>
          <w:rFonts w:hint="eastAsia" w:ascii="仿宋_GB2312" w:hAnsi="??_GB2312" w:eastAsia="仿宋_GB2312"/>
          <w:color w:val="auto"/>
          <w:sz w:val="32"/>
        </w:rPr>
        <w:t>市湖里区东渡幼儿园2023年收入预算为513.32万元，比2022年预算数减少4.42万元，</w:t>
      </w:r>
      <w:r>
        <w:rPr>
          <w:rFonts w:hint="eastAsia" w:ascii="仿宋_GB2312" w:hAnsi="??_GB2312" w:eastAsia="仿宋_GB2312" w:cs="Times New Roman"/>
          <w:sz w:val="32"/>
          <w:szCs w:val="22"/>
          <w:lang w:eastAsia="zh-CN"/>
        </w:rPr>
        <w:t>下降</w:t>
      </w:r>
      <w:r>
        <w:rPr>
          <w:rFonts w:hint="eastAsia" w:ascii="仿宋_GB2312" w:hAnsi="??_GB2312" w:eastAsia="仿宋_GB2312" w:cs="Times New Roman"/>
          <w:sz w:val="32"/>
          <w:szCs w:val="22"/>
        </w:rPr>
        <w:t>0.86％</w:t>
      </w:r>
      <w:r>
        <w:rPr>
          <w:rFonts w:hint="eastAsia" w:ascii="仿宋_GB2312" w:hAnsi="??_GB2312" w:eastAsia="仿宋_GB2312"/>
          <w:color w:val="auto"/>
          <w:sz w:val="32"/>
        </w:rPr>
        <w:t>，</w:t>
      </w:r>
      <w:r>
        <w:rPr>
          <w:rFonts w:hint="eastAsia" w:ascii="仿宋_GB2312" w:hAnsi="??_GB2312" w:eastAsia="仿宋_GB2312"/>
          <w:sz w:val="32"/>
        </w:rPr>
        <w:t>具体情况如下：</w:t>
      </w:r>
    </w:p>
    <w:p>
      <w:pPr>
        <w:spacing w:beforeLines="0" w:afterLines="0" w:line="555" w:lineRule="exact"/>
        <w:jc w:val="both"/>
        <w:rPr>
          <w:rFonts w:hint="default" w:ascii="??_GB2312" w:hAnsi="??_GB2312" w:eastAsia="仿宋_GB2312"/>
          <w:sz w:val="32"/>
        </w:rPr>
      </w:pPr>
      <w:r>
        <w:rPr>
          <w:rFonts w:hint="eastAsia" w:ascii="仿宋_GB2312" w:hAnsi="??_GB2312" w:eastAsia="仿宋_GB2312"/>
          <w:sz w:val="32"/>
        </w:rPr>
        <w:t>　　1.财政拨款收入513.32万元，其中一般公共预算拨款收入513.32万元，政府性基金拨款收入</w:t>
      </w:r>
      <w:r>
        <w:rPr>
          <w:rFonts w:hint="default" w:ascii="仿宋_GB2312" w:hAnsi="??_GB2312" w:eastAsia="仿宋_GB2312"/>
          <w:sz w:val="32"/>
        </w:rPr>
        <w:t>0.00</w:t>
      </w:r>
      <w:r>
        <w:rPr>
          <w:rFonts w:hint="eastAsia" w:ascii="仿宋_GB2312" w:hAnsi="??_GB2312" w:eastAsia="仿宋_GB2312"/>
          <w:sz w:val="32"/>
        </w:rPr>
        <w:t>万元，国有资本经营预算拨款收入</w:t>
      </w:r>
      <w:r>
        <w:rPr>
          <w:rFonts w:hint="default" w:ascii="仿宋_GB2312" w:hAnsi="??_GB2312" w:eastAsia="仿宋_GB2312"/>
          <w:sz w:val="32"/>
        </w:rPr>
        <w:t>0.00</w:t>
      </w:r>
      <w:r>
        <w:rPr>
          <w:rFonts w:hint="eastAsia" w:ascii="仿宋_GB2312" w:hAnsi="??_GB2312" w:eastAsia="仿宋_GB2312"/>
          <w:sz w:val="32"/>
        </w:rPr>
        <w:t>万元；</w:t>
      </w:r>
    </w:p>
    <w:p>
      <w:pPr>
        <w:spacing w:beforeLines="0" w:afterLines="0" w:line="555" w:lineRule="exact"/>
        <w:jc w:val="both"/>
        <w:rPr>
          <w:rFonts w:hint="default" w:ascii="??_GB2312" w:hAnsi="??_GB2312" w:eastAsia="仿宋_GB2312"/>
          <w:sz w:val="32"/>
        </w:rPr>
      </w:pPr>
      <w:r>
        <w:rPr>
          <w:rFonts w:hint="eastAsia" w:ascii="仿宋_GB2312" w:hAnsi="??_GB2312" w:eastAsia="仿宋_GB2312"/>
          <w:sz w:val="32"/>
        </w:rPr>
        <w:t>　　2.财政专户管理资金收入</w:t>
      </w:r>
      <w:r>
        <w:rPr>
          <w:rFonts w:hint="default" w:ascii="仿宋_GB2312" w:hAnsi="??_GB2312" w:eastAsia="仿宋_GB2312"/>
          <w:sz w:val="32"/>
        </w:rPr>
        <w:t>0.00</w:t>
      </w:r>
      <w:r>
        <w:rPr>
          <w:rFonts w:hint="eastAsia" w:ascii="仿宋_GB2312" w:hAnsi="??_GB2312" w:eastAsia="仿宋_GB2312"/>
          <w:sz w:val="32"/>
        </w:rPr>
        <w:t>万元；</w:t>
      </w:r>
    </w:p>
    <w:p>
      <w:pPr>
        <w:spacing w:beforeLines="0" w:afterLines="0" w:line="555" w:lineRule="exact"/>
        <w:jc w:val="both"/>
        <w:rPr>
          <w:rFonts w:hint="default" w:ascii="??_GB2312" w:hAnsi="??_GB2312" w:eastAsia="仿宋_GB2312"/>
          <w:sz w:val="32"/>
        </w:rPr>
      </w:pPr>
      <w:r>
        <w:rPr>
          <w:rFonts w:hint="eastAsia" w:ascii="仿宋_GB2312" w:hAnsi="??_GB2312" w:eastAsia="仿宋_GB2312"/>
          <w:sz w:val="32"/>
        </w:rPr>
        <w:t>　　3.事业收入</w:t>
      </w:r>
      <w:r>
        <w:rPr>
          <w:rFonts w:hint="default" w:ascii="仿宋_GB2312" w:hAnsi="??_GB2312" w:eastAsia="仿宋_GB2312"/>
          <w:sz w:val="32"/>
        </w:rPr>
        <w:t>0.00</w:t>
      </w:r>
      <w:r>
        <w:rPr>
          <w:rFonts w:hint="eastAsia" w:ascii="仿宋_GB2312" w:hAnsi="??_GB2312" w:eastAsia="仿宋_GB2312"/>
          <w:sz w:val="32"/>
        </w:rPr>
        <w:t>万元；</w:t>
      </w:r>
    </w:p>
    <w:p>
      <w:pPr>
        <w:spacing w:beforeLines="0" w:afterLines="0" w:line="555" w:lineRule="exact"/>
        <w:jc w:val="both"/>
        <w:rPr>
          <w:rFonts w:hint="default" w:ascii="??_GB2312" w:hAnsi="??_GB2312" w:eastAsia="仿宋_GB2312"/>
          <w:sz w:val="32"/>
        </w:rPr>
      </w:pPr>
      <w:r>
        <w:rPr>
          <w:rFonts w:hint="eastAsia" w:ascii="仿宋_GB2312" w:hAnsi="??_GB2312" w:eastAsia="仿宋_GB2312"/>
          <w:sz w:val="32"/>
        </w:rPr>
        <w:t>　　4.事业单位经营收入</w:t>
      </w:r>
      <w:r>
        <w:rPr>
          <w:rFonts w:hint="default" w:ascii="仿宋_GB2312" w:hAnsi="??_GB2312" w:eastAsia="仿宋_GB2312"/>
          <w:sz w:val="32"/>
        </w:rPr>
        <w:t>0.00</w:t>
      </w:r>
      <w:r>
        <w:rPr>
          <w:rFonts w:hint="eastAsia" w:ascii="仿宋_GB2312" w:hAnsi="??_GB2312" w:eastAsia="仿宋_GB2312"/>
          <w:sz w:val="32"/>
        </w:rPr>
        <w:t>万元；</w:t>
      </w:r>
    </w:p>
    <w:p>
      <w:pPr>
        <w:spacing w:beforeLines="0" w:afterLines="0" w:line="555" w:lineRule="exact"/>
        <w:jc w:val="both"/>
        <w:rPr>
          <w:rFonts w:hint="default" w:ascii="??_GB2312" w:hAnsi="??_GB2312" w:eastAsia="仿宋_GB2312"/>
          <w:sz w:val="32"/>
        </w:rPr>
      </w:pPr>
      <w:r>
        <w:rPr>
          <w:rFonts w:hint="eastAsia" w:ascii="仿宋_GB2312" w:hAnsi="??_GB2312" w:eastAsia="仿宋_GB2312"/>
          <w:sz w:val="32"/>
        </w:rPr>
        <w:t>　　5.上级补助收入</w:t>
      </w:r>
      <w:r>
        <w:rPr>
          <w:rFonts w:hint="default" w:ascii="仿宋_GB2312" w:hAnsi="??_GB2312" w:eastAsia="仿宋_GB2312"/>
          <w:sz w:val="32"/>
        </w:rPr>
        <w:t>0.00</w:t>
      </w:r>
      <w:r>
        <w:rPr>
          <w:rFonts w:hint="eastAsia" w:ascii="仿宋_GB2312" w:hAnsi="??_GB2312" w:eastAsia="仿宋_GB2312"/>
          <w:sz w:val="32"/>
        </w:rPr>
        <w:t>万元；</w:t>
      </w:r>
    </w:p>
    <w:p>
      <w:pPr>
        <w:spacing w:beforeLines="0" w:afterLines="0" w:line="555" w:lineRule="exact"/>
        <w:jc w:val="both"/>
        <w:rPr>
          <w:rFonts w:hint="default" w:ascii="??_GB2312" w:hAnsi="??_GB2312" w:eastAsia="仿宋_GB2312"/>
          <w:sz w:val="32"/>
        </w:rPr>
      </w:pPr>
      <w:r>
        <w:rPr>
          <w:rFonts w:hint="eastAsia" w:ascii="仿宋_GB2312" w:hAnsi="??_GB2312" w:eastAsia="仿宋_GB2312"/>
          <w:sz w:val="32"/>
        </w:rPr>
        <w:t>　　6.附属单位上缴收入</w:t>
      </w:r>
      <w:r>
        <w:rPr>
          <w:rFonts w:hint="default" w:ascii="仿宋_GB2312" w:hAnsi="??_GB2312" w:eastAsia="仿宋_GB2312"/>
          <w:sz w:val="32"/>
        </w:rPr>
        <w:t>0.00</w:t>
      </w:r>
      <w:r>
        <w:rPr>
          <w:rFonts w:hint="eastAsia" w:ascii="仿宋_GB2312" w:hAnsi="??_GB2312" w:eastAsia="仿宋_GB2312"/>
          <w:sz w:val="32"/>
        </w:rPr>
        <w:t>万元；</w:t>
      </w:r>
    </w:p>
    <w:p>
      <w:pPr>
        <w:spacing w:beforeLines="0" w:afterLines="0" w:line="555" w:lineRule="exact"/>
        <w:jc w:val="both"/>
        <w:rPr>
          <w:rFonts w:hint="default" w:ascii="??_GB2312" w:hAnsi="??_GB2312" w:eastAsia="仿宋_GB2312"/>
          <w:sz w:val="32"/>
        </w:rPr>
      </w:pPr>
      <w:r>
        <w:rPr>
          <w:rFonts w:hint="eastAsia" w:ascii="仿宋_GB2312" w:hAnsi="??_GB2312" w:eastAsia="仿宋_GB2312"/>
          <w:sz w:val="32"/>
        </w:rPr>
        <w:t>　　7.其他收入</w:t>
      </w:r>
      <w:r>
        <w:rPr>
          <w:rFonts w:hint="default" w:ascii="仿宋_GB2312" w:hAnsi="??_GB2312" w:eastAsia="仿宋_GB2312"/>
          <w:sz w:val="32"/>
        </w:rPr>
        <w:t>0.00</w:t>
      </w:r>
      <w:r>
        <w:rPr>
          <w:rFonts w:hint="eastAsia" w:ascii="仿宋_GB2312" w:hAnsi="??_GB2312" w:eastAsia="仿宋_GB2312"/>
          <w:sz w:val="32"/>
        </w:rPr>
        <w:t>万元；</w:t>
      </w:r>
    </w:p>
    <w:p>
      <w:pPr>
        <w:spacing w:beforeLines="0" w:afterLines="0" w:line="555" w:lineRule="exact"/>
        <w:jc w:val="both"/>
        <w:rPr>
          <w:rFonts w:hint="default" w:ascii="仿宋_GB2312" w:hAnsi="??_GB2312" w:eastAsia="仿宋_GB2312"/>
          <w:sz w:val="32"/>
        </w:rPr>
      </w:pPr>
      <w:r>
        <w:rPr>
          <w:rFonts w:hint="eastAsia" w:ascii="仿宋_GB2312" w:hAnsi="??_GB2312" w:eastAsia="仿宋_GB2312"/>
          <w:sz w:val="32"/>
        </w:rPr>
        <w:t>　　8.上年结转结余</w:t>
      </w:r>
      <w:r>
        <w:rPr>
          <w:rFonts w:hint="default" w:ascii="仿宋_GB2312" w:hAnsi="??_GB2312" w:eastAsia="仿宋_GB2312"/>
          <w:sz w:val="32"/>
        </w:rPr>
        <w:t>0.00</w:t>
      </w:r>
      <w:r>
        <w:rPr>
          <w:rFonts w:hint="eastAsia" w:ascii="仿宋_GB2312" w:hAnsi="??_GB2312" w:eastAsia="仿宋_GB2312"/>
          <w:sz w:val="32"/>
        </w:rPr>
        <w:t>万元。</w:t>
      </w:r>
    </w:p>
    <w:p>
      <w:pPr>
        <w:spacing w:beforeLines="0" w:afterLines="0" w:line="555" w:lineRule="exact"/>
        <w:jc w:val="both"/>
        <w:rPr>
          <w:rFonts w:hint="default" w:ascii="??_GB2312" w:hAnsi="??_GB2312" w:eastAsia="仿宋_GB2312"/>
          <w:color w:val="auto"/>
          <w:sz w:val="32"/>
        </w:rPr>
      </w:pPr>
      <w:r>
        <w:rPr>
          <w:rFonts w:hint="eastAsia" w:ascii="仿宋_GB2312" w:hAnsi="Times New Roman" w:eastAsia="仿宋_GB2312"/>
          <w:sz w:val="32"/>
        </w:rPr>
        <w:t>　　（二）厦门市湖里区东渡幼儿园2023年支出预算为513.32万元（不含市对区转移支付项目），比2022年预算</w:t>
      </w:r>
      <w:r>
        <w:rPr>
          <w:rFonts w:hint="eastAsia" w:ascii="仿宋_GB2312" w:hAnsi="Times New Roman" w:eastAsia="仿宋_GB2312"/>
          <w:color w:val="auto"/>
          <w:sz w:val="32"/>
        </w:rPr>
        <w:t>数减少4.42万元</w:t>
      </w:r>
      <w:r>
        <w:rPr>
          <w:rFonts w:hint="eastAsia" w:ascii="仿宋_GB2312" w:hAnsi="??_GB2312" w:eastAsia="仿宋_GB2312" w:cs="Times New Roman"/>
          <w:sz w:val="32"/>
          <w:szCs w:val="22"/>
          <w:lang w:eastAsia="zh-CN"/>
        </w:rPr>
        <w:t>，下降0.86</w:t>
      </w:r>
      <w:r>
        <w:rPr>
          <w:rFonts w:hint="eastAsia" w:ascii="仿宋_GB2312" w:hAnsi="Times New Roman" w:eastAsia="仿宋_GB2312"/>
          <w:color w:val="auto"/>
          <w:sz w:val="32"/>
        </w:rPr>
        <w:t>％，具体情况如下：</w:t>
      </w:r>
    </w:p>
    <w:p>
      <w:pPr>
        <w:spacing w:beforeLines="0" w:afterLines="0" w:line="555" w:lineRule="exact"/>
        <w:jc w:val="both"/>
        <w:rPr>
          <w:rFonts w:hint="default" w:ascii="??_GB2312" w:hAnsi="??_GB2312" w:eastAsia="仿宋_GB2312"/>
          <w:sz w:val="32"/>
        </w:rPr>
      </w:pPr>
      <w:r>
        <w:rPr>
          <w:rFonts w:hint="eastAsia" w:ascii="仿宋_GB2312" w:hAnsi="??_GB2312" w:eastAsia="仿宋_GB2312"/>
          <w:sz w:val="32"/>
        </w:rPr>
        <w:t>　　1.基本支出513.32万元，其中，人员支出297.65万元，公用支出215.67万元；</w:t>
      </w:r>
    </w:p>
    <w:p>
      <w:pPr>
        <w:spacing w:beforeLines="0" w:afterLines="0" w:line="555" w:lineRule="exact"/>
        <w:jc w:val="both"/>
        <w:rPr>
          <w:rFonts w:hint="default" w:ascii="??_GB2312" w:hAnsi="??_GB2312" w:eastAsia="仿宋_GB2312"/>
          <w:sz w:val="32"/>
        </w:rPr>
      </w:pPr>
      <w:r>
        <w:rPr>
          <w:rFonts w:hint="eastAsia" w:ascii="仿宋_GB2312" w:hAnsi="??_GB2312" w:eastAsia="仿宋_GB2312"/>
          <w:sz w:val="32"/>
        </w:rPr>
        <w:t>　　2.项目支出</w:t>
      </w:r>
      <w:r>
        <w:rPr>
          <w:rFonts w:hint="default" w:ascii="仿宋_GB2312" w:hAnsi="??_GB2312" w:eastAsia="仿宋_GB2312"/>
          <w:sz w:val="32"/>
        </w:rPr>
        <w:t>0.00</w:t>
      </w:r>
      <w:r>
        <w:rPr>
          <w:rFonts w:hint="eastAsia" w:ascii="仿宋_GB2312" w:hAnsi="??_GB2312" w:eastAsia="仿宋_GB2312"/>
          <w:sz w:val="32"/>
        </w:rPr>
        <w:t>万元；</w:t>
      </w:r>
    </w:p>
    <w:p>
      <w:pPr>
        <w:spacing w:beforeLines="0" w:afterLines="0" w:line="555" w:lineRule="exact"/>
        <w:ind w:firstLine="640"/>
        <w:jc w:val="both"/>
        <w:rPr>
          <w:rFonts w:hint="eastAsia" w:ascii="仿宋_GB2312" w:hAnsi="??_GB2312" w:eastAsia="仿宋_GB2312"/>
          <w:sz w:val="32"/>
        </w:rPr>
      </w:pPr>
      <w:r>
        <w:rPr>
          <w:rFonts w:hint="eastAsia" w:ascii="仿宋_GB2312" w:hAnsi="??_GB2312" w:eastAsia="仿宋_GB2312"/>
          <w:sz w:val="32"/>
        </w:rPr>
        <w:t>3.非财政拨款支出</w:t>
      </w:r>
      <w:r>
        <w:rPr>
          <w:rFonts w:hint="default" w:ascii="仿宋_GB2312" w:hAnsi="??_GB2312" w:eastAsia="仿宋_GB2312"/>
          <w:sz w:val="32"/>
        </w:rPr>
        <w:t>0.00</w:t>
      </w:r>
      <w:r>
        <w:rPr>
          <w:rFonts w:hint="eastAsia" w:ascii="仿宋_GB2312" w:hAnsi="??_GB2312" w:eastAsia="仿宋_GB2312"/>
          <w:sz w:val="32"/>
        </w:rPr>
        <w:t>万元。</w:t>
      </w:r>
    </w:p>
    <w:p>
      <w:pPr>
        <w:spacing w:beforeLines="0" w:afterLines="0" w:line="555" w:lineRule="exact"/>
        <w:ind w:firstLine="640"/>
        <w:jc w:val="both"/>
        <w:rPr>
          <w:rFonts w:hint="default" w:ascii="仿宋_GB2312" w:hAnsi="??_GB2312" w:eastAsia="仿宋_GB2312"/>
          <w:sz w:val="32"/>
        </w:rPr>
      </w:pPr>
      <w:r>
        <w:rPr>
          <w:rFonts w:hint="eastAsia" w:ascii="仿宋_GB2312" w:hAnsi="??_GB2312" w:eastAsia="仿宋_GB2312"/>
          <w:sz w:val="32"/>
        </w:rPr>
        <w:t>（三）厦门市湖里区东渡幼儿园2023年区对镇（街）转移支付项目预算为</w:t>
      </w:r>
      <w:r>
        <w:rPr>
          <w:rFonts w:hint="default" w:ascii="仿宋_GB2312" w:hAnsi="??_GB2312" w:eastAsia="仿宋_GB2312"/>
          <w:sz w:val="32"/>
        </w:rPr>
        <w:t>0</w:t>
      </w:r>
      <w:r>
        <w:rPr>
          <w:rFonts w:hint="eastAsia" w:ascii="仿宋_GB2312" w:hAnsi="??_GB2312" w:eastAsia="仿宋_GB2312"/>
          <w:sz w:val="32"/>
          <w:lang w:val="en-US" w:eastAsia="zh-CN"/>
        </w:rPr>
        <w:t>.00</w:t>
      </w:r>
      <w:r>
        <w:rPr>
          <w:rFonts w:hint="eastAsia" w:ascii="仿宋_GB2312" w:hAnsi="??_GB2312" w:eastAsia="仿宋_GB2312"/>
          <w:sz w:val="32"/>
        </w:rPr>
        <w:t>万元。</w:t>
      </w:r>
      <w:r>
        <w:rPr>
          <w:rFonts w:hint="eastAsia" w:ascii="仿宋_GB2312" w:hAnsi="仿宋_GB2312" w:eastAsia="仿宋_GB2312"/>
          <w:sz w:val="32"/>
          <w:lang w:eastAsia="zh-CN"/>
        </w:rPr>
        <w:t>说明：本单位</w:t>
      </w:r>
      <w:r>
        <w:rPr>
          <w:rFonts w:hint="eastAsia" w:ascii="仿宋_GB2312" w:hAnsi="仿宋_GB2312" w:eastAsia="仿宋_GB2312"/>
          <w:sz w:val="32"/>
          <w:lang w:val="en-US" w:eastAsia="zh-CN"/>
        </w:rPr>
        <w:t>2023年对</w:t>
      </w:r>
      <w:r>
        <w:rPr>
          <w:rFonts w:hint="eastAsia" w:ascii="仿宋_GB2312" w:hAnsi="仿宋_GB2312" w:eastAsia="仿宋_GB2312"/>
          <w:sz w:val="32"/>
        </w:rPr>
        <w:t>镇（街）</w:t>
      </w:r>
      <w:r>
        <w:rPr>
          <w:rFonts w:hint="eastAsia" w:ascii="仿宋_GB2312" w:hAnsi="仿宋_GB2312" w:eastAsia="仿宋_GB2312"/>
          <w:sz w:val="32"/>
          <w:lang w:eastAsia="zh-CN"/>
        </w:rPr>
        <w:t>没有</w:t>
      </w:r>
      <w:r>
        <w:rPr>
          <w:rFonts w:hint="eastAsia" w:ascii="仿宋_GB2312" w:hAnsi="仿宋_GB2312" w:eastAsia="仿宋_GB2312"/>
          <w:sz w:val="32"/>
        </w:rPr>
        <w:t>转移支付项目</w:t>
      </w:r>
      <w:r>
        <w:rPr>
          <w:rFonts w:hint="eastAsia" w:ascii="仿宋_GB2312" w:hAnsi="仿宋_GB2312" w:eastAsia="仿宋_GB2312"/>
          <w:sz w:val="32"/>
          <w:lang w:eastAsia="zh-CN"/>
        </w:rPr>
        <w:t>预算。</w:t>
      </w:r>
    </w:p>
    <w:p>
      <w:pPr>
        <w:spacing w:beforeLines="0" w:afterLines="0" w:line="555" w:lineRule="exact"/>
        <w:ind w:firstLine="640" w:firstLineChars="200"/>
        <w:jc w:val="both"/>
        <w:rPr>
          <w:rFonts w:hint="default" w:ascii="??_GB2312" w:hAnsi="??_GB2312" w:eastAsia="黑体"/>
          <w:color w:val="auto"/>
          <w:sz w:val="32"/>
        </w:rPr>
      </w:pPr>
      <w:r>
        <w:rPr>
          <w:rFonts w:hint="eastAsia" w:ascii="黑体" w:hAnsi="Times New Roman" w:eastAsia="黑体"/>
          <w:color w:val="auto"/>
          <w:sz w:val="32"/>
        </w:rPr>
        <w:t>二、一般公共预算财政拨款支出预算情况</w:t>
      </w:r>
    </w:p>
    <w:p>
      <w:pPr>
        <w:spacing w:beforeLines="0" w:afterLines="0" w:line="555" w:lineRule="exact"/>
        <w:jc w:val="both"/>
        <w:rPr>
          <w:rFonts w:hint="default" w:ascii="仿宋" w:hAnsi="??_GB2312" w:eastAsia="仿宋"/>
          <w:color w:val="auto"/>
          <w:sz w:val="32"/>
        </w:rPr>
      </w:pPr>
      <w:r>
        <w:rPr>
          <w:rFonts w:hint="eastAsia" w:ascii="仿宋_GB2312" w:hAnsi="??_GB2312" w:eastAsia="仿宋_GB2312"/>
          <w:color w:val="auto"/>
          <w:sz w:val="32"/>
        </w:rPr>
        <w:t>　　2023年度一般公共预算支出513.32万元（不含市对区转移支付项目），比2022年预算数减少4.42万元，下降0.86%，主要是由于编内在职退休减少1名及学生人数减少。支出项目(按项级科目分类统计)包括</w:t>
      </w:r>
      <w:r>
        <w:rPr>
          <w:rFonts w:hint="eastAsia" w:ascii="仿宋" w:hAnsi="??_GB2312" w:eastAsia="仿宋"/>
          <w:color w:val="auto"/>
          <w:sz w:val="32"/>
        </w:rPr>
        <w:t>：</w:t>
      </w:r>
    </w:p>
    <w:p>
      <w:pPr>
        <w:spacing w:beforeLines="0" w:afterLines="0" w:line="555" w:lineRule="exact"/>
        <w:ind w:left="20"/>
        <w:jc w:val="both"/>
        <w:rPr>
          <w:rFonts w:hint="default" w:ascii="仿宋_GB2312" w:hAnsi="Times New Roman" w:eastAsia="仿宋_GB2312"/>
          <w:color w:val="auto"/>
          <w:sz w:val="32"/>
        </w:rPr>
      </w:pPr>
      <w:r>
        <w:rPr>
          <w:rFonts w:hint="eastAsia" w:ascii="仿宋_GB2312" w:hAnsi="Times New Roman" w:eastAsia="仿宋_GB2312"/>
          <w:color w:val="auto"/>
          <w:sz w:val="32"/>
        </w:rPr>
        <w:t>　　1.教育支出（类）普通教育（款）学前教育（项）463.38万元。主要用于学前教育支出。</w:t>
      </w:r>
    </w:p>
    <w:p>
      <w:pPr>
        <w:spacing w:beforeLines="0" w:afterLines="0" w:line="555" w:lineRule="exact"/>
        <w:ind w:left="20"/>
        <w:jc w:val="both"/>
        <w:rPr>
          <w:rFonts w:hint="default" w:ascii="仿宋_GB2312" w:hAnsi="Times New Roman" w:eastAsia="仿宋_GB2312"/>
          <w:color w:val="auto"/>
          <w:sz w:val="32"/>
        </w:rPr>
      </w:pPr>
      <w:r>
        <w:rPr>
          <w:rFonts w:hint="eastAsia" w:ascii="仿宋_GB2312" w:hAnsi="Times New Roman" w:eastAsia="仿宋_GB2312"/>
          <w:color w:val="auto"/>
          <w:sz w:val="32"/>
        </w:rPr>
        <w:t>　　2.社会保障和就业支出（类）行政事业单位养老支出（款）事业单位离退休（项）11.53万元。主要用于事业单位离退休支出。</w:t>
      </w:r>
    </w:p>
    <w:p>
      <w:pPr>
        <w:spacing w:beforeLines="0" w:afterLines="0" w:line="555" w:lineRule="exact"/>
        <w:ind w:left="20"/>
        <w:jc w:val="both"/>
        <w:rPr>
          <w:rFonts w:hint="default" w:ascii="仿宋_GB2312" w:hAnsi="Times New Roman" w:eastAsia="仿宋_GB2312"/>
          <w:color w:val="auto"/>
          <w:sz w:val="32"/>
        </w:rPr>
      </w:pPr>
      <w:r>
        <w:rPr>
          <w:rFonts w:hint="eastAsia" w:ascii="仿宋_GB2312" w:hAnsi="Times New Roman" w:eastAsia="仿宋_GB2312"/>
          <w:color w:val="auto"/>
          <w:sz w:val="32"/>
        </w:rPr>
        <w:t>　　3.社会保障和就业支出（类）行政事业单位养老支出（款）机关事业单位基本养老保险缴费支出（项）16.95万元。主要用于机关事业单位基本养老保险支出。</w:t>
      </w:r>
    </w:p>
    <w:p>
      <w:pPr>
        <w:spacing w:beforeLines="0" w:afterLines="0" w:line="555" w:lineRule="exact"/>
        <w:ind w:left="20"/>
        <w:jc w:val="both"/>
        <w:rPr>
          <w:rFonts w:hint="default" w:ascii="仿宋_GB2312" w:hAnsi="Times New Roman" w:eastAsia="仿宋_GB2312"/>
          <w:color w:val="auto"/>
          <w:sz w:val="32"/>
        </w:rPr>
      </w:pPr>
      <w:r>
        <w:rPr>
          <w:rFonts w:hint="eastAsia" w:ascii="仿宋_GB2312" w:hAnsi="Times New Roman" w:eastAsia="仿宋_GB2312"/>
          <w:color w:val="auto"/>
          <w:sz w:val="32"/>
        </w:rPr>
        <w:t>　　4.社会保障和就业支出（类）行政事业单位养老支出（款）机关事业单位职业年金缴费支出（项）8.90万元。主要用于机关事业单位职业年金支出。</w:t>
      </w:r>
    </w:p>
    <w:p>
      <w:pPr>
        <w:spacing w:beforeLines="0" w:afterLines="0" w:line="555" w:lineRule="exact"/>
        <w:ind w:left="20"/>
        <w:jc w:val="both"/>
        <w:rPr>
          <w:rFonts w:hint="default" w:ascii="仿宋_GB2312" w:hAnsi="Times New Roman" w:eastAsia="仿宋_GB2312"/>
          <w:sz w:val="32"/>
        </w:rPr>
      </w:pPr>
      <w:r>
        <w:rPr>
          <w:rFonts w:hint="eastAsia" w:ascii="仿宋_GB2312" w:hAnsi="Times New Roman" w:eastAsia="仿宋_GB2312"/>
          <w:sz w:val="32"/>
        </w:rPr>
        <w:t>　　5.卫生健康支出（类）行政事业单位医疗（款）事业单位医疗（项）8.85万元。主要用于事业单位医疗支出。</w:t>
      </w:r>
    </w:p>
    <w:p>
      <w:pPr>
        <w:spacing w:beforeLines="0" w:afterLines="0" w:line="555" w:lineRule="exact"/>
        <w:ind w:left="20"/>
        <w:jc w:val="both"/>
        <w:rPr>
          <w:rFonts w:hint="default" w:ascii="仿宋_GB2312" w:hAnsi="Times New Roman" w:eastAsia="仿宋_GB2312"/>
          <w:sz w:val="32"/>
        </w:rPr>
      </w:pPr>
      <w:r>
        <w:rPr>
          <w:rFonts w:hint="eastAsia" w:ascii="仿宋_GB2312" w:hAnsi="Times New Roman" w:eastAsia="仿宋_GB2312"/>
          <w:sz w:val="32"/>
        </w:rPr>
        <w:t>　　6.卫生健康支出（类）行政事业单位医疗（款）其他行政事业单位医疗支出（项）3.71万元。主要用于事业单位医疗支出支出。</w:t>
      </w:r>
    </w:p>
    <w:p>
      <w:pPr>
        <w:spacing w:beforeLines="0" w:afterLines="0" w:line="555" w:lineRule="exact"/>
        <w:jc w:val="both"/>
        <w:rPr>
          <w:rFonts w:hint="default" w:ascii="??_GB2312" w:hAnsi="??_GB2312" w:eastAsia="黑体"/>
          <w:color w:val="auto"/>
          <w:sz w:val="32"/>
        </w:rPr>
      </w:pPr>
      <w:r>
        <w:rPr>
          <w:rFonts w:hint="eastAsia" w:ascii="黑体" w:hAnsi="Times New Roman" w:eastAsia="黑体"/>
          <w:color w:val="auto"/>
          <w:sz w:val="32"/>
        </w:rPr>
        <w:t>　　三、政府性基金预算财政拨款支出情况</w:t>
      </w:r>
    </w:p>
    <w:p>
      <w:pPr>
        <w:spacing w:line="555" w:lineRule="exact"/>
        <w:ind w:firstLine="640" w:firstLineChars="200"/>
        <w:jc w:val="both"/>
        <w:rPr>
          <w:rFonts w:hint="default" w:ascii="仿宋_GB2312" w:hAnsi="??_GB2312" w:eastAsia="仿宋_GB2312"/>
          <w:sz w:val="32"/>
        </w:rPr>
      </w:pPr>
      <w:r>
        <w:rPr>
          <w:rFonts w:hint="eastAsia" w:ascii="仿宋_GB2312" w:hAnsi="??_GB2312" w:eastAsia="仿宋_GB2312"/>
          <w:color w:val="auto"/>
          <w:sz w:val="32"/>
        </w:rPr>
        <w:t>2023年度政府性基金支出</w:t>
      </w:r>
      <w:r>
        <w:rPr>
          <w:rFonts w:hint="default" w:ascii="仿宋_GB2312" w:hAnsi="??_GB2312" w:eastAsia="仿宋_GB2312"/>
          <w:color w:val="auto"/>
          <w:sz w:val="32"/>
        </w:rPr>
        <w:t>0.00</w:t>
      </w:r>
      <w:r>
        <w:rPr>
          <w:rFonts w:hint="eastAsia" w:ascii="仿宋_GB2312" w:hAnsi="??_GB2312" w:eastAsia="仿宋_GB2312"/>
          <w:color w:val="auto"/>
          <w:sz w:val="32"/>
        </w:rPr>
        <w:t>万元（不含市对区转移支付项目），比2022年预算数增加（减少）</w:t>
      </w:r>
      <w:r>
        <w:rPr>
          <w:rFonts w:hint="default" w:ascii="仿宋_GB2312" w:hAnsi="??_GB2312" w:eastAsia="仿宋_GB2312"/>
          <w:color w:val="auto"/>
          <w:sz w:val="32"/>
        </w:rPr>
        <w:t>0</w:t>
      </w:r>
      <w:r>
        <w:rPr>
          <w:rFonts w:hint="eastAsia" w:ascii="仿宋_GB2312" w:hAnsi="??_GB2312" w:eastAsia="仿宋_GB2312"/>
          <w:color w:val="auto"/>
          <w:sz w:val="32"/>
          <w:lang w:val="en-US" w:eastAsia="zh-CN"/>
        </w:rPr>
        <w:t>.00</w:t>
      </w:r>
      <w:r>
        <w:rPr>
          <w:rFonts w:hint="eastAsia" w:ascii="仿宋_GB2312" w:hAnsi="??_GB2312" w:eastAsia="仿宋_GB2312"/>
          <w:color w:val="auto"/>
          <w:sz w:val="32"/>
        </w:rPr>
        <w:t>万元，增长（下降）</w:t>
      </w:r>
      <w:r>
        <w:rPr>
          <w:rFonts w:hint="default" w:ascii="仿宋_GB2312" w:hAnsi="??_GB2312" w:eastAsia="仿宋_GB2312"/>
          <w:color w:val="auto"/>
          <w:sz w:val="32"/>
        </w:rPr>
        <w:t>0</w:t>
      </w:r>
      <w:r>
        <w:rPr>
          <w:rFonts w:hint="eastAsia" w:ascii="仿宋_GB2312" w:hAnsi="??_GB2312" w:eastAsia="仿宋_GB2312"/>
          <w:color w:val="auto"/>
          <w:sz w:val="32"/>
          <w:lang w:val="en-US" w:eastAsia="zh-CN"/>
        </w:rPr>
        <w:t>.00</w:t>
      </w:r>
      <w:r>
        <w:rPr>
          <w:rFonts w:hint="eastAsia" w:ascii="仿宋_GB2312" w:hAnsi="??_GB2312" w:eastAsia="仿宋_GB2312"/>
          <w:color w:val="auto"/>
          <w:sz w:val="32"/>
        </w:rPr>
        <w:t>%，</w:t>
      </w:r>
      <w:r>
        <w:rPr>
          <w:rFonts w:hint="eastAsia" w:ascii="仿宋" w:hAnsi="仿宋" w:eastAsia="仿宋"/>
          <w:color w:val="auto"/>
          <w:sz w:val="32"/>
        </w:rPr>
        <w:t>主要</w:t>
      </w:r>
      <w:r>
        <w:rPr>
          <w:rFonts w:hint="eastAsia" w:ascii="仿宋" w:hAnsi="仿宋" w:eastAsia="仿宋"/>
          <w:color w:val="auto"/>
          <w:sz w:val="32"/>
          <w:lang w:eastAsia="zh-CN"/>
        </w:rPr>
        <w:t>原因</w:t>
      </w:r>
      <w:r>
        <w:rPr>
          <w:rFonts w:hint="eastAsia" w:ascii="仿宋" w:hAnsi="仿宋" w:eastAsia="仿宋"/>
          <w:color w:val="auto"/>
          <w:sz w:val="32"/>
        </w:rPr>
        <w:t>是</w:t>
      </w:r>
      <w:r>
        <w:rPr>
          <w:rFonts w:hint="eastAsia" w:ascii="仿宋" w:hAnsi="仿宋" w:eastAsia="仿宋"/>
          <w:color w:val="auto"/>
          <w:sz w:val="32"/>
          <w:lang w:eastAsia="zh-CN"/>
        </w:rPr>
        <w:t>：</w:t>
      </w:r>
      <w:r>
        <w:rPr>
          <w:rFonts w:hint="eastAsia" w:ascii="仿宋" w:hAnsi="仿宋" w:eastAsia="仿宋"/>
          <w:color w:val="auto"/>
          <w:sz w:val="32"/>
          <w:lang w:val="en-US" w:eastAsia="zh-CN"/>
        </w:rPr>
        <w:t>2023年度本单位没有政府性基金预算支出安排</w:t>
      </w:r>
      <w:r>
        <w:rPr>
          <w:rFonts w:hint="eastAsia" w:ascii="仿宋" w:hAnsi="仿宋" w:eastAsia="仿宋"/>
          <w:color w:val="auto"/>
          <w:sz w:val="32"/>
        </w:rPr>
        <w:t>。</w:t>
      </w:r>
    </w:p>
    <w:p>
      <w:pPr>
        <w:spacing w:beforeLines="0" w:afterLines="0" w:line="555" w:lineRule="exact"/>
        <w:jc w:val="both"/>
        <w:rPr>
          <w:rFonts w:hint="default" w:ascii="??_GB2312" w:hAnsi="??_GB2312" w:eastAsia="黑体"/>
          <w:sz w:val="32"/>
        </w:rPr>
      </w:pPr>
      <w:r>
        <w:rPr>
          <w:rFonts w:hint="eastAsia" w:ascii="黑体" w:hAnsi="Times New Roman" w:eastAsia="黑体"/>
          <w:sz w:val="32"/>
        </w:rPr>
        <w:t>　　四、“三公”经费财政拨款预算情况</w:t>
      </w:r>
    </w:p>
    <w:p>
      <w:pPr>
        <w:spacing w:beforeLines="0" w:afterLines="0" w:line="555" w:lineRule="exact"/>
        <w:jc w:val="both"/>
        <w:rPr>
          <w:rFonts w:hint="default" w:ascii="仿宋_GB2312" w:hAnsi="??_GB2312" w:eastAsia="仿宋_GB2312"/>
          <w:sz w:val="32"/>
        </w:rPr>
      </w:pPr>
      <w:r>
        <w:rPr>
          <w:rFonts w:hint="eastAsia" w:ascii="仿宋_GB2312" w:hAnsi="??_GB2312" w:eastAsia="仿宋_GB2312"/>
          <w:sz w:val="32"/>
        </w:rPr>
        <w:t>　　厦门市湖里区东渡幼儿园单位2023年“三公”经费财政拨款预算数为</w:t>
      </w:r>
      <w:r>
        <w:rPr>
          <w:rFonts w:hint="default" w:ascii="仿宋_GB2312" w:hAnsi="??_GB2312" w:eastAsia="仿宋_GB2312"/>
          <w:sz w:val="32"/>
        </w:rPr>
        <w:t>0.00</w:t>
      </w:r>
      <w:r>
        <w:rPr>
          <w:rFonts w:hint="eastAsia" w:ascii="仿宋_GB2312" w:hAnsi="??_GB2312" w:eastAsia="仿宋_GB2312"/>
          <w:sz w:val="32"/>
        </w:rPr>
        <w:t>万元，其中：因公出国（境）经费</w:t>
      </w:r>
      <w:r>
        <w:rPr>
          <w:rFonts w:hint="default" w:ascii="仿宋_GB2312" w:hAnsi="??_GB2312" w:eastAsia="仿宋_GB2312"/>
          <w:sz w:val="32"/>
        </w:rPr>
        <w:t>0.00</w:t>
      </w:r>
      <w:r>
        <w:rPr>
          <w:rFonts w:hint="eastAsia" w:ascii="仿宋_GB2312" w:hAnsi="??_GB2312" w:eastAsia="仿宋_GB2312"/>
          <w:sz w:val="32"/>
        </w:rPr>
        <w:t>万元，公务接待费</w:t>
      </w:r>
      <w:r>
        <w:rPr>
          <w:rFonts w:hint="default" w:ascii="仿宋_GB2312" w:hAnsi="??_GB2312" w:eastAsia="仿宋_GB2312"/>
          <w:sz w:val="32"/>
        </w:rPr>
        <w:t>0.00</w:t>
      </w:r>
      <w:r>
        <w:rPr>
          <w:rFonts w:hint="eastAsia" w:ascii="仿宋_GB2312" w:hAnsi="??_GB2312" w:eastAsia="仿宋_GB2312"/>
          <w:sz w:val="32"/>
        </w:rPr>
        <w:t>万元，公务用车购置及运行费</w:t>
      </w:r>
      <w:r>
        <w:rPr>
          <w:rFonts w:hint="default" w:ascii="仿宋_GB2312" w:hAnsi="??_GB2312" w:eastAsia="仿宋_GB2312"/>
          <w:sz w:val="32"/>
        </w:rPr>
        <w:t>0.00</w:t>
      </w:r>
      <w:r>
        <w:rPr>
          <w:rFonts w:hint="eastAsia" w:ascii="仿宋_GB2312" w:hAnsi="??_GB2312" w:eastAsia="仿宋_GB2312"/>
          <w:sz w:val="32"/>
        </w:rPr>
        <w:t>万元。具体情况如下：</w:t>
      </w:r>
    </w:p>
    <w:p>
      <w:pPr>
        <w:spacing w:beforeLines="0" w:afterLines="0" w:line="555" w:lineRule="exact"/>
        <w:jc w:val="both"/>
        <w:rPr>
          <w:rFonts w:hint="default" w:ascii="??_GB2312" w:hAnsi="??_GB2312" w:eastAsia="楷体_GB2312"/>
          <w:sz w:val="32"/>
        </w:rPr>
      </w:pPr>
      <w:r>
        <w:rPr>
          <w:rFonts w:hint="eastAsia" w:ascii="楷体_GB2312" w:hAnsi="Times New Roman" w:eastAsia="楷体_GB2312"/>
          <w:sz w:val="32"/>
        </w:rPr>
        <w:t>　　（一）因公出国（境）经费</w:t>
      </w:r>
    </w:p>
    <w:p>
      <w:pPr>
        <w:tabs>
          <w:tab w:val="left" w:pos="7513"/>
        </w:tabs>
        <w:snapToGrid w:val="0"/>
        <w:spacing w:beforeLines="0" w:afterLines="0" w:line="560" w:lineRule="exact"/>
        <w:ind w:firstLine="640" w:firstLineChars="200"/>
        <w:jc w:val="both"/>
        <w:rPr>
          <w:rFonts w:hint="default" w:ascii="仿宋_GB2312" w:hAnsi="仿宋_GB2312" w:eastAsia="仿宋"/>
          <w:color w:val="auto"/>
          <w:sz w:val="32"/>
        </w:rPr>
      </w:pPr>
      <w:r>
        <w:rPr>
          <w:rFonts w:hint="eastAsia" w:ascii="仿宋_GB2312" w:hAnsi="??_GB2312" w:eastAsia="仿宋_GB2312"/>
          <w:sz w:val="32"/>
        </w:rPr>
        <w:t>2023年预算安排</w:t>
      </w:r>
      <w:r>
        <w:rPr>
          <w:rFonts w:hint="default" w:ascii="仿宋_GB2312" w:hAnsi="??_GB2312" w:eastAsia="仿宋_GB2312"/>
          <w:sz w:val="32"/>
        </w:rPr>
        <w:t>0.00</w:t>
      </w:r>
      <w:r>
        <w:rPr>
          <w:rFonts w:hint="eastAsia" w:ascii="仿宋_GB2312" w:hAnsi="??_GB2312" w:eastAsia="仿宋_GB2312"/>
          <w:sz w:val="32"/>
        </w:rPr>
        <w:t>万元。与上年预算相比下降（增</w:t>
      </w:r>
      <w:r>
        <w:rPr>
          <w:rFonts w:hint="eastAsia" w:ascii="仿宋_GB2312" w:hAnsi="??_GB2312" w:eastAsia="仿宋_GB2312"/>
          <w:color w:val="auto"/>
          <w:sz w:val="32"/>
        </w:rPr>
        <w:t>长）</w:t>
      </w:r>
      <w:r>
        <w:rPr>
          <w:rFonts w:hint="default" w:ascii="仿宋_GB2312" w:hAnsi="??_GB2312" w:eastAsia="仿宋_GB2312"/>
          <w:color w:val="auto"/>
          <w:sz w:val="32"/>
        </w:rPr>
        <w:t>0</w:t>
      </w:r>
      <w:r>
        <w:rPr>
          <w:rFonts w:hint="eastAsia" w:ascii="仿宋_GB2312" w:hAnsi="??_GB2312" w:eastAsia="仿宋_GB2312"/>
          <w:color w:val="auto"/>
          <w:sz w:val="32"/>
        </w:rPr>
        <w:t>%，</w:t>
      </w:r>
      <w:r>
        <w:rPr>
          <w:rFonts w:hint="eastAsia" w:ascii="仿宋_GB2312" w:hAnsi="仿宋_GB2312" w:eastAsia="仿宋_GB2312"/>
          <w:color w:val="auto"/>
          <w:sz w:val="32"/>
        </w:rPr>
        <w:t>主要</w:t>
      </w:r>
      <w:r>
        <w:rPr>
          <w:rFonts w:hint="eastAsia" w:ascii="仿宋_GB2312" w:hAnsi="仿宋_GB2312" w:eastAsia="仿宋_GB2312"/>
          <w:color w:val="auto"/>
          <w:sz w:val="32"/>
          <w:lang w:eastAsia="zh-CN"/>
        </w:rPr>
        <w:t>原因是本</w:t>
      </w:r>
      <w:r>
        <w:rPr>
          <w:rFonts w:hint="eastAsia" w:ascii="仿宋" w:hAnsi="仿宋" w:eastAsia="仿宋"/>
          <w:color w:val="auto"/>
          <w:sz w:val="32"/>
          <w:lang w:val="en-US" w:eastAsia="zh-CN"/>
        </w:rPr>
        <w:t>年度无安排因公出国（境）活动，没有编制预算。</w:t>
      </w:r>
    </w:p>
    <w:p>
      <w:pPr>
        <w:spacing w:beforeLines="0" w:afterLines="0" w:line="555" w:lineRule="exact"/>
        <w:jc w:val="both"/>
        <w:rPr>
          <w:rFonts w:hint="default" w:ascii="??_GB2312" w:hAnsi="??_GB2312" w:eastAsia="楷体_GB2312"/>
          <w:sz w:val="32"/>
        </w:rPr>
      </w:pPr>
      <w:r>
        <w:rPr>
          <w:rFonts w:hint="eastAsia" w:ascii="楷体_GB2312" w:hAnsi="??" w:eastAsia="楷体_GB2312"/>
          <w:sz w:val="32"/>
        </w:rPr>
        <w:t>　　（二）公务接待费</w:t>
      </w:r>
    </w:p>
    <w:p>
      <w:pPr>
        <w:tabs>
          <w:tab w:val="left" w:pos="7513"/>
        </w:tabs>
        <w:snapToGrid w:val="0"/>
        <w:spacing w:beforeLines="0" w:afterLines="0" w:line="560" w:lineRule="exact"/>
        <w:ind w:firstLine="640" w:firstLineChars="200"/>
        <w:jc w:val="both"/>
        <w:rPr>
          <w:rFonts w:hint="default" w:ascii="仿宋_GB2312" w:hAnsi="仿宋_GB2312" w:eastAsia="仿宋"/>
          <w:color w:val="auto"/>
          <w:sz w:val="32"/>
        </w:rPr>
      </w:pPr>
      <w:r>
        <w:rPr>
          <w:rFonts w:hint="eastAsia" w:ascii="仿宋_GB2312" w:hAnsi="??_GB2312" w:eastAsia="仿宋_GB2312"/>
          <w:sz w:val="32"/>
        </w:rPr>
        <w:t>2023年预算安排</w:t>
      </w:r>
      <w:r>
        <w:rPr>
          <w:rFonts w:hint="default" w:ascii="仿宋_GB2312" w:hAnsi="??_GB2312" w:eastAsia="仿宋_GB2312"/>
          <w:sz w:val="32"/>
        </w:rPr>
        <w:t>0.00</w:t>
      </w:r>
      <w:r>
        <w:rPr>
          <w:rFonts w:hint="eastAsia" w:ascii="仿宋_GB2312" w:hAnsi="??_GB2312" w:eastAsia="仿宋_GB2312"/>
          <w:sz w:val="32"/>
        </w:rPr>
        <w:t>万元。与上年预算相比下降（增长）</w:t>
      </w:r>
      <w:r>
        <w:rPr>
          <w:rFonts w:hint="default" w:ascii="仿宋_GB2312" w:hAnsi="??_GB2312" w:eastAsia="仿宋_GB2312"/>
          <w:sz w:val="32"/>
        </w:rPr>
        <w:t>0</w:t>
      </w:r>
      <w:r>
        <w:rPr>
          <w:rFonts w:hint="eastAsia" w:ascii="仿宋_GB2312" w:hAnsi="??_GB2312" w:eastAsia="仿宋_GB2312"/>
          <w:sz w:val="32"/>
        </w:rPr>
        <w:t>%，主要原因是:</w:t>
      </w:r>
      <w:r>
        <w:rPr>
          <w:rFonts w:hint="eastAsia" w:ascii="仿宋" w:hAnsi="仿宋" w:eastAsia="仿宋"/>
          <w:color w:val="auto"/>
          <w:sz w:val="32"/>
        </w:rPr>
        <w:t xml:space="preserve"> </w:t>
      </w:r>
      <w:r>
        <w:rPr>
          <w:rFonts w:hint="eastAsia" w:ascii="仿宋" w:hAnsi="仿宋" w:eastAsia="仿宋"/>
          <w:color w:val="auto"/>
          <w:sz w:val="32"/>
          <w:lang w:val="en-US" w:eastAsia="zh-CN"/>
        </w:rPr>
        <w:t>本年度无安排公务接待活动，没有编制预算。</w:t>
      </w:r>
    </w:p>
    <w:p>
      <w:pPr>
        <w:spacing w:beforeLines="0" w:afterLines="0" w:line="555" w:lineRule="exact"/>
        <w:jc w:val="both"/>
        <w:rPr>
          <w:rFonts w:hint="default" w:ascii="??_GB2312" w:hAnsi="??_GB2312" w:eastAsia="楷体_GB2312"/>
          <w:sz w:val="32"/>
        </w:rPr>
      </w:pPr>
      <w:r>
        <w:rPr>
          <w:rFonts w:hint="eastAsia" w:ascii="楷体_GB2312" w:hAnsi="??_GB2312" w:eastAsia="楷体_GB2312"/>
          <w:sz w:val="32"/>
        </w:rPr>
        <w:t>　　（三）公务用车购置及运行费</w:t>
      </w:r>
    </w:p>
    <w:p>
      <w:pPr>
        <w:tabs>
          <w:tab w:val="left" w:pos="7513"/>
        </w:tabs>
        <w:snapToGrid w:val="0"/>
        <w:spacing w:beforeLines="0" w:afterLines="0" w:line="560" w:lineRule="exact"/>
        <w:ind w:firstLine="640" w:firstLineChars="200"/>
        <w:jc w:val="both"/>
        <w:rPr>
          <w:rFonts w:hint="default" w:ascii="仿宋_GB2312" w:hAnsi="??_GB2312" w:eastAsia="仿宋_GB2312"/>
          <w:sz w:val="32"/>
        </w:rPr>
      </w:pPr>
      <w:r>
        <w:rPr>
          <w:rFonts w:hint="eastAsia" w:ascii="仿宋_GB2312" w:hAnsi="??_GB2312" w:eastAsia="仿宋_GB2312"/>
          <w:sz w:val="32"/>
        </w:rPr>
        <w:t>2023年预算安排</w:t>
      </w:r>
      <w:r>
        <w:rPr>
          <w:rFonts w:hint="default" w:ascii="仿宋_GB2312" w:hAnsi="??_GB2312" w:eastAsia="仿宋_GB2312"/>
          <w:sz w:val="32"/>
        </w:rPr>
        <w:t>0.00</w:t>
      </w:r>
      <w:r>
        <w:rPr>
          <w:rFonts w:hint="eastAsia" w:ascii="仿宋_GB2312" w:hAnsi="??_GB2312" w:eastAsia="仿宋_GB2312"/>
          <w:sz w:val="32"/>
        </w:rPr>
        <w:t>万元，其中：公务用车运行费</w:t>
      </w:r>
      <w:r>
        <w:rPr>
          <w:rFonts w:hint="default" w:ascii="仿宋_GB2312" w:hAnsi="??_GB2312" w:eastAsia="仿宋_GB2312"/>
          <w:sz w:val="32"/>
        </w:rPr>
        <w:t>0.00</w:t>
      </w:r>
      <w:r>
        <w:rPr>
          <w:rFonts w:hint="eastAsia" w:ascii="仿宋_GB2312" w:hAnsi="??_GB2312" w:eastAsia="仿宋_GB2312"/>
          <w:sz w:val="32"/>
        </w:rPr>
        <w:t>万元；公务用车购置费</w:t>
      </w:r>
      <w:r>
        <w:rPr>
          <w:rFonts w:hint="default" w:ascii="仿宋_GB2312" w:hAnsi="??_GB2312" w:eastAsia="仿宋_GB2312"/>
          <w:sz w:val="32"/>
        </w:rPr>
        <w:t>0.00</w:t>
      </w:r>
      <w:r>
        <w:rPr>
          <w:rFonts w:hint="eastAsia" w:ascii="仿宋_GB2312" w:hAnsi="??_GB2312" w:eastAsia="仿宋_GB2312"/>
          <w:sz w:val="32"/>
        </w:rPr>
        <w:t>万元。与上年预算相比下降（</w:t>
      </w:r>
      <w:r>
        <w:rPr>
          <w:rFonts w:hint="eastAsia" w:ascii="仿宋_GB2312" w:hAnsi="??_GB2312" w:eastAsia="仿宋_GB2312"/>
          <w:color w:val="auto"/>
          <w:sz w:val="32"/>
        </w:rPr>
        <w:t>增长）</w:t>
      </w:r>
      <w:r>
        <w:rPr>
          <w:rFonts w:hint="default" w:ascii="仿宋_GB2312" w:hAnsi="??_GB2312" w:eastAsia="仿宋_GB2312"/>
          <w:color w:val="auto"/>
          <w:sz w:val="32"/>
        </w:rPr>
        <w:t>0</w:t>
      </w:r>
      <w:r>
        <w:rPr>
          <w:rFonts w:hint="eastAsia" w:ascii="仿宋_GB2312" w:hAnsi="??_GB2312" w:eastAsia="仿宋_GB2312"/>
          <w:color w:val="auto"/>
          <w:sz w:val="32"/>
        </w:rPr>
        <w:t>%，主要</w:t>
      </w:r>
      <w:r>
        <w:rPr>
          <w:rFonts w:hint="eastAsia" w:ascii="仿宋_GB2312" w:hAnsi="??_GB2312" w:eastAsia="仿宋_GB2312"/>
          <w:sz w:val="32"/>
        </w:rPr>
        <w:t>原因是:</w:t>
      </w:r>
      <w:r>
        <w:rPr>
          <w:rFonts w:hint="eastAsia" w:ascii="仿宋_GB2312" w:hAnsi="仿宋" w:eastAsia="仿宋_GB2312"/>
          <w:color w:val="auto"/>
          <w:sz w:val="32"/>
        </w:rPr>
        <w:t xml:space="preserve"> </w:t>
      </w:r>
      <w:r>
        <w:rPr>
          <w:rFonts w:hint="eastAsia" w:ascii="仿宋" w:hAnsi="仿宋" w:eastAsia="仿宋"/>
          <w:color w:val="auto"/>
          <w:sz w:val="32"/>
          <w:lang w:val="en-US" w:eastAsia="zh-CN"/>
        </w:rPr>
        <w:t>本年度没有编制预算。</w:t>
      </w:r>
    </w:p>
    <w:p>
      <w:pPr>
        <w:spacing w:beforeLines="0" w:afterLines="0" w:line="555" w:lineRule="exact"/>
        <w:jc w:val="both"/>
        <w:rPr>
          <w:rFonts w:hint="default" w:ascii="????" w:hAnsi="????" w:eastAsia="黑体"/>
          <w:sz w:val="32"/>
        </w:rPr>
      </w:pPr>
      <w:r>
        <w:rPr>
          <w:rFonts w:hint="eastAsia" w:ascii="黑体" w:hAnsi="Times New Roman" w:eastAsia="黑体"/>
          <w:sz w:val="32"/>
        </w:rPr>
        <w:t>　　五、其他重要事项的情况说明</w:t>
      </w:r>
    </w:p>
    <w:p>
      <w:pPr>
        <w:spacing w:beforeLines="0" w:afterLines="0" w:line="555" w:lineRule="exact"/>
        <w:jc w:val="both"/>
        <w:rPr>
          <w:rFonts w:hint="default" w:ascii="??_GB2312" w:hAnsi="??_GB2312" w:eastAsia="楷体_GB2312"/>
          <w:sz w:val="32"/>
        </w:rPr>
      </w:pPr>
      <w:r>
        <w:rPr>
          <w:rFonts w:hint="eastAsia" w:ascii="华文仿宋" w:hAnsi="????" w:eastAsia="华文仿宋"/>
          <w:sz w:val="32"/>
        </w:rPr>
        <w:t>　　</w:t>
      </w:r>
      <w:r>
        <w:rPr>
          <w:rFonts w:hint="eastAsia" w:ascii="楷体_GB2312" w:hAnsi="????" w:eastAsia="楷体_GB2312"/>
          <w:sz w:val="32"/>
        </w:rPr>
        <w:t>（一）机关运行经费</w:t>
      </w:r>
    </w:p>
    <w:p>
      <w:pPr>
        <w:spacing w:line="555" w:lineRule="exact"/>
        <w:jc w:val="both"/>
        <w:rPr>
          <w:rFonts w:hint="eastAsia" w:ascii="仿宋" w:hAnsi="仿宋" w:eastAsia="仿宋"/>
          <w:color w:val="auto"/>
          <w:sz w:val="32"/>
        </w:rPr>
      </w:pPr>
      <w:r>
        <w:rPr>
          <w:rFonts w:hint="eastAsia" w:ascii="仿宋_GB2312" w:hAnsi="??_GB2312" w:eastAsia="仿宋_GB2312"/>
          <w:sz w:val="32"/>
        </w:rPr>
        <w:t>　　2023年厦门市湖里区东渡幼儿园的机关运行经费财政拨款预</w:t>
      </w:r>
      <w:r>
        <w:rPr>
          <w:rFonts w:hint="eastAsia" w:ascii="仿宋_GB2312" w:hAnsi="??_GB2312" w:eastAsia="仿宋_GB2312"/>
          <w:color w:val="auto"/>
          <w:sz w:val="32"/>
        </w:rPr>
        <w:t>算</w:t>
      </w:r>
      <w:r>
        <w:rPr>
          <w:rFonts w:hint="default" w:ascii="仿宋_GB2312" w:hAnsi="??_GB2312" w:eastAsia="仿宋_GB2312"/>
          <w:color w:val="auto"/>
          <w:sz w:val="32"/>
        </w:rPr>
        <w:t>0</w:t>
      </w:r>
      <w:r>
        <w:rPr>
          <w:rFonts w:hint="eastAsia" w:ascii="仿宋_GB2312" w:hAnsi="??_GB2312" w:eastAsia="仿宋_GB2312"/>
          <w:color w:val="auto"/>
          <w:sz w:val="32"/>
        </w:rPr>
        <w:t>万元，比2022年预算减少（增加）</w:t>
      </w:r>
      <w:r>
        <w:rPr>
          <w:rFonts w:hint="default" w:ascii="仿宋_GB2312" w:hAnsi="??_GB2312" w:eastAsia="仿宋_GB2312"/>
          <w:color w:val="auto"/>
          <w:sz w:val="32"/>
        </w:rPr>
        <w:t>0</w:t>
      </w:r>
      <w:r>
        <w:rPr>
          <w:rFonts w:hint="eastAsia" w:ascii="仿宋_GB2312" w:hAnsi="??_GB2312" w:eastAsia="仿宋_GB2312"/>
          <w:color w:val="auto"/>
          <w:sz w:val="32"/>
        </w:rPr>
        <w:t>万元，下降（增长）</w:t>
      </w:r>
      <w:r>
        <w:rPr>
          <w:rFonts w:hint="default" w:ascii="仿宋_GB2312" w:hAnsi="??_GB2312" w:eastAsia="仿宋_GB2312"/>
          <w:color w:val="auto"/>
          <w:sz w:val="32"/>
        </w:rPr>
        <w:t>0</w:t>
      </w:r>
      <w:r>
        <w:rPr>
          <w:rFonts w:hint="eastAsia" w:ascii="仿宋_GB2312" w:hAnsi="??_GB2312" w:eastAsia="仿宋_GB2312"/>
          <w:color w:val="auto"/>
          <w:sz w:val="32"/>
        </w:rPr>
        <w:t>%。</w:t>
      </w:r>
      <w:r>
        <w:rPr>
          <w:rFonts w:hint="eastAsia" w:ascii="仿宋" w:hAnsi="仿宋" w:eastAsia="仿宋"/>
          <w:color w:val="auto"/>
          <w:sz w:val="32"/>
          <w:lang w:eastAsia="zh-CN"/>
        </w:rPr>
        <w:t>主要原因</w:t>
      </w:r>
      <w:r>
        <w:rPr>
          <w:rFonts w:hint="eastAsia" w:ascii="仿宋" w:hAnsi="仿宋" w:eastAsia="仿宋"/>
          <w:color w:val="auto"/>
          <w:sz w:val="32"/>
        </w:rPr>
        <w:t>:本部门为事业单位，</w:t>
      </w:r>
      <w:r>
        <w:rPr>
          <w:rFonts w:hint="eastAsia" w:ascii="仿宋" w:hAnsi="仿宋" w:eastAsia="仿宋"/>
          <w:color w:val="auto"/>
          <w:sz w:val="32"/>
          <w:lang w:val="en-US" w:eastAsia="zh-CN"/>
        </w:rPr>
        <w:t>2023年</w:t>
      </w:r>
      <w:r>
        <w:rPr>
          <w:rFonts w:hint="eastAsia" w:ascii="仿宋" w:hAnsi="仿宋" w:eastAsia="仿宋"/>
          <w:color w:val="auto"/>
          <w:sz w:val="32"/>
        </w:rPr>
        <w:t>没有机关运行经费</w:t>
      </w:r>
      <w:r>
        <w:rPr>
          <w:rFonts w:hint="eastAsia" w:ascii="仿宋" w:hAnsi="仿宋" w:eastAsia="仿宋"/>
          <w:color w:val="auto"/>
          <w:sz w:val="32"/>
          <w:lang w:eastAsia="zh-CN"/>
        </w:rPr>
        <w:t>预算</w:t>
      </w:r>
      <w:r>
        <w:rPr>
          <w:rFonts w:hint="eastAsia" w:ascii="仿宋" w:hAnsi="仿宋" w:eastAsia="仿宋"/>
          <w:color w:val="auto"/>
          <w:sz w:val="32"/>
        </w:rPr>
        <w:t>。</w:t>
      </w:r>
    </w:p>
    <w:p>
      <w:pPr>
        <w:spacing w:beforeLines="0" w:afterLines="0" w:line="555" w:lineRule="exact"/>
        <w:jc w:val="both"/>
        <w:rPr>
          <w:rFonts w:hint="default" w:ascii="??_GB2312" w:hAnsi="??_GB2312" w:eastAsia="楷体_GB2312"/>
          <w:sz w:val="32"/>
        </w:rPr>
      </w:pPr>
      <w:r>
        <w:rPr>
          <w:rFonts w:hint="eastAsia" w:ascii="华文仿宋" w:hAnsi="????" w:eastAsia="华文仿宋"/>
          <w:sz w:val="32"/>
        </w:rPr>
        <w:t>　　</w:t>
      </w:r>
      <w:r>
        <w:rPr>
          <w:rFonts w:hint="eastAsia" w:ascii="楷体_GB2312" w:hAnsi="????" w:eastAsia="楷体_GB2312"/>
          <w:sz w:val="32"/>
        </w:rPr>
        <w:t>（二）政府采购情况</w:t>
      </w:r>
    </w:p>
    <w:p>
      <w:pPr>
        <w:spacing w:beforeLines="0" w:afterLines="0" w:line="555" w:lineRule="exact"/>
        <w:ind w:firstLine="640"/>
        <w:jc w:val="both"/>
        <w:rPr>
          <w:rFonts w:hint="eastAsia" w:ascii="仿宋_GB2312" w:hAnsi="??_GB2312" w:eastAsia="仿宋_GB2312"/>
          <w:sz w:val="32"/>
        </w:rPr>
      </w:pPr>
      <w:r>
        <w:rPr>
          <w:rFonts w:hint="eastAsia" w:ascii="仿宋_GB2312" w:hAnsi="??_GB2312" w:eastAsia="仿宋_GB2312"/>
          <w:sz w:val="32"/>
        </w:rPr>
        <w:t>2023年厦门市湖里区东渡幼儿园政府采购预算总额3.00万元，其中：政府采购货物预算3.00万元，政府采购工程预算</w:t>
      </w:r>
      <w:r>
        <w:rPr>
          <w:rFonts w:hint="default" w:ascii="仿宋_GB2312" w:hAnsi="??_GB2312" w:eastAsia="仿宋_GB2312"/>
          <w:sz w:val="32"/>
        </w:rPr>
        <w:t>0.00</w:t>
      </w:r>
      <w:r>
        <w:rPr>
          <w:rFonts w:hint="eastAsia" w:ascii="仿宋_GB2312" w:hAnsi="??_GB2312" w:eastAsia="仿宋_GB2312"/>
          <w:sz w:val="32"/>
        </w:rPr>
        <w:t>万元，政府采购服务预算</w:t>
      </w:r>
      <w:r>
        <w:rPr>
          <w:rFonts w:hint="default" w:ascii="仿宋_GB2312" w:hAnsi="??_GB2312" w:eastAsia="仿宋_GB2312"/>
          <w:sz w:val="32"/>
        </w:rPr>
        <w:t>0.00</w:t>
      </w:r>
      <w:r>
        <w:rPr>
          <w:rFonts w:hint="eastAsia" w:ascii="仿宋_GB2312" w:hAnsi="??_GB2312" w:eastAsia="仿宋_GB2312"/>
          <w:sz w:val="32"/>
        </w:rPr>
        <w:t>万元。</w:t>
      </w:r>
    </w:p>
    <w:p>
      <w:pPr>
        <w:spacing w:beforeLines="0" w:afterLines="0" w:line="555" w:lineRule="exact"/>
        <w:ind w:firstLine="640"/>
        <w:jc w:val="both"/>
        <w:rPr>
          <w:rFonts w:hint="default" w:ascii="??_GB2312" w:hAnsi="??_GB2312" w:eastAsia="楷体_GB2312"/>
          <w:sz w:val="32"/>
        </w:rPr>
      </w:pPr>
      <w:r>
        <w:rPr>
          <w:rFonts w:hint="eastAsia" w:ascii="楷体_GB2312" w:hAnsi="??_GB2312" w:eastAsia="楷体_GB2312"/>
          <w:sz w:val="32"/>
        </w:rPr>
        <w:t>（三）国有资产占有使用情况</w:t>
      </w:r>
    </w:p>
    <w:p>
      <w:pPr>
        <w:spacing w:line="500" w:lineRule="exact"/>
        <w:ind w:firstLine="640" w:firstLineChars="200"/>
        <w:jc w:val="both"/>
        <w:rPr>
          <w:rFonts w:hint="eastAsia" w:ascii="仿宋_GB2312" w:hAnsi="??_GB2312" w:eastAsia="仿宋_GB2312"/>
          <w:color w:val="auto"/>
          <w:sz w:val="32"/>
        </w:rPr>
      </w:pPr>
      <w:r>
        <w:rPr>
          <w:rFonts w:hint="eastAsia" w:ascii="仿宋_GB2312" w:hAnsi="??_GB2312" w:eastAsia="仿宋_GB2312"/>
          <w:sz w:val="32"/>
        </w:rPr>
        <w:t>截至2022年12月31日，厦门市湖里区东渡幼儿园所属各预算单位共</w:t>
      </w:r>
      <w:r>
        <w:rPr>
          <w:rFonts w:hint="eastAsia" w:ascii="仿宋_GB2312" w:hAnsi="??_GB2312" w:eastAsia="仿宋_GB2312"/>
          <w:color w:val="auto"/>
          <w:sz w:val="32"/>
        </w:rPr>
        <w:t>有车辆</w:t>
      </w:r>
      <w:r>
        <w:rPr>
          <w:rFonts w:hint="default" w:ascii="仿宋_GB2312" w:hAnsi="??_GB2312" w:eastAsia="仿宋_GB2312"/>
          <w:color w:val="auto"/>
          <w:sz w:val="32"/>
        </w:rPr>
        <w:t>0</w:t>
      </w:r>
      <w:r>
        <w:rPr>
          <w:rFonts w:hint="eastAsia" w:ascii="仿宋_GB2312" w:hAnsi="??_GB2312" w:eastAsia="仿宋_GB2312"/>
          <w:color w:val="auto"/>
          <w:sz w:val="32"/>
        </w:rPr>
        <w:t>辆，单位价值50万以上通用设备</w:t>
      </w:r>
      <w:r>
        <w:rPr>
          <w:rFonts w:hint="default" w:ascii="仿宋_GB2312" w:hAnsi="??_GB2312" w:eastAsia="仿宋_GB2312"/>
          <w:color w:val="auto"/>
          <w:sz w:val="32"/>
        </w:rPr>
        <w:t>0</w:t>
      </w:r>
      <w:r>
        <w:rPr>
          <w:rFonts w:hint="eastAsia" w:ascii="仿宋_GB2312" w:hAnsi="??_GB2312" w:eastAsia="仿宋_GB2312"/>
          <w:color w:val="auto"/>
          <w:sz w:val="32"/>
        </w:rPr>
        <w:t>台（套），单位价值100万以上专用设备</w:t>
      </w:r>
      <w:r>
        <w:rPr>
          <w:rFonts w:hint="default" w:ascii="仿宋_GB2312" w:hAnsi="??_GB2312" w:eastAsia="仿宋_GB2312"/>
          <w:color w:val="auto"/>
          <w:sz w:val="32"/>
        </w:rPr>
        <w:t>0</w:t>
      </w:r>
      <w:r>
        <w:rPr>
          <w:rFonts w:hint="eastAsia" w:ascii="仿宋_GB2312" w:hAnsi="??_GB2312" w:eastAsia="仿宋_GB2312"/>
          <w:color w:val="auto"/>
          <w:sz w:val="32"/>
        </w:rPr>
        <w:t>台（套）。</w:t>
      </w:r>
      <w:r>
        <w:rPr>
          <w:rFonts w:hint="eastAsia" w:ascii="仿宋" w:hAnsi="仿宋" w:eastAsia="仿宋"/>
          <w:color w:val="auto"/>
          <w:sz w:val="32"/>
          <w:lang w:eastAsia="zh-CN"/>
        </w:rPr>
        <w:t>说明：</w:t>
      </w:r>
      <w:r>
        <w:rPr>
          <w:rFonts w:hint="eastAsia" w:ascii="FangSong_GB2312" w:hAnsi="FangSong_GB2312" w:eastAsia="FangSong_GB2312"/>
          <w:sz w:val="32"/>
          <w:lang w:eastAsia="zh-CN"/>
        </w:rPr>
        <w:t>本单位没有国有资产占有使用情况。</w:t>
      </w:r>
    </w:p>
    <w:p>
      <w:pPr>
        <w:spacing w:beforeLines="0" w:afterLines="0" w:line="555" w:lineRule="exact"/>
        <w:ind w:firstLine="640"/>
        <w:jc w:val="both"/>
        <w:rPr>
          <w:rFonts w:hint="default" w:ascii="??_GB2312" w:hAnsi="??_GB2312" w:eastAsia="楷体_GB2312"/>
          <w:sz w:val="32"/>
        </w:rPr>
      </w:pPr>
      <w:r>
        <w:rPr>
          <w:rFonts w:hint="eastAsia" w:ascii="楷体_GB2312" w:hAnsi="??_GB2312" w:eastAsia="楷体_GB2312"/>
          <w:sz w:val="32"/>
        </w:rPr>
        <w:t>（四）绩效目标设置情况</w:t>
      </w:r>
    </w:p>
    <w:p>
      <w:pPr>
        <w:spacing w:beforeLines="0" w:afterLines="0" w:line="555" w:lineRule="exact"/>
        <w:ind w:firstLine="651"/>
        <w:jc w:val="both"/>
        <w:rPr>
          <w:rFonts w:hint="eastAsia" w:ascii="FangSong_GB2312" w:hAnsi="FangSong_GB2312" w:eastAsia="FangSong_GB2312"/>
          <w:sz w:val="32"/>
          <w:lang w:eastAsia="zh-CN"/>
        </w:rPr>
      </w:pPr>
      <w:r>
        <w:rPr>
          <w:rFonts w:hint="eastAsia" w:ascii="仿宋_GB2312" w:hAnsi="??_GB2312" w:eastAsia="仿宋_GB2312"/>
          <w:sz w:val="32"/>
        </w:rPr>
        <w:t>厦门市湖里区东渡幼儿园2023年实行绩效目标管理的二级项目</w:t>
      </w:r>
      <w:r>
        <w:rPr>
          <w:rFonts w:hint="default" w:ascii="仿宋_GB2312" w:hAnsi="??_GB2312" w:eastAsia="仿宋_GB2312"/>
          <w:sz w:val="32"/>
        </w:rPr>
        <w:t>0</w:t>
      </w:r>
      <w:r>
        <w:rPr>
          <w:rFonts w:hint="eastAsia" w:ascii="仿宋_GB2312" w:hAnsi="??_GB2312" w:eastAsia="仿宋_GB2312"/>
          <w:sz w:val="32"/>
        </w:rPr>
        <w:t>个，涉及一般公共预算拨款</w:t>
      </w:r>
      <w:r>
        <w:rPr>
          <w:rFonts w:hint="default" w:ascii="仿宋_GB2312" w:hAnsi="??_GB2312" w:eastAsia="仿宋_GB2312"/>
          <w:sz w:val="32"/>
        </w:rPr>
        <w:t>0.00</w:t>
      </w:r>
      <w:r>
        <w:rPr>
          <w:rFonts w:hint="eastAsia" w:ascii="仿宋_GB2312" w:hAnsi="??_GB2312" w:eastAsia="仿宋_GB2312"/>
          <w:sz w:val="32"/>
        </w:rPr>
        <w:t>万元、政府性基金预算拨款</w:t>
      </w:r>
      <w:r>
        <w:rPr>
          <w:rFonts w:hint="default" w:ascii="仿宋_GB2312" w:hAnsi="??_GB2312" w:eastAsia="仿宋_GB2312"/>
          <w:sz w:val="32"/>
        </w:rPr>
        <w:t>0.00</w:t>
      </w:r>
      <w:r>
        <w:rPr>
          <w:rFonts w:hint="eastAsia" w:ascii="仿宋_GB2312" w:hAnsi="??_GB2312" w:eastAsia="仿宋_GB2312"/>
          <w:sz w:val="32"/>
        </w:rPr>
        <w:t>万元。</w:t>
      </w:r>
      <w:r>
        <w:rPr>
          <w:rFonts w:hint="eastAsia" w:ascii="仿宋" w:hAnsi="仿宋" w:eastAsia="仿宋"/>
          <w:color w:val="auto"/>
          <w:sz w:val="32"/>
          <w:lang w:eastAsia="zh-CN"/>
        </w:rPr>
        <w:t>说明：</w:t>
      </w:r>
      <w:r>
        <w:rPr>
          <w:rFonts w:hint="eastAsia" w:ascii="仿宋_GB2312" w:hAnsi="仿宋_GB2312" w:eastAsia="仿宋_GB2312"/>
          <w:sz w:val="32"/>
          <w:lang w:val="en-US" w:eastAsia="zh-CN"/>
        </w:rPr>
        <w:t>2023年</w:t>
      </w:r>
      <w:r>
        <w:rPr>
          <w:rFonts w:hint="eastAsia" w:ascii="FangSong_GB2312" w:hAnsi="FangSong_GB2312" w:eastAsia="FangSong_GB2312"/>
          <w:sz w:val="32"/>
          <w:lang w:eastAsia="zh-CN"/>
        </w:rPr>
        <w:t>本单位没有</w:t>
      </w:r>
      <w:r>
        <w:rPr>
          <w:rFonts w:hint="eastAsia" w:ascii="FangSong_GB2312" w:hAnsi="FangSong_GB2312" w:eastAsia="FangSong_GB2312"/>
          <w:sz w:val="32"/>
        </w:rPr>
        <w:t>绩效目标</w:t>
      </w:r>
      <w:r>
        <w:rPr>
          <w:rFonts w:hint="eastAsia" w:ascii="FangSong_GB2312" w:hAnsi="FangSong_GB2312" w:eastAsia="FangSong_GB2312"/>
          <w:sz w:val="32"/>
          <w:lang w:eastAsia="zh-CN"/>
        </w:rPr>
        <w:t>安排。</w:t>
      </w:r>
    </w:p>
    <w:p>
      <w:pPr>
        <w:pStyle w:val="2"/>
        <w:ind w:firstLine="651"/>
        <w:rPr>
          <w:rFonts w:hint="default"/>
        </w:rPr>
      </w:pPr>
    </w:p>
    <w:p>
      <w:pPr>
        <w:spacing w:beforeLines="0" w:afterLines="0" w:line="555" w:lineRule="exact"/>
        <w:ind w:left="20"/>
        <w:jc w:val="center"/>
        <w:rPr>
          <w:rFonts w:hint="eastAsia" w:ascii="黑体" w:hAnsi="Times New Roman" w:eastAsia="黑体"/>
          <w:sz w:val="32"/>
        </w:rPr>
      </w:pPr>
    </w:p>
    <w:p>
      <w:pPr>
        <w:spacing w:beforeLines="0" w:afterLines="0" w:line="555" w:lineRule="exact"/>
        <w:ind w:left="20"/>
        <w:jc w:val="center"/>
        <w:rPr>
          <w:rFonts w:hint="eastAsia" w:ascii="黑体" w:hAnsi="Times New Roman" w:eastAsia="黑体"/>
          <w:sz w:val="32"/>
        </w:rPr>
      </w:pPr>
    </w:p>
    <w:p>
      <w:pPr>
        <w:spacing w:beforeLines="0" w:afterLines="0" w:line="555" w:lineRule="exact"/>
        <w:ind w:left="20"/>
        <w:jc w:val="center"/>
        <w:rPr>
          <w:rFonts w:hint="eastAsia" w:ascii="黑体" w:hAnsi="Times New Roman" w:eastAsia="黑体"/>
          <w:sz w:val="32"/>
        </w:rPr>
      </w:pPr>
    </w:p>
    <w:p>
      <w:pPr>
        <w:spacing w:beforeLines="0" w:afterLines="0" w:line="555" w:lineRule="exact"/>
        <w:ind w:left="20"/>
        <w:jc w:val="center"/>
        <w:rPr>
          <w:rFonts w:hint="eastAsia" w:ascii="黑体" w:hAnsi="Times New Roman" w:eastAsia="黑体"/>
          <w:sz w:val="32"/>
        </w:rPr>
      </w:pPr>
    </w:p>
    <w:p>
      <w:pPr>
        <w:spacing w:beforeLines="0" w:afterLines="0" w:line="555" w:lineRule="exact"/>
        <w:ind w:left="20"/>
        <w:jc w:val="center"/>
        <w:rPr>
          <w:rFonts w:hint="eastAsia" w:ascii="黑体" w:hAnsi="Times New Roman" w:eastAsia="黑体"/>
          <w:sz w:val="32"/>
        </w:rPr>
      </w:pPr>
    </w:p>
    <w:p>
      <w:pPr>
        <w:spacing w:beforeLines="0" w:afterLines="0" w:line="555" w:lineRule="exact"/>
        <w:ind w:left="20"/>
        <w:jc w:val="center"/>
        <w:rPr>
          <w:rFonts w:hint="eastAsia" w:ascii="黑体" w:hAnsi="Times New Roman" w:eastAsia="黑体"/>
          <w:sz w:val="32"/>
        </w:rPr>
      </w:pPr>
    </w:p>
    <w:p>
      <w:pPr>
        <w:spacing w:beforeLines="0" w:afterLines="0" w:line="555" w:lineRule="exact"/>
        <w:ind w:left="20"/>
        <w:jc w:val="center"/>
        <w:rPr>
          <w:rFonts w:hint="eastAsia" w:ascii="黑体" w:hAnsi="Times New Roman" w:eastAsia="黑体"/>
          <w:sz w:val="32"/>
        </w:rPr>
      </w:pPr>
    </w:p>
    <w:p>
      <w:pPr>
        <w:spacing w:beforeLines="0" w:afterLines="0" w:line="555" w:lineRule="exact"/>
        <w:ind w:left="20"/>
        <w:jc w:val="center"/>
        <w:rPr>
          <w:rFonts w:hint="eastAsia" w:ascii="黑体" w:hAnsi="Times New Roman" w:eastAsia="黑体"/>
          <w:sz w:val="32"/>
        </w:rPr>
      </w:pPr>
    </w:p>
    <w:p>
      <w:pPr>
        <w:spacing w:beforeLines="0" w:afterLines="0" w:line="555" w:lineRule="exact"/>
        <w:ind w:left="20"/>
        <w:jc w:val="center"/>
        <w:rPr>
          <w:rFonts w:hint="eastAsia" w:ascii="黑体" w:hAnsi="Times New Roman" w:eastAsia="黑体"/>
          <w:sz w:val="32"/>
        </w:rPr>
      </w:pPr>
    </w:p>
    <w:p>
      <w:pPr>
        <w:spacing w:beforeLines="0" w:afterLines="0" w:line="555" w:lineRule="exact"/>
        <w:ind w:left="20"/>
        <w:jc w:val="center"/>
        <w:rPr>
          <w:rFonts w:hint="eastAsia" w:ascii="黑体" w:hAnsi="Times New Roman" w:eastAsia="黑体"/>
          <w:sz w:val="32"/>
        </w:rPr>
      </w:pPr>
    </w:p>
    <w:p>
      <w:pPr>
        <w:spacing w:beforeLines="0" w:afterLines="0" w:line="555" w:lineRule="exact"/>
        <w:ind w:left="20"/>
        <w:jc w:val="center"/>
        <w:rPr>
          <w:rFonts w:hint="eastAsia" w:ascii="黑体" w:hAnsi="Times New Roman" w:eastAsia="黑体"/>
          <w:sz w:val="32"/>
        </w:rPr>
      </w:pPr>
    </w:p>
    <w:p>
      <w:pPr>
        <w:spacing w:beforeLines="0" w:afterLines="0" w:line="555" w:lineRule="exact"/>
        <w:ind w:left="20"/>
        <w:jc w:val="center"/>
        <w:rPr>
          <w:rFonts w:hint="eastAsia" w:ascii="黑体" w:hAnsi="Times New Roman" w:eastAsia="黑体"/>
          <w:sz w:val="32"/>
        </w:rPr>
      </w:pPr>
    </w:p>
    <w:p>
      <w:pPr>
        <w:spacing w:beforeLines="0" w:afterLines="0" w:line="555" w:lineRule="exact"/>
        <w:ind w:left="20"/>
        <w:jc w:val="center"/>
        <w:rPr>
          <w:rFonts w:hint="default" w:ascii="黑体" w:hAnsi="Times New Roman" w:eastAsia="黑体"/>
          <w:sz w:val="32"/>
        </w:rPr>
      </w:pPr>
      <w:r>
        <w:rPr>
          <w:rFonts w:hint="eastAsia" w:ascii="黑体" w:hAnsi="Times New Roman" w:eastAsia="黑体"/>
          <w:sz w:val="32"/>
        </w:rPr>
        <w:t>第三部分  名词解释</w:t>
      </w:r>
    </w:p>
    <w:p>
      <w:pPr>
        <w:spacing w:beforeLines="0" w:afterLines="0" w:line="555" w:lineRule="exact"/>
        <w:jc w:val="both"/>
        <w:rPr>
          <w:rFonts w:hint="default" w:ascii="??_GB2312" w:hAnsi="??_GB2312" w:eastAsia="仿宋_GB2312"/>
          <w:sz w:val="32"/>
        </w:rPr>
      </w:pPr>
      <w:r>
        <w:rPr>
          <w:rFonts w:hint="eastAsia" w:ascii="楷体_GB2312" w:hAnsi="Times New Roman" w:eastAsia="楷体_GB2312"/>
          <w:sz w:val="32"/>
        </w:rPr>
        <w:t>　　一、基本支出</w:t>
      </w:r>
      <w:r>
        <w:rPr>
          <w:rFonts w:hint="eastAsia" w:ascii="楷体" w:hAnsi="Times New Roman" w:eastAsia="楷体"/>
          <w:sz w:val="32"/>
        </w:rPr>
        <w:t>：</w:t>
      </w:r>
      <w:r>
        <w:rPr>
          <w:rFonts w:hint="eastAsia" w:ascii="仿宋_GB2312" w:hAnsi="Times New Roman" w:eastAsia="仿宋_GB2312"/>
          <w:sz w:val="32"/>
        </w:rPr>
        <w:t>指为保障机构正常运转、完成日常工作任务而发生的人员支出、对个人和家庭的补助支出和公用支出。</w:t>
      </w:r>
    </w:p>
    <w:p>
      <w:pPr>
        <w:spacing w:beforeLines="0" w:afterLines="0" w:line="555" w:lineRule="exact"/>
        <w:jc w:val="both"/>
        <w:rPr>
          <w:rFonts w:hint="default" w:ascii="??_GB2312" w:hAnsi="??_GB2312" w:eastAsia="仿宋_GB2312"/>
          <w:sz w:val="32"/>
        </w:rPr>
      </w:pPr>
      <w:r>
        <w:rPr>
          <w:rFonts w:hint="eastAsia" w:ascii="楷体_GB2312" w:hAnsi="??_GB2312" w:eastAsia="楷体_GB2312"/>
          <w:sz w:val="32"/>
        </w:rPr>
        <w:t>　　二、项目支出：</w:t>
      </w:r>
      <w:r>
        <w:rPr>
          <w:rFonts w:hint="eastAsia" w:ascii="仿宋_GB2312" w:hAnsi="??_GB2312" w:eastAsia="仿宋_GB2312"/>
          <w:sz w:val="32"/>
        </w:rPr>
        <w:t>指在基本支出之外为完成特定行政任务和事业发展目标所发生的支出，包括部门专项、发展经费和基建项目。</w:t>
      </w:r>
    </w:p>
    <w:p>
      <w:pPr>
        <w:spacing w:beforeLines="0" w:afterLines="0" w:line="555" w:lineRule="exact"/>
        <w:jc w:val="both"/>
        <w:rPr>
          <w:rFonts w:hint="default" w:ascii="??_GB2312" w:hAnsi="??_GB2312" w:eastAsia="仿宋_GB2312"/>
          <w:sz w:val="32"/>
        </w:rPr>
      </w:pPr>
      <w:r>
        <w:rPr>
          <w:rFonts w:hint="eastAsia" w:ascii="楷体_GB2312" w:hAnsi="??_GB2312" w:eastAsia="楷体_GB2312"/>
          <w:sz w:val="32"/>
        </w:rPr>
        <w:t>　　三、“三公”经费：</w:t>
      </w:r>
      <w:r>
        <w:rPr>
          <w:rFonts w:hint="eastAsia" w:ascii="仿宋_GB2312" w:hAnsi="??_GB2312" w:eastAsia="仿宋_GB2312"/>
          <w:sz w:val="32"/>
        </w:rPr>
        <w:t>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牌照费）、燃料费、维修费、过路过桥费、保险费、安全奖励费用等支出；公务接待费反映单位按规定开支的各类公务接待（含外宾接待）支出。</w:t>
      </w:r>
    </w:p>
    <w:p>
      <w:pPr>
        <w:spacing w:beforeLines="0" w:afterLines="0" w:line="555" w:lineRule="exact"/>
        <w:jc w:val="both"/>
        <w:rPr>
          <w:rFonts w:hint="default" w:ascii="??_GB2312" w:hAnsi="??_GB2312" w:eastAsia="仿宋_GB2312"/>
          <w:sz w:val="32"/>
        </w:rPr>
      </w:pPr>
      <w:r>
        <w:rPr>
          <w:rFonts w:hint="eastAsia" w:ascii="楷体_GB2312" w:hAnsi="??_GB2312" w:eastAsia="楷体_GB2312"/>
          <w:sz w:val="32"/>
        </w:rPr>
        <w:t>　　四、机关运行经费：</w:t>
      </w:r>
      <w:r>
        <w:rPr>
          <w:rFonts w:hint="eastAsia" w:ascii="仿宋_GB2312" w:hAnsi="??_GB2312" w:eastAsia="仿宋_GB2312"/>
          <w:sz w:val="32"/>
        </w:rPr>
        <w:t>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spacing w:beforeLines="0" w:afterLines="0" w:line="555" w:lineRule="exact"/>
        <w:jc w:val="both"/>
        <w:rPr>
          <w:rFonts w:hint="eastAsia" w:ascii="仿宋_GB2312" w:hAnsi="??_GB2312" w:eastAsia="楷体_GB2312"/>
          <w:sz w:val="32"/>
          <w:lang w:eastAsia="zh-CN"/>
        </w:rPr>
      </w:pPr>
      <w:r>
        <w:rPr>
          <w:rFonts w:hint="eastAsia" w:ascii="楷体_GB2312" w:hAnsi="??_GB2312" w:eastAsia="楷体_GB2312"/>
          <w:sz w:val="32"/>
        </w:rPr>
        <w:t>　　五、其他名词解释。</w:t>
      </w:r>
      <w:r>
        <w:rPr>
          <w:rFonts w:hint="eastAsia" w:ascii="仿宋_GB2312" w:hAnsi="??_GB2312" w:eastAsia="仿宋_GB2312"/>
          <w:sz w:val="32"/>
          <w:lang w:eastAsia="zh-CN"/>
        </w:rPr>
        <w:t>无</w:t>
      </w:r>
    </w:p>
    <w:p>
      <w:pPr>
        <w:spacing w:beforeLines="0" w:afterLines="0" w:line="555" w:lineRule="exact"/>
        <w:ind w:left="20"/>
        <w:jc w:val="both"/>
        <w:rPr>
          <w:rFonts w:hint="eastAsia" w:ascii="黑体" w:hAnsi="Times New Roman" w:eastAsia="黑体"/>
          <w:sz w:val="32"/>
        </w:rPr>
      </w:pPr>
    </w:p>
    <w:p>
      <w:pPr>
        <w:spacing w:beforeLines="0" w:afterLines="0" w:line="555" w:lineRule="exact"/>
        <w:ind w:left="20"/>
        <w:jc w:val="center"/>
        <w:rPr>
          <w:rFonts w:hint="eastAsia" w:ascii="黑体" w:hAnsi="Times New Roman" w:eastAsia="黑体"/>
          <w:sz w:val="32"/>
        </w:rPr>
      </w:pPr>
    </w:p>
    <w:p>
      <w:pPr>
        <w:spacing w:beforeLines="0" w:afterLines="0" w:line="555" w:lineRule="exact"/>
        <w:ind w:left="20"/>
        <w:jc w:val="center"/>
        <w:rPr>
          <w:rFonts w:hint="eastAsia" w:ascii="黑体" w:hAnsi="Times New Roman" w:eastAsia="黑体"/>
          <w:sz w:val="32"/>
        </w:rPr>
      </w:pPr>
    </w:p>
    <w:p>
      <w:pPr>
        <w:spacing w:beforeLines="0" w:afterLines="0" w:line="555" w:lineRule="exact"/>
        <w:ind w:left="20"/>
        <w:jc w:val="center"/>
        <w:rPr>
          <w:rFonts w:hint="eastAsia" w:ascii="黑体" w:hAnsi="Times New Roman" w:eastAsia="黑体"/>
          <w:sz w:val="32"/>
        </w:rPr>
      </w:pPr>
    </w:p>
    <w:p>
      <w:pPr>
        <w:spacing w:beforeLines="0" w:afterLines="0" w:line="555" w:lineRule="exact"/>
        <w:ind w:left="20"/>
        <w:jc w:val="center"/>
        <w:rPr>
          <w:rFonts w:hint="eastAsia" w:ascii="黑体" w:hAnsi="Times New Roman" w:eastAsia="黑体"/>
          <w:sz w:val="32"/>
        </w:rPr>
      </w:pPr>
    </w:p>
    <w:p>
      <w:pPr>
        <w:spacing w:beforeLines="0" w:afterLines="0" w:line="555" w:lineRule="exact"/>
        <w:ind w:left="20"/>
        <w:jc w:val="center"/>
        <w:rPr>
          <w:rFonts w:hint="default" w:ascii="黑体" w:hAnsi="Times New Roman" w:eastAsia="黑体"/>
          <w:sz w:val="32"/>
        </w:rPr>
      </w:pPr>
      <w:bookmarkStart w:id="0" w:name="_GoBack"/>
      <w:bookmarkEnd w:id="0"/>
      <w:r>
        <w:rPr>
          <w:rFonts w:hint="eastAsia" w:ascii="黑体" w:hAnsi="Times New Roman" w:eastAsia="黑体"/>
          <w:sz w:val="32"/>
        </w:rPr>
        <w:t>第四部分  2023年单位预算附表</w:t>
      </w:r>
    </w:p>
    <w:p>
      <w:pPr>
        <w:spacing w:beforeLines="0" w:afterLines="0" w:line="540" w:lineRule="exact"/>
        <w:jc w:val="both"/>
        <w:rPr>
          <w:rFonts w:hint="default" w:ascii="??_GB2312" w:hAnsi="??_GB2312" w:eastAsia="仿宋_GB2312"/>
          <w:sz w:val="32"/>
        </w:rPr>
      </w:pPr>
      <w:r>
        <w:rPr>
          <w:rFonts w:hint="eastAsia" w:ascii="仿宋_GB2312" w:hAnsi="Times New Roman" w:eastAsia="仿宋_GB2312"/>
          <w:sz w:val="32"/>
        </w:rPr>
        <w:t>　　一、部门收支预算总体情况表</w:t>
      </w:r>
    </w:p>
    <w:p>
      <w:pPr>
        <w:spacing w:beforeLines="0" w:afterLines="0" w:line="540" w:lineRule="exact"/>
        <w:jc w:val="both"/>
        <w:rPr>
          <w:rFonts w:hint="default" w:ascii="??_GB2312" w:hAnsi="??_GB2312" w:eastAsia="仿宋_GB2312"/>
          <w:sz w:val="32"/>
        </w:rPr>
      </w:pPr>
      <w:r>
        <w:rPr>
          <w:rFonts w:hint="eastAsia" w:ascii="仿宋_GB2312" w:hAnsi="??_GB2312" w:eastAsia="仿宋_GB2312"/>
          <w:sz w:val="32"/>
        </w:rPr>
        <w:t>　　二、部门收入预算总体情况表</w:t>
      </w:r>
    </w:p>
    <w:p>
      <w:pPr>
        <w:spacing w:beforeLines="0" w:afterLines="0" w:line="540" w:lineRule="exact"/>
        <w:jc w:val="both"/>
        <w:rPr>
          <w:rFonts w:hint="default" w:ascii="??_GB2312" w:hAnsi="??_GB2312" w:eastAsia="仿宋_GB2312"/>
          <w:sz w:val="32"/>
        </w:rPr>
      </w:pPr>
      <w:r>
        <w:rPr>
          <w:rFonts w:hint="eastAsia" w:ascii="仿宋_GB2312" w:hAnsi="??_GB2312" w:eastAsia="仿宋_GB2312"/>
          <w:sz w:val="32"/>
        </w:rPr>
        <w:t>　　三、部门支出预算总体情况表</w:t>
      </w:r>
    </w:p>
    <w:p>
      <w:pPr>
        <w:spacing w:beforeLines="0" w:afterLines="0" w:line="540" w:lineRule="exact"/>
        <w:jc w:val="both"/>
        <w:rPr>
          <w:rFonts w:hint="default" w:ascii="??_GB2312" w:hAnsi="??_GB2312" w:eastAsia="仿宋_GB2312"/>
          <w:sz w:val="32"/>
        </w:rPr>
      </w:pPr>
      <w:r>
        <w:rPr>
          <w:rFonts w:hint="eastAsia" w:ascii="仿宋_GB2312" w:hAnsi="??_GB2312" w:eastAsia="仿宋_GB2312"/>
          <w:sz w:val="32"/>
        </w:rPr>
        <w:t>　　四、财政拨款收支预算总体情况表</w:t>
      </w:r>
    </w:p>
    <w:p>
      <w:pPr>
        <w:spacing w:beforeLines="0" w:afterLines="0" w:line="540" w:lineRule="exact"/>
        <w:jc w:val="both"/>
        <w:rPr>
          <w:rFonts w:hint="default" w:ascii="??_GB2312" w:hAnsi="??_GB2312" w:eastAsia="仿宋_GB2312"/>
          <w:sz w:val="32"/>
        </w:rPr>
      </w:pPr>
      <w:r>
        <w:rPr>
          <w:rFonts w:hint="eastAsia" w:ascii="仿宋_GB2312" w:hAnsi="??_GB2312" w:eastAsia="仿宋_GB2312"/>
          <w:sz w:val="32"/>
        </w:rPr>
        <w:t>　　五、一般公共预算支出情况表</w:t>
      </w:r>
    </w:p>
    <w:p>
      <w:pPr>
        <w:spacing w:beforeLines="0" w:afterLines="0" w:line="540" w:lineRule="exact"/>
        <w:jc w:val="both"/>
        <w:rPr>
          <w:rFonts w:hint="default" w:ascii="??_GB2312" w:hAnsi="??_GB2312" w:eastAsia="仿宋_GB2312"/>
          <w:sz w:val="32"/>
        </w:rPr>
      </w:pPr>
      <w:r>
        <w:rPr>
          <w:rFonts w:hint="eastAsia" w:ascii="仿宋_GB2312" w:hAnsi="??_GB2312" w:eastAsia="仿宋_GB2312"/>
          <w:sz w:val="32"/>
        </w:rPr>
        <w:t>　　六、一般公共预算基本支出情况表（经济分类款级科目）</w:t>
      </w:r>
    </w:p>
    <w:p>
      <w:pPr>
        <w:spacing w:beforeLines="0" w:afterLines="0" w:line="540" w:lineRule="exact"/>
        <w:jc w:val="both"/>
        <w:rPr>
          <w:rFonts w:hint="default" w:ascii="??_GB2312" w:hAnsi="??_GB2312" w:eastAsia="仿宋_GB2312"/>
          <w:sz w:val="32"/>
        </w:rPr>
      </w:pPr>
      <w:r>
        <w:rPr>
          <w:rFonts w:hint="eastAsia" w:ascii="仿宋_GB2312" w:hAnsi="??_GB2312" w:eastAsia="仿宋_GB2312"/>
          <w:sz w:val="32"/>
        </w:rPr>
        <w:t>　　七、一般公共预算“三公”经费支出情况表</w:t>
      </w:r>
    </w:p>
    <w:p>
      <w:pPr>
        <w:spacing w:beforeLines="0" w:afterLines="0" w:line="540" w:lineRule="exact"/>
        <w:jc w:val="both"/>
        <w:rPr>
          <w:rFonts w:hint="default" w:ascii="??_GB2312" w:hAnsi="??_GB2312" w:eastAsia="仿宋_GB2312"/>
          <w:sz w:val="32"/>
        </w:rPr>
      </w:pPr>
      <w:r>
        <w:rPr>
          <w:rFonts w:hint="eastAsia" w:ascii="仿宋_GB2312" w:hAnsi="??_GB2312" w:eastAsia="仿宋_GB2312"/>
          <w:sz w:val="32"/>
        </w:rPr>
        <w:t>　　八、政府性基金预算支出情况表</w:t>
      </w:r>
    </w:p>
    <w:p>
      <w:pPr>
        <w:spacing w:beforeLines="0" w:afterLines="0" w:line="540" w:lineRule="exact"/>
        <w:jc w:val="both"/>
        <w:rPr>
          <w:rFonts w:hint="default" w:ascii="仿宋_GB2312" w:hAnsi="??_GB2312" w:eastAsia="仿宋_GB2312"/>
          <w:sz w:val="32"/>
          <w:szCs w:val="22"/>
        </w:rPr>
      </w:pPr>
      <w:r>
        <w:rPr>
          <w:rFonts w:hint="eastAsia" w:ascii="仿宋_GB2312" w:hAnsi="??_GB2312" w:eastAsia="仿宋_GB2312"/>
          <w:sz w:val="32"/>
        </w:rPr>
        <w:t>　　</w:t>
      </w:r>
      <w:r>
        <w:rPr>
          <w:rFonts w:hint="eastAsia" w:ascii="仿宋_GB2312" w:hAnsi="??_GB2312" w:eastAsia="仿宋_GB2312"/>
          <w:sz w:val="32"/>
          <w:szCs w:val="22"/>
        </w:rPr>
        <w:t>九、区对镇（街）转移支付项目支出预算表</w:t>
      </w:r>
    </w:p>
    <w:p>
      <w:pPr>
        <w:spacing w:beforeLines="0" w:afterLines="0" w:line="540" w:lineRule="exact"/>
        <w:ind w:firstLine="640" w:firstLineChars="200"/>
        <w:jc w:val="both"/>
        <w:rPr>
          <w:rFonts w:hint="default" w:ascii="仿宋_GB2312" w:hAnsi="??_GB2312" w:eastAsia="仿宋_GB2312"/>
          <w:sz w:val="32"/>
          <w:szCs w:val="22"/>
        </w:rPr>
      </w:pPr>
      <w:r>
        <w:rPr>
          <w:rFonts w:hint="eastAsia" w:ascii="仿宋_GB2312" w:hAnsi="??_GB2312" w:eastAsia="仿宋_GB2312"/>
          <w:sz w:val="32"/>
          <w:szCs w:val="22"/>
        </w:rPr>
        <w:t>十、二级项目绩效目标表</w:t>
      </w:r>
    </w:p>
    <w:sectPr>
      <w:footerReference r:id="rId3" w:type="default"/>
      <w:pgSz w:w="11905" w:h="16837"/>
      <w:pgMar w:top="1388" w:right="1559" w:bottom="1388" w:left="1559"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
    <w:altName w:val="Cambria"/>
    <w:panose1 w:val="00000000000000000000"/>
    <w:charset w:val="00"/>
    <w:family w:val="roman"/>
    <w:pitch w:val="default"/>
    <w:sig w:usb0="00000000" w:usb1="00000000" w:usb2="00000000" w:usb3="00000000" w:csb0="00000001" w:csb1="00000000"/>
  </w:font>
  <w:font w:name="方正小标宋简体">
    <w:altName w:val="微软雅黑"/>
    <w:panose1 w:val="03000509000000000000"/>
    <w:charset w:val="86"/>
    <w:family w:val="auto"/>
    <w:pitch w:val="default"/>
    <w:sig w:usb0="00000000" w:usb1="00000000" w:usb2="00000000" w:usb3="00000000" w:csb0="00040000" w:csb1="00000000"/>
  </w:font>
  <w:font w:name="??_GB2312">
    <w:altName w:val="Cambria"/>
    <w:panose1 w:val="00000000000000000000"/>
    <w:charset w:val="00"/>
    <w:family w:val="roman"/>
    <w:pitch w:val="default"/>
    <w:sig w:usb0="00000000" w:usb1="00000000" w:usb2="00000000" w:usb3="00000000" w:csb0="0000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roman"/>
    <w:pitch w:val="default"/>
    <w:sig w:usb0="00000000" w:usb1="00000000" w:usb2="00000000" w:usb3="00000000" w:csb0="00040000" w:csb1="00000000"/>
  </w:font>
  <w:font w:name="????">
    <w:altName w:val="Cambria"/>
    <w:panose1 w:val="00000000000000000000"/>
    <w:charset w:val="00"/>
    <w:family w:val="roman"/>
    <w:pitch w:val="default"/>
    <w:sig w:usb0="00000000"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 w:name="FangSong_GB2312">
    <w:altName w:val="仿宋"/>
    <w:panose1 w:val="00000000000000000000"/>
    <w:charset w:val="86"/>
    <w:family w:val="roma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0"/>
      <w:tblW w:w="9489"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163"/>
      <w:gridCol w:w="3163"/>
      <w:gridCol w:w="31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jc w:val="center"/>
      </w:trPr>
      <w:tc>
        <w:tcPr>
          <w:tcW w:w="3163" w:type="dxa"/>
          <w:tcBorders>
            <w:top w:val="nil"/>
            <w:left w:val="nil"/>
            <w:bottom w:val="nil"/>
            <w:right w:val="nil"/>
            <w:tl2br w:val="nil"/>
            <w:tr2bl w:val="nil"/>
          </w:tcBorders>
          <w:shd w:val="clear" w:color="auto" w:fill="FFFFFF"/>
          <w:noWrap w:val="0"/>
          <w:vAlign w:val="top"/>
        </w:tcPr>
        <w:p>
          <w:pPr>
            <w:spacing w:beforeLines="0" w:afterLines="0"/>
            <w:rPr>
              <w:rFonts w:hint="default" w:ascii="Times New Roman" w:eastAsia="Times New Roman"/>
              <w:color w:val="auto"/>
              <w:sz w:val="24"/>
            </w:rPr>
          </w:pPr>
        </w:p>
      </w:tc>
      <w:tc>
        <w:tcPr>
          <w:tcW w:w="3163" w:type="dxa"/>
          <w:tcBorders>
            <w:top w:val="nil"/>
            <w:left w:val="nil"/>
            <w:bottom w:val="nil"/>
            <w:right w:val="nil"/>
            <w:tl2br w:val="nil"/>
            <w:tr2bl w:val="nil"/>
          </w:tcBorders>
          <w:shd w:val="clear" w:color="auto" w:fill="FFFFFF"/>
          <w:noWrap w:val="0"/>
          <w:vAlign w:val="top"/>
        </w:tcPr>
        <w:p>
          <w:pPr>
            <w:spacing w:beforeLines="0" w:afterLines="0" w:line="320" w:lineRule="atLeast"/>
            <w:jc w:val="center"/>
            <w:rPr>
              <w:rFonts w:hint="default" w:ascii="Times New Roman" w:hAnsi="Times New Roman"/>
              <w:color w:val="auto"/>
              <w:sz w:val="18"/>
            </w:rPr>
          </w:pPr>
          <w:r>
            <w:rPr>
              <w:rFonts w:hint="default" w:ascii="Times New Roman" w:hAnsi="Times New Roman"/>
              <w:color w:val="auto"/>
              <w:sz w:val="18"/>
            </w:rPr>
            <w:fldChar w:fldCharType="begin"/>
          </w:r>
          <w:r>
            <w:rPr>
              <w:rFonts w:hint="default" w:ascii="Times New Roman" w:hAnsi="Times New Roman"/>
              <w:color w:val="auto"/>
              <w:sz w:val="18"/>
            </w:rPr>
            <w:instrText xml:space="preserve">PAGE</w:instrText>
          </w:r>
          <w:r>
            <w:rPr>
              <w:rFonts w:hint="default" w:ascii="Times New Roman" w:hAnsi="Times New Roman"/>
              <w:color w:val="auto"/>
              <w:sz w:val="18"/>
            </w:rPr>
            <w:fldChar w:fldCharType="separate"/>
          </w:r>
          <w:r>
            <w:rPr>
              <w:rFonts w:hint="default" w:ascii="Times New Roman" w:hAnsi="Times New Roman"/>
              <w:color w:val="auto"/>
              <w:sz w:val="18"/>
            </w:rPr>
            <w:t xml:space="preserve"> </w:t>
          </w:r>
          <w:r>
            <w:rPr>
              <w:rFonts w:hint="default" w:ascii="Times New Roman" w:hAnsi="Times New Roman"/>
              <w:color w:val="auto"/>
              <w:sz w:val="18"/>
            </w:rPr>
            <w:fldChar w:fldCharType="end"/>
          </w:r>
          <w:r>
            <w:rPr>
              <w:rFonts w:hint="default" w:ascii="Times New Roman" w:hAnsi="Times New Roman"/>
              <w:color w:val="auto"/>
              <w:sz w:val="18"/>
            </w:rPr>
            <w:t xml:space="preserve"> </w:t>
          </w:r>
        </w:p>
      </w:tc>
      <w:tc>
        <w:tcPr>
          <w:tcW w:w="3163" w:type="dxa"/>
          <w:tcBorders>
            <w:top w:val="nil"/>
            <w:left w:val="nil"/>
            <w:bottom w:val="nil"/>
            <w:right w:val="nil"/>
            <w:tl2br w:val="nil"/>
            <w:tr2bl w:val="nil"/>
          </w:tcBorders>
          <w:shd w:val="clear" w:color="auto" w:fill="FFFFFF"/>
          <w:noWrap w:val="0"/>
          <w:vAlign w:val="top"/>
        </w:tcPr>
        <w:p>
          <w:pPr>
            <w:spacing w:beforeLines="0" w:afterLines="0"/>
            <w:rPr>
              <w:rFonts w:hint="default" w:ascii="Times New Roman" w:eastAsia="Times New Roman"/>
              <w:color w:val="auto"/>
              <w:sz w:val="24"/>
            </w:rPr>
          </w:pPr>
        </w:p>
      </w:tc>
    </w:tr>
  </w:tbl>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rawingGridHorizontalSpacing w:val="120"/>
  <w:drawingGridVerticalSpacing w:val="120"/>
  <w:displayHorizontalDrawingGridEvery w:val="0"/>
  <w:displayVerticalDrawingGridEvery w:val="3"/>
  <w:doNotUseMarginsForDrawingGridOrigin w:val="1"/>
  <w:drawingGridHorizontalOrigin w:val="1701"/>
  <w:drawingGridVerticalOrigin w:val="1984"/>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54B1CC6"/>
    <w:rsid w:val="1CFB44BB"/>
    <w:rsid w:val="209B7BA4"/>
    <w:rsid w:val="26BD5B81"/>
    <w:rsid w:val="2FA705FA"/>
    <w:rsid w:val="36A87638"/>
    <w:rsid w:val="4CC071F3"/>
    <w:rsid w:val="4E175158"/>
    <w:rsid w:val="4E655FE3"/>
    <w:rsid w:val="54D11DC4"/>
    <w:rsid w:val="640467D4"/>
    <w:rsid w:val="67444DFF"/>
    <w:rsid w:val="6EC53570"/>
    <w:rsid w:val="735F40A3"/>
    <w:rsid w:val="76551835"/>
    <w:rsid w:val="7A466688"/>
    <w:rsid w:val="7D7016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iPriority="9" w:semiHidden="0" w:name="heading 1"/>
    <w:lsdException w:qFormat="1" w:uiPriority="99" w:semiHidden="0" w:name="heading 2"/>
    <w:lsdException w:qFormat="1"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iPriority="39" w:name="toc 1"/>
    <w:lsdException w:qFormat="1" w:uiPriority="39" w:name="toc 2"/>
    <w:lsdException w:qFormat="1" w:uiPriority="39" w:name="toc 3"/>
    <w:lsdException w:qFormat="1" w:uiPriority="39" w:name="toc 4"/>
    <w:lsdException w:qFormat="1" w:uiPriority="39" w:name="toc 5"/>
    <w:lsdException w:qFormat="1" w:uiPriority="39" w:name="toc 6"/>
    <w:lsdException w:qFormat="1" w:uiPriority="39" w:name="toc 7"/>
    <w:lsdException w:qFormat="1" w:uiPriority="39" w:name="toc 8"/>
    <w:lsdException w:qFormat="1" w:uiPriority="39" w:name="toc 9"/>
    <w:lsdException w:qFormat="1" w:uiPriority="99" w:name="Normal Indent"/>
    <w:lsdException w:qFormat="1" w:uiPriority="99" w:name="footnote text"/>
    <w:lsdException w:qFormat="1" w:uiPriority="99" w:name="annotation text"/>
    <w:lsdException w:qFormat="1" w:uiPriority="99" w:semiHidden="0" w:name="header"/>
    <w:lsdException w:uiPriority="99" w:semiHidden="0" w:name="footer"/>
    <w:lsdException w:qFormat="1" w:uiPriority="99" w:name="index heading"/>
    <w:lsdException w:qFormat="1" w:uiPriority="35" w:name="caption"/>
    <w:lsdException w:qFormat="1" w:uiPriority="99" w:name="table of figures"/>
    <w:lsdException w:qFormat="1" w:uiPriority="99" w:name="envelope address"/>
    <w:lsdException w:qFormat="1" w:uiPriority="99" w:name="envelope return"/>
    <w:lsdException w:qFormat="1" w:uiPriority="99" w:name="footnote reference"/>
    <w:lsdException w:qFormat="1" w:uiPriority="99" w:name="annotation reference"/>
    <w:lsdException w:qFormat="1" w:uiPriority="99" w:name="line number"/>
    <w:lsdException w:qFormat="1" w:uiPriority="99"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iPriority="10" w:name="Title"/>
    <w:lsdException w:qFormat="1" w:uiPriority="99" w:name="Closing"/>
    <w:lsdException w:qFormat="1" w:uiPriority="99" w:name="Signature"/>
    <w:lsdException w:qFormat="1" w:uiPriority="1" w:semiHidden="0" w:name="Default Paragraph Font"/>
    <w:lsdException w:qFormat="1" w:uiPriority="99"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iPriority="11"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iPriority="99" w:name="Hyperlink"/>
    <w:lsdException w:qFormat="1" w:uiPriority="99" w:name="FollowedHyperlink"/>
    <w:lsdException w:qFormat="1" w:uiPriority="22" w:name="Strong"/>
    <w:lsdException w:qFormat="1" w:uiPriority="20" w:name="Emphasis"/>
    <w:lsdException w:qFormat="1" w:uiPriority="99" w:name="Document Map"/>
    <w:lsdException w:qFormat="1" w:uiPriority="99" w:name="Plain Text"/>
    <w:lsdException w:qFormat="1" w:uiPriority="99" w:name="E-mail Signature"/>
    <w:lsdException w:qFormat="1" w:uiPriority="99" w:semiHidden="0" w:name="Normal (Web)"/>
    <w:lsdException w:qFormat="1" w:uiPriority="99" w:name="HTML Acronym"/>
    <w:lsdException w:qFormat="1" w:uiPriority="99" w:name="HTML Address"/>
    <w:lsdException w:qFormat="1" w:uiPriority="99" w:name="HTML Cite"/>
    <w:lsdException w:qFormat="1" w:uiPriority="99" w:name="HTML Code"/>
    <w:lsdException w:qFormat="1" w:uiPriority="99" w:name="HTML Definition"/>
    <w:lsdException w:qFormat="1" w:uiPriority="99" w:name="HTML Keyboard"/>
    <w:lsdException w:qFormat="1" w:uiPriority="99" w:name="HTML Preformatted"/>
    <w:lsdException w:qFormat="1" w:uiPriority="99" w:name="HTML Sample"/>
    <w:lsdException w:qFormat="1" w:uiPriority="99" w:name="HTML Typewriter"/>
    <w:lsdException w:qFormat="1" w:uiPriority="99" w:name="HTML Variable"/>
    <w:lsdException w:qFormat="1" w:unhideWhenUsed="0" w:uiPriority="99" w:semiHidden="0" w:name="Normal Table"/>
    <w:lsdException w:qFormat="1" w:uiPriority="99"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qFormat="1" w:uiPriority="99" w:name="Balloon Text"/>
    <w:lsdException w:qFormat="1" w:uiPriority="39"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autoSpaceDE w:val="0"/>
      <w:autoSpaceDN w:val="0"/>
      <w:adjustRightInd w:val="0"/>
      <w:spacing w:beforeLines="0" w:afterLines="0"/>
    </w:pPr>
    <w:rPr>
      <w:rFonts w:hint="eastAsia" w:ascii="Arial" w:hAnsi="Arial" w:eastAsia="等线" w:cs="Times New Roman"/>
      <w:color w:val="000000"/>
      <w:sz w:val="24"/>
      <w:lang w:val="en-US" w:eastAsia="zh-CN"/>
    </w:rPr>
  </w:style>
  <w:style w:type="paragraph" w:styleId="3">
    <w:name w:val="heading 1"/>
    <w:basedOn w:val="1"/>
    <w:next w:val="1"/>
    <w:link w:val="11"/>
    <w:unhideWhenUsed/>
    <w:qFormat/>
    <w:uiPriority w:val="9"/>
    <w:pPr>
      <w:spacing w:beforeLines="0" w:afterLines="0"/>
      <w:outlineLvl w:val="0"/>
    </w:pPr>
    <w:rPr>
      <w:rFonts w:hint="eastAsia"/>
      <w:b/>
      <w:sz w:val="32"/>
    </w:rPr>
  </w:style>
  <w:style w:type="paragraph" w:styleId="4">
    <w:name w:val="heading 2"/>
    <w:basedOn w:val="1"/>
    <w:next w:val="1"/>
    <w:link w:val="13"/>
    <w:unhideWhenUsed/>
    <w:qFormat/>
    <w:uiPriority w:val="99"/>
    <w:pPr>
      <w:spacing w:beforeLines="0" w:afterLines="0"/>
      <w:outlineLvl w:val="1"/>
    </w:pPr>
    <w:rPr>
      <w:rFonts w:hint="eastAsia"/>
      <w:b/>
      <w:i/>
      <w:sz w:val="28"/>
    </w:rPr>
  </w:style>
  <w:style w:type="paragraph" w:styleId="5">
    <w:name w:val="heading 3"/>
    <w:basedOn w:val="1"/>
    <w:next w:val="1"/>
    <w:link w:val="14"/>
    <w:unhideWhenUsed/>
    <w:qFormat/>
    <w:uiPriority w:val="99"/>
    <w:pPr>
      <w:spacing w:beforeLines="0" w:afterLines="0"/>
      <w:outlineLvl w:val="2"/>
    </w:pPr>
    <w:rPr>
      <w:rFonts w:hint="eastAsia"/>
      <w:b/>
      <w:sz w:val="26"/>
    </w:rPr>
  </w:style>
  <w:style w:type="character" w:default="1" w:styleId="9">
    <w:name w:val="Default Paragraph Font"/>
    <w:unhideWhenUsed/>
    <w:qFormat/>
    <w:uiPriority w:val="1"/>
    <w:rPr>
      <w:rFonts w:hint="default"/>
      <w:sz w:val="24"/>
    </w:rPr>
  </w:style>
  <w:style w:type="table" w:default="1" w:styleId="10">
    <w:name w:val="Normal Table"/>
    <w:qFormat/>
    <w:uiPriority w:val="99"/>
    <w:tblPr>
      <w:tblLayout w:type="fixed"/>
      <w:tblCellMar>
        <w:top w:w="0" w:type="dxa"/>
        <w:left w:w="108" w:type="dxa"/>
        <w:bottom w:w="0" w:type="dxa"/>
        <w:right w:w="108" w:type="dxa"/>
      </w:tblCellMar>
    </w:tblPr>
  </w:style>
  <w:style w:type="paragraph" w:customStyle="1" w:styleId="2">
    <w:name w:val="1.正文"/>
    <w:basedOn w:val="1"/>
    <w:unhideWhenUsed/>
    <w:qFormat/>
    <w:uiPriority w:val="99"/>
    <w:rPr>
      <w:rFonts w:hint="default" w:hAnsi="Times New Roman"/>
      <w:sz w:val="24"/>
    </w:rPr>
  </w:style>
  <w:style w:type="paragraph" w:styleId="6">
    <w:name w:val="footer"/>
    <w:basedOn w:val="1"/>
    <w:link w:val="12"/>
    <w:unhideWhenUsed/>
    <w:uiPriority w:val="99"/>
    <w:pPr>
      <w:tabs>
        <w:tab w:val="center" w:pos="4153"/>
        <w:tab w:val="right" w:pos="8306"/>
      </w:tabs>
      <w:snapToGrid w:val="0"/>
      <w:spacing w:beforeLines="0" w:afterLines="0"/>
    </w:pPr>
    <w:rPr>
      <w:rFonts w:hint="eastAsia"/>
      <w:sz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spacing w:beforeLines="0" w:afterLines="0"/>
      <w:jc w:val="center"/>
    </w:pPr>
    <w:rPr>
      <w:rFonts w:hint="eastAsia"/>
      <w:sz w:val="18"/>
    </w:rPr>
  </w:style>
  <w:style w:type="paragraph" w:styleId="8">
    <w:name w:val="Normal (Web)"/>
    <w:basedOn w:val="1"/>
    <w:unhideWhenUsed/>
    <w:qFormat/>
    <w:uiPriority w:val="99"/>
    <w:pPr>
      <w:spacing w:beforeLines="0" w:afterLines="0"/>
    </w:pPr>
    <w:rPr>
      <w:rFonts w:hint="eastAsia" w:ascii="Times New Roman" w:hAnsi="Times New Roman"/>
      <w:sz w:val="24"/>
    </w:rPr>
  </w:style>
  <w:style w:type="character" w:customStyle="1" w:styleId="11">
    <w:name w:val="标题 1 字符"/>
    <w:basedOn w:val="9"/>
    <w:link w:val="3"/>
    <w:unhideWhenUsed/>
    <w:qFormat/>
    <w:locked/>
    <w:uiPriority w:val="9"/>
    <w:rPr>
      <w:rFonts w:hint="default" w:ascii="Times New Roman"/>
      <w:b/>
      <w:kern w:val="44"/>
      <w:sz w:val="44"/>
    </w:rPr>
  </w:style>
  <w:style w:type="character" w:customStyle="1" w:styleId="12">
    <w:name w:val="页脚 字符"/>
    <w:basedOn w:val="9"/>
    <w:link w:val="6"/>
    <w:unhideWhenUsed/>
    <w:qFormat/>
    <w:locked/>
    <w:uiPriority w:val="99"/>
    <w:rPr>
      <w:rFonts w:hint="default" w:ascii="Arial"/>
      <w:color w:val="000000"/>
      <w:sz w:val="18"/>
    </w:rPr>
  </w:style>
  <w:style w:type="character" w:customStyle="1" w:styleId="13">
    <w:name w:val="标题 2 字符"/>
    <w:basedOn w:val="9"/>
    <w:link w:val="4"/>
    <w:unhideWhenUsed/>
    <w:qFormat/>
    <w:locked/>
    <w:uiPriority w:val="9"/>
    <w:rPr>
      <w:rFonts w:hint="eastAsia" w:ascii="等线 Light" w:hAnsi="等线 Light" w:eastAsia="等线 Light"/>
      <w:b/>
      <w:sz w:val="32"/>
    </w:rPr>
  </w:style>
  <w:style w:type="character" w:customStyle="1" w:styleId="14">
    <w:name w:val="标题 3 字符"/>
    <w:basedOn w:val="9"/>
    <w:link w:val="5"/>
    <w:unhideWhenUsed/>
    <w:qFormat/>
    <w:locked/>
    <w:uiPriority w:val="9"/>
    <w:rPr>
      <w:rFonts w:hint="default" w:ascii="Times New Roman"/>
      <w:b/>
      <w:sz w:val="32"/>
    </w:rPr>
  </w:style>
  <w:style w:type="character" w:customStyle="1" w:styleId="15">
    <w:name w:val="页眉 字符"/>
    <w:basedOn w:val="9"/>
    <w:link w:val="7"/>
    <w:unhideWhenUsed/>
    <w:qFormat/>
    <w:locked/>
    <w:uiPriority w:val="99"/>
    <w:rPr>
      <w:rFonts w:hint="default" w:ascii="Arial"/>
      <w:color w:val="00000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3</TotalTime>
  <ScaleCrop>false</ScaleCrop>
  <LinksUpToDate>false</LinksUpToDate>
  <Application>WPS Office_11.8.2.8053_F1E327BC-269C-435d-A152-05C5408002CA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2023-02-21T00:24:00Z</dcterms:created>
  <dc:creator>Administrator</dc:creator>
  <cp:lastModifiedBy>dell</cp:lastModifiedBy>
  <dcterms:modified xsi:type="dcterms:W3CDTF">2023-03-20T01:21:51Z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