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beforeLines="0" w:afterLines="0"/>
        <w:rPr>
          <w:rFonts w:hint="default"/>
          <w:sz w:val="2"/>
        </w:rPr>
      </w:pPr>
    </w:p>
    <w:p>
      <w:pPr>
        <w:spacing w:beforeLines="0" w:afterLines="0" w:line="525" w:lineRule="exact"/>
        <w:jc w:val="center"/>
        <w:rPr>
          <w:rFonts w:hint="eastAsia" w:ascii="仿宋" w:hAnsi="仿宋" w:eastAsia="仿宋" w:cs="仿宋"/>
          <w:b/>
          <w:bCs/>
          <w:sz w:val="30"/>
        </w:rPr>
      </w:pPr>
      <w:r>
        <w:rPr>
          <w:rFonts w:hint="eastAsia" w:ascii="仿宋" w:hAnsi="仿宋" w:eastAsia="仿宋" w:cs="仿宋"/>
          <w:b/>
          <w:bCs/>
          <w:sz w:val="44"/>
        </w:rPr>
        <w:t>2024年度厦门市禾山中学单位预算</w:t>
      </w:r>
    </w:p>
    <w:p>
      <w:pPr>
        <w:spacing w:beforeLines="0" w:afterLines="0" w:line="525" w:lineRule="exact"/>
        <w:jc w:val="center"/>
        <w:rPr>
          <w:rFonts w:hint="eastAsia" w:ascii="黑体" w:hAnsi="黑体" w:eastAsia="黑体"/>
          <w:sz w:val="30"/>
        </w:rPr>
      </w:pPr>
    </w:p>
    <w:p>
      <w:pPr>
        <w:spacing w:beforeLines="0" w:afterLines="0" w:line="525" w:lineRule="exact"/>
        <w:jc w:val="center"/>
        <w:rPr>
          <w:rFonts w:hint="eastAsia" w:ascii="黑体" w:hAnsi="黑体" w:eastAsia="黑体"/>
          <w:sz w:val="32"/>
        </w:rPr>
      </w:pPr>
      <w:r>
        <w:rPr>
          <w:rFonts w:hint="eastAsia" w:ascii="黑体" w:hAnsi="黑体" w:eastAsia="黑体"/>
          <w:sz w:val="32"/>
        </w:rPr>
        <w:t>目　　录</w:t>
      </w:r>
    </w:p>
    <w:p>
      <w:pPr>
        <w:spacing w:beforeLines="0" w:afterLines="0" w:line="555" w:lineRule="exact"/>
        <w:rPr>
          <w:rFonts w:hint="eastAsia" w:ascii="仿宋" w:hAnsi="仿宋" w:eastAsia="仿宋"/>
          <w:sz w:val="32"/>
        </w:rPr>
      </w:pPr>
      <w:r>
        <w:rPr>
          <w:rFonts w:hint="eastAsia" w:ascii="黑体" w:hAnsi="黑体" w:eastAsia="黑体"/>
          <w:sz w:val="32"/>
        </w:rPr>
        <w:t xml:space="preserve">　　第一部分 </w:t>
      </w:r>
      <w:r>
        <w:rPr>
          <w:rFonts w:hint="eastAsia" w:ascii="黑体" w:hAnsi="黑体" w:eastAsia="黑体"/>
          <w:sz w:val="32"/>
          <w:lang w:val="en-US" w:eastAsia="zh-CN"/>
        </w:rPr>
        <w:t xml:space="preserve"> </w:t>
      </w:r>
      <w:r>
        <w:rPr>
          <w:rFonts w:hint="eastAsia" w:ascii="黑体" w:hAnsi="黑体" w:eastAsia="黑体"/>
          <w:sz w:val="32"/>
        </w:rPr>
        <w:t>单位概况</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一、单位主要职责</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二、单位基本情况</w:t>
      </w:r>
    </w:p>
    <w:p>
      <w:pPr>
        <w:spacing w:beforeLines="0" w:afterLines="0" w:line="555" w:lineRule="exact"/>
        <w:rPr>
          <w:rFonts w:hint="eastAsia" w:ascii="黑体" w:hAnsi="黑体" w:eastAsia="黑体"/>
          <w:sz w:val="32"/>
        </w:rPr>
      </w:pPr>
      <w:r>
        <w:rPr>
          <w:rFonts w:hint="eastAsia" w:ascii="仿宋_GB2312" w:hAnsi="仿宋_GB2312" w:eastAsia="仿宋_GB2312"/>
          <w:sz w:val="32"/>
        </w:rPr>
        <w:t>　　三、单位主要工作任务</w:t>
      </w:r>
    </w:p>
    <w:p>
      <w:pPr>
        <w:spacing w:beforeLines="0" w:afterLines="0" w:line="555" w:lineRule="exact"/>
        <w:rPr>
          <w:rFonts w:hint="eastAsia" w:ascii="黑体" w:hAnsi="黑体" w:eastAsia="黑体"/>
          <w:sz w:val="32"/>
        </w:rPr>
      </w:pPr>
      <w:r>
        <w:rPr>
          <w:rFonts w:hint="eastAsia" w:ascii="黑体" w:hAnsi="黑体" w:eastAsia="黑体"/>
          <w:sz w:val="32"/>
        </w:rPr>
        <w:t xml:space="preserve">　　第二部分 </w:t>
      </w:r>
      <w:r>
        <w:rPr>
          <w:rFonts w:hint="eastAsia" w:ascii="黑体" w:hAnsi="黑体" w:eastAsia="黑体"/>
          <w:sz w:val="32"/>
          <w:lang w:val="en-US" w:eastAsia="zh-CN"/>
        </w:rPr>
        <w:t xml:space="preserve"> </w:t>
      </w:r>
      <w:r>
        <w:rPr>
          <w:rFonts w:hint="eastAsia" w:ascii="黑体" w:hAnsi="黑体" w:eastAsia="黑体"/>
          <w:sz w:val="32"/>
        </w:rPr>
        <w:t>2024年单位预算说明</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一、2024年单位预算收支总体情况</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二、一般公共预算财政拨款支出预算情况</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三、政府性基金预算财政拨款支出情况</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四、“三公”经费财政拨款预算情况</w:t>
      </w:r>
    </w:p>
    <w:p>
      <w:pPr>
        <w:spacing w:beforeLines="0" w:afterLines="0" w:line="555" w:lineRule="exact"/>
        <w:rPr>
          <w:rFonts w:hint="eastAsia" w:ascii="黑体" w:hAnsi="黑体" w:eastAsia="黑体"/>
          <w:sz w:val="32"/>
        </w:rPr>
      </w:pPr>
      <w:r>
        <w:rPr>
          <w:rFonts w:hint="eastAsia" w:ascii="仿宋_GB2312" w:hAnsi="仿宋_GB2312" w:eastAsia="仿宋_GB2312"/>
          <w:sz w:val="32"/>
        </w:rPr>
        <w:t>　　五、其他重要事项的情况说明</w:t>
      </w:r>
    </w:p>
    <w:p>
      <w:pPr>
        <w:spacing w:beforeLines="0" w:afterLines="0" w:line="555" w:lineRule="exact"/>
        <w:rPr>
          <w:rFonts w:hint="eastAsia" w:ascii="黑体" w:hAnsi="黑体" w:eastAsia="黑体"/>
          <w:sz w:val="32"/>
        </w:rPr>
      </w:pPr>
      <w:r>
        <w:rPr>
          <w:rFonts w:hint="eastAsia" w:ascii="黑体" w:hAnsi="黑体" w:eastAsia="黑体"/>
          <w:sz w:val="32"/>
        </w:rPr>
        <w:t xml:space="preserve">　　第三部分 </w:t>
      </w:r>
      <w:r>
        <w:rPr>
          <w:rFonts w:hint="eastAsia" w:ascii="黑体" w:hAnsi="黑体" w:eastAsia="黑体"/>
          <w:sz w:val="32"/>
          <w:lang w:val="en-US" w:eastAsia="zh-CN"/>
        </w:rPr>
        <w:t xml:space="preserve"> </w:t>
      </w:r>
      <w:r>
        <w:rPr>
          <w:rFonts w:hint="eastAsia" w:ascii="黑体" w:hAnsi="黑体" w:eastAsia="黑体"/>
          <w:sz w:val="32"/>
        </w:rPr>
        <w:t>名词解释</w:t>
      </w:r>
    </w:p>
    <w:p>
      <w:pPr>
        <w:spacing w:beforeLines="0" w:afterLines="0" w:line="555" w:lineRule="exact"/>
        <w:rPr>
          <w:rFonts w:hint="eastAsia" w:ascii="黑体" w:hAnsi="黑体" w:eastAsia="黑体"/>
          <w:sz w:val="32"/>
        </w:rPr>
      </w:pPr>
      <w:r>
        <w:rPr>
          <w:rFonts w:hint="eastAsia" w:ascii="黑体" w:hAnsi="黑体" w:eastAsia="黑体"/>
          <w:sz w:val="32"/>
        </w:rPr>
        <w:t>　　第四部分  2024年单位预算附表</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一、部门收支预算总体情况表</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二、部门收入预算总体情况表</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三、部门支出预算总体情况表</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四、财政拨款收支预算总体情况表</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五、 一般公共预算支出情况表</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六、一般公共预算基本支出情况表（经济分类款级科目）</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七、一般公共预算“三公”经费支出情况表</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八、政府性基金预算支出情况表</w:t>
      </w:r>
    </w:p>
    <w:p>
      <w:pPr>
        <w:spacing w:beforeLines="0" w:afterLines="0" w:line="555" w:lineRule="exact"/>
        <w:ind w:firstLine="640"/>
        <w:rPr>
          <w:rFonts w:hint="eastAsia" w:ascii="仿宋_GB2312" w:hAnsi="仿宋_GB2312" w:eastAsia="仿宋_GB2312"/>
          <w:sz w:val="32"/>
        </w:rPr>
      </w:pPr>
      <w:r>
        <w:rPr>
          <w:rFonts w:hint="eastAsia" w:ascii="仿宋_GB2312" w:hAnsi="仿宋_GB2312" w:eastAsia="仿宋_GB2312"/>
          <w:sz w:val="32"/>
        </w:rPr>
        <w:t>九、区对镇（街）转移支付支出预算表</w:t>
      </w:r>
    </w:p>
    <w:p>
      <w:pPr>
        <w:spacing w:beforeLines="0" w:afterLines="0" w:line="555" w:lineRule="exact"/>
        <w:ind w:firstLine="640"/>
        <w:rPr>
          <w:rFonts w:hint="eastAsia" w:ascii="仿宋_GB2312" w:hAnsi="仿宋_GB2312" w:eastAsia="仿宋_GB2312"/>
          <w:sz w:val="32"/>
          <w:lang w:val="en-US" w:eastAsia="zh-CN"/>
        </w:rPr>
      </w:pPr>
      <w:r>
        <w:rPr>
          <w:rFonts w:hint="eastAsia" w:ascii="仿宋_GB2312" w:hAnsi="仿宋_GB2312" w:eastAsia="仿宋_GB2312"/>
          <w:sz w:val="32"/>
          <w:lang w:val="en-US" w:eastAsia="zh-CN"/>
        </w:rPr>
        <w:t>十、二级项目绩效目标表</w:t>
      </w:r>
    </w:p>
    <w:p>
      <w:pPr>
        <w:spacing w:beforeLines="0" w:afterLines="0" w:line="555" w:lineRule="exact"/>
        <w:ind w:left="20"/>
        <w:jc w:val="center"/>
        <w:rPr>
          <w:rFonts w:hint="eastAsia" w:ascii="黑体" w:hAnsi="黑体" w:eastAsia="黑体"/>
          <w:sz w:val="32"/>
        </w:rPr>
      </w:pPr>
    </w:p>
    <w:p>
      <w:pPr>
        <w:spacing w:beforeLines="0" w:afterLines="0" w:line="555" w:lineRule="exact"/>
        <w:ind w:left="20"/>
        <w:jc w:val="center"/>
        <w:rPr>
          <w:rFonts w:hint="eastAsia" w:ascii="黑体" w:hAnsi="黑体" w:eastAsia="黑体"/>
          <w:sz w:val="32"/>
        </w:rPr>
      </w:pPr>
      <w:r>
        <w:rPr>
          <w:rFonts w:hint="eastAsia" w:ascii="黑体" w:hAnsi="黑体" w:eastAsia="黑体"/>
          <w:sz w:val="32"/>
        </w:rPr>
        <w:t>第一部分  单位概况</w:t>
      </w:r>
    </w:p>
    <w:p>
      <w:pPr>
        <w:spacing w:beforeLines="0" w:afterLines="0" w:line="555" w:lineRule="exact"/>
        <w:rPr>
          <w:rFonts w:hint="eastAsia" w:ascii="黑体" w:hAnsi="黑体" w:eastAsia="黑体"/>
          <w:sz w:val="32"/>
        </w:rPr>
      </w:pPr>
      <w:r>
        <w:rPr>
          <w:rFonts w:hint="eastAsia" w:ascii="黑体" w:hAnsi="黑体" w:eastAsia="黑体"/>
          <w:sz w:val="32"/>
        </w:rPr>
        <w:t>　　</w:t>
      </w:r>
    </w:p>
    <w:p>
      <w:pPr>
        <w:spacing w:beforeLines="0" w:afterLines="0" w:line="555" w:lineRule="exact"/>
        <w:ind w:firstLine="640" w:firstLineChars="200"/>
        <w:rPr>
          <w:rFonts w:hint="default" w:ascii="仿宋_GB2312" w:hAnsi="仿宋_GB2312" w:eastAsia="仿宋_GB2312"/>
          <w:sz w:val="32"/>
        </w:rPr>
      </w:pPr>
      <w:r>
        <w:rPr>
          <w:rFonts w:hint="eastAsia" w:ascii="黑体" w:hAnsi="黑体" w:eastAsia="黑体"/>
          <w:sz w:val="32"/>
        </w:rPr>
        <w:t>一、单位主要职责</w:t>
      </w:r>
    </w:p>
    <w:p>
      <w:pPr>
        <w:widowControl/>
        <w:shd w:val="clear" w:color="auto" w:fill="FFFFFF"/>
        <w:autoSpaceDE/>
        <w:autoSpaceDN/>
        <w:adjustRightInd/>
        <w:spacing w:before="240" w:beforeLines="0" w:after="240" w:afterLines="0" w:line="520" w:lineRule="exact"/>
        <w:ind w:firstLine="641"/>
        <w:rPr>
          <w:rFonts w:hint="default" w:ascii="仿宋_GB2312" w:hAnsi="仿宋_GB2312" w:eastAsia="仿宋_GB2312"/>
          <w:sz w:val="32"/>
        </w:rPr>
      </w:pPr>
      <w:r>
        <w:rPr>
          <w:rFonts w:hint="eastAsia" w:ascii="仿宋_GB2312" w:hAnsi="仿宋_GB2312" w:eastAsia="仿宋_GB2312"/>
          <w:sz w:val="32"/>
        </w:rPr>
        <w:t>厦门市禾山中学的主要职责是：</w:t>
      </w:r>
      <w:r>
        <w:rPr>
          <w:rFonts w:hint="eastAsia" w:ascii="仿宋" w:hAnsi="仿宋" w:eastAsia="仿宋"/>
          <w:color w:val="auto"/>
          <w:sz w:val="32"/>
          <w:shd w:val="clear" w:color="auto" w:fill="FFFFFF"/>
          <w:lang w:val="en-US" w:eastAsia="zh-CN"/>
        </w:rPr>
        <w:t>实施九年一贯制义务教育，促进基础教育发展。</w:t>
      </w:r>
      <w:r>
        <w:rPr>
          <w:rFonts w:hint="eastAsia" w:ascii="仿宋" w:hAnsi="仿宋" w:eastAsia="仿宋"/>
          <w:color w:val="auto"/>
          <w:sz w:val="32"/>
        </w:rPr>
        <w:t>坚持中国共产党的领导，全面贯彻国家教育方针，全面实施素质教育，</w:t>
      </w:r>
      <w:r>
        <w:rPr>
          <w:rFonts w:hint="eastAsia" w:ascii="仿宋" w:hAnsi="仿宋" w:eastAsia="仿宋"/>
          <w:color w:val="auto"/>
          <w:sz w:val="32"/>
          <w:lang w:eastAsia="zh-CN"/>
        </w:rPr>
        <w:t>坚持为党育人、为国育才</w:t>
      </w:r>
      <w:r>
        <w:rPr>
          <w:rFonts w:hint="eastAsia" w:ascii="仿宋" w:hAnsi="仿宋" w:eastAsia="仿宋"/>
          <w:color w:val="auto"/>
          <w:sz w:val="32"/>
        </w:rPr>
        <w:t>。</w:t>
      </w:r>
    </w:p>
    <w:p>
      <w:pPr>
        <w:numPr>
          <w:ilvl w:val="0"/>
          <w:numId w:val="1"/>
        </w:numPr>
        <w:spacing w:beforeLines="0" w:afterLines="0" w:line="555" w:lineRule="exact"/>
        <w:jc w:val="both"/>
        <w:rPr>
          <w:rFonts w:hint="eastAsia" w:ascii="仿宋" w:hAnsi="仿宋" w:eastAsia="仿宋"/>
          <w:color w:val="auto"/>
          <w:sz w:val="32"/>
          <w:shd w:val="clear" w:color="auto" w:fill="FFFFFF"/>
        </w:rPr>
      </w:pPr>
      <w:r>
        <w:rPr>
          <w:rFonts w:hint="eastAsia" w:ascii="仿宋" w:hAnsi="仿宋" w:eastAsia="仿宋"/>
          <w:color w:val="auto"/>
          <w:sz w:val="32"/>
          <w:shd w:val="clear" w:color="auto" w:fill="FFFFFF"/>
        </w:rPr>
        <w:t>认真贯彻落实党和国家的方针、政策，正确执行</w:t>
      </w:r>
      <w:r>
        <w:rPr>
          <w:rFonts w:hint="eastAsia" w:ascii="仿宋" w:hAnsi="仿宋" w:eastAsia="仿宋"/>
          <w:color w:val="auto"/>
          <w:sz w:val="32"/>
          <w:shd w:val="clear" w:color="auto" w:fill="FFFFFF"/>
          <w:lang w:eastAsia="zh-CN"/>
        </w:rPr>
        <w:t>上</w:t>
      </w:r>
    </w:p>
    <w:p>
      <w:pPr>
        <w:numPr>
          <w:ilvl w:val="0"/>
          <w:numId w:val="0"/>
        </w:numPr>
        <w:spacing w:beforeLines="0" w:afterLines="0" w:line="555" w:lineRule="exact"/>
        <w:jc w:val="both"/>
        <w:rPr>
          <w:rFonts w:hint="eastAsia" w:ascii="仿宋" w:hAnsi="仿宋" w:eastAsia="仿宋"/>
          <w:color w:val="auto"/>
          <w:sz w:val="32"/>
          <w:shd w:val="clear" w:color="auto" w:fill="FFFFFF"/>
        </w:rPr>
      </w:pPr>
      <w:r>
        <w:rPr>
          <w:rFonts w:hint="eastAsia" w:ascii="仿宋" w:hAnsi="仿宋" w:eastAsia="仿宋"/>
          <w:color w:val="auto"/>
          <w:sz w:val="32"/>
          <w:shd w:val="clear" w:color="auto" w:fill="FFFFFF"/>
        </w:rPr>
        <w:t>级主管部门的决议和指示，全面实施素质教育，培养德、智、体、美等方面全面发展的社会主义事业的建设者和接班人。</w:t>
      </w:r>
    </w:p>
    <w:p>
      <w:pPr>
        <w:numPr>
          <w:ilvl w:val="0"/>
          <w:numId w:val="1"/>
        </w:numPr>
        <w:spacing w:beforeLines="0" w:afterLines="0" w:line="555" w:lineRule="exact"/>
        <w:rPr>
          <w:rFonts w:hint="eastAsia" w:ascii="仿宋" w:hAnsi="仿宋" w:eastAsia="仿宋"/>
          <w:color w:val="auto"/>
          <w:sz w:val="32"/>
          <w:shd w:val="clear" w:color="auto" w:fill="FFFFFF"/>
        </w:rPr>
      </w:pPr>
      <w:r>
        <w:rPr>
          <w:rFonts w:hint="eastAsia" w:ascii="仿宋" w:hAnsi="仿宋" w:eastAsia="仿宋"/>
          <w:color w:val="auto"/>
          <w:sz w:val="32"/>
          <w:shd w:val="clear" w:color="auto" w:fill="FFFFFF"/>
        </w:rPr>
        <w:t>加强</w:t>
      </w:r>
      <w:r>
        <w:rPr>
          <w:rFonts w:hint="eastAsia" w:ascii="仿宋" w:hAnsi="仿宋" w:eastAsia="仿宋"/>
          <w:color w:val="auto"/>
          <w:sz w:val="32"/>
          <w:shd w:val="clear" w:color="auto" w:fill="FFFFFF"/>
          <w:lang w:val="en-US" w:eastAsia="zh-CN"/>
        </w:rPr>
        <w:t>党组织的领导</w:t>
      </w:r>
      <w:r>
        <w:rPr>
          <w:rFonts w:hint="eastAsia" w:ascii="仿宋" w:hAnsi="仿宋" w:eastAsia="仿宋"/>
          <w:color w:val="auto"/>
          <w:sz w:val="32"/>
          <w:shd w:val="clear" w:color="auto" w:fill="FFFFFF"/>
        </w:rPr>
        <w:t>，</w:t>
      </w:r>
      <w:r>
        <w:rPr>
          <w:rFonts w:hint="eastAsia" w:ascii="仿宋" w:hAnsi="仿宋" w:eastAsia="仿宋"/>
          <w:color w:val="auto"/>
          <w:sz w:val="32"/>
          <w:shd w:val="clear" w:color="auto" w:fill="FFFFFF"/>
          <w:lang w:val="en-US" w:eastAsia="zh-CN"/>
        </w:rPr>
        <w:t>紧抓</w:t>
      </w:r>
      <w:r>
        <w:rPr>
          <w:rFonts w:hint="eastAsia" w:ascii="仿宋" w:hAnsi="仿宋" w:eastAsia="仿宋"/>
          <w:color w:val="auto"/>
          <w:sz w:val="32"/>
          <w:shd w:val="clear" w:color="auto" w:fill="FFFFFF"/>
        </w:rPr>
        <w:t>学校思想政治工作，把德</w:t>
      </w:r>
    </w:p>
    <w:p>
      <w:pPr>
        <w:numPr>
          <w:ilvl w:val="0"/>
          <w:numId w:val="0"/>
        </w:numPr>
        <w:spacing w:beforeLines="0" w:afterLines="0" w:line="555" w:lineRule="exact"/>
        <w:rPr>
          <w:rFonts w:hint="eastAsia" w:ascii="仿宋" w:hAnsi="仿宋" w:eastAsia="仿宋"/>
          <w:color w:val="auto"/>
          <w:sz w:val="32"/>
          <w:shd w:val="clear" w:color="auto" w:fill="FFFFFF"/>
        </w:rPr>
      </w:pPr>
      <w:r>
        <w:rPr>
          <w:rFonts w:hint="eastAsia" w:ascii="仿宋" w:hAnsi="仿宋" w:eastAsia="仿宋"/>
          <w:color w:val="auto"/>
          <w:sz w:val="32"/>
          <w:shd w:val="clear" w:color="auto" w:fill="FFFFFF"/>
        </w:rPr>
        <w:t>育工作放在首位</w:t>
      </w:r>
      <w:r>
        <w:rPr>
          <w:rFonts w:hint="eastAsia" w:ascii="仿宋" w:hAnsi="仿宋" w:eastAsia="仿宋"/>
          <w:color w:val="auto"/>
          <w:sz w:val="32"/>
          <w:shd w:val="clear" w:color="auto" w:fill="FFFFFF"/>
          <w:lang w:eastAsia="zh-CN"/>
        </w:rPr>
        <w:t>，</w:t>
      </w:r>
      <w:r>
        <w:rPr>
          <w:rFonts w:hint="eastAsia" w:ascii="仿宋" w:hAnsi="仿宋" w:eastAsia="仿宋"/>
          <w:color w:val="auto"/>
          <w:sz w:val="32"/>
          <w:shd w:val="clear" w:color="auto" w:fill="FFFFFF"/>
        </w:rPr>
        <w:t>搞好学校、社会、家庭三结合教育。</w:t>
      </w:r>
    </w:p>
    <w:p>
      <w:pPr>
        <w:numPr>
          <w:ilvl w:val="0"/>
          <w:numId w:val="1"/>
        </w:numPr>
        <w:spacing w:beforeLines="0" w:afterLines="0" w:line="555" w:lineRule="exact"/>
        <w:rPr>
          <w:rFonts w:hint="eastAsia" w:ascii="仿宋_GB2312" w:hAnsi="仿宋_GB2312" w:eastAsia="仿宋_GB2312"/>
          <w:sz w:val="32"/>
        </w:rPr>
      </w:pPr>
      <w:r>
        <w:rPr>
          <w:rFonts w:hint="eastAsia" w:ascii="仿宋" w:hAnsi="仿宋" w:eastAsia="仿宋"/>
          <w:color w:val="auto"/>
          <w:sz w:val="32"/>
          <w:shd w:val="clear" w:color="auto" w:fill="FFFFFF"/>
          <w:lang w:val="en-US" w:eastAsia="zh-CN"/>
        </w:rPr>
        <w:t>强化</w:t>
      </w:r>
      <w:r>
        <w:rPr>
          <w:rFonts w:hint="eastAsia" w:ascii="仿宋" w:hAnsi="仿宋" w:eastAsia="仿宋"/>
          <w:color w:val="auto"/>
          <w:sz w:val="32"/>
          <w:shd w:val="clear" w:color="auto" w:fill="FFFFFF"/>
        </w:rPr>
        <w:t>学校科学化</w:t>
      </w:r>
      <w:r>
        <w:rPr>
          <w:rFonts w:hint="eastAsia" w:ascii="仿宋" w:hAnsi="仿宋" w:eastAsia="仿宋"/>
          <w:color w:val="auto"/>
          <w:sz w:val="32"/>
          <w:shd w:val="clear" w:color="auto" w:fill="FFFFFF"/>
          <w:lang w:eastAsia="zh-CN"/>
        </w:rPr>
        <w:t>、</w:t>
      </w:r>
      <w:r>
        <w:rPr>
          <w:rFonts w:hint="eastAsia" w:ascii="仿宋" w:hAnsi="仿宋" w:eastAsia="仿宋"/>
          <w:color w:val="auto"/>
          <w:sz w:val="32"/>
          <w:shd w:val="clear" w:color="auto" w:fill="FFFFFF"/>
          <w:lang w:val="en-US" w:eastAsia="zh-CN"/>
        </w:rPr>
        <w:t>精细化</w:t>
      </w:r>
      <w:r>
        <w:rPr>
          <w:rFonts w:hint="eastAsia" w:ascii="仿宋" w:hAnsi="仿宋" w:eastAsia="仿宋"/>
          <w:color w:val="auto"/>
          <w:sz w:val="32"/>
          <w:shd w:val="clear" w:color="auto" w:fill="FFFFFF"/>
        </w:rPr>
        <w:t>管理</w:t>
      </w:r>
      <w:r>
        <w:rPr>
          <w:rFonts w:hint="eastAsia" w:ascii="仿宋" w:hAnsi="仿宋" w:eastAsia="仿宋"/>
          <w:color w:val="auto"/>
          <w:sz w:val="32"/>
          <w:shd w:val="clear" w:color="auto" w:fill="FFFFFF"/>
          <w:lang w:eastAsia="zh-CN"/>
        </w:rPr>
        <w:t>，</w:t>
      </w:r>
      <w:r>
        <w:rPr>
          <w:rFonts w:hint="eastAsia" w:ascii="仿宋" w:hAnsi="仿宋" w:eastAsia="仿宋"/>
          <w:color w:val="auto"/>
          <w:sz w:val="32"/>
          <w:shd w:val="clear" w:color="auto" w:fill="FFFFFF"/>
          <w:lang w:val="en-US" w:eastAsia="zh-CN"/>
        </w:rPr>
        <w:t>提升</w:t>
      </w:r>
      <w:r>
        <w:rPr>
          <w:rFonts w:hint="eastAsia" w:ascii="仿宋" w:hAnsi="仿宋" w:eastAsia="仿宋"/>
          <w:color w:val="auto"/>
          <w:sz w:val="32"/>
          <w:shd w:val="clear" w:color="auto" w:fill="FFFFFF"/>
        </w:rPr>
        <w:t>教师队伍建设</w:t>
      </w:r>
      <w:r>
        <w:rPr>
          <w:rFonts w:hint="eastAsia" w:ascii="仿宋" w:hAnsi="仿宋" w:eastAsia="仿宋"/>
          <w:color w:val="auto"/>
          <w:sz w:val="32"/>
          <w:shd w:val="clear" w:color="auto" w:fill="FFFFFF"/>
          <w:lang w:eastAsia="zh-CN"/>
        </w:rPr>
        <w:t>，</w:t>
      </w:r>
    </w:p>
    <w:p>
      <w:pPr>
        <w:numPr>
          <w:ilvl w:val="0"/>
          <w:numId w:val="0"/>
        </w:numPr>
        <w:spacing w:beforeLines="0" w:afterLines="0" w:line="555" w:lineRule="exact"/>
        <w:rPr>
          <w:rFonts w:hint="eastAsia" w:ascii="仿宋_GB2312" w:hAnsi="仿宋_GB2312" w:eastAsia="仿宋_GB2312"/>
          <w:sz w:val="32"/>
        </w:rPr>
      </w:pPr>
      <w:r>
        <w:rPr>
          <w:rFonts w:hint="eastAsia" w:ascii="仿宋" w:hAnsi="仿宋" w:eastAsia="仿宋"/>
          <w:color w:val="auto"/>
          <w:sz w:val="32"/>
          <w:shd w:val="clear" w:color="auto" w:fill="FFFFFF"/>
          <w:lang w:val="en-US" w:eastAsia="zh-CN"/>
        </w:rPr>
        <w:t>助推教育教学质量发展</w:t>
      </w:r>
      <w:r>
        <w:rPr>
          <w:rFonts w:hint="eastAsia" w:ascii="仿宋_GB2312" w:hAnsi="仿宋_GB2312" w:eastAsia="仿宋_GB2312"/>
          <w:sz w:val="32"/>
        </w:rPr>
        <w:t>。</w:t>
      </w:r>
    </w:p>
    <w:p>
      <w:pPr>
        <w:numPr>
          <w:ilvl w:val="0"/>
          <w:numId w:val="1"/>
        </w:numPr>
        <w:spacing w:beforeLines="0" w:afterLines="0" w:line="555" w:lineRule="exact"/>
        <w:rPr>
          <w:rFonts w:hint="eastAsia" w:ascii="仿宋_GB2312" w:hAnsi="仿宋_GB2312" w:eastAsia="仿宋_GB2312"/>
          <w:sz w:val="32"/>
        </w:rPr>
      </w:pPr>
      <w:r>
        <w:rPr>
          <w:rFonts w:hint="eastAsia" w:ascii="仿宋" w:hAnsi="仿宋" w:eastAsia="仿宋"/>
          <w:color w:val="auto"/>
          <w:sz w:val="32"/>
          <w:shd w:val="clear" w:color="auto" w:fill="FFFFFF"/>
        </w:rPr>
        <w:t>组织制定和实施校舍建设和校园建设规划。</w:t>
      </w:r>
    </w:p>
    <w:p>
      <w:pPr>
        <w:numPr>
          <w:ilvl w:val="0"/>
          <w:numId w:val="1"/>
        </w:numPr>
        <w:spacing w:beforeLines="0" w:afterLines="0" w:line="555" w:lineRule="exact"/>
        <w:rPr>
          <w:rFonts w:hint="eastAsia" w:ascii="仿宋_GB2312" w:hAnsi="仿宋_GB2312" w:eastAsia="仿宋_GB2312"/>
          <w:sz w:val="32"/>
        </w:rPr>
      </w:pPr>
      <w:r>
        <w:rPr>
          <w:rFonts w:hint="eastAsia" w:ascii="仿宋" w:hAnsi="仿宋" w:eastAsia="仿宋"/>
          <w:color w:val="auto"/>
          <w:sz w:val="32"/>
          <w:shd w:val="clear" w:color="auto" w:fill="FFFFFF"/>
        </w:rPr>
        <w:t>依靠群众办学，实行民主管理和民主监督。</w:t>
      </w:r>
    </w:p>
    <w:p>
      <w:pPr>
        <w:spacing w:beforeLines="0" w:afterLines="0" w:line="555" w:lineRule="exact"/>
        <w:rPr>
          <w:rFonts w:hint="eastAsia" w:ascii="黑体" w:hAnsi="黑体" w:eastAsia="黑体"/>
          <w:sz w:val="32"/>
        </w:rPr>
      </w:pPr>
      <w:r>
        <w:rPr>
          <w:rFonts w:hint="eastAsia" w:ascii="黑体" w:hAnsi="黑体" w:eastAsia="黑体"/>
          <w:sz w:val="32"/>
        </w:rPr>
        <w:t>　　</w:t>
      </w:r>
    </w:p>
    <w:p>
      <w:pPr>
        <w:spacing w:beforeLines="0" w:afterLines="0" w:line="555" w:lineRule="exact"/>
        <w:ind w:firstLine="640" w:firstLineChars="200"/>
        <w:rPr>
          <w:rFonts w:hint="default" w:ascii="仿宋_GB2312" w:hAnsi="仿宋_GB2312" w:eastAsia="仿宋_GB2312"/>
          <w:sz w:val="32"/>
        </w:rPr>
      </w:pPr>
      <w:r>
        <w:rPr>
          <w:rFonts w:hint="eastAsia" w:ascii="黑体" w:hAnsi="黑体" w:eastAsia="黑体"/>
          <w:sz w:val="32"/>
        </w:rPr>
        <w:t>二、单位基本情况</w:t>
      </w:r>
    </w:p>
    <w:p>
      <w:pPr>
        <w:autoSpaceDE/>
        <w:autoSpaceDN/>
        <w:adjustRightInd/>
        <w:spacing w:beforeLines="0" w:afterLines="0" w:line="520" w:lineRule="atLeast"/>
        <w:ind w:firstLine="640" w:firstLineChars="200"/>
        <w:rPr>
          <w:rFonts w:hint="eastAsia" w:ascii="仿宋" w:hAnsi="仿宋" w:eastAsia="仿宋"/>
          <w:color w:val="auto"/>
          <w:sz w:val="32"/>
          <w:lang w:val="en-US" w:eastAsia="zh-CN"/>
        </w:rPr>
      </w:pPr>
      <w:r>
        <w:rPr>
          <w:rFonts w:hint="eastAsia" w:ascii="仿宋_GB2312" w:hAnsi="仿宋_GB2312" w:eastAsia="仿宋_GB2312"/>
          <w:sz w:val="32"/>
        </w:rPr>
        <w:t>厦门市禾山中学内设</w:t>
      </w:r>
      <w:r>
        <w:rPr>
          <w:rFonts w:hint="eastAsia" w:ascii="仿宋" w:hAnsi="仿宋" w:eastAsia="仿宋"/>
          <w:color w:val="auto"/>
          <w:sz w:val="32"/>
          <w:lang w:val="en-US" w:eastAsia="zh-CN"/>
        </w:rPr>
        <w:t>7</w:t>
      </w:r>
      <w:r>
        <w:rPr>
          <w:rFonts w:hint="eastAsia" w:ascii="仿宋_GB2312" w:hAnsi="仿宋_GB2312" w:eastAsia="仿宋_GB2312"/>
          <w:sz w:val="32"/>
        </w:rPr>
        <w:t>个处室/科室，包括</w:t>
      </w:r>
      <w:r>
        <w:rPr>
          <w:rFonts w:hint="eastAsia" w:ascii="仿宋_GB2312" w:hAnsi="仿宋_GB2312" w:eastAsia="仿宋_GB2312"/>
          <w:sz w:val="24"/>
        </w:rPr>
        <w:t>：</w:t>
      </w:r>
      <w:r>
        <w:rPr>
          <w:rFonts w:hint="eastAsia" w:ascii="仿宋" w:hAnsi="仿宋" w:eastAsia="仿宋"/>
          <w:color w:val="auto"/>
          <w:sz w:val="32"/>
          <w:lang w:val="en-US" w:eastAsia="zh-CN"/>
        </w:rPr>
        <w:t>校长办公室、党委办公室、德育处、教务处、教研室、总务处、保卫科。目前办学规模为69个教学班，其中小学25个教学班，初中44个教学班，学生总数3190人，教职工总数251人。</w:t>
      </w:r>
      <w:r>
        <w:rPr>
          <w:rFonts w:hint="eastAsia" w:ascii="仿宋" w:hAnsi="仿宋" w:eastAsia="仿宋"/>
          <w:color w:val="auto"/>
          <w:sz w:val="32"/>
        </w:rPr>
        <w:t>学校实行</w:t>
      </w:r>
      <w:r>
        <w:rPr>
          <w:rFonts w:hint="eastAsia" w:ascii="仿宋" w:hAnsi="仿宋" w:eastAsia="仿宋"/>
          <w:color w:val="auto"/>
          <w:sz w:val="32"/>
          <w:lang w:val="en-US" w:eastAsia="zh-CN"/>
        </w:rPr>
        <w:t>党组织领导的</w:t>
      </w:r>
      <w:r>
        <w:rPr>
          <w:rFonts w:hint="eastAsia" w:ascii="仿宋" w:hAnsi="仿宋" w:eastAsia="仿宋"/>
          <w:color w:val="auto"/>
          <w:sz w:val="32"/>
        </w:rPr>
        <w:t>校长负责制</w:t>
      </w:r>
      <w:r>
        <w:rPr>
          <w:rFonts w:hint="eastAsia" w:ascii="仿宋" w:hAnsi="仿宋" w:eastAsia="仿宋"/>
          <w:color w:val="auto"/>
          <w:sz w:val="32"/>
          <w:lang w:eastAsia="zh-CN"/>
        </w:rPr>
        <w:t>，</w:t>
      </w:r>
      <w:r>
        <w:rPr>
          <w:rFonts w:hint="eastAsia" w:ascii="仿宋" w:hAnsi="仿宋" w:eastAsia="仿宋"/>
          <w:color w:val="auto"/>
          <w:sz w:val="32"/>
          <w:lang w:val="en-US" w:eastAsia="zh-CN"/>
        </w:rPr>
        <w:t>现任党委书记冯宜，党委副书记、副校长苏贤荣主持学校行政工作。</w:t>
      </w:r>
    </w:p>
    <w:p>
      <w:pPr>
        <w:spacing w:beforeLines="0" w:afterLines="0" w:line="555" w:lineRule="exact"/>
        <w:rPr>
          <w:rFonts w:hint="eastAsia" w:ascii="仿宋_GB2312" w:hAnsi="仿宋_GB2312" w:eastAsia="仿宋_GB2312"/>
          <w:sz w:val="24"/>
        </w:rPr>
      </w:pPr>
    </w:p>
    <w:p>
      <w:pPr>
        <w:spacing w:beforeLines="0" w:afterLines="0" w:line="555" w:lineRule="exact"/>
        <w:rPr>
          <w:rFonts w:hint="default" w:ascii="仿宋_GB2312" w:hAnsi="仿宋_GB2312" w:eastAsia="仿宋_GB2312"/>
          <w:sz w:val="32"/>
        </w:rPr>
      </w:pPr>
      <w:r>
        <w:rPr>
          <w:rFonts w:hint="eastAsia" w:ascii="黑体" w:hAnsi="黑体" w:eastAsia="黑体"/>
          <w:sz w:val="32"/>
        </w:rPr>
        <w:t>　　三、单位主要工作任务</w:t>
      </w:r>
    </w:p>
    <w:p>
      <w:pPr>
        <w:autoSpaceDE/>
        <w:autoSpaceDN/>
        <w:adjustRightInd/>
        <w:spacing w:beforeLines="0" w:afterLines="0" w:line="520" w:lineRule="atLeast"/>
        <w:ind w:firstLine="640" w:firstLineChars="200"/>
        <w:rPr>
          <w:rFonts w:hint="eastAsia" w:ascii="仿宋_GB2312" w:hAnsi="仿宋_GB2312" w:eastAsia="仿宋_GB2312"/>
          <w:sz w:val="32"/>
        </w:rPr>
      </w:pPr>
      <w:r>
        <w:rPr>
          <w:rFonts w:hint="eastAsia" w:ascii="仿宋_GB2312" w:hAnsi="仿宋_GB2312" w:eastAsia="仿宋_GB2312"/>
          <w:sz w:val="32"/>
        </w:rPr>
        <w:t>2024年，厦门市禾山中学主要任务是：</w:t>
      </w:r>
      <w:r>
        <w:rPr>
          <w:rFonts w:hint="eastAsia" w:ascii="仿宋" w:hAnsi="仿宋" w:eastAsia="仿宋"/>
          <w:color w:val="auto"/>
          <w:sz w:val="32"/>
          <w:lang w:val="en-US" w:eastAsia="zh-CN"/>
        </w:rPr>
        <w:t>以党的二十大精神为指导，以百年校庆为契机，</w:t>
      </w:r>
      <w:r>
        <w:rPr>
          <w:rFonts w:hint="eastAsia" w:ascii="仿宋" w:hAnsi="仿宋" w:eastAsia="仿宋"/>
          <w:color w:val="auto"/>
          <w:sz w:val="32"/>
        </w:rPr>
        <w:t>全面落实党的教育方针，坚持为党育人、为国育才，落实立德树人根本任务。以德</w:t>
      </w:r>
      <w:r>
        <w:rPr>
          <w:rFonts w:hint="eastAsia" w:ascii="仿宋" w:hAnsi="仿宋" w:eastAsia="仿宋"/>
          <w:color w:val="auto"/>
          <w:sz w:val="32"/>
          <w:lang w:val="en-US" w:eastAsia="zh-CN"/>
        </w:rPr>
        <w:t>立</w:t>
      </w:r>
      <w:r>
        <w:rPr>
          <w:rFonts w:hint="eastAsia" w:ascii="仿宋" w:hAnsi="仿宋" w:eastAsia="仿宋"/>
          <w:color w:val="auto"/>
          <w:sz w:val="32"/>
        </w:rPr>
        <w:t>人，以</w:t>
      </w:r>
      <w:r>
        <w:rPr>
          <w:rFonts w:hint="eastAsia" w:ascii="仿宋" w:hAnsi="仿宋" w:eastAsia="仿宋"/>
          <w:color w:val="auto"/>
          <w:sz w:val="32"/>
          <w:lang w:val="en-US" w:eastAsia="zh-CN"/>
        </w:rPr>
        <w:t>质立校</w:t>
      </w:r>
      <w:r>
        <w:rPr>
          <w:rFonts w:hint="eastAsia" w:ascii="仿宋" w:hAnsi="仿宋" w:eastAsia="仿宋"/>
          <w:color w:val="auto"/>
          <w:sz w:val="32"/>
        </w:rPr>
        <w:t>，构建和谐、文明、绿色校园，实施规范化、精细化、民主化和人文化管理。走“高质量、高品位”的学校发展之路，努力实现“</w:t>
      </w:r>
      <w:r>
        <w:rPr>
          <w:rFonts w:hint="eastAsia" w:ascii="仿宋" w:hAnsi="仿宋" w:eastAsia="仿宋"/>
          <w:color w:val="auto"/>
          <w:sz w:val="32"/>
          <w:lang w:val="en-US" w:eastAsia="zh-CN"/>
        </w:rPr>
        <w:t>精心打造高颜值高质量的现代化学校</w:t>
      </w:r>
      <w:r>
        <w:rPr>
          <w:rFonts w:hint="eastAsia" w:ascii="仿宋" w:hAnsi="仿宋" w:eastAsia="仿宋"/>
          <w:color w:val="auto"/>
          <w:sz w:val="32"/>
        </w:rPr>
        <w:t>”的办学目标。</w:t>
      </w:r>
      <w:r>
        <w:rPr>
          <w:rFonts w:hint="eastAsia" w:ascii="仿宋_GB2312" w:hAnsi="仿宋_GB2312" w:eastAsia="仿宋_GB2312"/>
          <w:sz w:val="32"/>
        </w:rPr>
        <w:t>围绕上述任务，重点抓好以下工作：</w:t>
      </w:r>
      <w:r>
        <w:rPr>
          <w:rFonts w:hint="eastAsia" w:ascii="仿宋" w:hAnsi="仿宋" w:eastAsia="仿宋"/>
          <w:color w:val="auto"/>
          <w:sz w:val="32"/>
          <w:lang w:val="en-US" w:eastAsia="zh-CN"/>
        </w:rPr>
        <w:t>以校园文化为核心，构建特色党建平台；以队伍建设为基础，构建优秀团队平台；以课堂教学为中心，构建活力课堂平台；以课程活动为抓手，构建品质德育平台；以总务后勤为保障，构建校园安全平台。</w:t>
      </w:r>
    </w:p>
    <w:p>
      <w:pPr>
        <w:spacing w:beforeLines="0" w:afterLines="0" w:line="555" w:lineRule="exact"/>
        <w:jc w:val="both"/>
        <w:rPr>
          <w:rFonts w:hint="eastAsia" w:ascii="黑体" w:hAnsi="黑体" w:eastAsia="黑体"/>
          <w:sz w:val="32"/>
        </w:rPr>
      </w:pPr>
      <w:bookmarkStart w:id="0" w:name="_GoBack"/>
      <w:bookmarkEnd w:id="0"/>
    </w:p>
    <w:p>
      <w:pPr>
        <w:spacing w:beforeLines="0" w:afterLines="0" w:line="555" w:lineRule="exact"/>
        <w:ind w:left="20"/>
        <w:jc w:val="center"/>
        <w:rPr>
          <w:rFonts w:hint="eastAsia" w:ascii="黑体" w:hAnsi="黑体" w:eastAsia="黑体"/>
          <w:sz w:val="32"/>
        </w:rPr>
      </w:pPr>
      <w:r>
        <w:rPr>
          <w:rFonts w:hint="eastAsia" w:ascii="黑体" w:hAnsi="黑体" w:eastAsia="黑体"/>
          <w:sz w:val="32"/>
        </w:rPr>
        <w:t>第二部分  2024年单位预算说明</w:t>
      </w:r>
    </w:p>
    <w:p>
      <w:pPr>
        <w:spacing w:beforeLines="0" w:afterLines="0" w:line="555" w:lineRule="exact"/>
        <w:rPr>
          <w:rFonts w:hint="default" w:ascii="仿宋_GB2312" w:hAnsi="仿宋_GB2312" w:eastAsia="仿宋_GB2312"/>
          <w:sz w:val="32"/>
        </w:rPr>
      </w:pPr>
      <w:r>
        <w:rPr>
          <w:rFonts w:hint="eastAsia" w:ascii="黑体" w:hAnsi="黑体" w:eastAsia="黑体"/>
          <w:sz w:val="32"/>
        </w:rPr>
        <w:t>　　一、2024年单位预算收支总体情况</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根据预算管理的有关规定，单位的全部收入和支出均纳入部门预算管理。</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（一）厦门市禾山中学2024年收入预算为8,597.81万元，比2023年预算数增加141.08万元，增长1.67％，具体情况如下：</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1.财政拨款收入8,597.81万元，其中一般公共预算拨款收入8,597.81万元，政府性基金拨款收入0.00万元，国有资本经营预算拨款收入0.00万元；</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2.财政专户管理资金收入0.00万元；</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3.事业收入0.00万元；</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4.事业单位经营收入0.00万元；</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5.上级补助收入0.00万元；</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6.附属单位上缴收入0.00万元；</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7.其他收入0.00万元；</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8.上年结转结余0.00万元。</w:t>
      </w:r>
    </w:p>
    <w:p>
      <w:pPr>
        <w:spacing w:beforeLines="0" w:afterLines="0" w:line="555" w:lineRule="exact"/>
        <w:ind w:firstLine="640" w:firstLineChars="200"/>
        <w:rPr>
          <w:rFonts w:hint="default" w:ascii="仿宋_GB2312" w:hAnsi="仿宋_GB2312" w:eastAsia="仿宋_GB2312"/>
          <w:sz w:val="32"/>
        </w:rPr>
      </w:pPr>
      <w:r>
        <w:rPr>
          <w:rFonts w:hint="eastAsia" w:ascii="仿宋_GB2312" w:hAnsi="仿宋_GB2312" w:eastAsia="仿宋_GB2312"/>
          <w:sz w:val="32"/>
        </w:rPr>
        <w:t>（二）厦门市禾山中学2024年支出预算为8,597.81万元（不含市对区转移支付项目），比2023年预算数增加141.08万元，增长1.67％，具体情况如下：</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1.财政拨款基本支出8,582.21万元，其中，人员支出7,576.72万元，公用支出1,005.49万元；</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2.财政拨款项目支出15.60万元；</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3.非财政拨款支出0.00万元。</w:t>
      </w:r>
    </w:p>
    <w:p>
      <w:pPr>
        <w:spacing w:beforeLines="0" w:afterLines="0" w:line="555" w:lineRule="exact"/>
        <w:ind w:firstLine="640"/>
        <w:rPr>
          <w:rFonts w:hint="eastAsia" w:ascii="仿宋_GB2312" w:hAnsi="仿宋_GB2312" w:eastAsia="仿宋_GB2312"/>
          <w:sz w:val="32"/>
        </w:rPr>
      </w:pPr>
      <w:r>
        <w:rPr>
          <w:rFonts w:hint="eastAsia" w:ascii="仿宋_GB2312" w:hAnsi="仿宋_GB2312" w:eastAsia="仿宋_GB2312"/>
          <w:sz w:val="32"/>
        </w:rPr>
        <w:t>（三）厦门市禾山中学2024年区对镇（街）转移支付项目预算为</w:t>
      </w:r>
      <w:r>
        <w:rPr>
          <w:rFonts w:hint="eastAsia" w:ascii="仿宋_GB2312" w:hAnsi="仿宋_GB2312" w:eastAsia="仿宋_GB2312"/>
          <w:sz w:val="32"/>
          <w:lang w:val="en-US" w:eastAsia="zh-CN"/>
        </w:rPr>
        <w:t>0</w:t>
      </w:r>
      <w:r>
        <w:rPr>
          <w:rFonts w:hint="eastAsia" w:ascii="仿宋_GB2312" w:hAnsi="仿宋_GB2312" w:eastAsia="仿宋_GB2312"/>
          <w:sz w:val="32"/>
        </w:rPr>
        <w:t>万元。</w:t>
      </w:r>
    </w:p>
    <w:p>
      <w:pPr>
        <w:spacing w:beforeLines="0" w:afterLines="0" w:line="555" w:lineRule="exact"/>
        <w:ind w:firstLine="640"/>
        <w:rPr>
          <w:rFonts w:hint="eastAsia" w:ascii="仿宋_GB2312" w:hAnsi="仿宋_GB2312" w:eastAsia="仿宋_GB2312"/>
          <w:sz w:val="32"/>
        </w:rPr>
      </w:pPr>
    </w:p>
    <w:p>
      <w:pPr>
        <w:spacing w:beforeLines="0" w:afterLines="0" w:line="555" w:lineRule="exact"/>
        <w:rPr>
          <w:rFonts w:hint="default" w:ascii="仿宋_GB2312" w:hAnsi="仿宋_GB2312" w:eastAsia="仿宋_GB2312"/>
          <w:sz w:val="32"/>
        </w:rPr>
      </w:pPr>
      <w:r>
        <w:rPr>
          <w:rFonts w:hint="eastAsia" w:ascii="黑体" w:hAnsi="黑体" w:eastAsia="黑体"/>
          <w:sz w:val="32"/>
        </w:rPr>
        <w:t>　　二、一般公共预算财政拨款支出预算情况</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2024年度一般公共预算支出8,597.81万元（不含市对区转移支付项目），比2023年预算数增加141.08万元，增长1.67%，主要是由于</w:t>
      </w:r>
      <w:r>
        <w:rPr>
          <w:rFonts w:hint="eastAsia" w:ascii="仿宋_GB2312" w:hAnsi="仿宋_GB2312" w:eastAsia="仿宋_GB2312"/>
          <w:color w:val="auto"/>
          <w:sz w:val="32"/>
          <w:lang w:val="en-US" w:eastAsia="zh-CN"/>
        </w:rPr>
        <w:t>学</w:t>
      </w:r>
      <w:r>
        <w:rPr>
          <w:rFonts w:hint="eastAsia" w:ascii="仿宋_GB2312" w:hAnsi="仿宋_GB2312" w:eastAsia="仿宋_GB2312"/>
          <w:color w:val="auto"/>
          <w:sz w:val="32"/>
        </w:rPr>
        <w:t>生人数</w:t>
      </w:r>
      <w:r>
        <w:rPr>
          <w:rFonts w:hint="eastAsia" w:ascii="仿宋_GB2312" w:hAnsi="仿宋_GB2312" w:eastAsia="仿宋_GB2312"/>
          <w:color w:val="auto"/>
          <w:sz w:val="32"/>
          <w:lang w:val="en-US" w:eastAsia="zh-CN"/>
        </w:rPr>
        <w:t>和教师人数</w:t>
      </w:r>
      <w:r>
        <w:rPr>
          <w:rFonts w:hint="eastAsia" w:ascii="仿宋_GB2312" w:hAnsi="仿宋_GB2312" w:eastAsia="仿宋_GB2312"/>
          <w:color w:val="auto"/>
          <w:sz w:val="32"/>
          <w:lang w:eastAsia="zh-CN"/>
        </w:rPr>
        <w:t>增加</w:t>
      </w:r>
      <w:r>
        <w:rPr>
          <w:rFonts w:hint="eastAsia" w:ascii="仿宋_GB2312" w:hAnsi="仿宋_GB2312" w:eastAsia="仿宋_GB2312"/>
          <w:color w:val="auto"/>
          <w:sz w:val="32"/>
        </w:rPr>
        <w:t>。</w:t>
      </w:r>
      <w:r>
        <w:rPr>
          <w:rFonts w:hint="eastAsia" w:ascii="仿宋_GB2312" w:hAnsi="仿宋_GB2312" w:eastAsia="仿宋_GB2312"/>
          <w:sz w:val="32"/>
        </w:rPr>
        <w:t>支出项目(按项级科目分类统计)包括：</w:t>
      </w:r>
    </w:p>
    <w:p>
      <w:pPr>
        <w:spacing w:beforeLines="0" w:afterLines="0" w:line="555" w:lineRule="exact"/>
        <w:ind w:left="20"/>
        <w:rPr>
          <w:rFonts w:hint="eastAsia" w:ascii="仿宋_GB2312" w:hAnsi="仿宋_GB2312" w:eastAsia="仿宋_GB2312"/>
          <w:sz w:val="32"/>
        </w:rPr>
      </w:pPr>
      <w:r>
        <w:rPr>
          <w:rFonts w:hint="eastAsia" w:ascii="仿宋_GB2312" w:hAnsi="仿宋_GB2312" w:eastAsia="仿宋_GB2312"/>
          <w:sz w:val="32"/>
        </w:rPr>
        <w:t>　　1.教育支出（类）普通教育（款）小学教育（项）1,746.86万元。主要用于</w:t>
      </w:r>
      <w:r>
        <w:rPr>
          <w:rFonts w:hint="eastAsia" w:ascii="仿宋_GB2312" w:hAnsi="仿宋_GB2312" w:eastAsia="仿宋_GB2312"/>
          <w:sz w:val="32"/>
          <w:lang w:eastAsia="zh-CN"/>
        </w:rPr>
        <w:t>小学部</w:t>
      </w:r>
      <w:r>
        <w:rPr>
          <w:rFonts w:hint="eastAsia" w:ascii="FangSong_GB2312" w:hAnsi="FangSong_GB2312" w:eastAsia="FangSong_GB2312"/>
          <w:color w:val="auto"/>
          <w:sz w:val="32"/>
        </w:rPr>
        <w:t>日常开支和人员经费</w:t>
      </w:r>
      <w:r>
        <w:rPr>
          <w:rFonts w:hint="eastAsia" w:ascii="FangSong_GB2312" w:hAnsi="FangSong_GB2312" w:eastAsia="FangSong_GB2312"/>
          <w:color w:val="auto"/>
          <w:sz w:val="32"/>
          <w:lang w:val="en-US" w:eastAsia="zh-CN"/>
        </w:rPr>
        <w:t>等</w:t>
      </w:r>
      <w:r>
        <w:rPr>
          <w:rFonts w:hint="eastAsia" w:ascii="仿宋_GB2312" w:hAnsi="仿宋_GB2312" w:eastAsia="仿宋_GB2312"/>
          <w:color w:val="auto"/>
          <w:sz w:val="32"/>
        </w:rPr>
        <w:t>支出。</w:t>
      </w:r>
    </w:p>
    <w:p>
      <w:pPr>
        <w:spacing w:beforeLines="0" w:afterLines="0" w:line="555" w:lineRule="exact"/>
        <w:ind w:left="20"/>
        <w:rPr>
          <w:rFonts w:hint="eastAsia" w:ascii="仿宋_GB2312" w:hAnsi="仿宋_GB2312" w:eastAsia="仿宋_GB2312"/>
          <w:sz w:val="32"/>
        </w:rPr>
      </w:pPr>
      <w:r>
        <w:rPr>
          <w:rFonts w:hint="eastAsia" w:ascii="仿宋_GB2312" w:hAnsi="仿宋_GB2312" w:eastAsia="仿宋_GB2312"/>
          <w:sz w:val="32"/>
        </w:rPr>
        <w:t>　　2.教育支出（类）普通教育（款）初中教育（项）5,236.22万元。主要用于</w:t>
      </w:r>
      <w:r>
        <w:rPr>
          <w:rFonts w:hint="eastAsia" w:ascii="仿宋_GB2312" w:hAnsi="仿宋_GB2312" w:eastAsia="仿宋_GB2312"/>
          <w:sz w:val="32"/>
          <w:lang w:eastAsia="zh-CN"/>
        </w:rPr>
        <w:t>初中部</w:t>
      </w:r>
      <w:r>
        <w:rPr>
          <w:rFonts w:hint="eastAsia" w:ascii="FangSong_GB2312" w:hAnsi="FangSong_GB2312" w:eastAsia="FangSong_GB2312"/>
          <w:color w:val="auto"/>
          <w:sz w:val="32"/>
        </w:rPr>
        <w:t>日常开支和人员经费</w:t>
      </w:r>
      <w:r>
        <w:rPr>
          <w:rFonts w:hint="eastAsia" w:ascii="FangSong_GB2312" w:hAnsi="FangSong_GB2312" w:eastAsia="FangSong_GB2312"/>
          <w:color w:val="auto"/>
          <w:sz w:val="32"/>
          <w:lang w:val="en-US" w:eastAsia="zh-CN"/>
        </w:rPr>
        <w:t>等</w:t>
      </w:r>
      <w:r>
        <w:rPr>
          <w:rFonts w:hint="eastAsia" w:ascii="仿宋_GB2312" w:hAnsi="仿宋_GB2312" w:eastAsia="仿宋_GB2312"/>
          <w:color w:val="auto"/>
          <w:sz w:val="32"/>
        </w:rPr>
        <w:t>支出。</w:t>
      </w:r>
    </w:p>
    <w:p>
      <w:pPr>
        <w:spacing w:beforeLines="0" w:afterLines="0" w:line="555" w:lineRule="exact"/>
        <w:ind w:left="20"/>
        <w:rPr>
          <w:rFonts w:hint="eastAsia" w:ascii="仿宋_GB2312" w:hAnsi="仿宋_GB2312" w:eastAsia="仿宋_GB2312"/>
          <w:sz w:val="32"/>
        </w:rPr>
      </w:pPr>
      <w:r>
        <w:rPr>
          <w:rFonts w:hint="eastAsia" w:ascii="仿宋_GB2312" w:hAnsi="仿宋_GB2312" w:eastAsia="仿宋_GB2312"/>
          <w:sz w:val="32"/>
        </w:rPr>
        <w:t>　　3.教育支出（类）普通教育（款）其他普通教育支出（项）15.60万元。主要用于</w:t>
      </w:r>
      <w:r>
        <w:rPr>
          <w:rFonts w:hint="eastAsia" w:ascii="仿宋_GB2312" w:hAnsi="仿宋_GB2312" w:eastAsia="仿宋_GB2312"/>
          <w:sz w:val="32"/>
          <w:lang w:eastAsia="zh-CN"/>
        </w:rPr>
        <w:t>全校</w:t>
      </w:r>
      <w:r>
        <w:rPr>
          <w:rFonts w:hint="eastAsia" w:ascii="FangSong_GB2312" w:hAnsi="FangSong_GB2312" w:eastAsia="FangSong_GB2312"/>
          <w:color w:val="auto"/>
          <w:sz w:val="32"/>
        </w:rPr>
        <w:t>日常开支和人员经费</w:t>
      </w:r>
      <w:r>
        <w:rPr>
          <w:rFonts w:hint="eastAsia" w:ascii="FangSong_GB2312" w:hAnsi="FangSong_GB2312" w:eastAsia="FangSong_GB2312"/>
          <w:color w:val="auto"/>
          <w:sz w:val="32"/>
          <w:lang w:val="en-US" w:eastAsia="zh-CN"/>
        </w:rPr>
        <w:t>等</w:t>
      </w:r>
      <w:r>
        <w:rPr>
          <w:rFonts w:hint="eastAsia" w:ascii="仿宋_GB2312" w:hAnsi="仿宋_GB2312" w:eastAsia="仿宋_GB2312"/>
          <w:color w:val="auto"/>
          <w:sz w:val="32"/>
        </w:rPr>
        <w:t>支出。</w:t>
      </w:r>
    </w:p>
    <w:p>
      <w:pPr>
        <w:spacing w:beforeLines="0" w:afterLines="0" w:line="555" w:lineRule="exact"/>
        <w:ind w:left="20"/>
        <w:rPr>
          <w:rFonts w:hint="eastAsia" w:ascii="仿宋_GB2312" w:hAnsi="仿宋_GB2312" w:eastAsia="仿宋_GB2312"/>
          <w:sz w:val="32"/>
        </w:rPr>
      </w:pPr>
      <w:r>
        <w:rPr>
          <w:rFonts w:hint="eastAsia" w:ascii="仿宋_GB2312" w:hAnsi="仿宋_GB2312" w:eastAsia="仿宋_GB2312"/>
          <w:sz w:val="32"/>
        </w:rPr>
        <w:t>　　4.社会保障和就业支出（类）行政事业单位养老支出（款）事业单位离退休（项）196.04万元。主要用于</w:t>
      </w:r>
      <w:r>
        <w:rPr>
          <w:rFonts w:hint="eastAsia" w:ascii="仿宋_GB2312" w:hAnsi="仿宋" w:eastAsia="仿宋_GB2312"/>
          <w:color w:val="auto"/>
          <w:sz w:val="32"/>
          <w:lang w:val="en-US" w:eastAsia="zh-CN"/>
        </w:rPr>
        <w:t>离退休人员经费等</w:t>
      </w:r>
      <w:r>
        <w:rPr>
          <w:rFonts w:hint="eastAsia" w:ascii="仿宋_GB2312" w:hAnsi="仿宋_GB2312" w:eastAsia="仿宋_GB2312"/>
          <w:color w:val="auto"/>
          <w:sz w:val="32"/>
        </w:rPr>
        <w:t>支出。</w:t>
      </w:r>
    </w:p>
    <w:p>
      <w:pPr>
        <w:spacing w:beforeLines="0" w:afterLines="0" w:line="555" w:lineRule="exact"/>
        <w:ind w:left="20"/>
        <w:rPr>
          <w:rFonts w:hint="eastAsia" w:ascii="仿宋_GB2312" w:hAnsi="仿宋_GB2312" w:eastAsia="仿宋_GB2312"/>
          <w:sz w:val="32"/>
        </w:rPr>
      </w:pPr>
      <w:r>
        <w:rPr>
          <w:rFonts w:hint="eastAsia" w:ascii="仿宋_GB2312" w:hAnsi="仿宋_GB2312" w:eastAsia="仿宋_GB2312"/>
          <w:sz w:val="32"/>
        </w:rPr>
        <w:t>　　5.社会保障和就业支出（类）行政事业单位养老支出（款）机关事业单位基本养老保险缴费支出（项）559.50万元。主要用于</w:t>
      </w:r>
      <w:r>
        <w:rPr>
          <w:rFonts w:hint="eastAsia" w:ascii="仿宋_GB2312" w:hAnsi="仿宋" w:eastAsia="仿宋_GB2312"/>
          <w:color w:val="auto"/>
          <w:sz w:val="32"/>
        </w:rPr>
        <w:t>基本养老保险缴费</w:t>
      </w:r>
      <w:r>
        <w:rPr>
          <w:rFonts w:hint="eastAsia" w:ascii="仿宋_GB2312" w:hAnsi="仿宋" w:eastAsia="仿宋_GB2312"/>
          <w:color w:val="auto"/>
          <w:sz w:val="32"/>
          <w:lang w:val="en-US" w:eastAsia="zh-CN"/>
        </w:rPr>
        <w:t>和离退休人员经费等</w:t>
      </w:r>
      <w:r>
        <w:rPr>
          <w:rFonts w:hint="eastAsia" w:ascii="仿宋_GB2312" w:hAnsi="仿宋_GB2312" w:eastAsia="仿宋_GB2312"/>
          <w:color w:val="auto"/>
          <w:sz w:val="32"/>
        </w:rPr>
        <w:t>支出。</w:t>
      </w:r>
    </w:p>
    <w:p>
      <w:pPr>
        <w:spacing w:beforeLines="0" w:afterLines="0" w:line="555" w:lineRule="exact"/>
        <w:ind w:left="20"/>
        <w:rPr>
          <w:rFonts w:hint="eastAsia" w:ascii="仿宋_GB2312" w:hAnsi="仿宋_GB2312" w:eastAsia="仿宋_GB2312"/>
          <w:sz w:val="32"/>
        </w:rPr>
      </w:pPr>
      <w:r>
        <w:rPr>
          <w:rFonts w:hint="eastAsia" w:ascii="仿宋_GB2312" w:hAnsi="仿宋_GB2312" w:eastAsia="仿宋_GB2312"/>
          <w:sz w:val="32"/>
        </w:rPr>
        <w:t>　　6.社会保障和就业支出（类）行政事业单位养老支出（款）机关事业单位职业年金缴费支出（项）387.75万元。主要用于</w:t>
      </w:r>
      <w:r>
        <w:rPr>
          <w:rFonts w:hint="eastAsia" w:ascii="FangSong_GB2312" w:hAnsi="FangSong_GB2312" w:eastAsia="FangSong_GB2312"/>
          <w:color w:val="auto"/>
          <w:sz w:val="32"/>
          <w:lang w:val="en-US" w:eastAsia="zh-CN"/>
        </w:rPr>
        <w:t>单位职业年金缴费</w:t>
      </w:r>
      <w:r>
        <w:rPr>
          <w:rFonts w:hint="eastAsia" w:ascii="仿宋_GB2312" w:hAnsi="仿宋" w:eastAsia="仿宋_GB2312"/>
          <w:color w:val="auto"/>
          <w:sz w:val="32"/>
          <w:lang w:val="en-US" w:eastAsia="zh-CN"/>
        </w:rPr>
        <w:t>和离退休人员经费等</w:t>
      </w:r>
      <w:r>
        <w:rPr>
          <w:rFonts w:hint="eastAsia" w:ascii="仿宋_GB2312" w:hAnsi="仿宋_GB2312" w:eastAsia="仿宋_GB2312"/>
          <w:color w:val="auto"/>
          <w:sz w:val="32"/>
        </w:rPr>
        <w:t>支出。</w:t>
      </w:r>
    </w:p>
    <w:p>
      <w:pPr>
        <w:spacing w:beforeLines="0" w:afterLines="0" w:line="555" w:lineRule="exact"/>
        <w:ind w:left="20"/>
        <w:rPr>
          <w:rFonts w:hint="eastAsia" w:ascii="仿宋_GB2312" w:hAnsi="仿宋_GB2312" w:eastAsia="仿宋_GB2312"/>
          <w:sz w:val="32"/>
        </w:rPr>
      </w:pPr>
      <w:r>
        <w:rPr>
          <w:rFonts w:hint="eastAsia" w:ascii="仿宋_GB2312" w:hAnsi="仿宋_GB2312" w:eastAsia="仿宋_GB2312"/>
          <w:sz w:val="32"/>
        </w:rPr>
        <w:t>　　7.卫生健康支出（类）行政事业单位医疗（款）事业单位医疗（项）239.54万元。主要用于</w:t>
      </w:r>
      <w:r>
        <w:rPr>
          <w:rFonts w:hint="eastAsia" w:ascii="FangSong_GB2312" w:hAnsi="FangSong_GB2312" w:eastAsia="FangSong_GB2312"/>
          <w:color w:val="auto"/>
          <w:sz w:val="32"/>
          <w:lang w:val="en-US" w:eastAsia="zh-CN"/>
        </w:rPr>
        <w:t>医疗保险</w:t>
      </w:r>
      <w:r>
        <w:rPr>
          <w:rFonts w:hint="eastAsia" w:ascii="仿宋_GB2312" w:hAnsi="仿宋" w:eastAsia="仿宋_GB2312"/>
          <w:color w:val="auto"/>
          <w:sz w:val="32"/>
        </w:rPr>
        <w:t>缴费</w:t>
      </w:r>
      <w:r>
        <w:rPr>
          <w:rFonts w:hint="eastAsia" w:ascii="仿宋_GB2312" w:hAnsi="仿宋" w:eastAsia="仿宋_GB2312"/>
          <w:color w:val="auto"/>
          <w:sz w:val="32"/>
          <w:lang w:val="en-US" w:eastAsia="zh-CN"/>
        </w:rPr>
        <w:t>等</w:t>
      </w:r>
      <w:r>
        <w:rPr>
          <w:rFonts w:hint="eastAsia" w:ascii="仿宋_GB2312" w:hAnsi="仿宋_GB2312" w:eastAsia="仿宋_GB2312"/>
          <w:color w:val="auto"/>
          <w:sz w:val="32"/>
        </w:rPr>
        <w:t>支出。</w:t>
      </w:r>
    </w:p>
    <w:p>
      <w:pPr>
        <w:spacing w:beforeLines="0" w:afterLines="0" w:line="555" w:lineRule="exact"/>
        <w:ind w:left="20"/>
        <w:rPr>
          <w:rFonts w:hint="eastAsia" w:ascii="仿宋_GB2312" w:hAnsi="仿宋_GB2312" w:eastAsia="仿宋_GB2312"/>
          <w:sz w:val="32"/>
        </w:rPr>
      </w:pPr>
      <w:r>
        <w:rPr>
          <w:rFonts w:hint="eastAsia" w:ascii="仿宋_GB2312" w:hAnsi="仿宋_GB2312" w:eastAsia="仿宋_GB2312"/>
          <w:sz w:val="32"/>
        </w:rPr>
        <w:t>　　8.卫生健康支出（类）行政事业单位医疗（款）其他行政事业单位医疗支出（项）122.39万元。主要用于</w:t>
      </w:r>
      <w:r>
        <w:rPr>
          <w:rFonts w:hint="eastAsia" w:ascii="FangSong_GB2312" w:hAnsi="FangSong_GB2312" w:eastAsia="FangSong_GB2312"/>
          <w:color w:val="auto"/>
          <w:sz w:val="32"/>
          <w:lang w:val="en-US" w:eastAsia="zh-CN"/>
        </w:rPr>
        <w:t>单位医疗保险缴费等</w:t>
      </w:r>
      <w:r>
        <w:rPr>
          <w:rFonts w:hint="eastAsia" w:ascii="仿宋_GB2312" w:hAnsi="仿宋_GB2312" w:eastAsia="仿宋_GB2312"/>
          <w:color w:val="auto"/>
          <w:sz w:val="32"/>
        </w:rPr>
        <w:t>支出。</w:t>
      </w:r>
    </w:p>
    <w:p>
      <w:pPr>
        <w:spacing w:beforeLines="0" w:afterLines="0" w:line="555" w:lineRule="exact"/>
        <w:ind w:left="20" w:firstLine="640"/>
        <w:rPr>
          <w:rFonts w:hint="eastAsia" w:ascii="仿宋_GB2312" w:hAnsi="仿宋_GB2312" w:eastAsia="仿宋_GB2312"/>
          <w:sz w:val="32"/>
        </w:rPr>
      </w:pPr>
      <w:r>
        <w:rPr>
          <w:rFonts w:hint="eastAsia" w:ascii="仿宋_GB2312" w:hAnsi="仿宋_GB2312" w:eastAsia="仿宋_GB2312"/>
          <w:sz w:val="32"/>
        </w:rPr>
        <w:t>9.住房保障支出（类）住房改革支出（款）购房补贴（项）93.90万元。主要用于</w:t>
      </w:r>
      <w:r>
        <w:rPr>
          <w:rFonts w:hint="eastAsia" w:ascii="仿宋_GB2312" w:hAnsi="仿宋_GB2312" w:eastAsia="仿宋_GB2312"/>
          <w:sz w:val="32"/>
          <w:lang w:val="en-US" w:eastAsia="zh-CN"/>
        </w:rPr>
        <w:t>购房补贴的</w:t>
      </w:r>
      <w:r>
        <w:rPr>
          <w:rFonts w:hint="eastAsia" w:ascii="仿宋_GB2312" w:hAnsi="仿宋_GB2312" w:eastAsia="仿宋_GB2312"/>
          <w:sz w:val="32"/>
        </w:rPr>
        <w:t>支出。</w:t>
      </w:r>
    </w:p>
    <w:p>
      <w:pPr>
        <w:spacing w:beforeLines="0" w:afterLines="0" w:line="555" w:lineRule="exact"/>
        <w:ind w:left="20" w:firstLine="640"/>
        <w:rPr>
          <w:rFonts w:hint="eastAsia" w:ascii="仿宋_GB2312" w:hAnsi="仿宋_GB2312" w:eastAsia="仿宋_GB2312"/>
          <w:sz w:val="32"/>
        </w:rPr>
      </w:pPr>
    </w:p>
    <w:p>
      <w:pPr>
        <w:spacing w:beforeLines="0" w:afterLines="0" w:line="555" w:lineRule="exact"/>
        <w:rPr>
          <w:rFonts w:hint="default" w:ascii="仿宋_GB2312" w:hAnsi="仿宋_GB2312" w:eastAsia="仿宋_GB2312"/>
          <w:sz w:val="32"/>
        </w:rPr>
      </w:pPr>
      <w:r>
        <w:rPr>
          <w:rFonts w:hint="eastAsia" w:ascii="黑体" w:hAnsi="黑体" w:eastAsia="黑体"/>
          <w:sz w:val="32"/>
        </w:rPr>
        <w:t>　　三、政府性基金预算财政拨款支出情况</w:t>
      </w:r>
    </w:p>
    <w:p>
      <w:pPr>
        <w:spacing w:beforeLines="0" w:afterLines="0" w:line="555" w:lineRule="exact"/>
        <w:ind w:firstLine="640"/>
        <w:rPr>
          <w:rFonts w:hint="eastAsia" w:ascii="仿宋_GB2312" w:hAnsi="仿宋_GB2312" w:eastAsia="仿宋_GB2312"/>
          <w:sz w:val="32"/>
        </w:rPr>
      </w:pPr>
      <w:r>
        <w:rPr>
          <w:rFonts w:hint="eastAsia" w:ascii="仿宋_GB2312" w:hAnsi="仿宋_GB2312" w:eastAsia="仿宋_GB2312"/>
          <w:sz w:val="32"/>
        </w:rPr>
        <w:t>2024年度政府性基金支出0.00万元（不含市对区转移支付项目），比2023年预算数增加0.00万元，增长0%，</w:t>
      </w:r>
      <w:r>
        <w:rPr>
          <w:rFonts w:hint="eastAsia" w:ascii="仿宋_GB2312" w:hAnsi="仿宋_GB2312" w:eastAsia="仿宋_GB2312"/>
          <w:sz w:val="32"/>
          <w:lang w:eastAsia="zh-CN"/>
        </w:rPr>
        <w:t>主要原因是：</w:t>
      </w:r>
      <w:r>
        <w:rPr>
          <w:rFonts w:hint="eastAsia" w:ascii="仿宋_GB2312" w:hAnsi="仿宋_GB2312" w:eastAsia="仿宋_GB2312"/>
          <w:color w:val="auto"/>
          <w:sz w:val="32"/>
        </w:rPr>
        <w:t>上年</w:t>
      </w:r>
      <w:r>
        <w:rPr>
          <w:rFonts w:hint="eastAsia" w:ascii="仿宋_GB2312" w:hAnsi="仿宋_GB2312" w:eastAsia="仿宋_GB2312"/>
          <w:color w:val="auto"/>
          <w:sz w:val="32"/>
          <w:lang w:eastAsia="zh-CN"/>
        </w:rPr>
        <w:t>及今年均</w:t>
      </w:r>
      <w:r>
        <w:rPr>
          <w:rFonts w:hint="eastAsia" w:ascii="仿宋_GB2312" w:hAnsi="仿宋_GB2312" w:eastAsia="仿宋_GB2312"/>
          <w:color w:val="auto"/>
          <w:sz w:val="32"/>
        </w:rPr>
        <w:t>没有此项拨款预算</w:t>
      </w:r>
      <w:r>
        <w:rPr>
          <w:rFonts w:hint="eastAsia" w:ascii="仿宋_GB2312" w:hAnsi="仿宋_GB2312" w:eastAsia="仿宋_GB2312"/>
          <w:sz w:val="32"/>
        </w:rPr>
        <w:t>。</w:t>
      </w:r>
    </w:p>
    <w:p>
      <w:pPr>
        <w:spacing w:beforeLines="0" w:afterLines="0" w:line="555" w:lineRule="exact"/>
        <w:ind w:firstLine="640"/>
        <w:rPr>
          <w:rFonts w:hint="eastAsia" w:ascii="仿宋_GB2312" w:hAnsi="仿宋_GB2312" w:eastAsia="仿宋_GB2312"/>
          <w:sz w:val="32"/>
        </w:rPr>
      </w:pPr>
    </w:p>
    <w:p>
      <w:pPr>
        <w:spacing w:beforeLines="0" w:afterLines="0" w:line="555" w:lineRule="exact"/>
        <w:rPr>
          <w:rFonts w:hint="default" w:ascii="仿宋_GB2312" w:hAnsi="仿宋_GB2312" w:eastAsia="仿宋_GB2312"/>
          <w:sz w:val="32"/>
        </w:rPr>
      </w:pPr>
      <w:r>
        <w:rPr>
          <w:rFonts w:hint="eastAsia" w:ascii="黑体" w:hAnsi="黑体" w:eastAsia="黑体"/>
          <w:sz w:val="32"/>
        </w:rPr>
        <w:t>　　四、“三公”经费财政拨款预算情况</w:t>
      </w:r>
    </w:p>
    <w:p>
      <w:pPr>
        <w:spacing w:beforeLines="0" w:afterLines="0" w:line="555" w:lineRule="exact"/>
        <w:rPr>
          <w:rFonts w:hint="eastAsia" w:ascii="仿宋_GB2312" w:hAnsi="仿宋_GB2312" w:eastAsia="仿宋_GB2312"/>
          <w:sz w:val="32"/>
        </w:rPr>
      </w:pPr>
      <w:r>
        <w:rPr>
          <w:rFonts w:hint="eastAsia" w:ascii="仿宋_GB2312" w:hAnsi="仿宋_GB2312" w:eastAsia="仿宋_GB2312"/>
          <w:sz w:val="32"/>
        </w:rPr>
        <w:t>　　厦门市禾山中学单位2024年“三公”经费财政拨款预算数为0.00万元，其中：因公出国（境）经费0.00万元，公务接待费0.00万元，公务用车购置及运行费0.00万元。具体情况如下：</w:t>
      </w:r>
    </w:p>
    <w:p>
      <w:pPr>
        <w:spacing w:beforeLines="0" w:afterLines="0" w:line="555" w:lineRule="exact"/>
        <w:rPr>
          <w:rFonts w:hint="default" w:ascii="仿宋_GB2312" w:hAnsi="仿宋_GB2312" w:eastAsia="仿宋_GB2312"/>
          <w:sz w:val="32"/>
        </w:rPr>
      </w:pPr>
      <w:r>
        <w:rPr>
          <w:rFonts w:hint="eastAsia" w:ascii="楷体_GB2312" w:hAnsi="楷体_GB2312" w:eastAsia="楷体_GB2312"/>
          <w:sz w:val="32"/>
        </w:rPr>
        <w:t>　　（一）因公出国（境）经费</w:t>
      </w:r>
    </w:p>
    <w:p>
      <w:pPr>
        <w:spacing w:beforeLines="0" w:afterLines="0" w:line="555" w:lineRule="exact"/>
        <w:rPr>
          <w:rFonts w:hint="eastAsia" w:ascii="楷体" w:hAnsi="楷体" w:eastAsia="楷体"/>
          <w:sz w:val="32"/>
        </w:rPr>
      </w:pPr>
      <w:r>
        <w:rPr>
          <w:rFonts w:hint="eastAsia" w:ascii="仿宋_GB2312" w:hAnsi="仿宋_GB2312" w:eastAsia="仿宋_GB2312"/>
          <w:sz w:val="32"/>
        </w:rPr>
        <w:t>　　2024年预算安排0.00万元。比2023年预算数增加0.00万元，增长0%，</w:t>
      </w:r>
      <w:r>
        <w:rPr>
          <w:rFonts w:hint="eastAsia" w:ascii="仿宋_GB2312" w:hAnsi="仿宋_GB2312" w:eastAsia="仿宋_GB2312"/>
          <w:sz w:val="32"/>
          <w:lang w:eastAsia="zh-CN"/>
        </w:rPr>
        <w:t>主要原因是：</w:t>
      </w:r>
      <w:r>
        <w:rPr>
          <w:rFonts w:hint="eastAsia" w:ascii="仿宋_GB2312" w:hAnsi="仿宋_GB2312" w:eastAsia="仿宋_GB2312"/>
          <w:color w:val="auto"/>
          <w:sz w:val="32"/>
        </w:rPr>
        <w:t>上年</w:t>
      </w:r>
      <w:r>
        <w:rPr>
          <w:rFonts w:hint="eastAsia" w:ascii="仿宋_GB2312" w:hAnsi="仿宋_GB2312" w:eastAsia="仿宋_GB2312"/>
          <w:color w:val="auto"/>
          <w:sz w:val="32"/>
          <w:lang w:eastAsia="zh-CN"/>
        </w:rPr>
        <w:t>及今年均</w:t>
      </w:r>
      <w:r>
        <w:rPr>
          <w:rFonts w:hint="eastAsia" w:ascii="仿宋_GB2312" w:hAnsi="仿宋_GB2312" w:eastAsia="仿宋_GB2312"/>
          <w:color w:val="auto"/>
          <w:sz w:val="32"/>
        </w:rPr>
        <w:t>没有此项拨款预算</w:t>
      </w:r>
      <w:r>
        <w:rPr>
          <w:rFonts w:hint="eastAsia" w:ascii="仿宋_GB2312" w:hAnsi="仿宋_GB2312" w:eastAsia="仿宋_GB2312"/>
          <w:sz w:val="32"/>
        </w:rPr>
        <w:t>。</w:t>
      </w:r>
    </w:p>
    <w:p>
      <w:pPr>
        <w:spacing w:beforeLines="0" w:afterLines="0" w:line="555" w:lineRule="exact"/>
        <w:rPr>
          <w:rFonts w:hint="default" w:ascii="仿宋_GB2312" w:hAnsi="仿宋_GB2312" w:eastAsia="仿宋_GB2312"/>
          <w:sz w:val="32"/>
        </w:rPr>
      </w:pPr>
      <w:r>
        <w:rPr>
          <w:rFonts w:hint="eastAsia" w:ascii="楷体_GB2312" w:hAnsi="楷体_GB2312" w:eastAsia="楷体_GB2312"/>
          <w:sz w:val="32"/>
        </w:rPr>
        <w:t>　　（二）公务接待费</w:t>
      </w:r>
    </w:p>
    <w:p>
      <w:pPr>
        <w:spacing w:beforeLines="0" w:afterLines="0" w:line="555" w:lineRule="exact"/>
        <w:ind w:firstLine="640"/>
        <w:rPr>
          <w:rFonts w:hint="default" w:ascii="仿宋_GB2312" w:hAnsi="仿宋_GB2312" w:eastAsia="仿宋_GB2312"/>
          <w:sz w:val="32"/>
        </w:rPr>
      </w:pPr>
      <w:r>
        <w:rPr>
          <w:rFonts w:hint="eastAsia" w:ascii="仿宋_GB2312" w:hAnsi="仿宋_GB2312" w:eastAsia="仿宋_GB2312"/>
          <w:sz w:val="32"/>
        </w:rPr>
        <w:t>2024年预算安排0.00万元。比2023年预算数增加0.00万元，增长0%，</w:t>
      </w:r>
      <w:r>
        <w:rPr>
          <w:rFonts w:hint="eastAsia" w:ascii="仿宋_GB2312" w:hAnsi="仿宋_GB2312" w:eastAsia="仿宋_GB2312"/>
          <w:sz w:val="32"/>
          <w:lang w:eastAsia="zh-CN"/>
        </w:rPr>
        <w:t>主要原因是：</w:t>
      </w:r>
      <w:r>
        <w:rPr>
          <w:rFonts w:hint="eastAsia" w:ascii="仿宋_GB2312" w:hAnsi="仿宋_GB2312" w:eastAsia="仿宋_GB2312"/>
          <w:color w:val="auto"/>
          <w:sz w:val="32"/>
        </w:rPr>
        <w:t>上年</w:t>
      </w:r>
      <w:r>
        <w:rPr>
          <w:rFonts w:hint="eastAsia" w:ascii="仿宋_GB2312" w:hAnsi="仿宋_GB2312" w:eastAsia="仿宋_GB2312"/>
          <w:color w:val="auto"/>
          <w:sz w:val="32"/>
          <w:lang w:eastAsia="zh-CN"/>
        </w:rPr>
        <w:t>及今年均</w:t>
      </w:r>
      <w:r>
        <w:rPr>
          <w:rFonts w:hint="eastAsia" w:ascii="仿宋_GB2312" w:hAnsi="仿宋_GB2312" w:eastAsia="仿宋_GB2312"/>
          <w:color w:val="auto"/>
          <w:sz w:val="32"/>
        </w:rPr>
        <w:t>没有此项拨款预算</w:t>
      </w:r>
      <w:r>
        <w:rPr>
          <w:rFonts w:hint="eastAsia" w:ascii="仿宋_GB2312" w:hAnsi="仿宋_GB2312" w:eastAsia="仿宋_GB2312"/>
          <w:sz w:val="32"/>
        </w:rPr>
        <w:t>。</w:t>
      </w:r>
    </w:p>
    <w:p>
      <w:pPr>
        <w:spacing w:beforeLines="0" w:afterLines="0" w:line="555" w:lineRule="exact"/>
        <w:rPr>
          <w:rFonts w:hint="default" w:ascii="仿宋_GB2312" w:hAnsi="仿宋_GB2312" w:eastAsia="仿宋_GB2312"/>
          <w:sz w:val="32"/>
        </w:rPr>
      </w:pPr>
      <w:r>
        <w:rPr>
          <w:rFonts w:hint="eastAsia" w:ascii="楷体_GB2312" w:hAnsi="楷体_GB2312" w:eastAsia="楷体_GB2312"/>
          <w:sz w:val="32"/>
        </w:rPr>
        <w:t>　　（三）公务用车购置及运行费</w:t>
      </w:r>
    </w:p>
    <w:p>
      <w:pPr>
        <w:spacing w:beforeLines="0" w:afterLines="0" w:line="555" w:lineRule="exact"/>
        <w:ind w:firstLine="640"/>
        <w:rPr>
          <w:rFonts w:hint="eastAsia" w:ascii="仿宋_GB2312" w:hAnsi="仿宋_GB2312" w:eastAsia="仿宋_GB2312"/>
          <w:sz w:val="32"/>
        </w:rPr>
      </w:pPr>
      <w:r>
        <w:rPr>
          <w:rFonts w:hint="eastAsia" w:ascii="仿宋_GB2312" w:hAnsi="仿宋_GB2312" w:eastAsia="仿宋_GB2312"/>
          <w:sz w:val="32"/>
        </w:rPr>
        <w:t>2024年预算安排0.00万元，其中：公务用车运行费0.00万元，主要用于公务用车燃油、维修、保险等方面支出；公务用车购置费0.00万元。比2023年预算数增加0.00万元，增长0%，</w:t>
      </w:r>
      <w:r>
        <w:rPr>
          <w:rFonts w:hint="eastAsia" w:ascii="仿宋_GB2312" w:hAnsi="仿宋_GB2312" w:eastAsia="仿宋_GB2312"/>
          <w:sz w:val="32"/>
          <w:lang w:eastAsia="zh-CN"/>
        </w:rPr>
        <w:t>主要原因是：</w:t>
      </w:r>
      <w:r>
        <w:rPr>
          <w:rFonts w:hint="eastAsia" w:ascii="仿宋_GB2312" w:hAnsi="仿宋_GB2312" w:eastAsia="仿宋_GB2312"/>
          <w:color w:val="auto"/>
          <w:sz w:val="32"/>
        </w:rPr>
        <w:t>上年</w:t>
      </w:r>
      <w:r>
        <w:rPr>
          <w:rFonts w:hint="eastAsia" w:ascii="仿宋_GB2312" w:hAnsi="仿宋_GB2312" w:eastAsia="仿宋_GB2312"/>
          <w:color w:val="auto"/>
          <w:sz w:val="32"/>
          <w:lang w:eastAsia="zh-CN"/>
        </w:rPr>
        <w:t>及今年均</w:t>
      </w:r>
      <w:r>
        <w:rPr>
          <w:rFonts w:hint="eastAsia" w:ascii="仿宋_GB2312" w:hAnsi="仿宋_GB2312" w:eastAsia="仿宋_GB2312"/>
          <w:color w:val="auto"/>
          <w:sz w:val="32"/>
        </w:rPr>
        <w:t>没有此项拨款预算</w:t>
      </w:r>
      <w:r>
        <w:rPr>
          <w:rFonts w:hint="eastAsia" w:ascii="仿宋_GB2312" w:hAnsi="仿宋_GB2312" w:eastAsia="仿宋_GB2312"/>
          <w:sz w:val="32"/>
        </w:rPr>
        <w:t>。</w:t>
      </w:r>
    </w:p>
    <w:p>
      <w:pPr>
        <w:spacing w:beforeLines="0" w:afterLines="0" w:line="555" w:lineRule="exact"/>
        <w:ind w:firstLine="640"/>
        <w:rPr>
          <w:rFonts w:hint="eastAsia" w:ascii="仿宋_GB2312" w:hAnsi="仿宋_GB2312" w:eastAsia="仿宋_GB2312"/>
          <w:sz w:val="32"/>
        </w:rPr>
      </w:pPr>
    </w:p>
    <w:p>
      <w:pPr>
        <w:spacing w:beforeLines="0" w:afterLines="0" w:line="555" w:lineRule="exact"/>
        <w:rPr>
          <w:rFonts w:hint="eastAsia" w:ascii="华文仿宋" w:hAnsi="华文仿宋" w:eastAsia="华文仿宋"/>
          <w:sz w:val="32"/>
        </w:rPr>
      </w:pPr>
      <w:r>
        <w:rPr>
          <w:rFonts w:hint="eastAsia" w:ascii="黑体" w:hAnsi="黑体" w:eastAsia="黑体"/>
          <w:sz w:val="32"/>
        </w:rPr>
        <w:t>　　五、其他重要事项的情况说明</w:t>
      </w:r>
    </w:p>
    <w:p>
      <w:pPr>
        <w:spacing w:beforeLines="0" w:afterLines="0" w:line="555" w:lineRule="exact"/>
        <w:rPr>
          <w:rFonts w:hint="default" w:ascii="仿宋_GB2312" w:hAnsi="仿宋_GB2312" w:eastAsia="仿宋_GB2312"/>
          <w:sz w:val="32"/>
        </w:rPr>
      </w:pPr>
      <w:r>
        <w:rPr>
          <w:rFonts w:hint="eastAsia" w:ascii="华文仿宋" w:hAnsi="华文仿宋" w:eastAsia="华文仿宋"/>
          <w:sz w:val="32"/>
        </w:rPr>
        <w:t>　　</w:t>
      </w:r>
      <w:r>
        <w:rPr>
          <w:rFonts w:hint="eastAsia" w:ascii="楷体_GB2312" w:hAnsi="楷体_GB2312" w:eastAsia="楷体_GB2312"/>
          <w:sz w:val="32"/>
        </w:rPr>
        <w:t>（一）机关运行经费</w:t>
      </w:r>
    </w:p>
    <w:p>
      <w:pPr>
        <w:spacing w:beforeLines="0" w:afterLines="0" w:line="555" w:lineRule="exact"/>
        <w:ind w:firstLine="640"/>
        <w:rPr>
          <w:rFonts w:hint="eastAsia" w:ascii="华文仿宋" w:hAnsi="华文仿宋" w:eastAsia="华文仿宋"/>
          <w:sz w:val="32"/>
        </w:rPr>
      </w:pPr>
      <w:r>
        <w:rPr>
          <w:rFonts w:hint="eastAsia" w:ascii="仿宋_GB2312" w:hAnsi="仿宋_GB2312" w:eastAsia="仿宋_GB2312"/>
          <w:sz w:val="32"/>
        </w:rPr>
        <w:t>2024年厦门市禾山中学的机关运行经费财政拨款预算</w:t>
      </w:r>
      <w:r>
        <w:rPr>
          <w:rFonts w:hint="eastAsia" w:ascii="FangSong_GB2312" w:hAnsi="FangSong_GB2312" w:eastAsia="FangSong_GB2312"/>
          <w:color w:val="auto"/>
          <w:sz w:val="32"/>
          <w:lang w:val="en-US" w:eastAsia="zh-CN"/>
        </w:rPr>
        <w:t>0</w:t>
      </w:r>
      <w:r>
        <w:rPr>
          <w:rFonts w:hint="eastAsia" w:ascii="仿宋_GB2312" w:hAnsi="仿宋_GB2312" w:eastAsia="仿宋_GB2312"/>
          <w:sz w:val="32"/>
        </w:rPr>
        <w:t>万元，比2023年预算数增加0.00万元，增长0%，</w:t>
      </w:r>
      <w:r>
        <w:rPr>
          <w:rFonts w:hint="eastAsia" w:ascii="仿宋_GB2312" w:hAnsi="仿宋_GB2312" w:eastAsia="仿宋_GB2312"/>
          <w:sz w:val="32"/>
          <w:lang w:eastAsia="zh-CN"/>
        </w:rPr>
        <w:t>主要原因是：</w:t>
      </w:r>
      <w:r>
        <w:rPr>
          <w:rFonts w:hint="eastAsia" w:ascii="仿宋_GB2312" w:hAnsi="仿宋_GB2312" w:eastAsia="仿宋_GB2312"/>
          <w:color w:val="auto"/>
          <w:sz w:val="32"/>
        </w:rPr>
        <w:t>上年</w:t>
      </w:r>
      <w:r>
        <w:rPr>
          <w:rFonts w:hint="eastAsia" w:ascii="仿宋_GB2312" w:hAnsi="仿宋_GB2312" w:eastAsia="仿宋_GB2312"/>
          <w:color w:val="auto"/>
          <w:sz w:val="32"/>
          <w:lang w:eastAsia="zh-CN"/>
        </w:rPr>
        <w:t>及今年均</w:t>
      </w:r>
      <w:r>
        <w:rPr>
          <w:rFonts w:hint="eastAsia" w:ascii="仿宋_GB2312" w:hAnsi="仿宋_GB2312" w:eastAsia="仿宋_GB2312"/>
          <w:color w:val="auto"/>
          <w:sz w:val="32"/>
        </w:rPr>
        <w:t>没有此项拨款预算</w:t>
      </w:r>
      <w:r>
        <w:rPr>
          <w:rFonts w:hint="eastAsia" w:ascii="仿宋_GB2312" w:hAnsi="仿宋_GB2312" w:eastAsia="仿宋_GB2312"/>
          <w:sz w:val="32"/>
        </w:rPr>
        <w:t>。</w:t>
      </w:r>
    </w:p>
    <w:p>
      <w:pPr>
        <w:spacing w:beforeLines="0" w:afterLines="0" w:line="555" w:lineRule="exact"/>
        <w:rPr>
          <w:rFonts w:hint="default" w:ascii="仿宋_GB2312" w:hAnsi="仿宋_GB2312" w:eastAsia="仿宋_GB2312"/>
          <w:sz w:val="32"/>
        </w:rPr>
      </w:pPr>
      <w:r>
        <w:rPr>
          <w:rFonts w:hint="eastAsia" w:ascii="华文仿宋" w:hAnsi="华文仿宋" w:eastAsia="华文仿宋"/>
          <w:sz w:val="32"/>
        </w:rPr>
        <w:t>　　</w:t>
      </w:r>
      <w:r>
        <w:rPr>
          <w:rFonts w:hint="eastAsia" w:ascii="楷体_GB2312" w:hAnsi="楷体_GB2312" w:eastAsia="楷体_GB2312"/>
          <w:sz w:val="32"/>
        </w:rPr>
        <w:t>（二）政府采购情况</w:t>
      </w:r>
    </w:p>
    <w:p>
      <w:pPr>
        <w:spacing w:beforeLines="0" w:afterLines="0" w:line="555" w:lineRule="exact"/>
        <w:ind w:firstLine="640"/>
        <w:rPr>
          <w:rFonts w:hint="eastAsia" w:ascii="仿宋_GB2312" w:hAnsi="仿宋_GB2312" w:eastAsia="仿宋_GB2312"/>
          <w:sz w:val="32"/>
        </w:rPr>
      </w:pPr>
      <w:r>
        <w:rPr>
          <w:rFonts w:hint="eastAsia" w:ascii="仿宋_GB2312" w:hAnsi="仿宋_GB2312" w:eastAsia="仿宋_GB2312"/>
          <w:sz w:val="32"/>
        </w:rPr>
        <w:t>2024年厦门市禾山中学政府采购预算总额0.00万元，其中：政府采购货物预算0.00万元，政府采购工程预算0.00万元，政府采购服务预算0.00万元。</w:t>
      </w:r>
    </w:p>
    <w:p>
      <w:pPr>
        <w:spacing w:beforeLines="0" w:afterLines="0" w:line="555" w:lineRule="exact"/>
        <w:ind w:firstLine="640"/>
        <w:rPr>
          <w:rFonts w:hint="default" w:ascii="仿宋_GB2312" w:hAnsi="仿宋_GB2312" w:eastAsia="仿宋_GB2312"/>
          <w:sz w:val="32"/>
        </w:rPr>
      </w:pPr>
      <w:r>
        <w:rPr>
          <w:rFonts w:hint="eastAsia" w:ascii="楷体_GB2312" w:hAnsi="楷体_GB2312" w:eastAsia="楷体_GB2312"/>
          <w:sz w:val="32"/>
        </w:rPr>
        <w:t>（三）国有资产占有使用情况</w:t>
      </w:r>
    </w:p>
    <w:p>
      <w:pPr>
        <w:spacing w:beforeLines="0" w:afterLines="0" w:line="555" w:lineRule="exact"/>
        <w:ind w:firstLine="640"/>
        <w:rPr>
          <w:rFonts w:hint="eastAsia" w:ascii="仿宋_GB2312" w:hAnsi="仿宋_GB2312" w:eastAsia="仿宋_GB2312"/>
          <w:sz w:val="32"/>
          <w:lang w:val="en-US" w:eastAsia="zh-CN"/>
        </w:rPr>
      </w:pPr>
      <w:r>
        <w:rPr>
          <w:rFonts w:hint="eastAsia" w:ascii="仿宋_GB2312" w:hAnsi="仿宋_GB2312" w:eastAsia="仿宋_GB2312"/>
          <w:sz w:val="32"/>
        </w:rPr>
        <w:t>截至2023年12月31日，厦门市禾山中学所属各预算单位共有车辆</w:t>
      </w:r>
      <w:r>
        <w:rPr>
          <w:rFonts w:hint="eastAsia" w:ascii="仿宋_GB2312" w:hAnsi="仿宋_GB2312" w:eastAsia="仿宋_GB2312"/>
          <w:sz w:val="32"/>
          <w:lang w:val="en-US" w:eastAsia="zh-CN"/>
        </w:rPr>
        <w:t>0</w:t>
      </w:r>
      <w:r>
        <w:rPr>
          <w:rFonts w:hint="eastAsia" w:ascii="仿宋_GB2312" w:hAnsi="仿宋_GB2312" w:eastAsia="仿宋_GB2312"/>
          <w:sz w:val="32"/>
        </w:rPr>
        <w:t>辆，单位价值100万元以上设备</w:t>
      </w:r>
      <w:r>
        <w:rPr>
          <w:rFonts w:hint="eastAsia" w:ascii="仿宋_GB2312" w:hAnsi="仿宋_GB2312" w:eastAsia="仿宋_GB2312"/>
          <w:sz w:val="32"/>
          <w:lang w:val="en-US" w:eastAsia="zh-CN"/>
        </w:rPr>
        <w:t>0</w:t>
      </w:r>
      <w:r>
        <w:rPr>
          <w:rFonts w:hint="eastAsia" w:ascii="仿宋_GB2312" w:hAnsi="仿宋_GB2312" w:eastAsia="仿宋_GB2312"/>
          <w:sz w:val="32"/>
        </w:rPr>
        <w:t>台（套）。</w:t>
      </w:r>
      <w:r>
        <w:rPr>
          <w:rFonts w:hint="eastAsia" w:ascii="仿宋_GB2312" w:hAnsi="仿宋_GB2312" w:eastAsia="仿宋_GB2312"/>
          <w:sz w:val="32"/>
          <w:lang w:val="en-US" w:eastAsia="zh-CN"/>
        </w:rPr>
        <w:t xml:space="preserve"> </w:t>
      </w:r>
    </w:p>
    <w:p>
      <w:pPr>
        <w:spacing w:beforeLines="0" w:afterLines="0" w:line="555" w:lineRule="exact"/>
        <w:ind w:firstLine="640"/>
        <w:rPr>
          <w:rFonts w:hint="default" w:ascii="仿宋_GB2312" w:hAnsi="仿宋_GB2312" w:eastAsia="仿宋_GB2312"/>
          <w:sz w:val="32"/>
        </w:rPr>
      </w:pPr>
      <w:r>
        <w:rPr>
          <w:rFonts w:hint="eastAsia" w:ascii="楷体_GB2312" w:hAnsi="楷体_GB2312" w:eastAsia="楷体_GB2312"/>
          <w:sz w:val="32"/>
        </w:rPr>
        <w:t>（四）绩效目标设置情况</w:t>
      </w:r>
    </w:p>
    <w:p>
      <w:pPr>
        <w:spacing w:beforeLines="0" w:afterLines="0" w:line="555" w:lineRule="exact"/>
        <w:rPr>
          <w:rFonts w:hint="eastAsia" w:ascii="黑体" w:hAnsi="黑体" w:eastAsia="黑体"/>
          <w:sz w:val="32"/>
        </w:rPr>
      </w:pPr>
      <w:r>
        <w:rPr>
          <w:rFonts w:hint="eastAsia" w:ascii="仿宋_GB2312" w:hAnsi="仿宋_GB2312" w:eastAsia="仿宋_GB2312"/>
          <w:sz w:val="32"/>
        </w:rPr>
        <w:t>　　厦门市禾山中学2024年实行绩效目标管理的二级项目1个，涉及一般公共预算拨款15.60万元、政府性基金预算拨款0.00万元。</w:t>
      </w:r>
    </w:p>
    <w:p>
      <w:pPr>
        <w:spacing w:beforeLines="0" w:afterLines="0" w:line="555" w:lineRule="exact"/>
        <w:ind w:left="20"/>
        <w:jc w:val="center"/>
        <w:rPr>
          <w:rFonts w:hint="eastAsia" w:ascii="黑体" w:hAnsi="黑体" w:eastAsia="黑体"/>
          <w:sz w:val="32"/>
        </w:rPr>
      </w:pPr>
    </w:p>
    <w:p>
      <w:pPr>
        <w:spacing w:beforeLines="0" w:afterLines="0" w:line="555" w:lineRule="exact"/>
        <w:ind w:left="20"/>
        <w:jc w:val="center"/>
        <w:rPr>
          <w:rFonts w:hint="eastAsia" w:ascii="黑体" w:hAnsi="黑体" w:eastAsia="黑体"/>
          <w:sz w:val="32"/>
        </w:rPr>
      </w:pPr>
      <w:r>
        <w:rPr>
          <w:rFonts w:hint="eastAsia" w:ascii="黑体" w:hAnsi="黑体" w:eastAsia="黑体"/>
          <w:sz w:val="32"/>
        </w:rPr>
        <w:t>第三部分  名词解释</w:t>
      </w:r>
    </w:p>
    <w:p>
      <w:pPr>
        <w:spacing w:beforeLines="0" w:afterLines="0" w:line="555" w:lineRule="exact"/>
        <w:rPr>
          <w:rFonts w:hint="eastAsia" w:ascii="楷体_GB2312" w:hAnsi="楷体_GB2312" w:eastAsia="楷体_GB2312"/>
          <w:sz w:val="32"/>
        </w:rPr>
      </w:pPr>
      <w:r>
        <w:rPr>
          <w:rFonts w:hint="eastAsia" w:ascii="楷体_GB2312" w:hAnsi="楷体_GB2312" w:eastAsia="楷体_GB2312"/>
          <w:sz w:val="32"/>
        </w:rPr>
        <w:t>　　</w:t>
      </w:r>
    </w:p>
    <w:p>
      <w:pPr>
        <w:spacing w:beforeLines="0" w:afterLines="0" w:line="555" w:lineRule="exact"/>
        <w:ind w:firstLine="640" w:firstLineChars="200"/>
        <w:rPr>
          <w:rFonts w:hint="default" w:ascii="楷体_GB2312" w:hAnsi="楷体_GB2312" w:eastAsia="楷体_GB2312"/>
          <w:sz w:val="32"/>
        </w:rPr>
      </w:pPr>
      <w:r>
        <w:rPr>
          <w:rFonts w:hint="eastAsia" w:ascii="楷体_GB2312" w:hAnsi="楷体_GB2312" w:eastAsia="楷体_GB2312"/>
          <w:sz w:val="32"/>
        </w:rPr>
        <w:t>一、基本支出：</w:t>
      </w:r>
      <w:r>
        <w:rPr>
          <w:rFonts w:hint="eastAsia" w:ascii="仿宋_GB2312" w:hAnsi="仿宋_GB2312" w:eastAsia="仿宋_GB2312"/>
          <w:sz w:val="32"/>
        </w:rPr>
        <w:t>指为保障机构正常运转、完成日常工作任务而发生的人员支出、对个人和家庭的补助支出和公用支出。</w:t>
      </w:r>
    </w:p>
    <w:p>
      <w:pPr>
        <w:spacing w:beforeLines="0" w:afterLines="0" w:line="555" w:lineRule="exact"/>
        <w:rPr>
          <w:rFonts w:hint="eastAsia" w:ascii="楷体_GB2312" w:hAnsi="楷体_GB2312" w:eastAsia="楷体_GB2312"/>
          <w:sz w:val="32"/>
        </w:rPr>
      </w:pPr>
      <w:r>
        <w:rPr>
          <w:rFonts w:hint="eastAsia" w:ascii="楷体_GB2312" w:hAnsi="楷体_GB2312" w:eastAsia="楷体_GB2312"/>
          <w:sz w:val="32"/>
        </w:rPr>
        <w:t>　　</w:t>
      </w:r>
    </w:p>
    <w:p>
      <w:pPr>
        <w:spacing w:beforeLines="0" w:afterLines="0" w:line="555" w:lineRule="exact"/>
        <w:ind w:firstLine="640" w:firstLineChars="200"/>
        <w:rPr>
          <w:rFonts w:hint="default" w:ascii="楷体_GB2312" w:hAnsi="楷体_GB2312" w:eastAsia="楷体_GB2312"/>
          <w:sz w:val="32"/>
        </w:rPr>
      </w:pPr>
      <w:r>
        <w:rPr>
          <w:rFonts w:hint="eastAsia" w:ascii="楷体_GB2312" w:hAnsi="楷体_GB2312" w:eastAsia="楷体_GB2312"/>
          <w:sz w:val="32"/>
        </w:rPr>
        <w:t>二、项目支出：</w:t>
      </w:r>
      <w:r>
        <w:rPr>
          <w:rFonts w:hint="eastAsia" w:ascii="仿宋_GB2312" w:hAnsi="仿宋_GB2312" w:eastAsia="仿宋_GB2312"/>
          <w:sz w:val="32"/>
        </w:rPr>
        <w:t>指在基本支出之外为完成特定行政任务和事业发展目标所发生的支出，包括部门专项、发展经费和基建项目。</w:t>
      </w:r>
    </w:p>
    <w:p>
      <w:pPr>
        <w:spacing w:beforeLines="0" w:afterLines="0" w:line="555" w:lineRule="exact"/>
        <w:rPr>
          <w:rFonts w:hint="eastAsia" w:ascii="楷体_GB2312" w:hAnsi="楷体_GB2312" w:eastAsia="楷体_GB2312"/>
          <w:sz w:val="32"/>
        </w:rPr>
      </w:pPr>
      <w:r>
        <w:rPr>
          <w:rFonts w:hint="eastAsia" w:ascii="楷体_GB2312" w:hAnsi="楷体_GB2312" w:eastAsia="楷体_GB2312"/>
          <w:sz w:val="32"/>
        </w:rPr>
        <w:t>　　</w:t>
      </w:r>
    </w:p>
    <w:p>
      <w:pPr>
        <w:spacing w:beforeLines="0" w:afterLines="0" w:line="555" w:lineRule="exact"/>
        <w:ind w:firstLine="640" w:firstLineChars="200"/>
        <w:rPr>
          <w:rFonts w:hint="default" w:ascii="楷体_GB2312" w:hAnsi="楷体_GB2312" w:eastAsia="楷体_GB2312"/>
          <w:sz w:val="32"/>
        </w:rPr>
      </w:pPr>
      <w:r>
        <w:rPr>
          <w:rFonts w:hint="eastAsia" w:ascii="楷体_GB2312" w:hAnsi="楷体_GB2312" w:eastAsia="楷体_GB2312"/>
          <w:sz w:val="32"/>
        </w:rPr>
        <w:t>三、“三公”经费：</w:t>
      </w:r>
      <w:r>
        <w:rPr>
          <w:rFonts w:hint="eastAsia" w:ascii="仿宋_GB2312" w:hAnsi="仿宋_GB2312" w:eastAsia="仿宋_GB2312"/>
          <w:sz w:val="32"/>
        </w:rPr>
        <w:t>纳入财政预决算管理的“三公”经费，是指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牌照费）、燃料费、维修费、过路过桥费、保险费、安全奖励费用等支出；公务接待费反映单位按规定开支的各类公务接待（含外宾接待）支出。</w:t>
      </w:r>
    </w:p>
    <w:p>
      <w:pPr>
        <w:spacing w:beforeLines="0" w:afterLines="0" w:line="555" w:lineRule="exact"/>
        <w:rPr>
          <w:rFonts w:hint="eastAsia" w:ascii="楷体_GB2312" w:hAnsi="楷体_GB2312" w:eastAsia="楷体_GB2312"/>
          <w:sz w:val="32"/>
        </w:rPr>
      </w:pPr>
      <w:r>
        <w:rPr>
          <w:rFonts w:hint="eastAsia" w:ascii="楷体_GB2312" w:hAnsi="楷体_GB2312" w:eastAsia="楷体_GB2312"/>
          <w:sz w:val="32"/>
        </w:rPr>
        <w:t>　　</w:t>
      </w:r>
    </w:p>
    <w:p>
      <w:pPr>
        <w:spacing w:beforeLines="0" w:afterLines="0" w:line="555" w:lineRule="exact"/>
        <w:ind w:firstLine="640" w:firstLineChars="200"/>
        <w:rPr>
          <w:rFonts w:hint="default" w:ascii="楷体_GB2312" w:hAnsi="楷体_GB2312" w:eastAsia="楷体_GB2312"/>
          <w:sz w:val="32"/>
        </w:rPr>
      </w:pPr>
      <w:r>
        <w:rPr>
          <w:rFonts w:hint="eastAsia" w:ascii="楷体_GB2312" w:hAnsi="楷体_GB2312" w:eastAsia="楷体_GB2312"/>
          <w:sz w:val="32"/>
        </w:rPr>
        <w:t>四、机关运行经费：</w:t>
      </w:r>
      <w:r>
        <w:rPr>
          <w:rFonts w:hint="eastAsia" w:ascii="仿宋_GB2312" w:hAnsi="仿宋_GB2312" w:eastAsia="仿宋_GB2312"/>
          <w:sz w:val="32"/>
        </w:rPr>
        <w:t>为保障行政单位（包括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p>
    <w:p>
      <w:pPr>
        <w:spacing w:beforeLines="0" w:afterLines="0" w:line="555" w:lineRule="exact"/>
        <w:rPr>
          <w:rFonts w:hint="eastAsia" w:ascii="楷体_GB2312" w:hAnsi="楷体_GB2312" w:eastAsia="楷体_GB2312"/>
          <w:sz w:val="32"/>
        </w:rPr>
      </w:pPr>
      <w:r>
        <w:rPr>
          <w:rFonts w:hint="eastAsia" w:ascii="楷体_GB2312" w:hAnsi="楷体_GB2312" w:eastAsia="楷体_GB2312"/>
          <w:sz w:val="32"/>
        </w:rPr>
        <w:t>　　</w:t>
      </w:r>
    </w:p>
    <w:p>
      <w:pPr>
        <w:spacing w:beforeLines="0" w:afterLines="0" w:line="555" w:lineRule="exact"/>
        <w:ind w:firstLine="640" w:firstLineChars="200"/>
        <w:rPr>
          <w:rFonts w:hint="eastAsia" w:ascii="黑体" w:hAnsi="黑体" w:eastAsia="黑体"/>
          <w:sz w:val="32"/>
          <w:szCs w:val="22"/>
          <w:lang w:val="en-US" w:eastAsia="zh-CN"/>
        </w:rPr>
      </w:pPr>
      <w:r>
        <w:rPr>
          <w:rFonts w:hint="eastAsia" w:ascii="楷体_GB2312" w:hAnsi="楷体_GB2312" w:eastAsia="楷体_GB2312"/>
          <w:sz w:val="32"/>
          <w:lang w:eastAsia="zh-CN"/>
        </w:rPr>
        <w:t>五、</w:t>
      </w:r>
      <w:r>
        <w:rPr>
          <w:rFonts w:hint="eastAsia" w:ascii="楷体_GB2312" w:hAnsi="楷体_GB2312" w:eastAsia="楷体_GB2312"/>
          <w:sz w:val="32"/>
        </w:rPr>
        <w:t>其他名词解释</w:t>
      </w:r>
      <w:r>
        <w:rPr>
          <w:rFonts w:hint="eastAsia" w:ascii="楷体_GB2312" w:hAnsi="楷体_GB2312" w:eastAsia="楷体_GB2312"/>
          <w:sz w:val="32"/>
          <w:lang w:eastAsia="zh-CN"/>
        </w:rPr>
        <w:t>：</w:t>
      </w:r>
      <w:r>
        <w:rPr>
          <w:rFonts w:hint="eastAsia" w:ascii="仿宋_GB2312" w:hAnsi="仿宋_GB2312" w:eastAsia="仿宋_GB2312"/>
          <w:sz w:val="32"/>
          <w:lang w:val="en-US" w:eastAsia="zh-CN"/>
        </w:rPr>
        <w:t>无</w:t>
      </w:r>
    </w:p>
    <w:p>
      <w:pPr>
        <w:spacing w:beforeLines="0" w:afterLines="0" w:line="555" w:lineRule="exact"/>
        <w:ind w:left="20"/>
        <w:jc w:val="center"/>
        <w:rPr>
          <w:rFonts w:hint="eastAsia" w:ascii="黑体" w:hAnsi="黑体" w:eastAsia="黑体"/>
          <w:sz w:val="32"/>
        </w:rPr>
      </w:pPr>
    </w:p>
    <w:p>
      <w:pPr>
        <w:spacing w:beforeLines="0" w:afterLines="0" w:line="555" w:lineRule="exact"/>
        <w:ind w:left="20"/>
        <w:jc w:val="center"/>
        <w:rPr>
          <w:rFonts w:hint="eastAsia" w:ascii="黑体" w:hAnsi="黑体" w:eastAsia="黑体"/>
          <w:sz w:val="32"/>
        </w:rPr>
      </w:pPr>
    </w:p>
    <w:p>
      <w:pPr>
        <w:spacing w:beforeLines="0" w:afterLines="0" w:line="555" w:lineRule="exact"/>
        <w:ind w:left="20"/>
        <w:jc w:val="center"/>
        <w:rPr>
          <w:rFonts w:hint="eastAsia" w:ascii="黑体" w:hAnsi="黑体" w:eastAsia="黑体"/>
          <w:sz w:val="32"/>
        </w:rPr>
      </w:pPr>
      <w:r>
        <w:rPr>
          <w:rFonts w:hint="eastAsia" w:ascii="黑体" w:hAnsi="黑体" w:eastAsia="黑体"/>
          <w:sz w:val="32"/>
        </w:rPr>
        <w:t>第四部分  2024年单位预算附表</w:t>
      </w:r>
    </w:p>
    <w:p>
      <w:pPr>
        <w:spacing w:beforeLines="0" w:afterLines="0" w:line="540" w:lineRule="exact"/>
        <w:rPr>
          <w:rFonts w:hint="eastAsia" w:ascii="黑体" w:hAnsi="黑体" w:eastAsia="黑体"/>
          <w:sz w:val="32"/>
          <w:szCs w:val="22"/>
        </w:rPr>
      </w:pPr>
      <w:r>
        <w:rPr>
          <w:rFonts w:hint="eastAsia" w:ascii="黑体" w:hAnsi="黑体" w:eastAsia="黑体"/>
          <w:sz w:val="32"/>
          <w:szCs w:val="22"/>
        </w:rPr>
        <w:t>　　</w:t>
      </w:r>
    </w:p>
    <w:p>
      <w:pPr>
        <w:spacing w:beforeLines="0" w:afterLines="0" w:line="555" w:lineRule="exact"/>
        <w:ind w:firstLine="640" w:firstLineChars="200"/>
        <w:rPr>
          <w:rFonts w:hint="default" w:ascii="仿宋_GB2312" w:hAnsi="仿宋_GB2312" w:eastAsia="仿宋_GB2312"/>
          <w:sz w:val="32"/>
        </w:rPr>
      </w:pPr>
      <w:r>
        <w:rPr>
          <w:rFonts w:hint="eastAsia" w:ascii="仿宋_GB2312" w:hAnsi="仿宋_GB2312" w:eastAsia="仿宋_GB2312"/>
          <w:sz w:val="32"/>
        </w:rPr>
        <w:t>一、部门收支预算总体情况表</w:t>
      </w:r>
    </w:p>
    <w:p>
      <w:pPr>
        <w:spacing w:beforeLines="0" w:afterLines="0" w:line="555" w:lineRule="exact"/>
        <w:ind w:firstLine="640" w:firstLineChars="200"/>
        <w:rPr>
          <w:rFonts w:hint="default" w:ascii="仿宋_GB2312" w:hAnsi="仿宋_GB2312" w:eastAsia="仿宋_GB2312"/>
          <w:sz w:val="32"/>
        </w:rPr>
      </w:pPr>
      <w:r>
        <w:rPr>
          <w:rFonts w:hint="eastAsia" w:ascii="仿宋_GB2312" w:hAnsi="仿宋_GB2312" w:eastAsia="仿宋_GB2312"/>
          <w:sz w:val="32"/>
        </w:rPr>
        <w:t>二、部门收入预算总体情况表</w:t>
      </w:r>
    </w:p>
    <w:p>
      <w:pPr>
        <w:spacing w:beforeLines="0" w:afterLines="0" w:line="555" w:lineRule="exact"/>
        <w:ind w:firstLine="640" w:firstLineChars="200"/>
        <w:rPr>
          <w:rFonts w:hint="default" w:ascii="仿宋_GB2312" w:hAnsi="仿宋_GB2312" w:eastAsia="仿宋_GB2312"/>
          <w:sz w:val="32"/>
        </w:rPr>
      </w:pPr>
      <w:r>
        <w:rPr>
          <w:rFonts w:hint="eastAsia" w:ascii="仿宋_GB2312" w:hAnsi="仿宋_GB2312" w:eastAsia="仿宋_GB2312"/>
          <w:sz w:val="32"/>
        </w:rPr>
        <w:t>三、部门支出预算总体情况表</w:t>
      </w:r>
    </w:p>
    <w:p>
      <w:pPr>
        <w:spacing w:beforeLines="0" w:afterLines="0" w:line="555" w:lineRule="exact"/>
        <w:ind w:firstLine="640" w:firstLineChars="200"/>
        <w:rPr>
          <w:rFonts w:hint="default" w:ascii="仿宋_GB2312" w:hAnsi="仿宋_GB2312" w:eastAsia="仿宋_GB2312"/>
          <w:sz w:val="32"/>
        </w:rPr>
      </w:pPr>
      <w:r>
        <w:rPr>
          <w:rFonts w:hint="eastAsia" w:ascii="仿宋_GB2312" w:hAnsi="仿宋_GB2312" w:eastAsia="仿宋_GB2312"/>
          <w:sz w:val="32"/>
        </w:rPr>
        <w:t>四、财政拨款收支预算总体情况表</w:t>
      </w:r>
    </w:p>
    <w:p>
      <w:pPr>
        <w:spacing w:beforeLines="0" w:afterLines="0" w:line="555" w:lineRule="exact"/>
        <w:ind w:firstLine="640" w:firstLineChars="200"/>
        <w:rPr>
          <w:rFonts w:hint="default" w:ascii="仿宋_GB2312" w:hAnsi="仿宋_GB2312" w:eastAsia="仿宋_GB2312"/>
          <w:sz w:val="32"/>
        </w:rPr>
      </w:pPr>
      <w:r>
        <w:rPr>
          <w:rFonts w:hint="eastAsia" w:ascii="仿宋_GB2312" w:hAnsi="仿宋_GB2312" w:eastAsia="仿宋_GB2312"/>
          <w:sz w:val="32"/>
        </w:rPr>
        <w:t>五、一般公共预算支出情况表</w:t>
      </w:r>
    </w:p>
    <w:p>
      <w:pPr>
        <w:spacing w:beforeLines="0" w:afterLines="0" w:line="555" w:lineRule="exact"/>
        <w:ind w:firstLine="640" w:firstLineChars="200"/>
        <w:rPr>
          <w:rFonts w:hint="default" w:ascii="仿宋_GB2312" w:hAnsi="仿宋_GB2312" w:eastAsia="仿宋_GB2312"/>
          <w:sz w:val="32"/>
        </w:rPr>
      </w:pPr>
      <w:r>
        <w:rPr>
          <w:rFonts w:hint="eastAsia" w:ascii="仿宋_GB2312" w:hAnsi="仿宋_GB2312" w:eastAsia="仿宋_GB2312"/>
          <w:sz w:val="32"/>
        </w:rPr>
        <w:t>六、一般公共预算基本支出情况表（经济分类款级科目）</w:t>
      </w:r>
    </w:p>
    <w:p>
      <w:pPr>
        <w:spacing w:beforeLines="0" w:afterLines="0" w:line="555" w:lineRule="exact"/>
        <w:ind w:firstLine="640" w:firstLineChars="200"/>
        <w:rPr>
          <w:rFonts w:hint="default" w:ascii="仿宋_GB2312" w:hAnsi="仿宋_GB2312" w:eastAsia="仿宋_GB2312"/>
          <w:sz w:val="32"/>
        </w:rPr>
      </w:pPr>
      <w:r>
        <w:rPr>
          <w:rFonts w:hint="eastAsia" w:ascii="仿宋_GB2312" w:hAnsi="仿宋_GB2312" w:eastAsia="仿宋_GB2312"/>
          <w:sz w:val="32"/>
        </w:rPr>
        <w:t>七、一般公共预算“三公”经费支出情况表</w:t>
      </w:r>
    </w:p>
    <w:p>
      <w:pPr>
        <w:spacing w:beforeLines="0" w:afterLines="0" w:line="555" w:lineRule="exact"/>
        <w:ind w:firstLine="640" w:firstLineChars="200"/>
        <w:rPr>
          <w:rFonts w:hint="default" w:ascii="仿宋_GB2312" w:hAnsi="仿宋_GB2312" w:eastAsia="仿宋_GB2312"/>
          <w:sz w:val="32"/>
        </w:rPr>
      </w:pPr>
      <w:r>
        <w:rPr>
          <w:rFonts w:hint="eastAsia" w:ascii="仿宋_GB2312" w:hAnsi="仿宋_GB2312" w:eastAsia="仿宋_GB2312"/>
          <w:sz w:val="32"/>
        </w:rPr>
        <w:t>八、政府性基金预算支出情况表</w:t>
      </w:r>
    </w:p>
    <w:p>
      <w:pPr>
        <w:spacing w:beforeLines="0" w:afterLines="0" w:line="555" w:lineRule="exact"/>
        <w:ind w:firstLine="640" w:firstLineChars="200"/>
        <w:rPr>
          <w:rFonts w:hint="eastAsia" w:ascii="仿宋_GB2312" w:hAnsi="仿宋_GB2312" w:eastAsia="仿宋_GB2312"/>
          <w:sz w:val="32"/>
        </w:rPr>
      </w:pPr>
      <w:r>
        <w:rPr>
          <w:rFonts w:hint="eastAsia" w:ascii="仿宋_GB2312" w:hAnsi="仿宋_GB2312" w:eastAsia="仿宋_GB2312"/>
          <w:sz w:val="32"/>
        </w:rPr>
        <w:t>九、区对镇（街）转移支付项目支出预算表</w:t>
      </w:r>
    </w:p>
    <w:p>
      <w:pPr>
        <w:spacing w:beforeLines="0" w:afterLines="0" w:line="555" w:lineRule="exact"/>
        <w:ind w:firstLine="640" w:firstLineChars="200"/>
        <w:rPr>
          <w:rFonts w:hint="eastAsia" w:ascii="仿宋_GB2312" w:hAnsi="仿宋_GB2312" w:eastAsia="仿宋_GB2312"/>
          <w:sz w:val="32"/>
          <w:lang w:eastAsia="zh-CN"/>
        </w:rPr>
      </w:pPr>
      <w:r>
        <w:rPr>
          <w:rFonts w:hint="eastAsia" w:ascii="仿宋_GB2312" w:hAnsi="仿宋_GB2312" w:eastAsia="仿宋_GB2312"/>
          <w:sz w:val="32"/>
          <w:lang w:eastAsia="zh-CN"/>
        </w:rPr>
        <w:t>十、二级项目绩效目标表</w:t>
      </w:r>
    </w:p>
    <w:p>
      <w:pPr>
        <w:spacing w:beforeLines="0" w:afterLines="0" w:line="555" w:lineRule="exact"/>
        <w:ind w:firstLine="640" w:firstLineChars="200"/>
        <w:rPr>
          <w:rFonts w:hint="eastAsia" w:ascii="仿宋_GB2312" w:hAnsi="仿宋_GB2312" w:eastAsia="仿宋_GB2312"/>
          <w:sz w:val="32"/>
        </w:rPr>
      </w:pPr>
      <w:r>
        <w:rPr>
          <w:rFonts w:hint="eastAsia" w:ascii="仿宋_GB2312" w:hAnsi="仿宋_GB2312" w:eastAsia="仿宋_GB2312"/>
          <w:sz w:val="32"/>
        </w:rPr>
        <w:t>　　</w:t>
      </w:r>
    </w:p>
    <w:p>
      <w:pPr>
        <w:spacing w:beforeLines="0" w:afterLines="0"/>
        <w:rPr>
          <w:rFonts w:hint="default"/>
          <w:sz w:val="24"/>
        </w:rPr>
      </w:pPr>
    </w:p>
    <w:sectPr>
      <w:footerReference r:id="rId3" w:type="default"/>
      <w:pgSz w:w="11905" w:h="16837"/>
      <w:pgMar w:top="1388" w:right="1559" w:bottom="1388" w:left="1559" w:header="720" w:footer="72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decorative"/>
    <w:pitch w:val="default"/>
    <w:sig w:usb0="800002BF" w:usb1="38CF7CFA" w:usb2="00000016" w:usb3="00000000" w:csb0="00040001" w:csb1="00000000"/>
  </w:font>
  <w:font w:name="仿宋_GB2312">
    <w:panose1 w:val="02010609030101010101"/>
    <w:charset w:val="86"/>
    <w:family w:val="decorative"/>
    <w:pitch w:val="default"/>
    <w:sig w:usb0="00000001" w:usb1="080E0000" w:usb2="00000000" w:usb3="00000000" w:csb0="00040000" w:csb1="00000000"/>
  </w:font>
  <w:font w:name="FangSong_GB2312">
    <w:altName w:val="仿宋_GB2312"/>
    <w:panose1 w:val="00000000000000000000"/>
    <w:charset w:val="86"/>
    <w:family w:val="decorative"/>
    <w:pitch w:val="default"/>
    <w:sig w:usb0="00000000" w:usb1="00000000" w:usb2="00000000" w:usb3="00000000" w:csb0="00040000" w:csb1="00000000"/>
  </w:font>
  <w:font w:name="楷体_GB2312">
    <w:altName w:val="楷体"/>
    <w:panose1 w:val="02010609030101010101"/>
    <w:charset w:val="86"/>
    <w:family w:val="decorative"/>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华文仿宋">
    <w:panose1 w:val="02010600040101010101"/>
    <w:charset w:val="86"/>
    <w:family w:val="decorative"/>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6"/>
      <w:tblW w:w="9489"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163"/>
      <w:gridCol w:w="3163"/>
      <w:gridCol w:w="31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jc w:val="center"/>
      </w:trPr>
      <w:tc>
        <w:tcPr>
          <w:tcW w:w="3163" w:type="dxa"/>
          <w:tcBorders>
            <w:top w:val="nil"/>
            <w:left w:val="nil"/>
            <w:bottom w:val="nil"/>
            <w:right w:val="nil"/>
            <w:tl2br w:val="nil"/>
            <w:tr2bl w:val="nil"/>
          </w:tcBorders>
          <w:shd w:val="clear" w:color="auto" w:fill="FFFFFF"/>
          <w:vAlign w:val="top"/>
        </w:tcPr>
        <w:p>
          <w:pPr>
            <w:spacing w:beforeLines="0" w:afterLines="0"/>
            <w:rPr>
              <w:rFonts w:hint="default"/>
              <w:sz w:val="24"/>
            </w:rPr>
          </w:pPr>
        </w:p>
      </w:tc>
      <w:tc>
        <w:tcPr>
          <w:tcW w:w="3163" w:type="dxa"/>
          <w:tcBorders>
            <w:top w:val="nil"/>
            <w:left w:val="nil"/>
            <w:bottom w:val="nil"/>
            <w:right w:val="nil"/>
            <w:tl2br w:val="nil"/>
            <w:tr2bl w:val="nil"/>
          </w:tcBorders>
          <w:shd w:val="clear" w:color="auto" w:fill="FFFFFF"/>
          <w:vAlign w:val="top"/>
        </w:tcPr>
        <w:p>
          <w:pPr>
            <w:spacing w:beforeLines="0" w:afterLines="0" w:line="320" w:lineRule="atLeast"/>
            <w:jc w:val="center"/>
            <w:rPr>
              <w:rFonts w:hint="eastAsia" w:ascii="宋体" w:hAnsi="宋体"/>
              <w:sz w:val="18"/>
            </w:rPr>
          </w:pPr>
          <w:r>
            <w:rPr>
              <w:rFonts w:hint="eastAsia" w:ascii="宋体" w:hAnsi="宋体"/>
              <w:sz w:val="18"/>
            </w:rPr>
            <w:fldChar w:fldCharType="begin"/>
          </w:r>
          <w:r>
            <w:rPr>
              <w:rFonts w:hint="eastAsia" w:ascii="宋体" w:hAnsi="宋体"/>
              <w:sz w:val="18"/>
            </w:rPr>
            <w:instrText xml:space="preserve">PAGE</w:instrText>
          </w:r>
          <w:r>
            <w:rPr>
              <w:rFonts w:hint="eastAsia" w:ascii="宋体" w:hAnsi="宋体"/>
              <w:sz w:val="18"/>
            </w:rPr>
            <w:fldChar w:fldCharType="separate"/>
          </w:r>
          <w:r>
            <w:rPr>
              <w:rFonts w:hint="eastAsia" w:ascii="宋体" w:hAnsi="宋体"/>
              <w:sz w:val="18"/>
            </w:rPr>
            <w:t xml:space="preserve"> </w:t>
          </w:r>
          <w:r>
            <w:rPr>
              <w:rFonts w:hint="eastAsia" w:ascii="宋体" w:hAnsi="宋体"/>
              <w:sz w:val="18"/>
            </w:rPr>
            <w:fldChar w:fldCharType="end"/>
          </w:r>
          <w:r>
            <w:rPr>
              <w:rFonts w:hint="eastAsia" w:ascii="宋体" w:hAnsi="宋体"/>
              <w:sz w:val="18"/>
            </w:rPr>
            <w:t xml:space="preserve"> </w:t>
          </w:r>
        </w:p>
      </w:tc>
      <w:tc>
        <w:tcPr>
          <w:tcW w:w="3163" w:type="dxa"/>
          <w:tcBorders>
            <w:top w:val="nil"/>
            <w:left w:val="nil"/>
            <w:bottom w:val="nil"/>
            <w:right w:val="nil"/>
            <w:tl2br w:val="nil"/>
            <w:tr2bl w:val="nil"/>
          </w:tcBorders>
          <w:shd w:val="clear" w:color="auto" w:fill="FFFFFF"/>
          <w:vAlign w:val="top"/>
        </w:tcPr>
        <w:p>
          <w:pPr>
            <w:spacing w:beforeLines="0" w:afterLines="0"/>
            <w:rPr>
              <w:rFonts w:hint="default"/>
              <w:sz w:val="24"/>
            </w:rPr>
          </w:pPr>
        </w:p>
      </w:tc>
    </w:tr>
  </w:tbl>
  <w:p>
    <w:pPr>
      <w:spacing w:beforeLines="0" w:afterLines="0"/>
      <w:rPr>
        <w:rFonts w:hint="default"/>
        <w:sz w:val="24"/>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DC82EA"/>
    <w:multiLevelType w:val="multilevel"/>
    <w:tmpl w:val="53DC82EA"/>
    <w:lvl w:ilvl="0" w:tentative="0">
      <w:start w:val="1"/>
      <w:numFmt w:val="chineseCounting"/>
      <w:suff w:val="nothing"/>
      <w:lvlText w:val="（%1）"/>
      <w:lvlJc w:val="left"/>
      <w:pPr>
        <w:ind w:left="640" w:firstLine="0"/>
      </w:pPr>
      <w:rPr>
        <w:rFonts w:hint="default"/>
        <w:u w:val="none" w:color="auto"/>
      </w:rPr>
    </w:lvl>
    <w:lvl w:ilvl="1" w:tentative="0">
      <w:start w:val="1"/>
      <w:numFmt w:val="decimal"/>
      <w:lvlText w:val=""/>
      <w:lvlJc w:val="left"/>
      <w:rPr>
        <w:rFonts w:hint="default"/>
        <w:u w:val="none" w:color="auto"/>
      </w:rPr>
    </w:lvl>
    <w:lvl w:ilvl="2" w:tentative="0">
      <w:start w:val="1"/>
      <w:numFmt w:val="decimal"/>
      <w:lvlText w:val=""/>
      <w:lvlJc w:val="left"/>
      <w:rPr>
        <w:rFonts w:hint="default"/>
        <w:u w:val="none" w:color="auto"/>
      </w:rPr>
    </w:lvl>
    <w:lvl w:ilvl="3" w:tentative="0">
      <w:start w:val="1"/>
      <w:numFmt w:val="decimal"/>
      <w:lvlText w:val=""/>
      <w:lvlJc w:val="left"/>
      <w:rPr>
        <w:rFonts w:hint="default"/>
        <w:u w:val="none" w:color="auto"/>
      </w:rPr>
    </w:lvl>
    <w:lvl w:ilvl="4" w:tentative="0">
      <w:start w:val="1"/>
      <w:numFmt w:val="decimal"/>
      <w:lvlText w:val=""/>
      <w:lvlJc w:val="left"/>
      <w:rPr>
        <w:rFonts w:hint="default"/>
        <w:u w:val="none" w:color="auto"/>
      </w:rPr>
    </w:lvl>
    <w:lvl w:ilvl="5" w:tentative="0">
      <w:start w:val="1"/>
      <w:numFmt w:val="decimal"/>
      <w:lvlText w:val=""/>
      <w:lvlJc w:val="left"/>
      <w:rPr>
        <w:rFonts w:hint="default"/>
        <w:u w:val="none" w:color="auto"/>
      </w:rPr>
    </w:lvl>
    <w:lvl w:ilvl="6" w:tentative="0">
      <w:start w:val="1"/>
      <w:numFmt w:val="decimal"/>
      <w:lvlText w:val=""/>
      <w:lvlJc w:val="left"/>
      <w:rPr>
        <w:rFonts w:hint="default"/>
        <w:u w:val="none" w:color="auto"/>
      </w:rPr>
    </w:lvl>
    <w:lvl w:ilvl="7" w:tentative="0">
      <w:start w:val="1"/>
      <w:numFmt w:val="decimal"/>
      <w:lvlText w:val=""/>
      <w:lvlJc w:val="left"/>
      <w:rPr>
        <w:rFonts w:hint="default"/>
        <w:u w:val="none" w:color="auto"/>
      </w:rPr>
    </w:lvl>
    <w:lvl w:ilvl="8" w:tentative="0">
      <w:start w:val="1"/>
      <w:numFmt w:val="decimal"/>
      <w:lvlText w:val=""/>
      <w:lvlJc w:val="left"/>
      <w:rPr>
        <w:rFonts w:hint="default"/>
        <w:u w:val="none" w:color="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hyphenationZone w:val="360"/>
  <w:drawingGridHorizontalSpacing w:val="120"/>
  <w:drawingGridVerticalSpacing w:val="120"/>
  <w:displayHorizontalDrawingGridEvery w:val="3"/>
  <w:displayVerticalDrawingGridEvery w:val="3"/>
  <w:doNotUseMarginsForDrawingGridOrigin w:val="1"/>
  <w:drawingGridHorizontalOrigin w:val="1701"/>
  <w:drawingGridVerticalOrigin w:val="1984"/>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9684E0C"/>
    <w:rsid w:val="1EB42B93"/>
    <w:rsid w:val="2121683F"/>
    <w:rsid w:val="28FB5DDC"/>
    <w:rsid w:val="36E63DCC"/>
    <w:rsid w:val="39DC167E"/>
    <w:rsid w:val="41953F78"/>
    <w:rsid w:val="4B1379E0"/>
    <w:rsid w:val="5459427B"/>
    <w:rsid w:val="57F06884"/>
    <w:rsid w:val="5A441654"/>
    <w:rsid w:val="6B493316"/>
    <w:rsid w:val="6B6A2D44"/>
    <w:rsid w:val="6FB9691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iPriority="99" w:semiHidden="0" w:name="Normal"/>
    <w:lsdException w:uiPriority="99" w:semiHidden="0" w:name="heading 1"/>
    <w:lsdException w:uiPriority="99" w:semiHidden="0" w:name="heading 2"/>
    <w:lsdException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nhideWhenUsed="0" w:uiPriority="99" w:semiHidden="0"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uiPriority="99" w:semiHidden="0"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nhideWhenUsed="0" w:uiPriority="99" w:semiHidden="0" w:name="Normal Table"/>
    <w:lsdException w:qFormat="1" w:unhideWhenUsed="0" w:uiPriority="99" w:semiHidden="0" w:name="annotation subject"/>
    <w:lsdException w:qFormat="1" w:unhideWhenUsed="0" w:uiPriority="99" w:semiHidden="0" w:name="Table Simple 1"/>
    <w:lsdException w:qFormat="1" w:unhideWhenUsed="0" w:uiPriority="99" w:semiHidden="0" w:name="Table Simple 2"/>
    <w:lsdException w:qFormat="1" w:unhideWhenUsed="0" w:uiPriority="99" w:semiHidden="0" w:name="Table Simple 3"/>
    <w:lsdException w:qFormat="1" w:unhideWhenUsed="0" w:uiPriority="99" w:semiHidden="0" w:name="Table Classic 1"/>
    <w:lsdException w:qFormat="1" w:unhideWhenUsed="0" w:uiPriority="99" w:semiHidden="0" w:name="Table Classic 2"/>
    <w:lsdException w:qFormat="1" w:unhideWhenUsed="0" w:uiPriority="99" w:semiHidden="0" w:name="Table Classic 3"/>
    <w:lsdException w:qFormat="1" w:unhideWhenUsed="0" w:uiPriority="99" w:semiHidden="0" w:name="Table Classic 4"/>
    <w:lsdException w:qFormat="1" w:unhideWhenUsed="0" w:uiPriority="99" w:semiHidden="0" w:name="Table Colorful 1"/>
    <w:lsdException w:qFormat="1" w:unhideWhenUsed="0" w:uiPriority="99" w:semiHidden="0" w:name="Table Colorful 2"/>
    <w:lsdException w:qFormat="1" w:unhideWhenUsed="0" w:uiPriority="99" w:semiHidden="0" w:name="Table Colorful 3"/>
    <w:lsdException w:qFormat="1" w:unhideWhenUsed="0" w:uiPriority="99" w:semiHidden="0" w:name="Table Columns 1"/>
    <w:lsdException w:qFormat="1" w:unhideWhenUsed="0" w:uiPriority="99" w:semiHidden="0" w:name="Table Columns 2"/>
    <w:lsdException w:qFormat="1" w:unhideWhenUsed="0" w:uiPriority="99" w:semiHidden="0" w:name="Table Columns 3"/>
    <w:lsdException w:qFormat="1" w:unhideWhenUsed="0" w:uiPriority="99" w:semiHidden="0" w:name="Table Columns 4"/>
    <w:lsdException w:qFormat="1" w:unhideWhenUsed="0" w:uiPriority="99" w:semiHidden="0" w:name="Table Columns 5"/>
    <w:lsdException w:qFormat="1" w:unhideWhenUsed="0" w:uiPriority="99" w:semiHidden="0" w:name="Table Grid 1"/>
    <w:lsdException w:qFormat="1" w:unhideWhenUsed="0" w:uiPriority="99" w:semiHidden="0" w:name="Table Grid 2"/>
    <w:lsdException w:qFormat="1" w:unhideWhenUsed="0" w:uiPriority="99" w:semiHidden="0" w:name="Table Grid 3"/>
    <w:lsdException w:qFormat="1" w:unhideWhenUsed="0" w:uiPriority="99" w:semiHidden="0" w:name="Table Grid 4"/>
    <w:lsdException w:qFormat="1" w:unhideWhenUsed="0" w:uiPriority="99" w:semiHidden="0" w:name="Table Grid 5"/>
    <w:lsdException w:qFormat="1" w:unhideWhenUsed="0" w:uiPriority="99" w:semiHidden="0" w:name="Table Grid 6"/>
    <w:lsdException w:qFormat="1" w:unhideWhenUsed="0" w:uiPriority="99" w:semiHidden="0" w:name="Table Grid 7"/>
    <w:lsdException w:qFormat="1" w:unhideWhenUsed="0" w:uiPriority="99" w:semiHidden="0" w:name="Table Grid 8"/>
    <w:lsdException w:qFormat="1" w:unhideWhenUsed="0" w:uiPriority="99" w:semiHidden="0" w:name="Table List 1"/>
    <w:lsdException w:qFormat="1" w:unhideWhenUsed="0" w:uiPriority="99" w:semiHidden="0" w:name="Table List 2"/>
    <w:lsdException w:qFormat="1" w:unhideWhenUsed="0" w:uiPriority="99" w:semiHidden="0" w:name="Table List 3"/>
    <w:lsdException w:qFormat="1" w:unhideWhenUsed="0" w:uiPriority="99" w:semiHidden="0" w:name="Table List 4"/>
    <w:lsdException w:qFormat="1" w:unhideWhenUsed="0" w:uiPriority="99" w:semiHidden="0" w:name="Table List 5"/>
    <w:lsdException w:qFormat="1" w:unhideWhenUsed="0" w:uiPriority="99" w:semiHidden="0" w:name="Table List 6"/>
    <w:lsdException w:qFormat="1" w:unhideWhenUsed="0" w:uiPriority="99" w:semiHidden="0" w:name="Table List 7"/>
    <w:lsdException w:qFormat="1" w:unhideWhenUsed="0" w:uiPriority="99" w:semiHidden="0" w:name="Table List 8"/>
    <w:lsdException w:qFormat="1" w:unhideWhenUsed="0" w:uiPriority="99" w:semiHidden="0" w:name="Table 3D effects 1"/>
    <w:lsdException w:qFormat="1" w:unhideWhenUsed="0" w:uiPriority="99" w:semiHidden="0" w:name="Table 3D effects 2"/>
    <w:lsdException w:qFormat="1" w:unhideWhenUsed="0" w:uiPriority="99" w:semiHidden="0" w:name="Table 3D effects 3"/>
    <w:lsdException w:qFormat="1" w:unhideWhenUsed="0" w:uiPriority="99" w:semiHidden="0" w:name="Table Contemporary"/>
    <w:lsdException w:qFormat="1" w:unhideWhenUsed="0" w:uiPriority="99" w:semiHidden="0" w:name="Table Elegant"/>
    <w:lsdException w:qFormat="1" w:unhideWhenUsed="0" w:uiPriority="99" w:semiHidden="0" w:name="Table Professional"/>
    <w:lsdException w:qFormat="1" w:unhideWhenUsed="0" w:uiPriority="99" w:semiHidden="0" w:name="Table Subtle 1"/>
    <w:lsdException w:qFormat="1" w:unhideWhenUsed="0" w:uiPriority="99" w:semiHidden="0" w:name="Table Subtle 2"/>
    <w:lsdException w:qFormat="1" w:unhideWhenUsed="0" w:uiPriority="99" w:semiHidden="0" w:name="Table Web 1"/>
    <w:lsdException w:qFormat="1" w:unhideWhenUsed="0" w:uiPriority="99" w:semiHidden="0" w:name="Table Web 2"/>
    <w:lsdException w:qFormat="1" w:unhideWhenUsed="0" w:uiPriority="99" w:semiHidden="0" w:name="Table Web 3"/>
    <w:lsdException w:qFormat="1" w:unhideWhenUsed="0" w:uiPriority="99" w:semiHidden="0" w:name="Balloon Text"/>
    <w:lsdException w:qFormat="1" w:unhideWhenUsed="0" w:uiPriority="99" w:semiHidden="0" w:name="Table Grid"/>
    <w:lsdException w:qFormat="1"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uiPriority w:val="99"/>
    <w:pPr>
      <w:widowControl w:val="0"/>
      <w:autoSpaceDE w:val="0"/>
      <w:autoSpaceDN w:val="0"/>
      <w:adjustRightInd w:val="0"/>
      <w:spacing w:beforeLines="0" w:afterLines="0"/>
    </w:pPr>
    <w:rPr>
      <w:rFonts w:hint="default" w:ascii="Arial" w:hAnsi="Arial" w:eastAsia="宋体" w:cs="Times New Roman"/>
      <w:color w:val="000000"/>
      <w:sz w:val="24"/>
    </w:rPr>
  </w:style>
  <w:style w:type="paragraph" w:styleId="2">
    <w:name w:val="heading 1"/>
    <w:next w:val="1"/>
    <w:unhideWhenUsed/>
    <w:uiPriority w:val="99"/>
    <w:pPr>
      <w:widowControl w:val="0"/>
      <w:autoSpaceDE w:val="0"/>
      <w:autoSpaceDN w:val="0"/>
      <w:adjustRightInd w:val="0"/>
      <w:spacing w:beforeLines="0" w:afterLines="0"/>
    </w:pPr>
    <w:rPr>
      <w:rFonts w:hint="default" w:ascii="Arial" w:hAnsi="Arial" w:eastAsia="宋体" w:cs="Times New Roman"/>
      <w:b/>
      <w:color w:val="000000"/>
      <w:sz w:val="32"/>
    </w:rPr>
  </w:style>
  <w:style w:type="paragraph" w:styleId="3">
    <w:name w:val="heading 2"/>
    <w:next w:val="1"/>
    <w:unhideWhenUsed/>
    <w:uiPriority w:val="99"/>
    <w:pPr>
      <w:widowControl w:val="0"/>
      <w:autoSpaceDE w:val="0"/>
      <w:autoSpaceDN w:val="0"/>
      <w:adjustRightInd w:val="0"/>
      <w:spacing w:beforeLines="0" w:afterLines="0"/>
    </w:pPr>
    <w:rPr>
      <w:rFonts w:hint="default" w:ascii="Arial" w:hAnsi="Arial" w:eastAsia="宋体" w:cs="Times New Roman"/>
      <w:b/>
      <w:i/>
      <w:color w:val="000000"/>
      <w:sz w:val="28"/>
    </w:rPr>
  </w:style>
  <w:style w:type="paragraph" w:styleId="4">
    <w:name w:val="heading 3"/>
    <w:next w:val="1"/>
    <w:unhideWhenUsed/>
    <w:uiPriority w:val="99"/>
    <w:pPr>
      <w:widowControl w:val="0"/>
      <w:autoSpaceDE w:val="0"/>
      <w:autoSpaceDN w:val="0"/>
      <w:adjustRightInd w:val="0"/>
      <w:spacing w:beforeLines="0" w:afterLines="0"/>
    </w:pPr>
    <w:rPr>
      <w:rFonts w:hint="default" w:ascii="Arial" w:hAnsi="Arial" w:eastAsia="宋体" w:cs="Times New Roman"/>
      <w:b/>
      <w:color w:val="000000"/>
      <w:sz w:val="26"/>
    </w:rPr>
  </w:style>
  <w:style w:type="character" w:default="1" w:styleId="5">
    <w:name w:val="Default Paragraph Font"/>
    <w:unhideWhenUsed/>
    <w:uiPriority w:val="99"/>
    <w:rPr>
      <w:rFonts w:hint="default"/>
      <w:sz w:val="24"/>
    </w:rPr>
  </w:style>
  <w:style w:type="table" w:default="1" w:styleId="6">
    <w:name w:val="Normal Table"/>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13</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2024-03-21T06:50:00Z</dcterms:created>
  <dc:creator>TLZH02</dc:creator>
  <cp:lastModifiedBy>dell</cp:lastModifiedBy>
  <dcterms:modified xsi:type="dcterms:W3CDTF">2024-04-28T01:09:23Z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