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both"/>
        <w:rPr>
          <w:rFonts w:hint="default"/>
          <w:sz w:val="2"/>
          <w:szCs w:val="24"/>
        </w:rPr>
      </w:pPr>
    </w:p>
    <w:p>
      <w:pPr>
        <w:spacing w:line="525" w:lineRule="exact"/>
        <w:jc w:val="center"/>
        <w:rPr>
          <w:rFonts w:hint="eastAsia" w:ascii="黑体" w:hAnsi="黑体" w:eastAsia="黑体"/>
          <w:sz w:val="30"/>
          <w:szCs w:val="24"/>
        </w:rPr>
      </w:pPr>
      <w:r>
        <w:rPr>
          <w:rFonts w:hint="eastAsia" w:ascii="方正小标宋简体" w:hAnsi="方正小标宋简体" w:eastAsia="方正小标宋简体"/>
          <w:sz w:val="44"/>
          <w:szCs w:val="24"/>
        </w:rPr>
        <w:t>2024年度厦门市尚文实验学校单位预算</w:t>
      </w:r>
    </w:p>
    <w:p>
      <w:pPr>
        <w:spacing w:line="525" w:lineRule="exact"/>
        <w:jc w:val="center"/>
        <w:rPr>
          <w:rFonts w:hint="eastAsia" w:ascii="黑体" w:hAnsi="黑体" w:eastAsia="黑体"/>
          <w:sz w:val="30"/>
          <w:szCs w:val="24"/>
        </w:rPr>
      </w:pPr>
    </w:p>
    <w:p>
      <w:pPr>
        <w:spacing w:line="525" w:lineRule="exact"/>
        <w:jc w:val="center"/>
        <w:rPr>
          <w:rFonts w:hint="eastAsia" w:ascii="黑体" w:hAnsi="黑体" w:eastAsia="黑体"/>
          <w:sz w:val="32"/>
          <w:szCs w:val="24"/>
        </w:rPr>
      </w:pPr>
      <w:r>
        <w:rPr>
          <w:rFonts w:hint="eastAsia" w:ascii="黑体" w:hAnsi="黑体" w:eastAsia="黑体"/>
          <w:sz w:val="32"/>
          <w:szCs w:val="24"/>
        </w:rPr>
        <w:t>目　　录</w:t>
      </w:r>
    </w:p>
    <w:p>
      <w:pPr>
        <w:pStyle w:val="2"/>
        <w:rPr>
          <w:rFonts w:hint="eastAsia"/>
        </w:rPr>
      </w:pP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eastAsia" w:ascii="仿宋" w:hAnsi="仿宋" w:eastAsia="仿宋"/>
          <w:sz w:val="32"/>
          <w:szCs w:val="24"/>
        </w:rPr>
      </w:pPr>
      <w:r>
        <w:rPr>
          <w:rFonts w:hint="eastAsia" w:ascii="黑体" w:hAnsi="黑体" w:eastAsia="黑体"/>
          <w:sz w:val="32"/>
          <w:szCs w:val="24"/>
        </w:rPr>
        <w:t>　　第一部分   单位概况</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一、单位主要职责</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二、单位基本情况</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eastAsia" w:ascii="黑体" w:hAnsi="黑体" w:eastAsia="黑体"/>
          <w:sz w:val="32"/>
          <w:szCs w:val="24"/>
        </w:rPr>
      </w:pPr>
      <w:r>
        <w:rPr>
          <w:rFonts w:hint="eastAsia" w:ascii="仿宋_GB2312" w:hAnsi="仿宋_GB2312" w:eastAsia="仿宋_GB2312"/>
          <w:sz w:val="32"/>
          <w:szCs w:val="24"/>
        </w:rPr>
        <w:t>　　三、单位主要工作任务</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eastAsia" w:ascii="黑体" w:hAnsi="黑体" w:eastAsia="黑体"/>
          <w:sz w:val="32"/>
          <w:szCs w:val="24"/>
        </w:rPr>
      </w:pPr>
      <w:r>
        <w:rPr>
          <w:rFonts w:hint="eastAsia" w:ascii="黑体" w:hAnsi="黑体" w:eastAsia="黑体"/>
          <w:sz w:val="32"/>
          <w:szCs w:val="24"/>
        </w:rPr>
        <w:t>　　第二部分   2024年单位预算说明</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一、2024年单位预算收支总体情况</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二、一般公共预算财政拨款支出预算情况</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三、政府性基金预算财政拨款支出情况</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四、“三公”经费财政拨款预算情况</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eastAsia" w:ascii="黑体" w:hAnsi="黑体" w:eastAsia="黑体"/>
          <w:sz w:val="32"/>
          <w:szCs w:val="24"/>
        </w:rPr>
      </w:pPr>
      <w:r>
        <w:rPr>
          <w:rFonts w:hint="eastAsia" w:ascii="仿宋_GB2312" w:hAnsi="仿宋_GB2312" w:eastAsia="仿宋_GB2312"/>
          <w:sz w:val="32"/>
          <w:szCs w:val="24"/>
        </w:rPr>
        <w:t>　　五、其他重要事项的情况说明</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eastAsia" w:ascii="黑体" w:hAnsi="黑体" w:eastAsia="黑体"/>
          <w:sz w:val="32"/>
          <w:szCs w:val="24"/>
        </w:rPr>
      </w:pPr>
      <w:r>
        <w:rPr>
          <w:rFonts w:hint="eastAsia" w:ascii="黑体" w:hAnsi="黑体" w:eastAsia="黑体"/>
          <w:sz w:val="32"/>
          <w:szCs w:val="24"/>
        </w:rPr>
        <w:t>　　第三部分   名词解释</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eastAsia" w:ascii="黑体" w:hAnsi="黑体" w:eastAsia="黑体"/>
          <w:sz w:val="32"/>
          <w:szCs w:val="24"/>
        </w:rPr>
      </w:pPr>
      <w:r>
        <w:rPr>
          <w:rFonts w:hint="eastAsia" w:ascii="黑体" w:hAnsi="黑体" w:eastAsia="黑体"/>
          <w:sz w:val="32"/>
          <w:szCs w:val="24"/>
        </w:rPr>
        <w:t>　　第四部分   2024年单位预算附表</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一、部门收支预算总体情况表</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二、部门收入预算总体情况表</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三、部门支出预算总体情况表</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四、财政拨款收支预算总体情况表</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五、 一般公共预算支出情况表</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六、一般公共预算基本支出情况表（经济分类款级科目）</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七、一般公共预算“三公”经费支出情况表</w:t>
      </w:r>
    </w:p>
    <w:p>
      <w:pPr>
        <w:keepNext w:val="0"/>
        <w:keepLines w:val="0"/>
        <w:pageBreakBefore w:val="0"/>
        <w:widowControl w:val="0"/>
        <w:kinsoku/>
        <w:wordWrap/>
        <w:overflowPunct/>
        <w:topLinePunct w:val="0"/>
        <w:autoSpaceDE w:val="0"/>
        <w:autoSpaceDN w:val="0"/>
        <w:bidi w:val="0"/>
        <w:adjustRightInd w:val="0"/>
        <w:snapToGrid/>
        <w:spacing w:line="54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八、政府性基金预算支出情况表</w:t>
      </w:r>
    </w:p>
    <w:p>
      <w:pPr>
        <w:keepNext w:val="0"/>
        <w:keepLines w:val="0"/>
        <w:pageBreakBefore w:val="0"/>
        <w:widowControl w:val="0"/>
        <w:kinsoku/>
        <w:wordWrap/>
        <w:overflowPunct/>
        <w:topLinePunct w:val="0"/>
        <w:autoSpaceDE w:val="0"/>
        <w:autoSpaceDN w:val="0"/>
        <w:bidi w:val="0"/>
        <w:adjustRightInd w:val="0"/>
        <w:snapToGrid/>
        <w:spacing w:line="540" w:lineRule="exact"/>
        <w:ind w:firstLine="640"/>
        <w:jc w:val="both"/>
        <w:textAlignment w:val="auto"/>
        <w:rPr>
          <w:rFonts w:hint="eastAsia" w:ascii="仿宋_GB2312" w:hAnsi="仿宋_GB2312" w:eastAsia="仿宋_GB2312"/>
          <w:sz w:val="32"/>
          <w:szCs w:val="24"/>
        </w:rPr>
      </w:pPr>
      <w:r>
        <w:rPr>
          <w:rFonts w:hint="eastAsia" w:ascii="仿宋_GB2312" w:hAnsi="仿宋_GB2312" w:eastAsia="仿宋_GB2312"/>
          <w:sz w:val="32"/>
          <w:szCs w:val="24"/>
        </w:rPr>
        <w:t>九、区对镇（街）转移支付支出预算表</w:t>
      </w:r>
    </w:p>
    <w:p>
      <w:pPr>
        <w:pStyle w:val="2"/>
        <w:keepNext w:val="0"/>
        <w:keepLines w:val="0"/>
        <w:pageBreakBefore w:val="0"/>
        <w:widowControl w:val="0"/>
        <w:kinsoku/>
        <w:wordWrap/>
        <w:overflowPunct/>
        <w:topLinePunct w:val="0"/>
        <w:autoSpaceDE w:val="0"/>
        <w:autoSpaceDN w:val="0"/>
        <w:bidi w:val="0"/>
        <w:adjustRightInd w:val="0"/>
        <w:snapToGrid/>
        <w:spacing w:line="540" w:lineRule="exact"/>
        <w:textAlignment w:val="auto"/>
        <w:rPr>
          <w:rFonts w:hint="default" w:eastAsia="仿宋_GB2312"/>
          <w:lang w:val="en-US" w:eastAsia="zh-CN"/>
        </w:rPr>
      </w:pPr>
      <w:r>
        <w:rPr>
          <w:rFonts w:hint="eastAsia" w:ascii="仿宋_GB2312" w:hAnsi="仿宋_GB2312" w:eastAsia="仿宋_GB2312"/>
          <w:sz w:val="32"/>
          <w:szCs w:val="24"/>
          <w:lang w:val="en-US" w:eastAsia="zh-CN"/>
        </w:rPr>
        <w:t xml:space="preserve">    十、二级项目绩效目标表</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jc w:val="center"/>
        <w:textAlignment w:val="auto"/>
        <w:rPr>
          <w:rFonts w:hint="eastAsia" w:ascii="黑体" w:hAnsi="黑体" w:eastAsia="黑体"/>
          <w:sz w:val="32"/>
          <w:szCs w:val="32"/>
        </w:rPr>
      </w:pPr>
      <w:r>
        <w:rPr>
          <w:rFonts w:hint="eastAsia" w:ascii="黑体" w:hAnsi="黑体" w:eastAsia="黑体"/>
          <w:sz w:val="32"/>
          <w:szCs w:val="32"/>
          <w:lang w:eastAsia="zh-CN"/>
        </w:rPr>
        <w:t>第一部分</w:t>
      </w:r>
      <w:r>
        <w:rPr>
          <w:rFonts w:hint="eastAsia" w:ascii="黑体" w:hAnsi="黑体" w:eastAsia="黑体"/>
          <w:sz w:val="32"/>
          <w:szCs w:val="32"/>
          <w:lang w:val="en-US" w:eastAsia="zh-CN"/>
        </w:rPr>
        <w:t xml:space="preserve"> </w:t>
      </w:r>
      <w:r>
        <w:rPr>
          <w:rFonts w:hint="eastAsia" w:ascii="黑体" w:hAnsi="黑体" w:eastAsia="黑体"/>
          <w:sz w:val="32"/>
          <w:szCs w:val="32"/>
        </w:rPr>
        <w:t>单位概况</w:t>
      </w:r>
    </w:p>
    <w:p>
      <w:pPr>
        <w:pStyle w:val="2"/>
        <w:numPr>
          <w:ilvl w:val="0"/>
          <w:numId w:val="0"/>
        </w:numPr>
        <w:rPr>
          <w:rFonts w:hint="eastAsia"/>
          <w:sz w:val="32"/>
          <w:szCs w:val="32"/>
        </w:rPr>
      </w:pP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32"/>
        </w:rPr>
      </w:pPr>
      <w:r>
        <w:rPr>
          <w:rFonts w:hint="eastAsia" w:ascii="黑体" w:hAnsi="黑体" w:eastAsia="黑体"/>
          <w:sz w:val="32"/>
          <w:szCs w:val="32"/>
        </w:rPr>
        <w:t>　　一、单位主要职责</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sz w:val="32"/>
          <w:szCs w:val="24"/>
        </w:rPr>
      </w:pPr>
      <w:r>
        <w:rPr>
          <w:rFonts w:hint="eastAsia" w:ascii="仿宋_GB2312" w:hAnsi="仿宋_GB2312" w:eastAsia="仿宋_GB2312"/>
          <w:sz w:val="32"/>
          <w:szCs w:val="32"/>
        </w:rPr>
        <w:t>　　厦门市尚文实验学校的主要职责是：</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color w:val="auto"/>
          <w:sz w:val="32"/>
          <w:szCs w:val="24"/>
        </w:rPr>
      </w:pPr>
      <w:r>
        <w:rPr>
          <w:rFonts w:hint="eastAsia" w:ascii="仿宋_GB2312" w:hAnsi="仿宋_GB2312" w:eastAsia="仿宋_GB2312"/>
          <w:sz w:val="32"/>
          <w:szCs w:val="24"/>
        </w:rPr>
        <w:t>　　（一）</w:t>
      </w:r>
      <w:r>
        <w:rPr>
          <w:rFonts w:hint="eastAsia" w:ascii="仿宋_GB2312" w:hAnsi="仿宋_GB2312" w:eastAsia="仿宋_GB2312"/>
          <w:color w:val="auto"/>
          <w:sz w:val="32"/>
          <w:szCs w:val="24"/>
          <w:lang w:val="en-US" w:eastAsia="zh-CN"/>
        </w:rPr>
        <w:t>实施小学义务教育、初中义务教育，促进基础教育发展</w:t>
      </w:r>
      <w:r>
        <w:rPr>
          <w:rFonts w:hint="eastAsia" w:ascii="仿宋_GB2312" w:hAnsi="仿宋_GB2312" w:eastAsia="仿宋_GB2312"/>
          <w:color w:val="auto"/>
          <w:sz w:val="32"/>
          <w:szCs w:val="24"/>
        </w:rPr>
        <w:t>。</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黑体" w:hAnsi="黑体" w:eastAsia="黑体"/>
          <w:sz w:val="32"/>
          <w:szCs w:val="24"/>
        </w:rPr>
      </w:pPr>
      <w:r>
        <w:rPr>
          <w:rFonts w:hint="eastAsia" w:ascii="仿宋_GB2312" w:hAnsi="仿宋_GB2312" w:eastAsia="仿宋_GB2312"/>
          <w:color w:val="auto"/>
          <w:sz w:val="32"/>
          <w:szCs w:val="24"/>
        </w:rPr>
        <w:t>　　（二）</w:t>
      </w:r>
      <w:r>
        <w:rPr>
          <w:rFonts w:hint="eastAsia" w:ascii="仿宋_GB2312" w:hAnsi="仿宋_GB2312" w:eastAsia="仿宋_GB2312"/>
          <w:color w:val="auto"/>
          <w:sz w:val="32"/>
          <w:szCs w:val="24"/>
          <w:lang w:val="en-US" w:eastAsia="zh-CN"/>
        </w:rPr>
        <w:t>小学学历教育，初中学历教育</w:t>
      </w:r>
      <w:r>
        <w:rPr>
          <w:rFonts w:hint="eastAsia" w:ascii="仿宋_GB2312" w:hAnsi="仿宋_GB2312" w:eastAsia="仿宋_GB2312"/>
          <w:color w:val="auto"/>
          <w:sz w:val="32"/>
          <w:szCs w:val="24"/>
        </w:rPr>
        <w:t>。</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黑体" w:hAnsi="黑体" w:eastAsia="黑体"/>
          <w:sz w:val="32"/>
          <w:szCs w:val="24"/>
        </w:rPr>
        <w:t>　　</w:t>
      </w:r>
      <w:r>
        <w:rPr>
          <w:rFonts w:hint="eastAsia" w:ascii="黑体" w:hAnsi="黑体" w:eastAsia="黑体"/>
          <w:sz w:val="30"/>
          <w:szCs w:val="30"/>
        </w:rPr>
        <w:t>二、单位基本情况</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仿宋_GB2312" w:eastAsia="仿宋_GB2312"/>
          <w:color w:val="auto"/>
          <w:sz w:val="32"/>
          <w:szCs w:val="24"/>
          <w:lang w:val="en-US" w:eastAsia="zh-CN"/>
        </w:rPr>
      </w:pPr>
      <w:r>
        <w:rPr>
          <w:rFonts w:hint="eastAsia" w:ascii="仿宋_GB2312" w:hAnsi="仿宋_GB2312" w:eastAsia="仿宋_GB2312"/>
          <w:color w:val="auto"/>
          <w:sz w:val="32"/>
          <w:szCs w:val="24"/>
          <w:lang w:val="en-US" w:eastAsia="zh-CN"/>
        </w:rPr>
        <w:t>厦门市尚文实验学校内设</w:t>
      </w:r>
      <w:bookmarkStart w:id="0" w:name="_GoBack"/>
      <w:bookmarkEnd w:id="0"/>
      <w:r>
        <w:rPr>
          <w:rFonts w:hint="eastAsia" w:ascii="仿宋_GB2312" w:hAnsi="仿宋_GB2312" w:eastAsia="仿宋_GB2312"/>
          <w:color w:val="auto"/>
          <w:sz w:val="32"/>
          <w:szCs w:val="24"/>
          <w:lang w:val="en-US" w:eastAsia="zh-CN"/>
        </w:rPr>
        <w:t>6个处室/科室，</w:t>
      </w:r>
      <w:r>
        <w:rPr>
          <w:rFonts w:hint="eastAsia" w:ascii="仿宋_GB2312" w:hAnsi="仿宋_GB2312" w:eastAsia="仿宋_GB2312"/>
          <w:sz w:val="32"/>
        </w:rPr>
        <w:t>包括</w:t>
      </w:r>
      <w:r>
        <w:rPr>
          <w:rFonts w:hint="eastAsia" w:ascii="仿宋_GB2312" w:hAnsi="仿宋_GB2312" w:eastAsia="仿宋_GB2312"/>
          <w:sz w:val="24"/>
        </w:rPr>
        <w:t>：</w:t>
      </w:r>
      <w:r>
        <w:rPr>
          <w:rFonts w:hint="eastAsia" w:ascii="仿宋_GB2312" w:hAnsi="仿宋_GB2312" w:eastAsia="仿宋_GB2312"/>
          <w:color w:val="auto"/>
          <w:sz w:val="32"/>
          <w:szCs w:val="24"/>
          <w:lang w:val="en-US" w:eastAsia="zh-CN"/>
        </w:rPr>
        <w:t>办公室、德育处、教务处、总务处、教研室、保卫科。</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仿宋_GB2312" w:eastAsia="黑体"/>
          <w:sz w:val="32"/>
          <w:szCs w:val="24"/>
          <w:lang w:eastAsia="zh-CN"/>
        </w:rPr>
      </w:pPr>
      <w:r>
        <w:rPr>
          <w:rFonts w:hint="eastAsia" w:ascii="黑体" w:hAnsi="黑体" w:eastAsia="黑体"/>
          <w:sz w:val="32"/>
          <w:szCs w:val="24"/>
        </w:rPr>
        <w:t>三、单位主要工作任务</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sz w:val="32"/>
          <w:szCs w:val="32"/>
        </w:rPr>
      </w:pPr>
      <w:r>
        <w:rPr>
          <w:rFonts w:hint="eastAsia" w:ascii="仿宋_GB2312" w:hAnsi="仿宋_GB2312" w:eastAsia="仿宋_GB2312"/>
          <w:sz w:val="32"/>
          <w:szCs w:val="24"/>
        </w:rPr>
        <w:t>　　</w:t>
      </w:r>
      <w:r>
        <w:rPr>
          <w:rFonts w:hint="eastAsia" w:ascii="仿宋_GB2312" w:hAnsi="仿宋_GB2312" w:eastAsia="仿宋_GB2312"/>
          <w:sz w:val="32"/>
          <w:szCs w:val="32"/>
        </w:rPr>
        <w:t>202</w:t>
      </w:r>
      <w:r>
        <w:rPr>
          <w:rFonts w:hint="eastAsia" w:ascii="仿宋_GB2312" w:hAnsi="仿宋_GB2312" w:eastAsia="仿宋_GB2312"/>
          <w:sz w:val="32"/>
          <w:szCs w:val="32"/>
          <w:lang w:val="en-US" w:eastAsia="zh-CN"/>
        </w:rPr>
        <w:t>4</w:t>
      </w:r>
      <w:r>
        <w:rPr>
          <w:rFonts w:hint="eastAsia" w:ascii="仿宋_GB2312" w:hAnsi="仿宋_GB2312" w:eastAsia="仿宋_GB2312"/>
          <w:sz w:val="32"/>
          <w:szCs w:val="32"/>
        </w:rPr>
        <w:t>年，厦门市尚文实验学校主要任务是：</w:t>
      </w:r>
      <w:r>
        <w:rPr>
          <w:rFonts w:hint="eastAsia" w:ascii="仿宋_GB2312" w:hAnsi="仿宋_GB2312" w:eastAsia="仿宋_GB2312"/>
          <w:color w:val="auto"/>
          <w:sz w:val="32"/>
          <w:szCs w:val="32"/>
          <w:lang w:val="en-US" w:eastAsia="zh-CN"/>
        </w:rPr>
        <w:t>开展教育教学工作</w:t>
      </w:r>
      <w:r>
        <w:rPr>
          <w:rFonts w:hint="eastAsia" w:ascii="仿宋_GB2312" w:hAnsi="仿宋_GB2312" w:eastAsia="仿宋_GB2312"/>
          <w:sz w:val="32"/>
          <w:szCs w:val="32"/>
        </w:rPr>
        <w:t>。围绕上述任务，重点抓好以下工作：</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color w:val="auto"/>
          <w:sz w:val="32"/>
          <w:szCs w:val="32"/>
        </w:rPr>
      </w:pPr>
      <w:r>
        <w:rPr>
          <w:rFonts w:hint="eastAsia" w:ascii="仿宋_GB2312" w:hAnsi="仿宋_GB2312" w:eastAsia="仿宋_GB2312"/>
          <w:sz w:val="32"/>
          <w:szCs w:val="32"/>
        </w:rPr>
        <w:t>　　</w:t>
      </w:r>
      <w:r>
        <w:rPr>
          <w:rFonts w:hint="eastAsia" w:ascii="仿宋_GB2312" w:hAnsi="仿宋_GB2312" w:eastAsia="仿宋_GB2312"/>
          <w:color w:val="auto"/>
          <w:sz w:val="32"/>
          <w:szCs w:val="32"/>
        </w:rPr>
        <w:t>（一）以科学发展观为指导，继续坚持以人为本、和谐发展的办学理念，努力创办</w:t>
      </w:r>
      <w:r>
        <w:rPr>
          <w:rFonts w:hint="eastAsia" w:ascii="仿宋_GB2312" w:hAnsi="仿宋_GB2312" w:eastAsia="仿宋_GB2312"/>
          <w:color w:val="auto"/>
          <w:sz w:val="32"/>
          <w:szCs w:val="32"/>
          <w:lang w:val="en-US" w:eastAsia="zh-CN"/>
        </w:rPr>
        <w:t>书香</w:t>
      </w:r>
      <w:r>
        <w:rPr>
          <w:rFonts w:hint="eastAsia" w:ascii="仿宋_GB2312" w:hAnsi="仿宋_GB2312" w:eastAsia="仿宋_GB2312"/>
          <w:color w:val="auto"/>
          <w:sz w:val="32"/>
          <w:szCs w:val="32"/>
        </w:rPr>
        <w:t>校园。</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　　（二）推进素质教育，提升教育质量</w:t>
      </w:r>
      <w:r>
        <w:rPr>
          <w:rFonts w:hint="eastAsia" w:ascii="仿宋_GB2312" w:hAnsi="仿宋_GB2312" w:eastAsia="仿宋_GB2312"/>
          <w:color w:val="auto"/>
          <w:sz w:val="32"/>
          <w:szCs w:val="32"/>
          <w:lang w:eastAsia="zh-CN"/>
        </w:rPr>
        <w:t>，</w:t>
      </w:r>
      <w:r>
        <w:rPr>
          <w:rFonts w:hint="eastAsia" w:ascii="仿宋_GB2312" w:hAnsi="仿宋_GB2312" w:eastAsia="仿宋_GB2312"/>
          <w:color w:val="auto"/>
          <w:sz w:val="32"/>
          <w:szCs w:val="32"/>
          <w:lang w:val="en-US" w:eastAsia="zh-CN"/>
        </w:rPr>
        <w:t>提升学生素养</w:t>
      </w:r>
      <w:r>
        <w:rPr>
          <w:rFonts w:hint="eastAsia" w:ascii="仿宋_GB2312" w:hAnsi="仿宋_GB2312" w:eastAsia="仿宋_GB2312"/>
          <w:color w:val="auto"/>
          <w:sz w:val="32"/>
          <w:szCs w:val="32"/>
          <w:lang w:eastAsia="zh-CN"/>
        </w:rPr>
        <w:t>。</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（三）进一步改革管理模式，完善管理制度，强化考核力度。</w:t>
      </w:r>
    </w:p>
    <w:p>
      <w:pPr>
        <w:keepNext w:val="0"/>
        <w:keepLines w:val="0"/>
        <w:pageBreakBefore w:val="0"/>
        <w:widowControl w:val="0"/>
        <w:kinsoku/>
        <w:wordWrap/>
        <w:overflowPunct/>
        <w:topLinePunct w:val="0"/>
        <w:autoSpaceDE w:val="0"/>
        <w:autoSpaceDN w:val="0"/>
        <w:bidi w:val="0"/>
        <w:adjustRightInd w:val="0"/>
        <w:spacing w:line="560" w:lineRule="exact"/>
        <w:ind w:firstLine="640"/>
        <w:jc w:val="both"/>
        <w:textAlignment w:val="auto"/>
        <w:rPr>
          <w:rFonts w:hint="eastAsia" w:ascii="仿宋_GB2312" w:hAnsi="仿宋_GB2312" w:eastAsia="仿宋_GB2312"/>
          <w:color w:val="auto"/>
          <w:sz w:val="32"/>
          <w:szCs w:val="32"/>
          <w:lang w:eastAsia="zh-CN"/>
        </w:rPr>
      </w:pPr>
      <w:r>
        <w:rPr>
          <w:rFonts w:hint="eastAsia" w:ascii="仿宋_GB2312" w:hAnsi="仿宋_GB2312" w:eastAsia="仿宋_GB2312"/>
          <w:color w:val="auto"/>
          <w:sz w:val="32"/>
          <w:szCs w:val="32"/>
          <w:lang w:eastAsia="zh-CN"/>
        </w:rPr>
        <w:t>（</w:t>
      </w:r>
      <w:r>
        <w:rPr>
          <w:rFonts w:hint="eastAsia" w:ascii="仿宋_GB2312" w:hAnsi="仿宋_GB2312" w:eastAsia="仿宋_GB2312"/>
          <w:color w:val="auto"/>
          <w:sz w:val="32"/>
          <w:szCs w:val="32"/>
          <w:lang w:val="en-US" w:eastAsia="zh-CN"/>
        </w:rPr>
        <w:t>四</w:t>
      </w:r>
      <w:r>
        <w:rPr>
          <w:rFonts w:hint="eastAsia" w:ascii="仿宋_GB2312" w:hAnsi="仿宋_GB2312" w:eastAsia="仿宋_GB2312"/>
          <w:color w:val="auto"/>
          <w:sz w:val="32"/>
          <w:szCs w:val="32"/>
          <w:lang w:eastAsia="zh-CN"/>
        </w:rPr>
        <w:t>）</w:t>
      </w:r>
      <w:r>
        <w:rPr>
          <w:rFonts w:hint="eastAsia" w:ascii="仿宋_GB2312" w:hAnsi="仿宋_GB2312" w:eastAsia="仿宋_GB2312"/>
          <w:color w:val="auto"/>
          <w:sz w:val="32"/>
          <w:szCs w:val="32"/>
        </w:rPr>
        <w:t>进</w:t>
      </w:r>
      <w:r>
        <w:rPr>
          <w:rFonts w:hint="eastAsia" w:ascii="仿宋_GB2312" w:hAnsi="仿宋_GB2312" w:eastAsia="仿宋_GB2312"/>
          <w:color w:val="auto"/>
          <w:sz w:val="32"/>
          <w:szCs w:val="32"/>
          <w:lang w:val="en-US" w:eastAsia="zh-CN"/>
        </w:rPr>
        <w:t>一</w:t>
      </w:r>
      <w:r>
        <w:rPr>
          <w:rFonts w:hint="eastAsia" w:ascii="仿宋_GB2312" w:hAnsi="仿宋_GB2312" w:eastAsia="仿宋_GB2312"/>
          <w:color w:val="auto"/>
          <w:sz w:val="32"/>
          <w:szCs w:val="32"/>
        </w:rPr>
        <w:t>步完善促进和引领教师专业成长机制，加快教师专业成长的速度</w:t>
      </w:r>
      <w:r>
        <w:rPr>
          <w:rFonts w:hint="eastAsia" w:ascii="仿宋_GB2312" w:hAnsi="仿宋_GB2312" w:eastAsia="仿宋_GB2312"/>
          <w:color w:val="auto"/>
          <w:sz w:val="32"/>
          <w:szCs w:val="32"/>
          <w:lang w:eastAsia="zh-CN"/>
        </w:rPr>
        <w:t>。</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lang w:eastAsia="zh-CN"/>
        </w:rPr>
        <w:t>（</w:t>
      </w:r>
      <w:r>
        <w:rPr>
          <w:rFonts w:hint="eastAsia" w:ascii="仿宋_GB2312" w:hAnsi="仿宋_GB2312" w:eastAsia="仿宋_GB2312"/>
          <w:color w:val="auto"/>
          <w:sz w:val="32"/>
          <w:szCs w:val="32"/>
          <w:lang w:val="en-US" w:eastAsia="zh-CN"/>
        </w:rPr>
        <w:t>五</w:t>
      </w:r>
      <w:r>
        <w:rPr>
          <w:rFonts w:hint="eastAsia" w:ascii="仿宋_GB2312" w:hAnsi="仿宋_GB2312" w:eastAsia="仿宋_GB2312"/>
          <w:color w:val="auto"/>
          <w:sz w:val="32"/>
          <w:szCs w:val="32"/>
          <w:lang w:eastAsia="zh-CN"/>
        </w:rPr>
        <w:t>）</w:t>
      </w:r>
      <w:r>
        <w:rPr>
          <w:rFonts w:hint="eastAsia" w:ascii="仿宋_GB2312" w:hAnsi="仿宋_GB2312" w:eastAsia="仿宋_GB2312"/>
          <w:color w:val="auto"/>
          <w:sz w:val="32"/>
          <w:szCs w:val="32"/>
        </w:rPr>
        <w:t>进一步加大教育现代化建设力度，大力优化学校教育软硬件环境。</w:t>
      </w:r>
    </w:p>
    <w:p>
      <w:pPr>
        <w:pStyle w:val="2"/>
        <w:rPr>
          <w:rFonts w:hint="eastAsia" w:ascii="仿宋_GB2312" w:hAnsi="仿宋_GB2312" w:eastAsia="仿宋_GB2312"/>
          <w:color w:val="auto"/>
          <w:sz w:val="32"/>
          <w:szCs w:val="32"/>
        </w:rPr>
      </w:pPr>
    </w:p>
    <w:p>
      <w:pPr>
        <w:pStyle w:val="2"/>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sz w:val="32"/>
          <w:szCs w:val="32"/>
        </w:rPr>
      </w:pPr>
    </w:p>
    <w:p>
      <w:pPr>
        <w:pStyle w:val="2"/>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sz w:val="32"/>
          <w:szCs w:val="32"/>
        </w:rPr>
      </w:pPr>
    </w:p>
    <w:p>
      <w:pPr>
        <w:keepNext w:val="0"/>
        <w:keepLines w:val="0"/>
        <w:pageBreakBefore w:val="0"/>
        <w:widowControl w:val="0"/>
        <w:kinsoku/>
        <w:wordWrap/>
        <w:overflowPunct/>
        <w:topLinePunct w:val="0"/>
        <w:autoSpaceDE w:val="0"/>
        <w:autoSpaceDN w:val="0"/>
        <w:bidi w:val="0"/>
        <w:adjustRightInd w:val="0"/>
        <w:spacing w:line="560" w:lineRule="exact"/>
        <w:ind w:left="20"/>
        <w:jc w:val="center"/>
        <w:textAlignment w:val="auto"/>
        <w:rPr>
          <w:rFonts w:hint="eastAsia" w:ascii="黑体" w:hAnsi="黑体" w:eastAsia="黑体"/>
          <w:sz w:val="32"/>
          <w:szCs w:val="24"/>
        </w:rPr>
      </w:pPr>
      <w:r>
        <w:rPr>
          <w:rFonts w:hint="eastAsia" w:ascii="黑体" w:hAnsi="黑体" w:eastAsia="黑体"/>
          <w:sz w:val="32"/>
          <w:szCs w:val="24"/>
        </w:rPr>
        <w:t>第二部分  2024年单位预算说明</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黑体" w:hAnsi="黑体" w:eastAsia="黑体"/>
          <w:sz w:val="32"/>
          <w:szCs w:val="24"/>
        </w:rPr>
        <w:t>　　一、2024年单位预算收支总体情况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根据预算管理的有关规定，单位的全部收入和支出均纳入部门预算管理。</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（一）厦门市尚文实验学校2024年收入预算为4,129.10万元，比2023年预算数增加1,592.79万元，增长62.80％，具体情况如下：</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1.财政拨款收入4,129.10万元，其中一般公共预算拨款收入4,129.10万元，政府性基金拨款收入0.00万元，国有资本经营预算拨款收入0.00万元；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2.财政专户管理资金收入0.00万元；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3.事业收入0.00万元；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4.事业单位经营收入0.00万元；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5.上级补助收入0.00万元；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6.附属单位上缴收入0.00万元；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7.其他收入0.00万元；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sz w:val="32"/>
          <w:szCs w:val="24"/>
        </w:rPr>
      </w:pPr>
      <w:r>
        <w:rPr>
          <w:rFonts w:hint="eastAsia" w:ascii="仿宋_GB2312" w:hAnsi="仿宋_GB2312" w:eastAsia="仿宋_GB2312"/>
          <w:sz w:val="32"/>
          <w:szCs w:val="24"/>
        </w:rPr>
        <w:t>　　8.上年结转结余0.00万元。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（二）厦门市尚文实验学校2024年支出预算为4,129.10万元（不含市对区转移支付项目），比2023年预算数增加1,592.79万元，增长62.80％，具体情况如下：</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1.财政拨款基本支出4,125.50万元，其中，人员支出3,346.12万元，公用支出779.38万元；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2.财政拨款项目支出3.60万元；</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3.非财政拨款支出0.00万元。</w:t>
      </w:r>
    </w:p>
    <w:p>
      <w:pPr>
        <w:keepNext w:val="0"/>
        <w:keepLines w:val="0"/>
        <w:pageBreakBefore w:val="0"/>
        <w:widowControl w:val="0"/>
        <w:kinsoku/>
        <w:wordWrap/>
        <w:overflowPunct/>
        <w:topLinePunct w:val="0"/>
        <w:autoSpaceDE w:val="0"/>
        <w:autoSpaceDN w:val="0"/>
        <w:bidi w:val="0"/>
        <w:adjustRightInd w:val="0"/>
        <w:spacing w:line="560" w:lineRule="exact"/>
        <w:ind w:firstLine="651"/>
        <w:jc w:val="both"/>
        <w:textAlignment w:val="auto"/>
        <w:rPr>
          <w:rFonts w:hint="eastAsia" w:ascii="仿宋_GB2312" w:hAnsi="仿宋_GB2312" w:eastAsia="仿宋_GB2312"/>
          <w:sz w:val="32"/>
          <w:szCs w:val="24"/>
        </w:rPr>
      </w:pPr>
      <w:r>
        <w:rPr>
          <w:rFonts w:hint="eastAsia" w:ascii="仿宋_GB2312" w:hAnsi="仿宋_GB2312" w:eastAsia="仿宋_GB2312"/>
          <w:sz w:val="32"/>
          <w:szCs w:val="24"/>
        </w:rPr>
        <w:t>（三）厦门市尚文实验学校202</w:t>
      </w: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年区对镇（街）转移支付项目预算为</w:t>
      </w:r>
      <w:r>
        <w:rPr>
          <w:rFonts w:hint="eastAsia" w:ascii="仿宋_GB2312" w:hAnsi="仿宋_GB2312" w:eastAsia="仿宋_GB2312"/>
          <w:sz w:val="32"/>
          <w:szCs w:val="24"/>
          <w:lang w:val="en-US" w:eastAsia="zh-CN"/>
        </w:rPr>
        <w:t>0.00</w:t>
      </w:r>
      <w:r>
        <w:rPr>
          <w:rFonts w:hint="eastAsia" w:ascii="仿宋_GB2312" w:hAnsi="仿宋_GB2312" w:eastAsia="仿宋_GB2312"/>
          <w:sz w:val="32"/>
          <w:szCs w:val="24"/>
        </w:rPr>
        <w:t>万元。</w:t>
      </w:r>
    </w:p>
    <w:p>
      <w:pPr>
        <w:keepNext w:val="0"/>
        <w:keepLines w:val="0"/>
        <w:pageBreakBefore w:val="0"/>
        <w:widowControl w:val="0"/>
        <w:kinsoku/>
        <w:wordWrap/>
        <w:overflowPunct/>
        <w:topLinePunct w:val="0"/>
        <w:autoSpaceDE w:val="0"/>
        <w:autoSpaceDN w:val="0"/>
        <w:bidi w:val="0"/>
        <w:adjustRightInd w:val="0"/>
        <w:spacing w:line="560" w:lineRule="exact"/>
        <w:ind w:firstLine="651"/>
        <w:jc w:val="both"/>
        <w:textAlignment w:val="auto"/>
        <w:rPr>
          <w:rFonts w:hint="default" w:ascii="仿宋_GB2312" w:hAnsi="仿宋_GB2312" w:eastAsia="仿宋_GB2312"/>
          <w:sz w:val="32"/>
          <w:szCs w:val="24"/>
        </w:rPr>
      </w:pPr>
      <w:r>
        <w:rPr>
          <w:rFonts w:hint="eastAsia" w:ascii="黑体" w:hAnsi="黑体" w:eastAsia="黑体"/>
          <w:sz w:val="32"/>
          <w:szCs w:val="24"/>
        </w:rPr>
        <w:t>二、一般公共预算财政拨款支出预算情况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 w:hAnsi="仿宋" w:eastAsia="仿宋" w:cs="仿宋"/>
          <w:color w:val="auto"/>
          <w:sz w:val="32"/>
          <w:szCs w:val="24"/>
        </w:rPr>
      </w:pPr>
      <w:r>
        <w:rPr>
          <w:rFonts w:hint="eastAsia" w:ascii="仿宋_GB2312" w:hAnsi="仿宋_GB2312" w:eastAsia="仿宋_GB2312"/>
          <w:sz w:val="32"/>
          <w:szCs w:val="24"/>
        </w:rPr>
        <w:t>　　</w:t>
      </w:r>
      <w:r>
        <w:rPr>
          <w:rFonts w:hint="eastAsia" w:ascii="仿宋" w:hAnsi="仿宋" w:eastAsia="仿宋" w:cs="仿宋"/>
          <w:color w:val="auto"/>
          <w:sz w:val="32"/>
          <w:szCs w:val="24"/>
        </w:rPr>
        <w:t>2024年度一般公共预算支出4,129.10万元（不含市对区转移支付项目），比2023年预算数增加1,592.79万元，增长62.80%，主要是</w:t>
      </w:r>
      <w:r>
        <w:rPr>
          <w:rFonts w:hint="eastAsia" w:ascii="仿宋" w:hAnsi="仿宋" w:eastAsia="仿宋" w:cs="仿宋"/>
          <w:color w:val="auto"/>
          <w:sz w:val="32"/>
          <w:szCs w:val="24"/>
          <w:lang w:val="en-US" w:eastAsia="zh-CN"/>
        </w:rPr>
        <w:t>本校新增老师数和学生数，教学支出相应增加</w:t>
      </w:r>
      <w:r>
        <w:rPr>
          <w:rFonts w:hint="eastAsia" w:ascii="仿宋" w:hAnsi="仿宋" w:eastAsia="仿宋" w:cs="仿宋"/>
          <w:color w:val="auto"/>
          <w:sz w:val="32"/>
          <w:szCs w:val="24"/>
        </w:rPr>
        <w:t>。支出项目(按项级科目分类统计)包括：</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 w:hAnsi="仿宋" w:eastAsia="仿宋" w:cs="仿宋"/>
          <w:b/>
          <w:color w:val="auto"/>
          <w:sz w:val="32"/>
          <w:szCs w:val="24"/>
        </w:rPr>
      </w:pPr>
      <w:r>
        <w:rPr>
          <w:rFonts w:hint="eastAsia" w:ascii="仿宋" w:hAnsi="仿宋" w:eastAsia="仿宋" w:cs="仿宋"/>
          <w:color w:val="auto"/>
          <w:sz w:val="32"/>
          <w:szCs w:val="24"/>
        </w:rPr>
        <w:t>　　1.教育支出（类）普通教育（款）小学教育（项）1,968.54万元。主要用于</w:t>
      </w:r>
      <w:r>
        <w:rPr>
          <w:rFonts w:hint="eastAsia" w:ascii="仿宋" w:hAnsi="仿宋" w:eastAsia="仿宋" w:cs="仿宋"/>
          <w:color w:val="auto"/>
          <w:sz w:val="32"/>
          <w:szCs w:val="24"/>
          <w:lang w:eastAsia="zh-CN"/>
        </w:rPr>
        <w:t>小学部人员经费和公用经费等</w:t>
      </w:r>
      <w:r>
        <w:rPr>
          <w:rFonts w:hint="eastAsia" w:ascii="仿宋" w:hAnsi="仿宋" w:eastAsia="仿宋" w:cs="仿宋"/>
          <w:color w:val="auto"/>
          <w:sz w:val="32"/>
          <w:szCs w:val="24"/>
        </w:rPr>
        <w:t>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 w:hAnsi="仿宋" w:eastAsia="仿宋" w:cs="仿宋"/>
          <w:color w:val="auto"/>
          <w:sz w:val="32"/>
          <w:szCs w:val="24"/>
        </w:rPr>
      </w:pPr>
      <w:r>
        <w:rPr>
          <w:rFonts w:hint="eastAsia" w:ascii="仿宋" w:hAnsi="仿宋" w:eastAsia="仿宋" w:cs="仿宋"/>
          <w:color w:val="auto"/>
          <w:sz w:val="32"/>
          <w:szCs w:val="24"/>
        </w:rPr>
        <w:t>　　2.教育支出（类）普通教育（款）初中教育（项）1,595.84万元。主要用于</w:t>
      </w:r>
      <w:r>
        <w:rPr>
          <w:rFonts w:hint="eastAsia" w:ascii="仿宋" w:hAnsi="仿宋" w:eastAsia="仿宋" w:cs="仿宋"/>
          <w:color w:val="auto"/>
          <w:sz w:val="32"/>
          <w:szCs w:val="24"/>
          <w:lang w:eastAsia="zh-CN"/>
        </w:rPr>
        <w:t>初中部人员经费和公用经费等</w:t>
      </w:r>
      <w:r>
        <w:rPr>
          <w:rFonts w:hint="eastAsia" w:ascii="仿宋" w:hAnsi="仿宋" w:eastAsia="仿宋" w:cs="仿宋"/>
          <w:color w:val="auto"/>
          <w:sz w:val="32"/>
          <w:szCs w:val="24"/>
        </w:rPr>
        <w:t>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 w:hAnsi="仿宋" w:eastAsia="仿宋" w:cs="仿宋"/>
          <w:color w:val="auto"/>
          <w:sz w:val="32"/>
          <w:szCs w:val="24"/>
        </w:rPr>
      </w:pPr>
      <w:r>
        <w:rPr>
          <w:rFonts w:hint="eastAsia" w:ascii="仿宋" w:hAnsi="仿宋" w:eastAsia="仿宋" w:cs="仿宋"/>
          <w:color w:val="auto"/>
          <w:sz w:val="32"/>
          <w:szCs w:val="24"/>
        </w:rPr>
        <w:t>　　3.教育支出（类）普通教育（款）其他普通教育支出（项）3.60万元。主要用于</w:t>
      </w:r>
      <w:r>
        <w:rPr>
          <w:rFonts w:hint="eastAsia" w:ascii="仿宋" w:hAnsi="仿宋" w:eastAsia="仿宋" w:cs="仿宋"/>
          <w:color w:val="auto"/>
          <w:sz w:val="32"/>
          <w:szCs w:val="24"/>
          <w:lang w:val="en-US" w:eastAsia="zh-CN"/>
        </w:rPr>
        <w:t>困难学生营养餐补助</w:t>
      </w:r>
      <w:r>
        <w:rPr>
          <w:rFonts w:hint="eastAsia" w:ascii="仿宋" w:hAnsi="仿宋" w:eastAsia="仿宋" w:cs="仿宋"/>
          <w:color w:val="auto"/>
          <w:sz w:val="32"/>
          <w:szCs w:val="24"/>
        </w:rPr>
        <w:t>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 w:hAnsi="仿宋" w:eastAsia="仿宋" w:cs="仿宋"/>
          <w:color w:val="auto"/>
          <w:sz w:val="32"/>
          <w:szCs w:val="24"/>
          <w:lang w:eastAsia="zh-CN"/>
        </w:rPr>
      </w:pPr>
      <w:r>
        <w:rPr>
          <w:rFonts w:hint="eastAsia" w:ascii="仿宋" w:hAnsi="仿宋" w:eastAsia="仿宋" w:cs="仿宋"/>
          <w:color w:val="auto"/>
          <w:sz w:val="32"/>
          <w:szCs w:val="24"/>
        </w:rPr>
        <w:t>　　4.社会保障和就业支出（类）行政事业单位养老支出（款）机关事业单位基本养老保险缴费支出（项）256.52万元。</w:t>
      </w:r>
      <w:r>
        <w:rPr>
          <w:rFonts w:hint="eastAsia" w:ascii="仿宋" w:hAnsi="仿宋" w:eastAsia="仿宋" w:cs="仿宋"/>
          <w:color w:val="auto"/>
          <w:sz w:val="32"/>
          <w:szCs w:val="24"/>
          <w:lang w:eastAsia="zh-CN"/>
        </w:rPr>
        <w:t>主要用于</w:t>
      </w:r>
      <w:r>
        <w:rPr>
          <w:rFonts w:hint="eastAsia" w:ascii="仿宋" w:hAnsi="仿宋" w:eastAsia="仿宋" w:cs="仿宋"/>
          <w:color w:val="auto"/>
          <w:sz w:val="32"/>
          <w:szCs w:val="24"/>
        </w:rPr>
        <w:t>事业单位基本养老保险支出</w:t>
      </w:r>
      <w:r>
        <w:rPr>
          <w:rFonts w:hint="eastAsia" w:ascii="仿宋" w:hAnsi="仿宋" w:eastAsia="仿宋" w:cs="仿宋"/>
          <w:color w:val="auto"/>
          <w:sz w:val="32"/>
          <w:szCs w:val="24"/>
          <w:lang w:eastAsia="zh-CN"/>
        </w:rPr>
        <w:t>。</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 w:hAnsi="仿宋" w:eastAsia="仿宋" w:cs="仿宋"/>
          <w:color w:val="auto"/>
          <w:sz w:val="32"/>
          <w:szCs w:val="24"/>
        </w:rPr>
      </w:pPr>
      <w:r>
        <w:rPr>
          <w:rFonts w:hint="eastAsia" w:ascii="仿宋" w:hAnsi="仿宋" w:eastAsia="仿宋" w:cs="仿宋"/>
          <w:color w:val="auto"/>
          <w:sz w:val="32"/>
          <w:szCs w:val="24"/>
        </w:rPr>
        <w:t>　　5.社会保障和就业支出（类）行政事业单位养老支出（款）机关事业单位职业年金缴费支出（项）128.26万元。主要用于事业单位职业年金缴费支出。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 w:hAnsi="仿宋" w:eastAsia="仿宋" w:cs="仿宋"/>
          <w:b/>
          <w:color w:val="auto"/>
          <w:sz w:val="32"/>
          <w:szCs w:val="24"/>
        </w:rPr>
      </w:pPr>
      <w:r>
        <w:rPr>
          <w:rFonts w:hint="eastAsia" w:ascii="仿宋" w:hAnsi="仿宋" w:eastAsia="仿宋" w:cs="仿宋"/>
          <w:color w:val="auto"/>
          <w:sz w:val="32"/>
          <w:szCs w:val="24"/>
        </w:rPr>
        <w:t>　　6.卫生健康支出（类）行政事业单位医疗（款）事业单位医疗（项）109.82万元。主要用于事业单位医疗支出。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 w:hAnsi="仿宋" w:eastAsia="仿宋" w:cs="仿宋"/>
          <w:b/>
          <w:color w:val="auto"/>
          <w:sz w:val="32"/>
          <w:szCs w:val="24"/>
        </w:rPr>
      </w:pPr>
      <w:r>
        <w:rPr>
          <w:rFonts w:hint="eastAsia" w:ascii="仿宋" w:hAnsi="仿宋" w:eastAsia="仿宋" w:cs="仿宋"/>
          <w:color w:val="auto"/>
          <w:sz w:val="32"/>
          <w:szCs w:val="24"/>
        </w:rPr>
        <w:t>　　7.卫生健康支出（类）行政事业单位医疗（款）其他行政事业单位医疗支出（项）56.11万元。主要用于其他事业单位医疗支出。</w:t>
      </w:r>
    </w:p>
    <w:p>
      <w:pPr>
        <w:keepNext w:val="0"/>
        <w:keepLines w:val="0"/>
        <w:pageBreakBefore w:val="0"/>
        <w:widowControl w:val="0"/>
        <w:kinsoku/>
        <w:wordWrap/>
        <w:overflowPunct/>
        <w:topLinePunct w:val="0"/>
        <w:autoSpaceDE w:val="0"/>
        <w:autoSpaceDN w:val="0"/>
        <w:bidi w:val="0"/>
        <w:adjustRightInd w:val="0"/>
        <w:spacing w:line="560" w:lineRule="exact"/>
        <w:ind w:left="20"/>
        <w:jc w:val="both"/>
        <w:textAlignment w:val="auto"/>
        <w:rPr>
          <w:rFonts w:hint="eastAsia" w:ascii="仿宋_GB2312" w:hAnsi="仿宋_GB2312" w:eastAsia="仿宋_GB2312"/>
          <w:b/>
          <w:color w:val="FF0000"/>
          <w:sz w:val="32"/>
          <w:szCs w:val="24"/>
        </w:rPr>
      </w:pPr>
      <w:r>
        <w:rPr>
          <w:rFonts w:hint="eastAsia" w:ascii="仿宋" w:hAnsi="仿宋" w:eastAsia="仿宋" w:cs="仿宋"/>
          <w:color w:val="auto"/>
          <w:sz w:val="32"/>
          <w:szCs w:val="24"/>
        </w:rPr>
        <w:t>　　8.住房保障支出（类）住房改革支出（款）购房补贴（项）10.40万元。主要用于</w:t>
      </w:r>
      <w:r>
        <w:rPr>
          <w:rFonts w:hint="eastAsia" w:ascii="仿宋" w:hAnsi="仿宋" w:eastAsia="仿宋" w:cs="仿宋"/>
          <w:color w:val="auto"/>
          <w:sz w:val="32"/>
          <w:szCs w:val="24"/>
          <w:lang w:eastAsia="zh-CN"/>
        </w:rPr>
        <w:t>教师</w:t>
      </w:r>
      <w:r>
        <w:rPr>
          <w:rFonts w:hint="eastAsia" w:ascii="仿宋" w:hAnsi="仿宋" w:eastAsia="仿宋" w:cs="仿宋"/>
          <w:color w:val="auto"/>
          <w:sz w:val="32"/>
          <w:szCs w:val="24"/>
          <w:lang w:val="en-US" w:eastAsia="zh-CN"/>
        </w:rPr>
        <w:t>住房货币化补贴</w:t>
      </w:r>
      <w:r>
        <w:rPr>
          <w:rFonts w:hint="eastAsia" w:ascii="仿宋" w:hAnsi="仿宋" w:eastAsia="仿宋" w:cs="仿宋"/>
          <w:color w:val="auto"/>
          <w:sz w:val="32"/>
          <w:szCs w:val="24"/>
        </w:rPr>
        <w:t>支出。</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黑体" w:hAnsi="黑体" w:eastAsia="黑体"/>
          <w:sz w:val="32"/>
          <w:szCs w:val="24"/>
        </w:rPr>
        <w:t>　　三、政府性基金预算财政拨款支出情况</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仿宋_GB2312" w:eastAsia="仿宋_GB2312"/>
          <w:sz w:val="32"/>
          <w:szCs w:val="24"/>
        </w:rPr>
      </w:pPr>
      <w:r>
        <w:rPr>
          <w:rFonts w:hint="eastAsia" w:ascii="仿宋_GB2312" w:hAnsi="仿宋_GB2312" w:eastAsia="仿宋_GB2312"/>
          <w:sz w:val="32"/>
          <w:szCs w:val="24"/>
        </w:rPr>
        <w:t>2024年度政府性基金支出0.00万元（不含市对区转移支付项目），比2023年预算数增加0.00万元，增长0</w:t>
      </w:r>
      <w:r>
        <w:rPr>
          <w:rFonts w:hint="eastAsia" w:ascii="仿宋_GB2312" w:hAnsi="仿宋_GB2312" w:eastAsia="仿宋_GB2312"/>
          <w:sz w:val="32"/>
          <w:szCs w:val="24"/>
          <w:lang w:val="en-US" w:eastAsia="zh-CN"/>
        </w:rPr>
        <w:t>.00</w:t>
      </w:r>
      <w:r>
        <w:rPr>
          <w:rFonts w:hint="eastAsia" w:ascii="仿宋_GB2312" w:hAnsi="仿宋_GB2312" w:eastAsia="仿宋_GB2312"/>
          <w:sz w:val="32"/>
          <w:szCs w:val="24"/>
        </w:rPr>
        <w:t>%，</w:t>
      </w:r>
      <w:r>
        <w:rPr>
          <w:rFonts w:hint="eastAsia" w:ascii="仿宋" w:hAnsi="仿宋" w:eastAsia="仿宋"/>
          <w:color w:val="auto"/>
          <w:sz w:val="32"/>
          <w:szCs w:val="24"/>
        </w:rPr>
        <w:t>主要</w:t>
      </w:r>
      <w:r>
        <w:rPr>
          <w:rFonts w:hint="eastAsia" w:ascii="仿宋" w:hAnsi="仿宋" w:eastAsia="仿宋"/>
          <w:color w:val="auto"/>
          <w:sz w:val="32"/>
          <w:szCs w:val="24"/>
          <w:lang w:eastAsia="zh-CN"/>
        </w:rPr>
        <w:t>原因</w:t>
      </w:r>
      <w:r>
        <w:rPr>
          <w:rFonts w:hint="eastAsia" w:ascii="仿宋" w:hAnsi="仿宋" w:eastAsia="仿宋"/>
          <w:color w:val="auto"/>
          <w:sz w:val="32"/>
          <w:szCs w:val="24"/>
        </w:rPr>
        <w:t>是</w:t>
      </w:r>
      <w:r>
        <w:rPr>
          <w:rFonts w:hint="eastAsia" w:ascii="仿宋" w:hAnsi="仿宋" w:eastAsia="仿宋"/>
          <w:color w:val="auto"/>
          <w:sz w:val="32"/>
          <w:szCs w:val="24"/>
          <w:lang w:eastAsia="zh-CN"/>
        </w:rPr>
        <w:t>：</w:t>
      </w:r>
      <w:r>
        <w:rPr>
          <w:rFonts w:hint="eastAsia" w:ascii="仿宋" w:hAnsi="仿宋" w:eastAsia="仿宋"/>
          <w:color w:val="auto"/>
          <w:sz w:val="32"/>
          <w:szCs w:val="24"/>
          <w:lang w:val="en-US" w:eastAsia="zh-CN"/>
        </w:rPr>
        <w:t>2024年度本单位没有政府性基金预算支出安排</w:t>
      </w:r>
      <w:r>
        <w:rPr>
          <w:rFonts w:hint="eastAsia" w:ascii="仿宋" w:hAnsi="仿宋" w:eastAsia="仿宋"/>
          <w:color w:val="auto"/>
          <w:sz w:val="32"/>
          <w:szCs w:val="24"/>
        </w:rPr>
        <w:t>。</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黑体" w:hAnsi="黑体" w:eastAsia="黑体"/>
          <w:sz w:val="32"/>
          <w:szCs w:val="24"/>
        </w:rPr>
        <w:t>　　四、“三公”经费财政拨款预算情况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sz w:val="32"/>
          <w:szCs w:val="24"/>
        </w:rPr>
      </w:pPr>
      <w:r>
        <w:rPr>
          <w:rFonts w:hint="eastAsia" w:ascii="仿宋_GB2312" w:hAnsi="仿宋_GB2312" w:eastAsia="仿宋_GB2312"/>
          <w:sz w:val="32"/>
          <w:szCs w:val="24"/>
        </w:rPr>
        <w:t>　　厦门市尚文实验学校2024年“三公”经费财政拨款预算数为0.00万元，其中：因公出国（境）经费0.00万元，公务接待费0.00万元，公务用车购置及运行费0.00万元。具体情况如下：</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楷体_GB2312" w:hAnsi="楷体_GB2312" w:eastAsia="楷体_GB2312"/>
          <w:sz w:val="32"/>
          <w:szCs w:val="24"/>
        </w:rPr>
        <w:t>　　（一）因公出国（境）经费</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hint="eastAsia" w:ascii="楷体" w:hAnsi="楷体" w:eastAsia="楷体"/>
          <w:sz w:val="32"/>
          <w:szCs w:val="24"/>
        </w:rPr>
      </w:pPr>
      <w:r>
        <w:rPr>
          <w:rFonts w:hint="eastAsia" w:ascii="仿宋_GB2312" w:hAnsi="仿宋_GB2312" w:eastAsia="仿宋_GB2312"/>
          <w:sz w:val="32"/>
          <w:szCs w:val="24"/>
        </w:rPr>
        <w:t>2024年预算安排0.00万元</w:t>
      </w:r>
      <w:r>
        <w:rPr>
          <w:rFonts w:hint="eastAsia" w:ascii="仿宋_GB2312" w:hAnsi="仿宋_GB2312" w:eastAsia="仿宋_GB2312"/>
          <w:sz w:val="32"/>
          <w:szCs w:val="24"/>
          <w:lang w:eastAsia="zh-CN"/>
        </w:rPr>
        <w:t>，</w:t>
      </w:r>
      <w:r>
        <w:rPr>
          <w:rFonts w:hint="eastAsia" w:ascii="仿宋_GB2312" w:hAnsi="??_GB2312" w:eastAsia="仿宋_GB2312"/>
          <w:sz w:val="32"/>
          <w:szCs w:val="24"/>
        </w:rPr>
        <w:t>与上年预算相比下降（增</w:t>
      </w:r>
      <w:r>
        <w:rPr>
          <w:rFonts w:hint="eastAsia" w:ascii="仿宋_GB2312" w:hAnsi="??_GB2312" w:eastAsia="仿宋_GB2312"/>
          <w:color w:val="auto"/>
          <w:sz w:val="32"/>
          <w:szCs w:val="24"/>
        </w:rPr>
        <w:t>长）0%</w:t>
      </w:r>
      <w:r>
        <w:rPr>
          <w:rFonts w:hint="eastAsia" w:ascii="仿宋_GB2312" w:hAnsi="??_GB2312" w:eastAsia="仿宋_GB2312"/>
          <w:color w:val="auto"/>
          <w:sz w:val="32"/>
          <w:szCs w:val="24"/>
          <w:lang w:eastAsia="zh-CN"/>
        </w:rPr>
        <w:t>。</w:t>
      </w:r>
      <w:r>
        <w:rPr>
          <w:rFonts w:hint="eastAsia" w:ascii="仿宋_GB2312" w:hAnsi="仿宋_GB2312" w:eastAsia="仿宋_GB2312"/>
          <w:color w:val="auto"/>
          <w:sz w:val="32"/>
          <w:szCs w:val="24"/>
        </w:rPr>
        <w:t>主要</w:t>
      </w:r>
      <w:r>
        <w:rPr>
          <w:rFonts w:hint="eastAsia" w:ascii="仿宋_GB2312" w:hAnsi="仿宋_GB2312" w:eastAsia="仿宋_GB2312"/>
          <w:color w:val="auto"/>
          <w:sz w:val="32"/>
          <w:szCs w:val="24"/>
          <w:lang w:eastAsia="zh-CN"/>
        </w:rPr>
        <w:t>原因是本</w:t>
      </w:r>
      <w:r>
        <w:rPr>
          <w:rFonts w:hint="eastAsia" w:ascii="仿宋" w:hAnsi="仿宋" w:eastAsia="仿宋"/>
          <w:color w:val="auto"/>
          <w:sz w:val="32"/>
          <w:szCs w:val="24"/>
          <w:lang w:val="en-US" w:eastAsia="zh-CN"/>
        </w:rPr>
        <w:t>年度无安排因公出国（境）活动，没有编制预算。</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楷体_GB2312" w:hAnsi="楷体_GB2312" w:eastAsia="楷体_GB2312"/>
          <w:sz w:val="32"/>
          <w:szCs w:val="24"/>
        </w:rPr>
        <w:t>　　（二）公务接待费</w:t>
      </w:r>
    </w:p>
    <w:p>
      <w:pPr>
        <w:keepNext w:val="0"/>
        <w:keepLines w:val="0"/>
        <w:pageBreakBefore w:val="0"/>
        <w:widowControl w:val="0"/>
        <w:tabs>
          <w:tab w:val="left" w:pos="7513"/>
        </w:tabs>
        <w:kinsoku/>
        <w:wordWrap/>
        <w:overflowPunct/>
        <w:topLinePunct w:val="0"/>
        <w:autoSpaceDE w:val="0"/>
        <w:autoSpaceDN w:val="0"/>
        <w:bidi w:val="0"/>
        <w:adjustRightInd w:val="0"/>
        <w:snapToGrid w:val="0"/>
        <w:spacing w:line="560" w:lineRule="exact"/>
        <w:ind w:firstLine="640" w:firstLineChars="200"/>
        <w:jc w:val="both"/>
        <w:textAlignment w:val="auto"/>
        <w:rPr>
          <w:rFonts w:hint="default" w:ascii="仿宋_GB2312" w:hAnsi="仿宋_GB2312" w:eastAsia="仿宋_GB2312"/>
          <w:sz w:val="32"/>
          <w:szCs w:val="24"/>
        </w:rPr>
      </w:pPr>
      <w:r>
        <w:rPr>
          <w:rFonts w:hint="eastAsia" w:ascii="仿宋_GB2312" w:hAnsi="??_GB2312" w:eastAsia="仿宋_GB2312"/>
          <w:sz w:val="32"/>
          <w:szCs w:val="24"/>
        </w:rPr>
        <w:t>202</w:t>
      </w:r>
      <w:r>
        <w:rPr>
          <w:rFonts w:hint="eastAsia" w:ascii="仿宋_GB2312" w:hAnsi="??_GB2312" w:eastAsia="仿宋_GB2312"/>
          <w:sz w:val="32"/>
          <w:szCs w:val="24"/>
          <w:lang w:val="en-US" w:eastAsia="zh-CN"/>
        </w:rPr>
        <w:t>4</w:t>
      </w:r>
      <w:r>
        <w:rPr>
          <w:rFonts w:hint="eastAsia" w:ascii="仿宋_GB2312" w:hAnsi="??_GB2312" w:eastAsia="仿宋_GB2312"/>
          <w:sz w:val="32"/>
          <w:szCs w:val="24"/>
        </w:rPr>
        <w:t>年预算安排0.00万元。与上年预算相比下降（增长）0%，主要原因是</w:t>
      </w:r>
      <w:r>
        <w:rPr>
          <w:rFonts w:hint="eastAsia" w:ascii="仿宋" w:hAnsi="仿宋" w:eastAsia="仿宋"/>
          <w:color w:val="auto"/>
          <w:sz w:val="32"/>
          <w:szCs w:val="24"/>
          <w:lang w:val="en-US" w:eastAsia="zh-CN"/>
        </w:rPr>
        <w:t>本年度无安排公务接待活动，没有编制预算。</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楷体_GB2312" w:hAnsi="楷体_GB2312" w:eastAsia="楷体_GB2312"/>
          <w:sz w:val="32"/>
          <w:szCs w:val="24"/>
        </w:rPr>
        <w:t>　　（三）公务用车购置及运行费</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sz w:val="32"/>
          <w:szCs w:val="24"/>
        </w:rPr>
      </w:pPr>
      <w:r>
        <w:rPr>
          <w:rFonts w:hint="eastAsia" w:ascii="仿宋_GB2312" w:hAnsi="??_GB2312" w:eastAsia="仿宋_GB2312"/>
          <w:sz w:val="32"/>
          <w:szCs w:val="24"/>
        </w:rPr>
        <w:t>202</w:t>
      </w:r>
      <w:r>
        <w:rPr>
          <w:rFonts w:hint="eastAsia" w:ascii="仿宋_GB2312" w:hAnsi="??_GB2312" w:eastAsia="仿宋_GB2312"/>
          <w:sz w:val="32"/>
          <w:szCs w:val="24"/>
          <w:lang w:val="en-US" w:eastAsia="zh-CN"/>
        </w:rPr>
        <w:t>4</w:t>
      </w:r>
      <w:r>
        <w:rPr>
          <w:rFonts w:hint="eastAsia" w:ascii="仿宋_GB2312" w:hAnsi="??_GB2312" w:eastAsia="仿宋_GB2312"/>
          <w:sz w:val="32"/>
          <w:szCs w:val="24"/>
        </w:rPr>
        <w:t>年预算安排0.00万元，其中：公务用车运行费0.00万元；公务用车购置费0.00万元。与上年预算相比下降（</w:t>
      </w:r>
      <w:r>
        <w:rPr>
          <w:rFonts w:hint="eastAsia" w:ascii="仿宋_GB2312" w:hAnsi="??_GB2312" w:eastAsia="仿宋_GB2312"/>
          <w:color w:val="auto"/>
          <w:sz w:val="32"/>
          <w:szCs w:val="24"/>
        </w:rPr>
        <w:t>增长）0%，主要</w:t>
      </w:r>
      <w:r>
        <w:rPr>
          <w:rFonts w:hint="eastAsia" w:ascii="仿宋_GB2312" w:hAnsi="??_GB2312" w:eastAsia="仿宋_GB2312"/>
          <w:sz w:val="32"/>
          <w:szCs w:val="24"/>
        </w:rPr>
        <w:t>原因是</w:t>
      </w:r>
      <w:r>
        <w:rPr>
          <w:rFonts w:hint="eastAsia" w:ascii="仿宋_GB2312" w:hAnsi="??_GB2312" w:eastAsia="仿宋_GB2312"/>
          <w:sz w:val="32"/>
          <w:szCs w:val="24"/>
          <w:lang w:eastAsia="zh-CN"/>
        </w:rPr>
        <w:t>本单位没有公务车辆，</w:t>
      </w:r>
      <w:r>
        <w:rPr>
          <w:rFonts w:hint="eastAsia" w:ascii="仿宋" w:hAnsi="仿宋" w:eastAsia="仿宋"/>
          <w:color w:val="auto"/>
          <w:sz w:val="32"/>
          <w:szCs w:val="24"/>
          <w:lang w:val="en-US" w:eastAsia="zh-CN"/>
        </w:rPr>
        <w:t>本年度没有编制</w:t>
      </w:r>
      <w:r>
        <w:rPr>
          <w:rFonts w:hint="eastAsia" w:ascii="仿宋_GB2312" w:hAnsi="??_GB2312" w:eastAsia="仿宋_GB2312"/>
          <w:sz w:val="32"/>
          <w:szCs w:val="24"/>
        </w:rPr>
        <w:t>公务用车购置及运行费</w:t>
      </w:r>
      <w:r>
        <w:rPr>
          <w:rFonts w:hint="eastAsia" w:ascii="仿宋" w:hAnsi="仿宋" w:eastAsia="仿宋"/>
          <w:color w:val="auto"/>
          <w:sz w:val="32"/>
          <w:szCs w:val="24"/>
          <w:lang w:val="en-US" w:eastAsia="zh-CN"/>
        </w:rPr>
        <w:t>预算。</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华文仿宋" w:hAnsi="华文仿宋" w:eastAsia="华文仿宋"/>
          <w:sz w:val="32"/>
          <w:szCs w:val="24"/>
        </w:rPr>
      </w:pPr>
      <w:r>
        <w:rPr>
          <w:rFonts w:hint="eastAsia" w:ascii="黑体" w:hAnsi="黑体" w:eastAsia="黑体"/>
          <w:sz w:val="32"/>
          <w:szCs w:val="24"/>
        </w:rPr>
        <w:t>　　五、其他重要事项的情况说明</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华文仿宋" w:hAnsi="华文仿宋" w:eastAsia="华文仿宋"/>
          <w:sz w:val="32"/>
          <w:szCs w:val="24"/>
        </w:rPr>
        <w:t>　　</w:t>
      </w:r>
      <w:r>
        <w:rPr>
          <w:rFonts w:hint="eastAsia" w:ascii="楷体_GB2312" w:hAnsi="楷体_GB2312" w:eastAsia="楷体_GB2312"/>
          <w:sz w:val="32"/>
          <w:szCs w:val="24"/>
        </w:rPr>
        <w:t>（一）机关运行经费</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华文仿宋" w:hAnsi="华文仿宋" w:eastAsia="华文仿宋"/>
          <w:sz w:val="32"/>
          <w:szCs w:val="24"/>
        </w:rPr>
      </w:pPr>
      <w:r>
        <w:rPr>
          <w:rFonts w:hint="eastAsia" w:ascii="仿宋_GB2312" w:hAnsi="仿宋_GB2312" w:eastAsia="仿宋_GB2312"/>
          <w:sz w:val="32"/>
          <w:szCs w:val="24"/>
        </w:rPr>
        <w:t>　　2024年厦门市尚文实验学校的机关运行经费财政拨款预算</w:t>
      </w:r>
      <w:r>
        <w:rPr>
          <w:rFonts w:hint="eastAsia" w:ascii="仿宋_GB2312" w:hAnsi="仿宋_GB2312" w:eastAsia="仿宋_GB2312"/>
          <w:sz w:val="32"/>
          <w:szCs w:val="24"/>
          <w:lang w:val="en-US" w:eastAsia="zh-CN"/>
        </w:rPr>
        <w:t>0.00</w:t>
      </w:r>
      <w:r>
        <w:rPr>
          <w:rFonts w:hint="eastAsia" w:ascii="仿宋_GB2312" w:hAnsi="仿宋_GB2312" w:eastAsia="仿宋_GB2312"/>
          <w:sz w:val="32"/>
          <w:szCs w:val="24"/>
        </w:rPr>
        <w:t>万元，比202</w:t>
      </w:r>
      <w:r>
        <w:rPr>
          <w:rFonts w:hint="eastAsia" w:ascii="仿宋_GB2312" w:hAnsi="仿宋_GB2312" w:eastAsia="仿宋_GB2312"/>
          <w:sz w:val="32"/>
          <w:szCs w:val="24"/>
          <w:lang w:val="en-US" w:eastAsia="zh-CN"/>
        </w:rPr>
        <w:t>3</w:t>
      </w:r>
      <w:r>
        <w:rPr>
          <w:rFonts w:hint="eastAsia" w:ascii="仿宋_GB2312" w:hAnsi="仿宋_GB2312" w:eastAsia="仿宋_GB2312"/>
          <w:sz w:val="32"/>
          <w:szCs w:val="24"/>
        </w:rPr>
        <w:t>年预算减少（增加）</w:t>
      </w:r>
      <w:r>
        <w:rPr>
          <w:rFonts w:hint="eastAsia" w:ascii="仿宋_GB2312" w:hAnsi="仿宋_GB2312" w:eastAsia="仿宋_GB2312"/>
          <w:sz w:val="32"/>
          <w:szCs w:val="24"/>
          <w:lang w:val="en-US" w:eastAsia="zh-CN"/>
        </w:rPr>
        <w:t>0.00</w:t>
      </w:r>
      <w:r>
        <w:rPr>
          <w:rFonts w:hint="eastAsia" w:ascii="仿宋_GB2312" w:hAnsi="仿宋_GB2312" w:eastAsia="仿宋_GB2312"/>
          <w:sz w:val="32"/>
          <w:szCs w:val="24"/>
        </w:rPr>
        <w:t>万元，下降（增长）</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w:t>
      </w:r>
      <w:r>
        <w:rPr>
          <w:rFonts w:hint="eastAsia" w:ascii="仿宋_GB2312" w:hAnsi="仿宋_GB2312" w:eastAsia="仿宋_GB2312"/>
          <w:sz w:val="32"/>
          <w:szCs w:val="24"/>
          <w:lang w:eastAsia="zh-CN"/>
        </w:rPr>
        <w:t>主要原</w:t>
      </w:r>
      <w:r>
        <w:rPr>
          <w:rFonts w:hint="eastAsia" w:ascii="仿宋" w:hAnsi="仿宋" w:eastAsia="仿宋"/>
          <w:color w:val="auto"/>
          <w:sz w:val="32"/>
          <w:szCs w:val="24"/>
          <w:lang w:eastAsia="zh-CN"/>
        </w:rPr>
        <w:t>因</w:t>
      </w:r>
      <w:r>
        <w:rPr>
          <w:rFonts w:hint="eastAsia" w:ascii="仿宋" w:hAnsi="仿宋" w:eastAsia="仿宋"/>
          <w:color w:val="auto"/>
          <w:sz w:val="32"/>
          <w:szCs w:val="24"/>
        </w:rPr>
        <w:t>:本</w:t>
      </w:r>
      <w:r>
        <w:rPr>
          <w:rFonts w:hint="eastAsia" w:ascii="仿宋" w:hAnsi="仿宋" w:eastAsia="仿宋"/>
          <w:color w:val="auto"/>
          <w:sz w:val="32"/>
          <w:szCs w:val="24"/>
          <w:lang w:eastAsia="zh-CN"/>
        </w:rPr>
        <w:t>单位是</w:t>
      </w:r>
      <w:r>
        <w:rPr>
          <w:rFonts w:hint="eastAsia" w:ascii="仿宋" w:hAnsi="仿宋" w:eastAsia="仿宋"/>
          <w:color w:val="auto"/>
          <w:sz w:val="32"/>
          <w:szCs w:val="24"/>
        </w:rPr>
        <w:t>事业单位，</w:t>
      </w:r>
      <w:r>
        <w:rPr>
          <w:rFonts w:hint="eastAsia" w:ascii="仿宋" w:hAnsi="仿宋" w:eastAsia="仿宋"/>
          <w:color w:val="auto"/>
          <w:sz w:val="32"/>
          <w:szCs w:val="24"/>
          <w:lang w:val="en-US" w:eastAsia="zh-CN"/>
        </w:rPr>
        <w:t>2024年</w:t>
      </w:r>
      <w:r>
        <w:rPr>
          <w:rFonts w:hint="eastAsia" w:ascii="仿宋" w:hAnsi="仿宋" w:eastAsia="仿宋"/>
          <w:color w:val="auto"/>
          <w:sz w:val="32"/>
          <w:szCs w:val="24"/>
        </w:rPr>
        <w:t>没有机关运行经费</w:t>
      </w:r>
      <w:r>
        <w:rPr>
          <w:rFonts w:hint="eastAsia" w:ascii="仿宋" w:hAnsi="仿宋" w:eastAsia="仿宋"/>
          <w:color w:val="auto"/>
          <w:sz w:val="32"/>
          <w:szCs w:val="24"/>
          <w:lang w:eastAsia="zh-CN"/>
        </w:rPr>
        <w:t>预算</w:t>
      </w:r>
      <w:r>
        <w:rPr>
          <w:rFonts w:hint="eastAsia" w:ascii="仿宋" w:hAnsi="仿宋" w:eastAsia="仿宋"/>
          <w:color w:val="auto"/>
          <w:sz w:val="32"/>
          <w:szCs w:val="24"/>
        </w:rPr>
        <w:t>。</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华文仿宋" w:hAnsi="华文仿宋" w:eastAsia="华文仿宋"/>
          <w:sz w:val="32"/>
          <w:szCs w:val="24"/>
        </w:rPr>
        <w:t>　　</w:t>
      </w:r>
      <w:r>
        <w:rPr>
          <w:rFonts w:hint="eastAsia" w:ascii="楷体_GB2312" w:hAnsi="楷体_GB2312" w:eastAsia="楷体_GB2312"/>
          <w:sz w:val="32"/>
          <w:szCs w:val="24"/>
        </w:rPr>
        <w:t>（二）政府采购情况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楷体_GB2312" w:hAnsi="楷体_GB2312" w:eastAsia="楷体_GB2312"/>
          <w:sz w:val="32"/>
          <w:szCs w:val="24"/>
        </w:rPr>
      </w:pPr>
      <w:r>
        <w:rPr>
          <w:rFonts w:hint="eastAsia" w:ascii="仿宋_GB2312" w:hAnsi="仿宋_GB2312" w:eastAsia="仿宋_GB2312"/>
          <w:sz w:val="32"/>
          <w:szCs w:val="24"/>
        </w:rPr>
        <w:t>　　2024年厦门市尚文实验学校政府采购预算总额0.00万元，其中：政府采购货物预算0.00万元，政府采购工程预算0.00万元，政府采购服务预算0.00万元。</w:t>
      </w:r>
      <w:r>
        <w:rPr>
          <w:rFonts w:hint="eastAsia" w:ascii="仿宋" w:hAnsi="仿宋" w:eastAsia="仿宋"/>
          <w:color w:val="auto"/>
          <w:sz w:val="32"/>
          <w:szCs w:val="24"/>
          <w:lang w:eastAsia="zh-CN"/>
        </w:rPr>
        <w:t>主要原因</w:t>
      </w:r>
      <w:r>
        <w:rPr>
          <w:rFonts w:hint="eastAsia" w:ascii="仿宋" w:hAnsi="仿宋" w:eastAsia="仿宋"/>
          <w:color w:val="auto"/>
          <w:sz w:val="32"/>
          <w:szCs w:val="24"/>
        </w:rPr>
        <w:t>:</w:t>
      </w:r>
      <w:r>
        <w:rPr>
          <w:rFonts w:hint="eastAsia" w:ascii="仿宋" w:hAnsi="仿宋" w:eastAsia="仿宋"/>
          <w:color w:val="auto"/>
          <w:sz w:val="32"/>
          <w:szCs w:val="24"/>
          <w:lang w:eastAsia="zh-CN"/>
        </w:rPr>
        <w:t>本单位</w:t>
      </w:r>
      <w:r>
        <w:rPr>
          <w:rFonts w:hint="eastAsia" w:ascii="仿宋" w:hAnsi="仿宋" w:eastAsia="仿宋"/>
          <w:color w:val="auto"/>
          <w:sz w:val="32"/>
          <w:szCs w:val="24"/>
          <w:lang w:val="en-US" w:eastAsia="zh-CN"/>
        </w:rPr>
        <w:t>2024年</w:t>
      </w:r>
      <w:r>
        <w:rPr>
          <w:rFonts w:hint="eastAsia" w:ascii="仿宋" w:hAnsi="仿宋" w:eastAsia="仿宋"/>
          <w:color w:val="auto"/>
          <w:sz w:val="32"/>
          <w:szCs w:val="24"/>
        </w:rPr>
        <w:t>没有</w:t>
      </w:r>
      <w:r>
        <w:rPr>
          <w:rFonts w:hint="eastAsia" w:ascii="仿宋" w:hAnsi="仿宋" w:eastAsia="仿宋"/>
          <w:color w:val="auto"/>
          <w:sz w:val="32"/>
          <w:szCs w:val="24"/>
          <w:lang w:eastAsia="zh-CN"/>
        </w:rPr>
        <w:t>政府采购预算安排</w:t>
      </w:r>
      <w:r>
        <w:rPr>
          <w:rFonts w:hint="eastAsia" w:ascii="仿宋" w:hAnsi="仿宋" w:eastAsia="仿宋"/>
          <w:color w:val="auto"/>
          <w:sz w:val="32"/>
          <w:szCs w:val="24"/>
        </w:rPr>
        <w:t>。</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楷体_GB2312" w:hAnsi="楷体_GB2312" w:eastAsia="楷体_GB2312"/>
          <w:sz w:val="32"/>
          <w:szCs w:val="24"/>
        </w:rPr>
        <w:t>　　（三）国有资产占有使用情况</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both"/>
        <w:textAlignment w:val="auto"/>
        <w:rPr>
          <w:rFonts w:hint="eastAsia" w:ascii="仿宋_GB2312" w:hAnsi="??_GB2312" w:eastAsia="仿宋_GB2312"/>
          <w:color w:val="auto"/>
          <w:sz w:val="32"/>
          <w:szCs w:val="24"/>
        </w:rPr>
      </w:pPr>
      <w:r>
        <w:rPr>
          <w:rFonts w:hint="eastAsia" w:ascii="仿宋_GB2312" w:hAnsi="仿宋_GB2312" w:eastAsia="仿宋_GB2312"/>
          <w:sz w:val="32"/>
          <w:szCs w:val="24"/>
        </w:rPr>
        <w:t>截至2023年12月31日，厦门市尚文实验学校所属各预算单位共有车辆</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辆，单位价值100万元以上设备</w:t>
      </w:r>
      <w:r>
        <w:rPr>
          <w:rFonts w:hint="eastAsia" w:ascii="仿宋_GB2312" w:hAnsi="仿宋_GB2312" w:eastAsia="仿宋_GB2312"/>
          <w:sz w:val="32"/>
          <w:szCs w:val="24"/>
          <w:lang w:val="en-US" w:eastAsia="zh-CN"/>
        </w:rPr>
        <w:t>0</w:t>
      </w:r>
      <w:r>
        <w:rPr>
          <w:rFonts w:hint="eastAsia" w:ascii="仿宋_GB2312" w:hAnsi="仿宋_GB2312" w:eastAsia="仿宋_GB2312"/>
          <w:sz w:val="32"/>
          <w:szCs w:val="24"/>
        </w:rPr>
        <w:t>台（套）。</w:t>
      </w:r>
      <w:r>
        <w:rPr>
          <w:rFonts w:hint="eastAsia" w:ascii="仿宋_GB2312" w:hAnsi="仿宋_GB2312" w:eastAsia="仿宋_GB2312"/>
          <w:sz w:val="32"/>
          <w:szCs w:val="24"/>
          <w:lang w:eastAsia="zh-CN"/>
        </w:rPr>
        <w:t>说</w:t>
      </w:r>
      <w:r>
        <w:rPr>
          <w:rFonts w:hint="eastAsia" w:ascii="仿宋" w:hAnsi="仿宋" w:eastAsia="仿宋"/>
          <w:color w:val="auto"/>
          <w:sz w:val="32"/>
          <w:szCs w:val="24"/>
          <w:lang w:eastAsia="zh-CN"/>
        </w:rPr>
        <w:t>明：</w:t>
      </w:r>
      <w:r>
        <w:rPr>
          <w:rFonts w:hint="eastAsia" w:ascii="FangSong_GB2312" w:hAnsi="FangSong_GB2312" w:eastAsia="FangSong_GB2312"/>
          <w:sz w:val="32"/>
          <w:szCs w:val="24"/>
          <w:lang w:eastAsia="zh-CN"/>
        </w:rPr>
        <w:t>本单位没有国有资产占有使用情况。</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仿宋_GB2312" w:hAnsi="仿宋_GB2312" w:eastAsia="仿宋_GB2312"/>
          <w:sz w:val="32"/>
          <w:szCs w:val="24"/>
        </w:rPr>
      </w:pPr>
      <w:r>
        <w:rPr>
          <w:rFonts w:hint="eastAsia" w:ascii="楷体_GB2312" w:hAnsi="楷体_GB2312" w:eastAsia="楷体_GB2312"/>
          <w:sz w:val="32"/>
          <w:szCs w:val="24"/>
        </w:rPr>
        <w:t>　　（四）绩效目标设置情况</w:t>
      </w:r>
    </w:p>
    <w:p>
      <w:pPr>
        <w:keepNext w:val="0"/>
        <w:keepLines w:val="0"/>
        <w:pageBreakBefore w:val="0"/>
        <w:widowControl w:val="0"/>
        <w:kinsoku/>
        <w:wordWrap/>
        <w:overflowPunct/>
        <w:topLinePunct w:val="0"/>
        <w:autoSpaceDE w:val="0"/>
        <w:autoSpaceDN w:val="0"/>
        <w:bidi w:val="0"/>
        <w:adjustRightInd w:val="0"/>
        <w:spacing w:line="560" w:lineRule="exact"/>
        <w:ind w:firstLine="651"/>
        <w:jc w:val="both"/>
        <w:textAlignment w:val="auto"/>
        <w:rPr>
          <w:rFonts w:hint="eastAsia" w:ascii="仿宋_GB2312" w:hAnsi="仿宋_GB2312" w:eastAsia="仿宋_GB2312"/>
          <w:sz w:val="32"/>
          <w:szCs w:val="24"/>
        </w:rPr>
      </w:pPr>
      <w:r>
        <w:rPr>
          <w:rFonts w:hint="eastAsia" w:ascii="仿宋_GB2312" w:hAnsi="仿宋_GB2312" w:eastAsia="仿宋_GB2312"/>
          <w:sz w:val="32"/>
          <w:szCs w:val="24"/>
        </w:rPr>
        <w:t>厦门市尚文实验学校2024年实行绩效目标管理的二级项目1个，涉及一般公共预算拨款3.60万元、政府性基金预算拨款0.00万元。</w:t>
      </w:r>
    </w:p>
    <w:p>
      <w:pPr>
        <w:pStyle w:val="2"/>
        <w:keepNext w:val="0"/>
        <w:keepLines w:val="0"/>
        <w:pageBreakBefore w:val="0"/>
        <w:widowControl w:val="0"/>
        <w:kinsoku/>
        <w:wordWrap/>
        <w:overflowPunct/>
        <w:topLinePunct w:val="0"/>
        <w:autoSpaceDE w:val="0"/>
        <w:autoSpaceDN w:val="0"/>
        <w:bidi w:val="0"/>
        <w:adjustRightInd w:val="0"/>
        <w:spacing w:line="560" w:lineRule="exact"/>
        <w:ind w:firstLine="651"/>
        <w:jc w:val="both"/>
        <w:textAlignment w:val="auto"/>
        <w:rPr>
          <w:rFonts w:hint="eastAsia"/>
        </w:rPr>
      </w:pPr>
    </w:p>
    <w:p>
      <w:pPr>
        <w:keepNext w:val="0"/>
        <w:keepLines w:val="0"/>
        <w:pageBreakBefore w:val="0"/>
        <w:widowControl w:val="0"/>
        <w:kinsoku/>
        <w:wordWrap/>
        <w:overflowPunct/>
        <w:topLinePunct w:val="0"/>
        <w:autoSpaceDE w:val="0"/>
        <w:autoSpaceDN w:val="0"/>
        <w:bidi w:val="0"/>
        <w:adjustRightInd w:val="0"/>
        <w:spacing w:line="560" w:lineRule="exact"/>
        <w:ind w:left="20"/>
        <w:jc w:val="center"/>
        <w:textAlignment w:val="auto"/>
        <w:rPr>
          <w:rFonts w:hint="eastAsia" w:ascii="黑体" w:hAnsi="黑体" w:eastAsia="黑体"/>
          <w:sz w:val="32"/>
          <w:szCs w:val="24"/>
        </w:rPr>
      </w:pPr>
      <w:r>
        <w:rPr>
          <w:rFonts w:hint="eastAsia" w:ascii="黑体" w:hAnsi="黑体" w:eastAsia="黑体"/>
          <w:sz w:val="32"/>
          <w:szCs w:val="24"/>
        </w:rPr>
        <w:t>第三部分  名词解释</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楷体_GB2312" w:hAnsi="楷体_GB2312" w:eastAsia="楷体_GB2312"/>
          <w:sz w:val="32"/>
          <w:szCs w:val="24"/>
        </w:rPr>
      </w:pPr>
      <w:r>
        <w:rPr>
          <w:rFonts w:hint="eastAsia" w:ascii="楷体_GB2312" w:hAnsi="楷体_GB2312" w:eastAsia="楷体_GB2312"/>
          <w:sz w:val="32"/>
          <w:szCs w:val="24"/>
        </w:rPr>
        <w:t>　　一、基本支出</w:t>
      </w:r>
      <w:r>
        <w:rPr>
          <w:rFonts w:hint="eastAsia" w:ascii="楷体" w:hAnsi="楷体" w:eastAsia="楷体"/>
          <w:sz w:val="32"/>
          <w:szCs w:val="24"/>
        </w:rPr>
        <w:t>：</w:t>
      </w:r>
      <w:r>
        <w:rPr>
          <w:rFonts w:hint="eastAsia" w:ascii="仿宋_GB2312" w:hAnsi="仿宋_GB2312" w:eastAsia="仿宋_GB2312"/>
          <w:sz w:val="32"/>
          <w:szCs w:val="24"/>
        </w:rPr>
        <w:t>指为保障机构正常运转、完成日常工作任务而发生的人员支出、对个人和家庭的补助支出和公用支出。</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楷体_GB2312" w:hAnsi="楷体_GB2312" w:eastAsia="楷体_GB2312"/>
          <w:sz w:val="32"/>
          <w:szCs w:val="24"/>
        </w:rPr>
      </w:pPr>
      <w:r>
        <w:rPr>
          <w:rFonts w:hint="eastAsia" w:ascii="楷体_GB2312" w:hAnsi="楷体_GB2312" w:eastAsia="楷体_GB2312"/>
          <w:sz w:val="32"/>
          <w:szCs w:val="24"/>
        </w:rPr>
        <w:t>　　二、项目支出：</w:t>
      </w:r>
      <w:r>
        <w:rPr>
          <w:rFonts w:hint="eastAsia" w:ascii="仿宋_GB2312" w:hAnsi="仿宋_GB2312" w:eastAsia="仿宋_GB2312"/>
          <w:sz w:val="32"/>
          <w:szCs w:val="24"/>
        </w:rPr>
        <w:t>指在基本支出之外为完成特定行政任务和事业发展目标所发生的支出，包括部门专项、发展经费和基建项目。</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楷体_GB2312" w:hAnsi="楷体_GB2312" w:eastAsia="楷体_GB2312"/>
          <w:sz w:val="32"/>
          <w:szCs w:val="24"/>
        </w:rPr>
      </w:pPr>
      <w:r>
        <w:rPr>
          <w:rFonts w:hint="eastAsia" w:ascii="楷体_GB2312" w:hAnsi="楷体_GB2312" w:eastAsia="楷体_GB2312"/>
          <w:sz w:val="32"/>
          <w:szCs w:val="24"/>
        </w:rPr>
        <w:t>　　三、“三公”经费：</w:t>
      </w:r>
      <w:r>
        <w:rPr>
          <w:rFonts w:hint="eastAsia" w:ascii="仿宋_GB2312" w:hAnsi="仿宋_GB2312" w:eastAsia="仿宋_GB2312"/>
          <w:sz w:val="32"/>
          <w:szCs w:val="24"/>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default" w:ascii="楷体_GB2312" w:hAnsi="楷体_GB2312" w:eastAsia="楷体_GB2312"/>
          <w:sz w:val="32"/>
          <w:szCs w:val="24"/>
        </w:rPr>
      </w:pPr>
      <w:r>
        <w:rPr>
          <w:rFonts w:hint="eastAsia" w:ascii="楷体_GB2312" w:hAnsi="楷体_GB2312" w:eastAsia="楷体_GB2312"/>
          <w:sz w:val="32"/>
          <w:szCs w:val="24"/>
        </w:rPr>
        <w:t>　　四、机关运行经费：</w:t>
      </w:r>
      <w:r>
        <w:rPr>
          <w:rFonts w:hint="eastAsia" w:ascii="仿宋_GB2312" w:hAnsi="仿宋_GB2312" w:eastAsia="仿宋_GB2312"/>
          <w:sz w:val="32"/>
          <w:szCs w:val="24"/>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pacing w:line="560" w:lineRule="exact"/>
        <w:ind w:left="20" w:firstLine="640" w:firstLineChars="200"/>
        <w:jc w:val="both"/>
        <w:textAlignment w:val="auto"/>
        <w:rPr>
          <w:rFonts w:hint="eastAsia" w:ascii="仿宋_GB2312" w:hAnsi="仿宋_GB2312" w:eastAsia="仿宋_GB2312"/>
          <w:sz w:val="32"/>
          <w:szCs w:val="24"/>
          <w:lang w:eastAsia="zh-CN"/>
        </w:rPr>
      </w:pPr>
      <w:r>
        <w:rPr>
          <w:rFonts w:hint="eastAsia" w:ascii="楷体_GB2312" w:hAnsi="楷体_GB2312" w:eastAsia="楷体_GB2312"/>
          <w:sz w:val="32"/>
          <w:szCs w:val="24"/>
        </w:rPr>
        <w:t>　　五、其他名词解释。</w:t>
      </w:r>
      <w:r>
        <w:rPr>
          <w:rFonts w:hint="eastAsia" w:ascii="仿宋_GB2312" w:hAnsi="仿宋_GB2312" w:eastAsia="仿宋_GB2312"/>
          <w:sz w:val="32"/>
          <w:szCs w:val="24"/>
          <w:lang w:eastAsia="zh-CN"/>
        </w:rPr>
        <w:t>无</w:t>
      </w:r>
    </w:p>
    <w:p>
      <w:pPr>
        <w:keepNext w:val="0"/>
        <w:keepLines w:val="0"/>
        <w:pageBreakBefore w:val="0"/>
        <w:widowControl w:val="0"/>
        <w:kinsoku/>
        <w:wordWrap/>
        <w:overflowPunct/>
        <w:topLinePunct w:val="0"/>
        <w:autoSpaceDE w:val="0"/>
        <w:autoSpaceDN w:val="0"/>
        <w:bidi w:val="0"/>
        <w:adjustRightInd w:val="0"/>
        <w:spacing w:line="560" w:lineRule="exact"/>
        <w:jc w:val="both"/>
        <w:textAlignment w:val="auto"/>
        <w:rPr>
          <w:rFonts w:hint="eastAsia" w:ascii="仿宋_GB2312" w:hAnsi="仿宋_GB2312" w:eastAsia="仿宋_GB2312"/>
          <w:sz w:val="32"/>
          <w:szCs w:val="24"/>
        </w:rPr>
      </w:pPr>
    </w:p>
    <w:p>
      <w:pPr>
        <w:keepNext w:val="0"/>
        <w:keepLines w:val="0"/>
        <w:pageBreakBefore w:val="0"/>
        <w:widowControl w:val="0"/>
        <w:kinsoku/>
        <w:wordWrap/>
        <w:overflowPunct/>
        <w:topLinePunct w:val="0"/>
        <w:autoSpaceDE w:val="0"/>
        <w:autoSpaceDN w:val="0"/>
        <w:bidi w:val="0"/>
        <w:adjustRightInd w:val="0"/>
        <w:spacing w:line="560" w:lineRule="exact"/>
        <w:ind w:left="20"/>
        <w:jc w:val="center"/>
        <w:textAlignment w:val="auto"/>
        <w:rPr>
          <w:rFonts w:hint="eastAsia" w:ascii="黑体" w:hAnsi="黑体" w:eastAsia="黑体"/>
          <w:sz w:val="32"/>
          <w:szCs w:val="24"/>
        </w:rPr>
      </w:pPr>
      <w:r>
        <w:rPr>
          <w:rFonts w:hint="eastAsia" w:ascii="黑体" w:hAnsi="黑体" w:eastAsia="黑体"/>
          <w:sz w:val="32"/>
          <w:szCs w:val="24"/>
        </w:rPr>
        <w:t>第四部分  2024年单位预算附表</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一、部门收支预算总体情况表</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二、部门收入预算总体情况表</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三、部门支出预算总体情况表</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四、财政拨款收支预算总体情况表</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五、一般公共预算支出情况表</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六、一般公共预算基本支出情况表（经济分类款级科目）</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七、一般公共预算“三公”经费支出情况表</w:t>
      </w: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default" w:ascii="仿宋_GB2312" w:hAnsi="仿宋_GB2312" w:eastAsia="仿宋_GB2312"/>
          <w:sz w:val="32"/>
          <w:szCs w:val="24"/>
        </w:rPr>
      </w:pPr>
      <w:r>
        <w:rPr>
          <w:rFonts w:hint="eastAsia" w:ascii="仿宋_GB2312" w:hAnsi="仿宋_GB2312" w:eastAsia="仿宋_GB2312"/>
          <w:sz w:val="32"/>
          <w:szCs w:val="24"/>
        </w:rPr>
        <w:t>　　八、政府性基金预算支出情况表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jc w:val="both"/>
        <w:textAlignment w:val="auto"/>
        <w:rPr>
          <w:rFonts w:hint="eastAsia"/>
        </w:rPr>
      </w:pPr>
      <w:r>
        <w:rPr>
          <w:rFonts w:hint="eastAsia" w:ascii="仿宋_GB2312" w:hAnsi="仿宋_GB2312" w:eastAsia="仿宋_GB2312"/>
          <w:sz w:val="32"/>
          <w:szCs w:val="24"/>
        </w:rPr>
        <w:t>九、区对镇（街）转移支付项目支出预算表</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sz w:val="24"/>
          <w:szCs w:val="24"/>
        </w:rPr>
      </w:pPr>
      <w:r>
        <w:rPr>
          <w:rFonts w:hint="eastAsia" w:ascii="仿宋_GB2312" w:hAnsi="仿宋_GB2312" w:eastAsia="仿宋_GB2312"/>
          <w:sz w:val="32"/>
          <w:szCs w:val="24"/>
          <w:lang w:val="en-US" w:eastAsia="zh-CN"/>
        </w:rPr>
        <w:t>十、二级项目绩效目标表</w:t>
      </w: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roma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 w:name="楷体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_GB2312">
    <w:altName w:val="Cambria"/>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roman"/>
    <w:pitch w:val="default"/>
    <w:sig w:usb0="00000000" w:usb1="00000000" w:usb2="00000000" w:usb3="00000000" w:csb0="0004009F" w:csb1="DFD70000"/>
  </w:font>
  <w:font w:name="FangSong_GB2312">
    <w:altName w:val="仿宋"/>
    <w:panose1 w:val="00000000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rPr>
              <w:rFonts w:hint="default"/>
              <w:sz w:val="24"/>
              <w:szCs w:val="24"/>
            </w:rPr>
          </w:pPr>
        </w:p>
      </w:tc>
      <w:tc>
        <w:tcPr>
          <w:tcW w:w="3163" w:type="dxa"/>
          <w:tcBorders>
            <w:top w:val="nil"/>
            <w:left w:val="nil"/>
            <w:bottom w:val="nil"/>
            <w:right w:val="nil"/>
            <w:tl2br w:val="nil"/>
            <w:tr2bl w:val="nil"/>
          </w:tcBorders>
          <w:shd w:val="clear" w:color="auto" w:fill="FFFFFF"/>
          <w:noWrap w:val="0"/>
          <w:vAlign w:val="top"/>
        </w:tcPr>
        <w:p>
          <w:pPr>
            <w:spacing w:line="320" w:lineRule="atLeast"/>
            <w:jc w:val="center"/>
            <w:rPr>
              <w:rFonts w:hint="eastAsia" w:ascii="宋体" w:hAnsi="宋体"/>
              <w:sz w:val="18"/>
              <w:szCs w:val="24"/>
            </w:rPr>
          </w:pPr>
          <w:r>
            <w:rPr>
              <w:rFonts w:hint="eastAsia" w:ascii="宋体" w:hAnsi="宋体"/>
              <w:sz w:val="18"/>
              <w:szCs w:val="24"/>
            </w:rPr>
            <w:fldChar w:fldCharType="begin"/>
          </w:r>
          <w:r>
            <w:rPr>
              <w:rFonts w:hint="eastAsia" w:ascii="宋体" w:hAnsi="宋体"/>
              <w:sz w:val="18"/>
              <w:szCs w:val="24"/>
            </w:rPr>
            <w:instrText xml:space="preserve">PAGE</w:instrText>
          </w:r>
          <w:r>
            <w:rPr>
              <w:rFonts w:hint="eastAsia" w:ascii="宋体" w:hAnsi="宋体"/>
              <w:sz w:val="18"/>
              <w:szCs w:val="24"/>
            </w:rPr>
            <w:fldChar w:fldCharType="separate"/>
          </w:r>
          <w:r>
            <w:rPr>
              <w:rFonts w:hint="eastAsia" w:ascii="宋体" w:hAnsi="宋体"/>
              <w:sz w:val="18"/>
              <w:szCs w:val="24"/>
            </w:rPr>
            <w:t xml:space="preserve"> </w:t>
          </w:r>
          <w:r>
            <w:rPr>
              <w:rFonts w:hint="eastAsia" w:ascii="宋体" w:hAnsi="宋体"/>
              <w:sz w:val="18"/>
              <w:szCs w:val="24"/>
            </w:rPr>
            <w:fldChar w:fldCharType="end"/>
          </w:r>
          <w:r>
            <w:rPr>
              <w:rFonts w:hint="eastAsia" w:ascii="宋体" w:hAnsi="宋体"/>
              <w:sz w:val="18"/>
              <w:szCs w:val="24"/>
            </w:rPr>
            <w:t xml:space="preserve"> </w:t>
          </w:r>
        </w:p>
      </w:tc>
      <w:tc>
        <w:tcPr>
          <w:tcW w:w="3163" w:type="dxa"/>
          <w:tcBorders>
            <w:top w:val="nil"/>
            <w:left w:val="nil"/>
            <w:bottom w:val="nil"/>
            <w:right w:val="nil"/>
            <w:tl2br w:val="nil"/>
            <w:tr2bl w:val="nil"/>
          </w:tcBorders>
          <w:shd w:val="clear" w:color="auto" w:fill="FFFFFF"/>
          <w:noWrap w:val="0"/>
          <w:vAlign w:val="top"/>
        </w:tcPr>
        <w:p>
          <w:pPr>
            <w:rPr>
              <w:rFonts w:hint="default"/>
              <w:sz w:val="24"/>
              <w:szCs w:val="24"/>
            </w:rPr>
          </w:pPr>
        </w:p>
      </w:tc>
    </w:tr>
  </w:tbl>
  <w:p>
    <w:pPr>
      <w:rPr>
        <w:rFonts w:hint="default"/>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YWI2NGRjZTIxYTQ4MTViZWRiZWM5MTVhNjRiNGQifQ=="/>
  </w:docVars>
  <w:rsids>
    <w:rsidRoot w:val="00172A27"/>
    <w:rsid w:val="18B42F68"/>
    <w:rsid w:val="1C1B6C63"/>
    <w:rsid w:val="1D3D07F1"/>
    <w:rsid w:val="3204607C"/>
    <w:rsid w:val="3AA0047A"/>
    <w:rsid w:val="3E614F77"/>
    <w:rsid w:val="3FD712B3"/>
    <w:rsid w:val="43941D85"/>
    <w:rsid w:val="49143F5F"/>
    <w:rsid w:val="4AEF4DE0"/>
    <w:rsid w:val="57D167E0"/>
    <w:rsid w:val="6C8560A9"/>
    <w:rsid w:val="774B1489"/>
    <w:rsid w:val="7CAE5171"/>
    <w:rsid w:val="7DA40BA5"/>
    <w:rsid w:val="7EC17847"/>
    <w:rsid w:val="7F5459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semiHidden="0" w:name="Normal"/>
    <w:lsdException w:qFormat="1"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99"/>
    <w:pPr>
      <w:widowControl w:val="0"/>
      <w:autoSpaceDE w:val="0"/>
      <w:autoSpaceDN w:val="0"/>
      <w:adjustRightInd w:val="0"/>
    </w:pPr>
    <w:rPr>
      <w:rFonts w:hint="default" w:ascii="Arial" w:hAnsi="Arial" w:eastAsia="宋体" w:cs="Times New Roman"/>
      <w:color w:val="000000"/>
      <w:sz w:val="24"/>
      <w:szCs w:val="24"/>
    </w:rPr>
  </w:style>
  <w:style w:type="paragraph" w:styleId="3">
    <w:name w:val="heading 1"/>
    <w:next w:val="1"/>
    <w:unhideWhenUsed/>
    <w:qFormat/>
    <w:uiPriority w:val="99"/>
    <w:pPr>
      <w:widowControl w:val="0"/>
      <w:autoSpaceDE w:val="0"/>
      <w:autoSpaceDN w:val="0"/>
      <w:adjustRightInd w:val="0"/>
    </w:pPr>
    <w:rPr>
      <w:rFonts w:hint="default" w:ascii="Arial" w:hAnsi="Arial" w:eastAsia="宋体" w:cs="Times New Roman"/>
      <w:b/>
      <w:color w:val="000000"/>
      <w:sz w:val="32"/>
      <w:szCs w:val="24"/>
    </w:rPr>
  </w:style>
  <w:style w:type="paragraph" w:styleId="4">
    <w:name w:val="heading 2"/>
    <w:next w:val="1"/>
    <w:unhideWhenUsed/>
    <w:qFormat/>
    <w:uiPriority w:val="99"/>
    <w:pPr>
      <w:widowControl w:val="0"/>
      <w:autoSpaceDE w:val="0"/>
      <w:autoSpaceDN w:val="0"/>
      <w:adjustRightInd w:val="0"/>
    </w:pPr>
    <w:rPr>
      <w:rFonts w:hint="default" w:ascii="Arial" w:hAnsi="Arial" w:eastAsia="宋体" w:cs="Times New Roman"/>
      <w:b/>
      <w:i/>
      <w:color w:val="000000"/>
      <w:sz w:val="28"/>
      <w:szCs w:val="24"/>
    </w:rPr>
  </w:style>
  <w:style w:type="paragraph" w:styleId="5">
    <w:name w:val="heading 3"/>
    <w:next w:val="1"/>
    <w:unhideWhenUsed/>
    <w:qFormat/>
    <w:uiPriority w:val="99"/>
    <w:pPr>
      <w:widowControl w:val="0"/>
      <w:autoSpaceDE w:val="0"/>
      <w:autoSpaceDN w:val="0"/>
      <w:adjustRightInd w:val="0"/>
    </w:pPr>
    <w:rPr>
      <w:rFonts w:hint="default" w:ascii="Arial" w:hAnsi="Arial" w:eastAsia="宋体" w:cs="Times New Roman"/>
      <w:b/>
      <w:color w:val="000000"/>
      <w:sz w:val="26"/>
      <w:szCs w:val="24"/>
    </w:rPr>
  </w:style>
  <w:style w:type="character" w:default="1" w:styleId="6">
    <w:name w:val="Default Paragraph Font"/>
    <w:unhideWhenUsed/>
    <w:qFormat/>
    <w:uiPriority w:val="99"/>
    <w:rPr>
      <w:rFonts w:hint="default"/>
      <w:sz w:val="24"/>
      <w:szCs w:val="24"/>
    </w:rPr>
  </w:style>
  <w:style w:type="table" w:default="1" w:styleId="7">
    <w:name w:val="Normal Table"/>
    <w:qFormat/>
    <w:uiPriority w:val="99"/>
    <w:tblPr>
      <w:tblLayout w:type="fixed"/>
      <w:tblCellMar>
        <w:top w:w="0" w:type="dxa"/>
        <w:left w:w="108" w:type="dxa"/>
        <w:bottom w:w="0" w:type="dxa"/>
        <w:right w:w="108" w:type="dxa"/>
      </w:tblCellMar>
    </w:tblPr>
  </w:style>
  <w:style w:type="paragraph" w:customStyle="1" w:styleId="2">
    <w:name w:val="1.正文"/>
    <w:basedOn w:val="1"/>
    <w:unhideWhenUsed/>
    <w:qFormat/>
    <w:uiPriority w:val="99"/>
    <w:rPr>
      <w:rFonts w:hint="default" w:hAnsi="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2024-04-01T09:05:00Z</dcterms:created>
  <dc:creator>dell</dc:creator>
  <cp:lastModifiedBy>Administrator</cp:lastModifiedBy>
  <dcterms:modified xsi:type="dcterms:W3CDTF">2024-04-08T03:26:52Z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0B3935891A084120ADDC5EC26897F5F1_13</vt:lpwstr>
  </property>
</Properties>
</file>