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0" w:afterLines="0"/>
        <w:rPr>
          <w:rFonts w:hint="default"/>
          <w:sz w:val="2"/>
        </w:rPr>
      </w:pPr>
    </w:p>
    <w:p>
      <w:pPr>
        <w:spacing w:beforeLines="0" w:afterLines="0" w:line="525" w:lineRule="exact"/>
        <w:jc w:val="center"/>
        <w:rPr>
          <w:rFonts w:hint="default" w:ascii="黑体" w:hAnsi="黑体" w:eastAsia="黑体"/>
          <w:sz w:val="30"/>
        </w:rPr>
      </w:pPr>
      <w:r>
        <w:rPr>
          <w:rFonts w:hint="eastAsia" w:ascii="方正小标宋简体" w:hAnsi="方正小标宋简体" w:eastAsia="方正小标宋简体"/>
          <w:sz w:val="44"/>
        </w:rPr>
        <w:t>2024年度厦门市东渡第二小学单位预算</w:t>
      </w:r>
    </w:p>
    <w:p>
      <w:pPr>
        <w:spacing w:beforeLines="0" w:afterLines="0" w:line="525" w:lineRule="exact"/>
        <w:jc w:val="center"/>
        <w:rPr>
          <w:rFonts w:hint="default" w:ascii="黑体" w:hAnsi="黑体" w:eastAsia="黑体"/>
          <w:sz w:val="30"/>
        </w:rPr>
      </w:pPr>
    </w:p>
    <w:p>
      <w:pPr>
        <w:spacing w:beforeLines="0" w:afterLines="0" w:line="525" w:lineRule="exact"/>
        <w:jc w:val="center"/>
        <w:rPr>
          <w:rFonts w:hint="eastAsia" w:ascii="黑体" w:hAnsi="黑体" w:eastAsia="黑体"/>
          <w:sz w:val="32"/>
        </w:rPr>
      </w:pPr>
      <w:r>
        <w:rPr>
          <w:rFonts w:hint="eastAsia" w:ascii="黑体" w:hAnsi="黑体" w:eastAsia="黑体"/>
          <w:sz w:val="32"/>
        </w:rPr>
        <w:t>目　　录</w:t>
      </w:r>
    </w:p>
    <w:p>
      <w:pPr>
        <w:spacing w:beforeLines="0" w:afterLines="0" w:line="555" w:lineRule="exact"/>
        <w:rPr>
          <w:rFonts w:hint="default" w:ascii="仿宋" w:hAnsi="仿宋" w:eastAsia="仿宋"/>
          <w:sz w:val="32"/>
        </w:rPr>
      </w:pPr>
      <w:r>
        <w:rPr>
          <w:rFonts w:hint="eastAsia" w:ascii="黑体" w:hAnsi="黑体" w:eastAsia="黑体"/>
          <w:sz w:val="32"/>
        </w:rPr>
        <w:t>　　第一部分   单位概况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一、单位主要职责</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二、单位基本情况</w:t>
      </w:r>
    </w:p>
    <w:p>
      <w:pPr>
        <w:spacing w:beforeLines="0" w:afterLines="0" w:line="555" w:lineRule="exact"/>
        <w:rPr>
          <w:rFonts w:hint="default" w:ascii="黑体" w:hAnsi="黑体" w:eastAsia="黑体"/>
          <w:sz w:val="32"/>
        </w:rPr>
      </w:pPr>
      <w:r>
        <w:rPr>
          <w:rFonts w:hint="eastAsia" w:ascii="仿宋_GB2312" w:hAnsi="仿宋_GB2312" w:eastAsia="仿宋_GB2312"/>
          <w:sz w:val="32"/>
        </w:rPr>
        <w:t>　　三、单位主要工作任务</w:t>
      </w:r>
    </w:p>
    <w:p>
      <w:pPr>
        <w:spacing w:beforeLines="0" w:afterLines="0" w:line="555" w:lineRule="exact"/>
        <w:rPr>
          <w:rFonts w:hint="default" w:ascii="黑体" w:hAnsi="黑体" w:eastAsia="黑体"/>
          <w:sz w:val="32"/>
        </w:rPr>
      </w:pPr>
      <w:r>
        <w:rPr>
          <w:rFonts w:hint="eastAsia" w:ascii="黑体" w:hAnsi="黑体" w:eastAsia="黑体"/>
          <w:sz w:val="32"/>
        </w:rPr>
        <w:t>　　第二部分   2024年单位预算说明</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一、2024年单位预算收支总体情况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二、一般公共预算财政拨款支出预算情况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三、政府性基金预算财政拨款支出情况</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四、“三公”经费财政拨款预算情况</w:t>
      </w:r>
    </w:p>
    <w:p>
      <w:pPr>
        <w:spacing w:beforeLines="0" w:afterLines="0" w:line="555" w:lineRule="exact"/>
        <w:rPr>
          <w:rFonts w:hint="default" w:ascii="黑体" w:hAnsi="黑体" w:eastAsia="黑体"/>
          <w:sz w:val="32"/>
        </w:rPr>
      </w:pPr>
      <w:r>
        <w:rPr>
          <w:rFonts w:hint="eastAsia" w:ascii="仿宋_GB2312" w:hAnsi="仿宋_GB2312" w:eastAsia="仿宋_GB2312"/>
          <w:sz w:val="32"/>
        </w:rPr>
        <w:t>　　五、其他重要事项的情况说明</w:t>
      </w:r>
    </w:p>
    <w:p>
      <w:pPr>
        <w:spacing w:beforeLines="0" w:afterLines="0" w:line="555" w:lineRule="exact"/>
        <w:rPr>
          <w:rFonts w:hint="default" w:ascii="黑体" w:hAnsi="黑体" w:eastAsia="黑体"/>
          <w:sz w:val="32"/>
        </w:rPr>
      </w:pPr>
      <w:r>
        <w:rPr>
          <w:rFonts w:hint="eastAsia" w:ascii="黑体" w:hAnsi="黑体" w:eastAsia="黑体"/>
          <w:sz w:val="32"/>
        </w:rPr>
        <w:t>　　第三部分   名词解释</w:t>
      </w:r>
    </w:p>
    <w:p>
      <w:pPr>
        <w:spacing w:beforeLines="0" w:afterLines="0" w:line="555" w:lineRule="exact"/>
        <w:rPr>
          <w:rFonts w:hint="default" w:ascii="黑体" w:hAnsi="黑体" w:eastAsia="黑体"/>
          <w:sz w:val="32"/>
        </w:rPr>
      </w:pPr>
      <w:r>
        <w:rPr>
          <w:rFonts w:hint="eastAsia" w:ascii="黑体" w:hAnsi="黑体" w:eastAsia="黑体"/>
          <w:sz w:val="32"/>
        </w:rPr>
        <w:t>　　第四部分   2024年单位预算附表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一、部门收支预算总体情况表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二、部门收入预算总体情况表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三、部门支出预算总体情况表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四、财政拨款收支预算总体情况表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五、 一般公共预算支出情况表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六、一般公共预算基本支出情况表（经济分类款级科目）</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七、一般公共预算“三公”经费支出情况表</w:t>
      </w:r>
    </w:p>
    <w:p>
      <w:pPr>
        <w:spacing w:beforeLines="0" w:afterLines="0" w:line="555" w:lineRule="exact"/>
        <w:rPr>
          <w:rFonts w:hint="default" w:ascii="仿宋_GB2312" w:hAnsi="仿宋_GB2312" w:eastAsia="仿宋_GB2312"/>
          <w:sz w:val="32"/>
        </w:rPr>
      </w:pPr>
      <w:r>
        <w:rPr>
          <w:rFonts w:hint="eastAsia" w:ascii="仿宋_GB2312" w:hAnsi="仿宋_GB2312" w:eastAsia="仿宋_GB2312"/>
          <w:sz w:val="32"/>
        </w:rPr>
        <w:t>　　八、政府性基金预算支出情况表</w:t>
      </w:r>
    </w:p>
    <w:p>
      <w:pPr>
        <w:spacing w:line="555" w:lineRule="exact"/>
        <w:ind w:firstLine="640"/>
        <w:jc w:val="both"/>
        <w:rPr>
          <w:rFonts w:hint="eastAsia" w:ascii="仿宋" w:hAnsi="仿宋" w:eastAsia="仿宋" w:cs="仿宋"/>
          <w:color w:val="auto"/>
          <w:sz w:val="32"/>
          <w:szCs w:val="32"/>
        </w:rPr>
      </w:pPr>
      <w:r>
        <w:rPr>
          <w:rFonts w:hint="eastAsia" w:ascii="仿宋" w:hAnsi="仿宋" w:eastAsia="仿宋" w:cs="仿宋"/>
          <w:color w:val="auto"/>
          <w:sz w:val="32"/>
          <w:szCs w:val="32"/>
        </w:rPr>
        <w:t>九、区对镇（街）转移支付项目支出预算表</w:t>
      </w:r>
    </w:p>
    <w:p>
      <w:pPr>
        <w:spacing w:beforeLines="0" w:afterLines="0" w:line="555" w:lineRule="exact"/>
        <w:ind w:firstLine="640" w:firstLineChars="200"/>
        <w:rPr>
          <w:rFonts w:hint="eastAsia" w:ascii="仿宋_GB2312" w:hAnsi="仿宋_GB2312" w:eastAsia="仿宋_GB2312"/>
          <w:sz w:val="32"/>
        </w:rPr>
      </w:pPr>
      <w:r>
        <w:rPr>
          <w:rFonts w:hint="eastAsia" w:ascii="仿宋" w:hAnsi="仿宋" w:eastAsia="仿宋" w:cs="仿宋"/>
          <w:color w:val="auto"/>
          <w:sz w:val="32"/>
          <w:szCs w:val="32"/>
        </w:rPr>
        <w:t>十、二级项目绩效目标表</w:t>
      </w:r>
    </w:p>
    <w:p>
      <w:pPr>
        <w:spacing w:beforeLines="0" w:afterLines="0" w:line="555" w:lineRule="exact"/>
        <w:ind w:left="20"/>
        <w:jc w:val="center"/>
        <w:rPr>
          <w:rFonts w:hint="eastAsia" w:ascii="黑体" w:hAnsi="黑体" w:eastAsia="黑体"/>
          <w:sz w:val="32"/>
        </w:rPr>
      </w:pPr>
      <w:r>
        <w:rPr>
          <w:rFonts w:hint="eastAsia" w:ascii="黑体" w:hAnsi="黑体" w:eastAsia="黑体"/>
          <w:sz w:val="32"/>
        </w:rPr>
        <w:t>第一部分  单位概况</w:t>
      </w:r>
    </w:p>
    <w:p>
      <w:pPr>
        <w:spacing w:line="555" w:lineRule="exact"/>
        <w:rPr>
          <w:rFonts w:ascii="??_GB2312" w:hAnsi="??_GB2312"/>
          <w:sz w:val="32"/>
        </w:rPr>
      </w:pPr>
      <w:r>
        <w:rPr>
          <w:rFonts w:hint="eastAsia" w:ascii="黑体" w:hAnsi="黑体" w:eastAsia="黑体"/>
          <w:sz w:val="32"/>
        </w:rPr>
        <w:t>　　一、单位主要职责</w:t>
      </w:r>
    </w:p>
    <w:p>
      <w:pPr>
        <w:spacing w:line="555" w:lineRule="exact"/>
        <w:rPr>
          <w:rFonts w:hint="eastAsia" w:ascii="仿宋" w:hAnsi="仿宋" w:eastAsia="仿宋" w:cs="仿宋"/>
          <w:color w:val="auto"/>
          <w:sz w:val="32"/>
          <w:szCs w:val="32"/>
        </w:rPr>
      </w:pPr>
      <w:r>
        <w:rPr>
          <w:rFonts w:hint="eastAsia" w:ascii="宋体" w:hAnsi="宋体" w:cs="宋体"/>
          <w:sz w:val="32"/>
        </w:rPr>
        <w:t>　　</w:t>
      </w:r>
      <w:r>
        <w:rPr>
          <w:rFonts w:hint="eastAsia" w:ascii="仿宋" w:hAnsi="仿宋" w:eastAsia="仿宋" w:cs="仿宋"/>
          <w:color w:val="auto"/>
          <w:sz w:val="32"/>
          <w:szCs w:val="32"/>
        </w:rPr>
        <w:t>厦门市东渡第二小学的主要职责是：</w:t>
      </w:r>
    </w:p>
    <w:p>
      <w:pPr>
        <w:tabs>
          <w:tab w:val="left" w:pos="7513"/>
        </w:tabs>
        <w:snapToGrid w:val="0"/>
        <w:spacing w:line="560" w:lineRule="exact"/>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一）全面贯彻执行党和国家的教育方针、政策、法规；做好学校政治建设、思想建设、组织建设、作风建设、党员队伍建设的工作；维护学校的教学秩序，为学生创造良好的学习环境；积极稳妥地推进教育改革，按教育规律办事，不断提高教育质量。</w:t>
      </w:r>
    </w:p>
    <w:p>
      <w:pPr>
        <w:spacing w:line="560" w:lineRule="exact"/>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（二）坚持教书育人、服务育人、环境育人方针，加强对学生的思想品德教育，使学生的德智体全面发展；抓好教师队伍建设，使每位教师都热心于教育事业；做好安全防范，保证学生的人身安全。</w:t>
      </w:r>
    </w:p>
    <w:p>
      <w:pPr>
        <w:spacing w:line="560" w:lineRule="exact"/>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（三）根据学校规模，设置学校管理机构，建立健全各项规章制度和岗位责任制；做好资产管理、财务管理以及其他管理工作；完成区教育局和上级业务主管部门交办的其</w:t>
      </w:r>
      <w:r>
        <w:rPr>
          <w:rFonts w:hint="eastAsia" w:ascii="仿宋" w:hAnsi="仿宋" w:eastAsia="仿宋" w:cs="仿宋"/>
          <w:color w:val="auto"/>
          <w:sz w:val="32"/>
          <w:szCs w:val="32"/>
          <w:lang w:val="en-US" w:eastAsia="zh-CN"/>
        </w:rPr>
        <w:t>他</w:t>
      </w:r>
      <w:r>
        <w:rPr>
          <w:rFonts w:hint="eastAsia" w:ascii="仿宋" w:hAnsi="仿宋" w:eastAsia="仿宋" w:cs="仿宋"/>
          <w:color w:val="auto"/>
          <w:sz w:val="32"/>
          <w:szCs w:val="32"/>
        </w:rPr>
        <w:t>任务。</w:t>
      </w:r>
    </w:p>
    <w:p>
      <w:pPr>
        <w:spacing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二、单位基本情况</w:t>
      </w:r>
    </w:p>
    <w:p>
      <w:pPr>
        <w:spacing w:line="555" w:lineRule="exact"/>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厦门市东渡第二小学内设</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个处室/科室，包括：德育处、教导处、总务处、教</w:t>
      </w:r>
      <w:r>
        <w:rPr>
          <w:rFonts w:hint="eastAsia" w:ascii="仿宋" w:hAnsi="仿宋" w:eastAsia="仿宋" w:cs="仿宋"/>
          <w:color w:val="auto"/>
          <w:sz w:val="32"/>
          <w:szCs w:val="32"/>
          <w:lang w:eastAsia="zh-CN"/>
        </w:rPr>
        <w:t>研</w:t>
      </w:r>
      <w:r>
        <w:rPr>
          <w:rFonts w:hint="eastAsia" w:ascii="仿宋" w:hAnsi="仿宋" w:eastAsia="仿宋" w:cs="仿宋"/>
          <w:color w:val="auto"/>
          <w:sz w:val="32"/>
          <w:szCs w:val="32"/>
        </w:rPr>
        <w:t>室</w:t>
      </w:r>
      <w:r>
        <w:rPr>
          <w:rFonts w:hint="eastAsia" w:ascii="仿宋" w:hAnsi="仿宋" w:eastAsia="仿宋" w:cs="仿宋"/>
          <w:color w:val="auto"/>
          <w:sz w:val="32"/>
          <w:szCs w:val="32"/>
          <w:lang w:eastAsia="zh-CN"/>
        </w:rPr>
        <w:t>。</w:t>
      </w:r>
    </w:p>
    <w:p>
      <w:pPr>
        <w:spacing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三、单位主要工作任务</w:t>
      </w:r>
    </w:p>
    <w:p>
      <w:pPr>
        <w:spacing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2024年，厦门市东渡第二小学主要</w:t>
      </w:r>
      <w:r>
        <w:rPr>
          <w:rFonts w:hint="eastAsia" w:ascii="仿宋" w:hAnsi="仿宋" w:eastAsia="仿宋" w:cs="仿宋"/>
          <w:color w:val="auto"/>
          <w:sz w:val="32"/>
          <w:szCs w:val="32"/>
          <w:lang w:eastAsia="zh-CN"/>
        </w:rPr>
        <w:t>工作</w:t>
      </w:r>
      <w:r>
        <w:rPr>
          <w:rFonts w:hint="eastAsia" w:ascii="仿宋" w:hAnsi="仿宋" w:eastAsia="仿宋" w:cs="仿宋"/>
          <w:color w:val="auto"/>
          <w:sz w:val="32"/>
          <w:szCs w:val="32"/>
        </w:rPr>
        <w:t>任务是：</w:t>
      </w:r>
      <w:r>
        <w:rPr>
          <w:rFonts w:hint="eastAsia" w:ascii="仿宋" w:hAnsi="仿宋" w:eastAsia="仿宋" w:cs="仿宋"/>
          <w:color w:val="auto"/>
          <w:kern w:val="2"/>
          <w:sz w:val="32"/>
          <w:szCs w:val="32"/>
        </w:rPr>
        <w:t>坚持社会主义办学方向，坚持国家的教育方针，把立德、树人作为根本任务，全面实施素质教育，努力办好人民满意的教育。</w:t>
      </w:r>
      <w:r>
        <w:rPr>
          <w:rFonts w:hint="eastAsia" w:ascii="仿宋" w:hAnsi="仿宋" w:eastAsia="仿宋" w:cs="仿宋"/>
          <w:color w:val="auto"/>
          <w:sz w:val="32"/>
          <w:szCs w:val="32"/>
        </w:rPr>
        <w:t>围绕上述任务，重点抓好以下工作：</w:t>
      </w:r>
    </w:p>
    <w:p>
      <w:pPr>
        <w:pStyle w:val="6"/>
        <w:shd w:val="clear" w:color="auto" w:fill="FFFFFF"/>
        <w:spacing w:before="0" w:beforeAutospacing="0" w:after="0" w:afterAutospacing="0" w:line="560" w:lineRule="exact"/>
        <w:ind w:firstLine="641"/>
        <w:rPr>
          <w:rFonts w:hint="eastAsia" w:ascii="仿宋" w:hAnsi="仿宋" w:eastAsia="仿宋" w:cs="仿宋"/>
          <w:color w:val="auto"/>
          <w:sz w:val="32"/>
          <w:szCs w:val="32"/>
        </w:rPr>
      </w:pPr>
      <w:r>
        <w:rPr>
          <w:rFonts w:hint="eastAsia" w:ascii="仿宋" w:hAnsi="仿宋" w:eastAsia="仿宋" w:cs="仿宋"/>
          <w:color w:val="auto"/>
          <w:sz w:val="32"/>
          <w:szCs w:val="32"/>
        </w:rPr>
        <w:t>（一）根据国家法律法规和教育行政部门的相关规定，落实招生入学方案，保障适龄儿童少年平等接受义务教育的权利。</w:t>
      </w:r>
    </w:p>
    <w:p>
      <w:pPr>
        <w:pStyle w:val="6"/>
        <w:shd w:val="clear" w:color="auto" w:fill="FFFFFF"/>
        <w:spacing w:before="0" w:beforeAutospacing="0" w:after="0" w:afterAutospacing="0" w:line="560" w:lineRule="exact"/>
        <w:ind w:firstLine="641"/>
        <w:rPr>
          <w:rFonts w:hint="eastAsia" w:ascii="仿宋" w:hAnsi="仿宋" w:eastAsia="仿宋" w:cs="仿宋"/>
          <w:color w:val="auto"/>
          <w:sz w:val="32"/>
          <w:szCs w:val="32"/>
        </w:rPr>
      </w:pPr>
      <w:r>
        <w:rPr>
          <w:rFonts w:hint="eastAsia" w:ascii="仿宋" w:hAnsi="仿宋" w:eastAsia="仿宋" w:cs="仿宋"/>
          <w:color w:val="auto"/>
          <w:sz w:val="32"/>
          <w:szCs w:val="32"/>
        </w:rPr>
        <w:t>（二）实行收费公示制度，严格执行国家关于义务教育免费的规定。</w:t>
      </w:r>
    </w:p>
    <w:p>
      <w:pPr>
        <w:pStyle w:val="6"/>
        <w:shd w:val="clear" w:color="auto" w:fill="FFFFFF"/>
        <w:spacing w:before="0" w:beforeAutospacing="0" w:after="0" w:afterAutospacing="0" w:line="560" w:lineRule="exact"/>
        <w:ind w:firstLine="641"/>
        <w:rPr>
          <w:rFonts w:hint="eastAsia" w:ascii="仿宋" w:hAnsi="仿宋" w:eastAsia="仿宋" w:cs="仿宋"/>
          <w:color w:val="auto"/>
          <w:sz w:val="32"/>
          <w:szCs w:val="32"/>
        </w:rPr>
      </w:pPr>
      <w:r>
        <w:rPr>
          <w:rFonts w:hint="eastAsia" w:ascii="仿宋" w:hAnsi="仿宋" w:eastAsia="仿宋" w:cs="仿宋"/>
          <w:color w:val="auto"/>
          <w:sz w:val="32"/>
          <w:szCs w:val="32"/>
        </w:rPr>
        <w:t>（三）执行国家学籍管理相关规定，使用全国中小学生学籍信息管理系统做好学籍管理。建立“控辍保学”工作机制。</w:t>
      </w:r>
    </w:p>
    <w:p>
      <w:pPr>
        <w:pStyle w:val="6"/>
        <w:shd w:val="clear" w:color="auto" w:fill="FFFFFF"/>
        <w:spacing w:before="0" w:beforeAutospacing="0" w:after="0" w:afterAutospacing="0" w:line="560" w:lineRule="exact"/>
        <w:ind w:firstLine="641"/>
        <w:rPr>
          <w:rFonts w:hint="eastAsia" w:ascii="仿宋" w:hAnsi="仿宋" w:eastAsia="仿宋" w:cs="仿宋"/>
          <w:color w:val="auto"/>
          <w:sz w:val="32"/>
          <w:szCs w:val="32"/>
        </w:rPr>
      </w:pPr>
      <w:r>
        <w:rPr>
          <w:rFonts w:hint="eastAsia" w:ascii="仿宋" w:hAnsi="仿宋" w:eastAsia="仿宋" w:cs="仿宋"/>
          <w:color w:val="auto"/>
          <w:sz w:val="32"/>
          <w:szCs w:val="32"/>
        </w:rPr>
        <w:t>（四）制定保障教育公平的制度，为需要帮助的儿童提供情感关怀。</w:t>
      </w:r>
    </w:p>
    <w:p>
      <w:pPr>
        <w:pStyle w:val="6"/>
        <w:shd w:val="clear" w:color="auto" w:fill="FFFFFF"/>
        <w:spacing w:before="0" w:beforeAutospacing="0" w:after="0" w:afterAutospacing="0" w:line="560" w:lineRule="exact"/>
        <w:ind w:firstLine="641"/>
        <w:rPr>
          <w:rFonts w:hint="eastAsia" w:ascii="仿宋" w:hAnsi="仿宋" w:eastAsia="仿宋" w:cs="仿宋"/>
          <w:color w:val="auto"/>
          <w:sz w:val="32"/>
          <w:szCs w:val="32"/>
        </w:rPr>
      </w:pPr>
      <w:r>
        <w:rPr>
          <w:rFonts w:hint="eastAsia" w:ascii="仿宋" w:hAnsi="仿宋" w:eastAsia="仿宋" w:cs="仿宋"/>
          <w:color w:val="auto"/>
          <w:sz w:val="32"/>
          <w:szCs w:val="32"/>
        </w:rPr>
        <w:t>（五）贯彻落实《中小学生守则》，创新德育形式，开展适合的社会实践和公益活动，加强爱国主义教育、理想信念教育、优秀传统文化教育、公民意识教育、生态文明教育等，引导学生践行社会主义核心价值观。</w:t>
      </w:r>
      <w:r>
        <w:rPr>
          <w:rFonts w:hint="eastAsia" w:ascii="仿宋" w:hAnsi="仿宋" w:eastAsia="仿宋" w:cs="仿宋"/>
          <w:color w:val="auto"/>
          <w:sz w:val="32"/>
          <w:szCs w:val="32"/>
        </w:rPr>
        <w:br w:type="textWrapping"/>
      </w:r>
      <w:r>
        <w:rPr>
          <w:rFonts w:hint="eastAsia" w:ascii="仿宋" w:hAnsi="仿宋" w:eastAsia="仿宋" w:cs="仿宋"/>
          <w:color w:val="auto"/>
          <w:sz w:val="32"/>
          <w:szCs w:val="32"/>
        </w:rPr>
        <w:t xml:space="preserve">     （六）营造良好的学习环境与氛围，激发和保护学生的学习兴趣，培养学生的学习自信心，帮助学生掌握科学的学习方法，养成良好学习习惯。引导学生独立思考和主动探究，培养学生良好思维品质。采用灵活多样的教学方法，因材施教，培养学生终身学习的能力。</w:t>
      </w:r>
    </w:p>
    <w:p>
      <w:pPr>
        <w:spacing w:line="555"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（七）规范管理学校资产与相关经费预算与支出，负责财务报表、预算及其管理。</w:t>
      </w:r>
    </w:p>
    <w:p>
      <w:pPr>
        <w:pStyle w:val="2"/>
        <w:rPr>
          <w:rFonts w:hint="eastAsia"/>
          <w:sz w:val="32"/>
          <w:szCs w:val="32"/>
        </w:rPr>
      </w:pPr>
    </w:p>
    <w:p>
      <w:pPr>
        <w:spacing w:beforeLines="0" w:afterLines="0" w:line="555" w:lineRule="exact"/>
        <w:ind w:left="20"/>
        <w:jc w:val="center"/>
        <w:rPr>
          <w:rFonts w:hint="eastAsia" w:ascii="仿宋" w:hAnsi="仿宋" w:eastAsia="仿宋" w:cs="仿宋"/>
          <w:color w:val="auto"/>
          <w:sz w:val="32"/>
          <w:szCs w:val="32"/>
        </w:rPr>
      </w:pPr>
      <w:r>
        <w:rPr>
          <w:rFonts w:hint="eastAsia" w:ascii="黑体" w:hAnsi="黑体" w:eastAsia="黑体" w:cs="黑体"/>
          <w:color w:val="auto"/>
          <w:sz w:val="32"/>
          <w:szCs w:val="32"/>
        </w:rPr>
        <w:t>第二部分  2024年单位预算说明</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一、2024年单位预算收支总体情况</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根据预算管理的有关规定，单位的全部收入和支出均纳入部门预算管理。</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（一）厦门市东渡第二小学2024年收入预算为2,404.83万元，比2023年预算数减少130.61万元，下降5.15％，具体情况如下：</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1.财政拨款收入2,404.83万元，其中一般公共预算拨款收入2,404.83万元，政府性基金拨款收入0.00万元，国有资本经营预算拨款收入0.00万元；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2.财政专户管理资金收入0.00万元；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3.事业收入0.00万元；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4.事业单位经营收入0.00万元；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5.上级补助收入0.00万元；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6.附属单位上缴收入0.00万元；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7.其他收入0.00万元；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8.上年结转结余0.00万元。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（二）厦门市东渡第二小学2024年支出预算为2,404.83万元（不含市对区转移支付项目），比2023年预算数减少130.61万元，下降5.15％，具体情况如下：</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1.财政拨款基本支出2,404.11万元，其中，人员支出2,081.79万元，公用支出322.32万元；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2.财政拨款项目支出0.72万元；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3.非财政拨款支出0.00万元。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（三）厦门市东渡第二小学2024年区对镇（街）转移支付项目预算为</w:t>
      </w:r>
      <w:r>
        <w:rPr>
          <w:rFonts w:hint="eastAsia" w:ascii="仿宋" w:hAnsi="仿宋" w:eastAsia="仿宋" w:cs="仿宋"/>
          <w:color w:val="auto"/>
          <w:sz w:val="32"/>
          <w:szCs w:val="32"/>
          <w:lang w:val="en-US" w:eastAsia="zh-CN"/>
        </w:rPr>
        <w:t>0.00</w:t>
      </w:r>
      <w:r>
        <w:rPr>
          <w:rFonts w:hint="eastAsia" w:ascii="仿宋" w:hAnsi="仿宋" w:eastAsia="仿宋" w:cs="仿宋"/>
          <w:color w:val="auto"/>
          <w:sz w:val="32"/>
          <w:szCs w:val="32"/>
        </w:rPr>
        <w:t>万元。</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二、一般公共预算财政拨款支出预算情况</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2024年度一般公共预算支出2,404.83万元（不含市对区转移支付项目），比2023年预算数减少130.61万元，下降5.15%，主要是由于</w:t>
      </w:r>
      <w:r>
        <w:rPr>
          <w:rFonts w:hint="eastAsia" w:ascii="仿宋" w:hAnsi="仿宋" w:eastAsia="仿宋" w:cs="仿宋"/>
          <w:color w:val="auto"/>
          <w:sz w:val="32"/>
          <w:szCs w:val="32"/>
          <w:lang w:val="en-US" w:eastAsia="zh-CN"/>
        </w:rPr>
        <w:t>2024年度安排的业务活动有所减少</w:t>
      </w:r>
      <w:r>
        <w:rPr>
          <w:rFonts w:hint="eastAsia" w:ascii="仿宋" w:hAnsi="仿宋" w:eastAsia="仿宋" w:cs="仿宋"/>
          <w:color w:val="auto"/>
          <w:sz w:val="32"/>
          <w:szCs w:val="32"/>
        </w:rPr>
        <w:t>。支出项目(按项级科目分类统计)包括：</w:t>
      </w:r>
    </w:p>
    <w:p>
      <w:pPr>
        <w:spacing w:beforeLines="0" w:afterLines="0" w:line="555" w:lineRule="exact"/>
        <w:ind w:left="20"/>
        <w:rPr>
          <w:rFonts w:hint="eastAsia" w:ascii="仿宋" w:hAnsi="仿宋" w:eastAsia="仿宋" w:cs="仿宋"/>
          <w:color w:val="auto"/>
          <w:sz w:val="32"/>
          <w:szCs w:val="32"/>
        </w:rPr>
      </w:pPr>
      <w:r>
        <w:rPr>
          <w:rFonts w:hint="eastAsia" w:ascii="仿宋" w:hAnsi="仿宋" w:eastAsia="仿宋" w:cs="仿宋"/>
          <w:color w:val="auto"/>
          <w:sz w:val="32"/>
          <w:szCs w:val="32"/>
        </w:rPr>
        <w:t>　　1.教育支出（类）普通教育（款）小学教育（项）1,927.60万元。主要用于小学教育支出。</w:t>
      </w:r>
    </w:p>
    <w:p>
      <w:pPr>
        <w:spacing w:beforeLines="0" w:afterLines="0" w:line="555" w:lineRule="exact"/>
        <w:ind w:left="20"/>
        <w:rPr>
          <w:rFonts w:hint="eastAsia" w:ascii="仿宋" w:hAnsi="仿宋" w:eastAsia="仿宋" w:cs="仿宋"/>
          <w:color w:val="auto"/>
          <w:sz w:val="32"/>
          <w:szCs w:val="32"/>
        </w:rPr>
      </w:pPr>
      <w:r>
        <w:rPr>
          <w:rFonts w:hint="eastAsia" w:ascii="仿宋" w:hAnsi="仿宋" w:eastAsia="仿宋" w:cs="仿宋"/>
          <w:color w:val="auto"/>
          <w:sz w:val="32"/>
          <w:szCs w:val="32"/>
        </w:rPr>
        <w:t>　　2.教育支出（类）普通教育（款）其他普通教育支出（项）0.72万元。主要用于义务教育困难学生营养餐补助支出。</w:t>
      </w:r>
    </w:p>
    <w:p>
      <w:pPr>
        <w:spacing w:beforeLines="0" w:afterLines="0" w:line="555" w:lineRule="exact"/>
        <w:ind w:left="20"/>
        <w:rPr>
          <w:rFonts w:hint="eastAsia" w:ascii="仿宋" w:hAnsi="仿宋" w:eastAsia="仿宋" w:cs="仿宋"/>
          <w:color w:val="auto"/>
          <w:sz w:val="32"/>
          <w:szCs w:val="32"/>
        </w:rPr>
      </w:pPr>
      <w:r>
        <w:rPr>
          <w:rFonts w:hint="eastAsia" w:ascii="仿宋" w:hAnsi="仿宋" w:eastAsia="仿宋" w:cs="仿宋"/>
          <w:color w:val="auto"/>
          <w:sz w:val="32"/>
          <w:szCs w:val="32"/>
        </w:rPr>
        <w:t>　　3.社会保障和就业支出（类）行政事业单位养老支出（款）事业单位离退休（项）128.64万元。主要用于事业单位离退休支出。</w:t>
      </w:r>
    </w:p>
    <w:p>
      <w:pPr>
        <w:spacing w:beforeLines="0" w:afterLines="0" w:line="555" w:lineRule="exact"/>
        <w:ind w:left="20"/>
        <w:rPr>
          <w:rFonts w:hint="eastAsia" w:ascii="仿宋" w:hAnsi="仿宋" w:eastAsia="仿宋" w:cs="仿宋"/>
          <w:color w:val="auto"/>
          <w:sz w:val="32"/>
          <w:szCs w:val="32"/>
        </w:rPr>
      </w:pPr>
      <w:r>
        <w:rPr>
          <w:rFonts w:hint="eastAsia" w:ascii="仿宋" w:hAnsi="仿宋" w:eastAsia="仿宋" w:cs="仿宋"/>
          <w:color w:val="auto"/>
          <w:sz w:val="32"/>
          <w:szCs w:val="32"/>
        </w:rPr>
        <w:t>　　4.社会保障和就业支出（类）行政事业单位养老支出（款）机关事业单位基本养老保险缴费支出（项）151.44万元。主要用于机关事业单位基本养老保险缴费支出。</w:t>
      </w:r>
    </w:p>
    <w:p>
      <w:pPr>
        <w:spacing w:beforeLines="0" w:afterLines="0" w:line="555" w:lineRule="exact"/>
        <w:ind w:left="2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5.社会保障和就业支出（类）行政事业单位养老支出（款）机关事业单位职业年金缴费支出（项）75.72万元。主要用于机关事业单位职业年金缴费支出</w:t>
      </w:r>
      <w:r>
        <w:rPr>
          <w:rFonts w:hint="eastAsia" w:ascii="仿宋" w:hAnsi="仿宋" w:eastAsia="仿宋" w:cs="仿宋"/>
          <w:color w:val="auto"/>
          <w:sz w:val="32"/>
          <w:szCs w:val="32"/>
          <w:lang w:eastAsia="zh-CN"/>
        </w:rPr>
        <w:t>。</w:t>
      </w:r>
    </w:p>
    <w:p>
      <w:pPr>
        <w:spacing w:beforeLines="0" w:afterLines="0" w:line="555" w:lineRule="exact"/>
        <w:ind w:left="20"/>
        <w:rPr>
          <w:rFonts w:hint="eastAsia" w:ascii="仿宋" w:hAnsi="仿宋" w:eastAsia="仿宋" w:cs="仿宋"/>
          <w:color w:val="auto"/>
          <w:sz w:val="32"/>
          <w:szCs w:val="32"/>
        </w:rPr>
      </w:pPr>
      <w:r>
        <w:rPr>
          <w:rFonts w:hint="eastAsia" w:ascii="仿宋" w:hAnsi="仿宋" w:eastAsia="仿宋" w:cs="仿宋"/>
          <w:color w:val="auto"/>
          <w:sz w:val="32"/>
          <w:szCs w:val="32"/>
        </w:rPr>
        <w:t>　　6.卫生健康支出（类）行政事业单位医疗（款）事业单位医疗（项）64.84万元。主要用于事业单位医疗支出。</w:t>
      </w:r>
    </w:p>
    <w:p>
      <w:pPr>
        <w:spacing w:beforeLines="0" w:afterLines="0" w:line="555" w:lineRule="exact"/>
        <w:ind w:left="20"/>
        <w:rPr>
          <w:rFonts w:hint="eastAsia" w:ascii="仿宋" w:hAnsi="仿宋" w:eastAsia="仿宋" w:cs="仿宋"/>
          <w:color w:val="auto"/>
          <w:sz w:val="32"/>
          <w:szCs w:val="32"/>
        </w:rPr>
      </w:pPr>
      <w:r>
        <w:rPr>
          <w:rFonts w:hint="eastAsia" w:ascii="仿宋" w:hAnsi="仿宋" w:eastAsia="仿宋" w:cs="仿宋"/>
          <w:color w:val="auto"/>
          <w:sz w:val="32"/>
          <w:szCs w:val="32"/>
        </w:rPr>
        <w:t>　　7.卫生健康支出（类）行政事业单位医疗（款）其他行政事业单位医疗支出（项）33.13万元。主要用于其他行政事业单位医疗支出。</w:t>
      </w:r>
    </w:p>
    <w:p>
      <w:pPr>
        <w:spacing w:beforeLines="0" w:afterLines="0" w:line="555" w:lineRule="exact"/>
        <w:ind w:left="20"/>
        <w:rPr>
          <w:rFonts w:hint="eastAsia" w:ascii="仿宋" w:hAnsi="仿宋" w:eastAsia="仿宋" w:cs="仿宋"/>
          <w:color w:val="auto"/>
          <w:sz w:val="32"/>
          <w:szCs w:val="32"/>
        </w:rPr>
      </w:pPr>
      <w:r>
        <w:rPr>
          <w:rFonts w:hint="eastAsia" w:ascii="仿宋" w:hAnsi="仿宋" w:eastAsia="仿宋" w:cs="仿宋"/>
          <w:color w:val="auto"/>
          <w:sz w:val="32"/>
          <w:szCs w:val="32"/>
        </w:rPr>
        <w:t>　　8.住房保障支出（类）住房改革支出（款）购房补贴（项）22.75万元。主要用于</w:t>
      </w:r>
      <w:r>
        <w:rPr>
          <w:rFonts w:hint="eastAsia" w:ascii="仿宋" w:hAnsi="仿宋" w:eastAsia="仿宋" w:cs="仿宋"/>
          <w:color w:val="auto"/>
          <w:sz w:val="32"/>
          <w:szCs w:val="32"/>
          <w:lang w:eastAsia="zh-CN"/>
        </w:rPr>
        <w:t>教师货币化补贴</w:t>
      </w:r>
      <w:r>
        <w:rPr>
          <w:rFonts w:hint="eastAsia" w:ascii="仿宋" w:hAnsi="仿宋" w:eastAsia="仿宋" w:cs="仿宋"/>
          <w:color w:val="auto"/>
          <w:sz w:val="32"/>
          <w:szCs w:val="32"/>
        </w:rPr>
        <w:t>支出。</w:t>
      </w:r>
    </w:p>
    <w:p>
      <w:pPr>
        <w:spacing w:beforeLines="0" w:afterLines="0" w:line="555" w:lineRule="exact"/>
        <w:rPr>
          <w:rFonts w:hint="eastAsia" w:ascii="黑体" w:hAnsi="黑体" w:eastAsia="黑体" w:cs="黑体"/>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三、政府性基金预算财政拨款支出情况</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2024年度政府性基金支出0.00万元（不含市对区转移支付项目），比2023年预算数增加0.00万元，增长0%，主要</w:t>
      </w:r>
      <w:r>
        <w:rPr>
          <w:rFonts w:hint="eastAsia" w:ascii="仿宋" w:hAnsi="仿宋" w:eastAsia="仿宋" w:cs="仿宋"/>
          <w:color w:val="auto"/>
          <w:sz w:val="32"/>
          <w:szCs w:val="32"/>
          <w:lang w:eastAsia="zh-CN"/>
        </w:rPr>
        <w:t>原因</w:t>
      </w:r>
      <w:r>
        <w:rPr>
          <w:rFonts w:hint="eastAsia" w:ascii="仿宋" w:hAnsi="仿宋" w:eastAsia="仿宋" w:cs="仿宋"/>
          <w:color w:val="auto"/>
          <w:sz w:val="32"/>
          <w:szCs w:val="32"/>
        </w:rPr>
        <w:t>是本年度无此项目预算支出的安排</w:t>
      </w:r>
      <w:r>
        <w:rPr>
          <w:rFonts w:hint="eastAsia" w:ascii="仿宋" w:hAnsi="仿宋" w:eastAsia="仿宋" w:cs="仿宋"/>
          <w:color w:val="auto"/>
          <w:sz w:val="32"/>
          <w:szCs w:val="32"/>
          <w:lang w:eastAsia="zh-CN"/>
        </w:rPr>
        <w:t>。</w:t>
      </w:r>
    </w:p>
    <w:p>
      <w:pPr>
        <w:spacing w:beforeLines="0" w:afterLines="0" w:line="555" w:lineRule="exact"/>
        <w:ind w:firstLine="640" w:firstLineChars="200"/>
        <w:rPr>
          <w:rFonts w:hint="eastAsia" w:ascii="仿宋" w:hAnsi="仿宋" w:eastAsia="仿宋" w:cs="仿宋"/>
          <w:color w:val="auto"/>
          <w:sz w:val="32"/>
          <w:szCs w:val="32"/>
        </w:rPr>
      </w:pPr>
      <w:r>
        <w:rPr>
          <w:rFonts w:hint="eastAsia" w:ascii="黑体" w:hAnsi="黑体" w:eastAsia="黑体" w:cs="黑体"/>
          <w:color w:val="auto"/>
          <w:sz w:val="32"/>
          <w:szCs w:val="32"/>
        </w:rPr>
        <w:t>四、“三公”经费财政拨款预算情况</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厦门市东渡第二小学2024年“三公”经费财政拨款预算数为0.00万元，其中：因公出国（境）经费0.00万元，公务接待费0.00万元，公务用车购置及运行费0.00万元。具体情况如下：</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（一）因公出国（境）经费</w:t>
      </w:r>
    </w:p>
    <w:p>
      <w:pPr>
        <w:spacing w:line="580"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2024年预算安排0.00万元。与上年预算相比增长</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本年度无因公出国（境）安排，没有</w:t>
      </w:r>
      <w:r>
        <w:rPr>
          <w:rFonts w:hint="eastAsia" w:ascii="仿宋" w:hAnsi="仿宋" w:eastAsia="仿宋" w:cs="仿宋"/>
          <w:color w:val="auto"/>
          <w:sz w:val="32"/>
          <w:szCs w:val="32"/>
        </w:rPr>
        <w:t>该项目经费</w:t>
      </w:r>
      <w:r>
        <w:rPr>
          <w:rFonts w:hint="eastAsia" w:ascii="仿宋" w:hAnsi="仿宋" w:eastAsia="仿宋" w:cs="仿宋"/>
          <w:color w:val="auto"/>
          <w:sz w:val="32"/>
          <w:szCs w:val="32"/>
          <w:lang w:eastAsia="zh-CN"/>
        </w:rPr>
        <w:t>预算拨款</w:t>
      </w:r>
      <w:r>
        <w:rPr>
          <w:rFonts w:hint="eastAsia" w:ascii="仿宋" w:hAnsi="仿宋" w:eastAsia="仿宋" w:cs="仿宋"/>
          <w:color w:val="auto"/>
          <w:sz w:val="32"/>
          <w:szCs w:val="32"/>
        </w:rPr>
        <w:t>。</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（二）公务接待费</w:t>
      </w:r>
    </w:p>
    <w:p>
      <w:pPr>
        <w:spacing w:line="580" w:lineRule="exact"/>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年预算安排</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万元。与上年预算相比增长</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eastAsia="zh-CN"/>
        </w:rPr>
        <w:t>本</w:t>
      </w:r>
      <w:r>
        <w:rPr>
          <w:rFonts w:hint="eastAsia" w:ascii="仿宋" w:hAnsi="仿宋" w:eastAsia="仿宋" w:cs="仿宋"/>
          <w:color w:val="auto"/>
          <w:sz w:val="32"/>
          <w:szCs w:val="32"/>
          <w:lang w:val="en-US" w:eastAsia="zh-CN"/>
        </w:rPr>
        <w:t>年度无公务接待活动安排，没有该项目经费预算支出。</w:t>
      </w:r>
    </w:p>
    <w:p>
      <w:pPr>
        <w:spacing w:line="580"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（三）公务用车购置及运行费</w:t>
      </w:r>
    </w:p>
    <w:p>
      <w:pPr>
        <w:spacing w:beforeLines="0" w:afterLines="0" w:line="555" w:lineRule="exact"/>
        <w:rPr>
          <w:rFonts w:hint="eastAsia" w:ascii="仿宋" w:hAnsi="仿宋" w:eastAsia="仿宋" w:cs="仿宋"/>
          <w:color w:val="auto"/>
          <w:sz w:val="32"/>
          <w:szCs w:val="32"/>
        </w:rPr>
      </w:pPr>
      <w:r>
        <w:rPr>
          <w:rFonts w:hint="eastAsia" w:ascii="仿宋" w:hAnsi="仿宋" w:eastAsia="仿宋" w:cs="仿宋"/>
          <w:color w:val="auto"/>
          <w:sz w:val="32"/>
          <w:szCs w:val="32"/>
        </w:rPr>
        <w:t>　　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年预算安排</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万元，其中：公务用车运行费</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万元，公务用车购置费</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万元。与上年预算相比增长</w:t>
      </w:r>
      <w:bookmarkStart w:id="0" w:name="_GoBack"/>
      <w:bookmarkEnd w:id="0"/>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eastAsia="zh-CN"/>
        </w:rPr>
        <w:t>本年度无公务用车购置及运行费</w:t>
      </w:r>
      <w:r>
        <w:rPr>
          <w:rFonts w:hint="eastAsia" w:ascii="仿宋" w:hAnsi="仿宋" w:eastAsia="仿宋" w:cs="仿宋"/>
          <w:color w:val="auto"/>
          <w:sz w:val="32"/>
          <w:szCs w:val="32"/>
          <w:lang w:val="en-US" w:eastAsia="zh-CN"/>
        </w:rPr>
        <w:t>预算安排。</w:t>
      </w:r>
    </w:p>
    <w:p>
      <w:pPr>
        <w:spacing w:beforeLines="0" w:afterLines="0" w:line="555" w:lineRule="exact"/>
        <w:jc w:val="both"/>
        <w:rPr>
          <w:rFonts w:hint="eastAsia" w:ascii="黑体" w:hAnsi="黑体" w:eastAsia="黑体" w:cs="黑体"/>
          <w:color w:val="auto"/>
          <w:sz w:val="32"/>
          <w:szCs w:val="32"/>
        </w:rPr>
      </w:pPr>
      <w:r>
        <w:rPr>
          <w:rFonts w:hint="eastAsia" w:ascii="仿宋" w:hAnsi="仿宋" w:eastAsia="仿宋" w:cs="仿宋"/>
          <w:color w:val="auto"/>
          <w:sz w:val="32"/>
          <w:szCs w:val="32"/>
        </w:rPr>
        <w:t>　　</w:t>
      </w:r>
      <w:r>
        <w:rPr>
          <w:rFonts w:hint="eastAsia" w:ascii="黑体" w:hAnsi="黑体" w:eastAsia="黑体" w:cs="黑体"/>
          <w:color w:val="auto"/>
          <w:sz w:val="32"/>
          <w:szCs w:val="32"/>
        </w:rPr>
        <w:t>五、其他重要事项的情况说明</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（一）机关运行经费</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2024年厦门市东渡第二小学的机关运行经费财政拨款预算</w:t>
      </w:r>
      <w:r>
        <w:rPr>
          <w:rFonts w:hint="eastAsia" w:ascii="仿宋" w:hAnsi="仿宋" w:eastAsia="仿宋" w:cs="仿宋"/>
          <w:color w:val="auto"/>
          <w:sz w:val="32"/>
          <w:szCs w:val="32"/>
          <w:lang w:val="en-US" w:eastAsia="zh-CN"/>
        </w:rPr>
        <w:t>0.00</w:t>
      </w:r>
      <w:r>
        <w:rPr>
          <w:rFonts w:hint="eastAsia" w:ascii="仿宋" w:hAnsi="仿宋" w:eastAsia="仿宋" w:cs="仿宋"/>
          <w:color w:val="auto"/>
          <w:sz w:val="32"/>
          <w:szCs w:val="32"/>
        </w:rPr>
        <w:t>万元，比2023年预算减少（增加）</w:t>
      </w:r>
      <w:r>
        <w:rPr>
          <w:rFonts w:hint="eastAsia" w:ascii="仿宋" w:hAnsi="仿宋" w:eastAsia="仿宋" w:cs="仿宋"/>
          <w:color w:val="auto"/>
          <w:sz w:val="32"/>
          <w:szCs w:val="32"/>
          <w:lang w:val="en-US" w:eastAsia="zh-CN"/>
        </w:rPr>
        <w:t>0.00</w:t>
      </w:r>
      <w:r>
        <w:rPr>
          <w:rFonts w:hint="eastAsia" w:ascii="仿宋" w:hAnsi="仿宋" w:eastAsia="仿宋" w:cs="仿宋"/>
          <w:color w:val="auto"/>
          <w:sz w:val="32"/>
          <w:szCs w:val="32"/>
        </w:rPr>
        <w:t>万元，下降（增长）</w:t>
      </w:r>
      <w:r>
        <w:rPr>
          <w:rFonts w:hint="eastAsia" w:ascii="仿宋" w:hAnsi="仿宋" w:eastAsia="仿宋" w:cs="仿宋"/>
          <w:color w:val="auto"/>
          <w:sz w:val="32"/>
          <w:szCs w:val="32"/>
          <w:lang w:val="en-US" w:eastAsia="zh-CN"/>
        </w:rPr>
        <w:t>0.00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主要原因</w:t>
      </w:r>
      <w:r>
        <w:rPr>
          <w:rFonts w:hint="eastAsia" w:ascii="仿宋" w:hAnsi="仿宋" w:eastAsia="仿宋" w:cs="仿宋"/>
          <w:color w:val="auto"/>
          <w:sz w:val="32"/>
          <w:szCs w:val="32"/>
        </w:rPr>
        <w:t>:本</w:t>
      </w:r>
      <w:r>
        <w:rPr>
          <w:rFonts w:hint="eastAsia" w:ascii="仿宋" w:hAnsi="仿宋" w:eastAsia="仿宋" w:cs="仿宋"/>
          <w:color w:val="auto"/>
          <w:sz w:val="32"/>
          <w:szCs w:val="32"/>
          <w:lang w:eastAsia="zh-CN"/>
        </w:rPr>
        <w:t>单位</w:t>
      </w:r>
      <w:r>
        <w:rPr>
          <w:rFonts w:hint="eastAsia" w:ascii="仿宋" w:hAnsi="仿宋" w:eastAsia="仿宋" w:cs="仿宋"/>
          <w:color w:val="auto"/>
          <w:sz w:val="32"/>
          <w:szCs w:val="32"/>
        </w:rPr>
        <w:t>为事业单位，</w:t>
      </w:r>
      <w:r>
        <w:rPr>
          <w:rFonts w:hint="eastAsia" w:ascii="仿宋" w:hAnsi="仿宋" w:eastAsia="仿宋" w:cs="仿宋"/>
          <w:color w:val="auto"/>
          <w:sz w:val="32"/>
          <w:szCs w:val="32"/>
          <w:lang w:eastAsia="zh-CN"/>
        </w:rPr>
        <w:t>本年度</w:t>
      </w:r>
      <w:r>
        <w:rPr>
          <w:rFonts w:hint="eastAsia" w:ascii="仿宋" w:hAnsi="仿宋" w:eastAsia="仿宋" w:cs="仿宋"/>
          <w:color w:val="auto"/>
          <w:sz w:val="32"/>
          <w:szCs w:val="32"/>
        </w:rPr>
        <w:t>没有机关运行经费</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rPr>
        <w:t>。</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（二）政府采购情况</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2024年厦门市东渡第二小学政府采购预算总额0.00万元，其中：政府采购货物预算0.00万元，政府采购工程预算0.00万元，政府采购服务预算0.00万元。主要原因是:</w:t>
      </w:r>
      <w:r>
        <w:rPr>
          <w:rFonts w:hint="eastAsia" w:ascii="仿宋" w:hAnsi="仿宋" w:eastAsia="仿宋" w:cs="仿宋"/>
          <w:color w:val="auto"/>
          <w:sz w:val="32"/>
          <w:szCs w:val="32"/>
          <w:lang w:eastAsia="zh-CN"/>
        </w:rPr>
        <w:t>本年度无政府采购项目</w:t>
      </w:r>
      <w:r>
        <w:rPr>
          <w:rFonts w:hint="eastAsia" w:ascii="仿宋" w:hAnsi="仿宋" w:eastAsia="仿宋" w:cs="仿宋"/>
          <w:color w:val="auto"/>
          <w:sz w:val="32"/>
          <w:szCs w:val="32"/>
          <w:lang w:val="en-US" w:eastAsia="zh-CN"/>
        </w:rPr>
        <w:t>预算安排。</w:t>
      </w:r>
      <w:r>
        <w:rPr>
          <w:rFonts w:hint="eastAsia" w:ascii="仿宋" w:hAnsi="仿宋" w:eastAsia="仿宋" w:cs="仿宋"/>
          <w:color w:val="auto"/>
          <w:sz w:val="32"/>
          <w:szCs w:val="32"/>
        </w:rPr>
        <w:t>　</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（三）国有资产占有使用情况</w:t>
      </w:r>
    </w:p>
    <w:p>
      <w:pPr>
        <w:spacing w:beforeLines="0" w:afterLines="0" w:line="555" w:lineRule="exact"/>
        <w:ind w:firstLine="640"/>
        <w:jc w:val="both"/>
        <w:rPr>
          <w:rFonts w:hint="eastAsia" w:ascii="仿宋" w:hAnsi="仿宋" w:eastAsia="仿宋" w:cs="仿宋"/>
          <w:color w:val="auto"/>
          <w:sz w:val="32"/>
          <w:szCs w:val="32"/>
        </w:rPr>
      </w:pPr>
      <w:r>
        <w:rPr>
          <w:rFonts w:hint="eastAsia" w:ascii="仿宋" w:hAnsi="仿宋" w:eastAsia="仿宋" w:cs="仿宋"/>
          <w:color w:val="auto"/>
          <w:sz w:val="32"/>
          <w:szCs w:val="32"/>
        </w:rPr>
        <w:t>截至2023年12月31日，厦门市东渡第二小学所属各预算单位共有车辆</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辆，单位价值100万元以上设备</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台（套）。</w:t>
      </w:r>
      <w:r>
        <w:rPr>
          <w:rFonts w:hint="eastAsia" w:ascii="仿宋" w:hAnsi="仿宋" w:eastAsia="仿宋" w:cs="仿宋"/>
          <w:color w:val="auto"/>
          <w:sz w:val="32"/>
          <w:szCs w:val="32"/>
          <w:lang w:eastAsia="zh-CN"/>
        </w:rPr>
        <w:t>说明：本单位没有上述相关国有资产占有使用情况。</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（四）绩效目标设置情况</w:t>
      </w:r>
    </w:p>
    <w:p>
      <w:pPr>
        <w:spacing w:beforeLines="0" w:afterLines="0" w:line="555" w:lineRule="exact"/>
        <w:ind w:firstLine="651"/>
        <w:jc w:val="both"/>
        <w:rPr>
          <w:rFonts w:hint="eastAsia" w:ascii="仿宋" w:hAnsi="仿宋" w:eastAsia="仿宋" w:cs="仿宋"/>
          <w:color w:val="auto"/>
          <w:sz w:val="32"/>
          <w:szCs w:val="32"/>
        </w:rPr>
      </w:pPr>
      <w:r>
        <w:rPr>
          <w:rFonts w:hint="eastAsia" w:ascii="仿宋" w:hAnsi="仿宋" w:eastAsia="仿宋" w:cs="仿宋"/>
          <w:color w:val="auto"/>
          <w:sz w:val="32"/>
          <w:szCs w:val="32"/>
        </w:rPr>
        <w:t>厦门市东渡第二小学2024年实行绩效目标管理的二级项目1个，涉及一般公共预算拨款0.72万元、政府性基金预算拨款0.00万元。用于义务教育阶段公办校（学校食堂提供午餐）家庭经济困难学生营养餐补助发放。</w:t>
      </w:r>
    </w:p>
    <w:p>
      <w:pPr>
        <w:pStyle w:val="2"/>
        <w:ind w:firstLine="651"/>
        <w:rPr>
          <w:rFonts w:hint="eastAsia"/>
          <w:sz w:val="32"/>
          <w:szCs w:val="32"/>
        </w:rPr>
      </w:pPr>
    </w:p>
    <w:p>
      <w:pPr>
        <w:spacing w:beforeLines="0" w:afterLines="0" w:line="555" w:lineRule="exact"/>
        <w:ind w:left="20"/>
        <w:jc w:val="center"/>
        <w:rPr>
          <w:rFonts w:hint="eastAsia" w:ascii="仿宋" w:hAnsi="仿宋" w:eastAsia="仿宋" w:cs="仿宋"/>
          <w:color w:val="auto"/>
          <w:sz w:val="32"/>
          <w:szCs w:val="32"/>
        </w:rPr>
      </w:pPr>
      <w:r>
        <w:rPr>
          <w:rFonts w:hint="eastAsia" w:ascii="黑体" w:hAnsi="黑体" w:eastAsia="黑体" w:cs="黑体"/>
          <w:color w:val="auto"/>
          <w:sz w:val="32"/>
          <w:szCs w:val="32"/>
        </w:rPr>
        <w:t>第三部分  名词解释</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一、基本支出：指为保障机构正常运转、完成日常工作任务而发生的人员支出、对个人和家庭的补助支出和公用支出。</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二、项目支出：指在基本支出之外为完成特定行政任务和事业发展目标所发生的支出，包括部门专项、发展经费和基建项目。</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三、“三公”经费：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beforeLines="0" w:afterLines="0" w:line="555" w:lineRule="exact"/>
        <w:jc w:val="both"/>
        <w:rPr>
          <w:rFonts w:hint="eastAsia" w:ascii="仿宋" w:hAnsi="仿宋" w:eastAsia="仿宋" w:cs="仿宋"/>
          <w:color w:val="auto"/>
          <w:sz w:val="32"/>
          <w:szCs w:val="32"/>
        </w:rPr>
      </w:pPr>
      <w:r>
        <w:rPr>
          <w:rFonts w:hint="eastAsia" w:ascii="仿宋" w:hAnsi="仿宋" w:eastAsia="仿宋" w:cs="仿宋"/>
          <w:color w:val="auto"/>
          <w:sz w:val="32"/>
          <w:szCs w:val="32"/>
        </w:rPr>
        <w:t>　　四、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beforeLines="0" w:afterLines="0" w:line="555" w:lineRule="exact"/>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五、其他名词解释。</w:t>
      </w:r>
      <w:r>
        <w:rPr>
          <w:rFonts w:hint="eastAsia" w:ascii="仿宋" w:hAnsi="仿宋" w:eastAsia="仿宋" w:cs="仿宋"/>
          <w:color w:val="auto"/>
          <w:sz w:val="32"/>
          <w:szCs w:val="32"/>
          <w:lang w:eastAsia="zh-CN"/>
        </w:rPr>
        <w:t>无</w:t>
      </w:r>
    </w:p>
    <w:p>
      <w:pPr>
        <w:spacing w:beforeLines="0" w:afterLines="0" w:line="555" w:lineRule="exact"/>
        <w:ind w:left="20"/>
        <w:jc w:val="both"/>
        <w:rPr>
          <w:rFonts w:hint="eastAsia" w:ascii="黑体" w:hAnsi="黑体" w:eastAsia="黑体" w:cs="黑体"/>
          <w:color w:val="auto"/>
          <w:sz w:val="32"/>
          <w:szCs w:val="32"/>
        </w:rPr>
      </w:pPr>
    </w:p>
    <w:p>
      <w:pPr>
        <w:spacing w:beforeLines="0" w:afterLines="0" w:line="555" w:lineRule="exact"/>
        <w:ind w:left="20"/>
        <w:jc w:val="center"/>
        <w:rPr>
          <w:rFonts w:hint="eastAsia" w:ascii="黑体" w:hAnsi="黑体" w:eastAsia="黑体" w:cs="黑体"/>
          <w:color w:val="auto"/>
          <w:sz w:val="32"/>
          <w:szCs w:val="32"/>
        </w:rPr>
      </w:pPr>
      <w:r>
        <w:rPr>
          <w:rFonts w:hint="eastAsia" w:ascii="黑体" w:hAnsi="黑体" w:eastAsia="黑体" w:cs="黑体"/>
          <w:color w:val="auto"/>
          <w:sz w:val="32"/>
          <w:szCs w:val="32"/>
        </w:rPr>
        <w:t>第四部分  2024年单位预算附表</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auto"/>
          <w:sz w:val="32"/>
          <w:szCs w:val="32"/>
        </w:rPr>
        <w:t>　　</w:t>
      </w:r>
      <w:r>
        <w:rPr>
          <w:rFonts w:hint="eastAsia" w:ascii="仿宋" w:hAnsi="仿宋" w:eastAsia="仿宋" w:cs="仿宋"/>
          <w:color w:val="000000" w:themeColor="text1"/>
          <w:sz w:val="32"/>
          <w:szCs w:val="32"/>
          <w14:textFill>
            <w14:solidFill>
              <w14:schemeClr w14:val="tx1"/>
            </w14:solidFill>
          </w14:textFill>
        </w:rPr>
        <w:t>一、部门收支预算总体情况表</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二、部门收入预算总体情况表</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三、部门支出预算总体情况表</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四、财政拨款收支预算总体情况表</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五、一般公共预算支出情况表</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六、一般公共预算基本支出情况表（经济分类款级科目）</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七、一般公共预算“三公”经费支出情况表</w:t>
      </w:r>
    </w:p>
    <w:p>
      <w:pPr>
        <w:spacing w:beforeLines="0" w:afterLines="0" w:line="540" w:lineRule="exact"/>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八、政府性基金预算支出情况表</w:t>
      </w:r>
    </w:p>
    <w:p>
      <w:pPr>
        <w:spacing w:line="555" w:lineRule="exact"/>
        <w:ind w:firstLine="64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九、区对镇（街）转移支付项目支出预算表</w:t>
      </w:r>
    </w:p>
    <w:p>
      <w:pPr>
        <w:spacing w:line="555" w:lineRule="exact"/>
        <w:ind w:firstLine="64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十、二级项目绩效目标表</w:t>
      </w:r>
    </w:p>
    <w:sectPr>
      <w:footerReference r:id="rId3" w:type="default"/>
      <w:pgSz w:w="11905" w:h="16837"/>
      <w:pgMar w:top="1388" w:right="1559" w:bottom="1388" w:left="1559"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_GB2312">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948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jc w:val="center"/>
      </w:trPr>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rPr>
          </w:pPr>
        </w:p>
      </w:tc>
      <w:tc>
        <w:tcPr>
          <w:tcW w:w="3163" w:type="dxa"/>
          <w:tcBorders>
            <w:top w:val="nil"/>
            <w:left w:val="nil"/>
            <w:bottom w:val="nil"/>
            <w:right w:val="nil"/>
            <w:tl2br w:val="nil"/>
            <w:tr2bl w:val="nil"/>
          </w:tcBorders>
          <w:shd w:val="clear" w:color="auto" w:fill="FFFFFF"/>
          <w:noWrap w:val="0"/>
          <w:vAlign w:val="top"/>
        </w:tcPr>
        <w:p>
          <w:pPr>
            <w:spacing w:beforeLines="0" w:afterLines="0" w:line="320" w:lineRule="atLeast"/>
            <w:jc w:val="center"/>
            <w:rPr>
              <w:rFonts w:hint="eastAsia" w:ascii="宋体" w:hAnsi="宋体" w:eastAsia="宋体"/>
              <w:sz w:val="18"/>
            </w:rPr>
          </w:pPr>
          <w:r>
            <w:rPr>
              <w:rFonts w:hint="eastAsia" w:ascii="宋体" w:hAnsi="宋体" w:eastAsia="宋体"/>
              <w:sz w:val="18"/>
            </w:rPr>
            <w:fldChar w:fldCharType="begin"/>
          </w:r>
          <w:r>
            <w:rPr>
              <w:rFonts w:hint="eastAsia" w:ascii="宋体" w:hAnsi="宋体" w:eastAsia="宋体"/>
              <w:sz w:val="18"/>
            </w:rPr>
            <w:instrText xml:space="preserve">PAGE</w:instrText>
          </w:r>
          <w:r>
            <w:rPr>
              <w:rFonts w:hint="eastAsia" w:ascii="宋体" w:hAnsi="宋体" w:eastAsia="宋体"/>
              <w:sz w:val="18"/>
            </w:rPr>
            <w:fldChar w:fldCharType="separate"/>
          </w:r>
          <w:r>
            <w:rPr>
              <w:rFonts w:hint="eastAsia" w:ascii="宋体" w:hAnsi="宋体" w:eastAsia="宋体"/>
              <w:sz w:val="18"/>
            </w:rPr>
            <w:t xml:space="preserve"> </w:t>
          </w:r>
          <w:r>
            <w:rPr>
              <w:rFonts w:hint="eastAsia" w:ascii="宋体" w:hAnsi="宋体" w:eastAsia="宋体"/>
              <w:sz w:val="18"/>
            </w:rPr>
            <w:fldChar w:fldCharType="end"/>
          </w:r>
          <w:r>
            <w:rPr>
              <w:rFonts w:hint="eastAsia" w:ascii="宋体" w:hAnsi="宋体" w:eastAsia="宋体"/>
              <w:sz w:val="18"/>
            </w:rPr>
            <w:t xml:space="preserve"> </w:t>
          </w:r>
        </w:p>
      </w:tc>
      <w:tc>
        <w:tcPr>
          <w:tcW w:w="3163" w:type="dxa"/>
          <w:tcBorders>
            <w:top w:val="nil"/>
            <w:left w:val="nil"/>
            <w:bottom w:val="nil"/>
            <w:right w:val="nil"/>
            <w:tl2br w:val="nil"/>
            <w:tr2bl w:val="nil"/>
          </w:tcBorders>
          <w:shd w:val="clear" w:color="auto" w:fill="FFFFFF"/>
          <w:noWrap w:val="0"/>
          <w:vAlign w:val="top"/>
        </w:tcPr>
        <w:p>
          <w:pPr>
            <w:spacing w:beforeLines="0" w:afterLines="0"/>
            <w:rPr>
              <w:rFonts w:hint="default"/>
              <w:sz w:val="24"/>
            </w:rPr>
          </w:pPr>
        </w:p>
      </w:tc>
    </w:tr>
  </w:tbl>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06609B"/>
    <w:rsid w:val="117B5190"/>
    <w:rsid w:val="118C40B9"/>
    <w:rsid w:val="3B0016D2"/>
    <w:rsid w:val="3D952893"/>
    <w:rsid w:val="455A512D"/>
    <w:rsid w:val="4D2F5251"/>
    <w:rsid w:val="51985B79"/>
    <w:rsid w:val="5984434C"/>
    <w:rsid w:val="5A7E68A9"/>
    <w:rsid w:val="5F9F5932"/>
    <w:rsid w:val="6BC970E1"/>
    <w:rsid w:val="703F6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semiHidden="0" w:name="Normal"/>
    <w:lsdException w:qFormat="1" w:uiPriority="99" w:semiHidden="0" w:name="heading 1"/>
    <w:lsdException w:qFormat="1" w:uiPriority="99" w:semiHidden="0" w:name="heading 2"/>
    <w:lsdException w:qFormat="1" w:uiPriority="99"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99"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99"/>
    <w:pPr>
      <w:widowControl w:val="0"/>
      <w:autoSpaceDE w:val="0"/>
      <w:autoSpaceDN w:val="0"/>
      <w:adjustRightInd w:val="0"/>
      <w:spacing w:beforeLines="0" w:afterLines="0"/>
    </w:pPr>
    <w:rPr>
      <w:rFonts w:hint="default" w:ascii="Arial" w:hAnsi="Arial" w:eastAsia="宋体" w:cs="Times New Roman"/>
      <w:color w:val="000000"/>
      <w:sz w:val="24"/>
    </w:rPr>
  </w:style>
  <w:style w:type="paragraph" w:styleId="3">
    <w:name w:val="heading 1"/>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4">
    <w:name w:val="heading 2"/>
    <w:next w:val="1"/>
    <w:unhideWhenUsed/>
    <w:qFormat/>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paragraph" w:styleId="5">
    <w:name w:val="heading 3"/>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26"/>
    </w:rPr>
  </w:style>
  <w:style w:type="character" w:default="1" w:styleId="7">
    <w:name w:val="Default Paragraph Font"/>
    <w:semiHidden/>
    <w:unhideWhenUsed/>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0"/>
    <w:pPr>
      <w:spacing w:after="120"/>
    </w:pPr>
    <w:rPr>
      <w:rFonts w:hint="default"/>
      <w:sz w:val="24"/>
      <w:szCs w:val="24"/>
    </w:rPr>
  </w:style>
  <w:style w:type="paragraph" w:styleId="6">
    <w:name w:val="Normal (Web)"/>
    <w:basedOn w:val="1"/>
    <w:qFormat/>
    <w:uiPriority w:val="99"/>
    <w:pPr>
      <w:widowControl/>
      <w:autoSpaceDE/>
      <w:autoSpaceDN/>
      <w:adjustRightInd/>
      <w:spacing w:before="100" w:beforeAutospacing="1" w:after="100" w:afterAutospacing="1"/>
    </w:pPr>
    <w:rPr>
      <w:rFonts w:ascii="宋体" w:hAnsi="宋体" w:cs="宋体"/>
      <w:color w:val="auto"/>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10</TotalTime>
  <ScaleCrop>false</ScaleCrop>
  <LinksUpToDate>false</LinksUpToDate>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2024-04-01T07:12:00Z</dcterms:created>
  <dc:creator>Administrator</dc:creator>
  <cp:lastModifiedBy>dell</cp:lastModifiedBy>
  <dcterms:modified xsi:type="dcterms:W3CDTF">2024-05-07T03:06:06Z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