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default"/>
          <w:sz w:val="2"/>
          <w:szCs w:val="24"/>
        </w:rPr>
      </w:pPr>
    </w:p>
    <w:tbl>
      <w:tblPr>
        <w:tblStyle w:val="8"/>
        <w:tblW w:w="86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6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44"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25" w:lineRule="exact"/>
              <w:jc w:val="center"/>
              <w:rPr>
                <w:rFonts w:hint="eastAsia" w:ascii="黑体" w:hAnsi="黑体" w:eastAsia="黑体"/>
                <w:sz w:val="30"/>
                <w:szCs w:val="24"/>
              </w:rPr>
            </w:pPr>
            <w:r>
              <w:rPr>
                <w:rFonts w:hint="eastAsia" w:ascii="方正小标宋简体" w:hAnsi="方正小标宋简体" w:eastAsia="方正小标宋简体"/>
                <w:sz w:val="44"/>
                <w:szCs w:val="24"/>
              </w:rPr>
              <w:t>202</w:t>
            </w:r>
            <w:r>
              <w:rPr>
                <w:rFonts w:hint="eastAsia" w:ascii="方正小标宋简体" w:hAnsi="方正小标宋简体" w:eastAsia="方正小标宋简体"/>
                <w:sz w:val="44"/>
                <w:szCs w:val="24"/>
                <w:lang w:val="en-US" w:eastAsia="zh-CN"/>
              </w:rPr>
              <w:t>5</w:t>
            </w:r>
            <w:r>
              <w:rPr>
                <w:rFonts w:hint="eastAsia" w:ascii="方正小标宋简体" w:hAnsi="方正小标宋简体" w:eastAsia="方正小标宋简体"/>
                <w:sz w:val="44"/>
                <w:szCs w:val="24"/>
              </w:rPr>
              <w:t>年度厦门市都市港湾幼儿园单位预算</w:t>
            </w:r>
          </w:p>
          <w:p>
            <w:pPr>
              <w:spacing w:line="525" w:lineRule="exact"/>
              <w:jc w:val="center"/>
              <w:rPr>
                <w:rFonts w:hint="eastAsia" w:ascii="黑体" w:hAnsi="黑体" w:eastAsia="黑体"/>
                <w:sz w:val="30"/>
                <w:szCs w:val="24"/>
              </w:rPr>
            </w:pPr>
          </w:p>
          <w:p>
            <w:pPr>
              <w:spacing w:line="525" w:lineRule="exact"/>
              <w:jc w:val="center"/>
              <w:rPr>
                <w:rFonts w:hint="eastAsia" w:ascii="黑体" w:hAnsi="黑体" w:eastAsia="黑体"/>
                <w:sz w:val="32"/>
                <w:szCs w:val="24"/>
              </w:rPr>
            </w:pPr>
            <w:r>
              <w:rPr>
                <w:rFonts w:hint="eastAsia" w:ascii="黑体" w:hAnsi="黑体" w:eastAsia="黑体"/>
                <w:sz w:val="32"/>
                <w:szCs w:val="24"/>
              </w:rPr>
              <w:t>目　　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3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rPr>
                <w:rFonts w:hint="eastAsia" w:ascii="仿宋" w:hAnsi="仿宋" w:eastAsia="仿宋"/>
                <w:sz w:val="32"/>
                <w:szCs w:val="24"/>
              </w:rPr>
            </w:pPr>
            <w:r>
              <w:rPr>
                <w:rFonts w:hint="eastAsia" w:ascii="黑体" w:hAnsi="黑体" w:eastAsia="黑体"/>
                <w:sz w:val="32"/>
                <w:szCs w:val="24"/>
              </w:rPr>
              <w:t>　　第一部分   单位概况</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一、单位主要职责</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二、单位基本情况</w:t>
            </w:r>
          </w:p>
          <w:p>
            <w:pPr>
              <w:spacing w:line="555" w:lineRule="exact"/>
              <w:rPr>
                <w:rFonts w:hint="eastAsia" w:ascii="黑体" w:hAnsi="黑体" w:eastAsia="黑体"/>
                <w:sz w:val="32"/>
                <w:szCs w:val="24"/>
              </w:rPr>
            </w:pPr>
            <w:r>
              <w:rPr>
                <w:rFonts w:hint="eastAsia" w:ascii="仿宋_GB2312" w:hAnsi="仿宋_GB2312" w:eastAsia="仿宋_GB2312"/>
                <w:sz w:val="32"/>
                <w:szCs w:val="24"/>
              </w:rPr>
              <w:t>　　三、单位主要工作任务</w:t>
            </w:r>
          </w:p>
          <w:p>
            <w:pPr>
              <w:spacing w:line="555" w:lineRule="exact"/>
              <w:rPr>
                <w:rFonts w:hint="eastAsia" w:ascii="黑体" w:hAnsi="黑体" w:eastAsia="黑体"/>
                <w:sz w:val="32"/>
                <w:szCs w:val="24"/>
              </w:rPr>
            </w:pPr>
            <w:r>
              <w:rPr>
                <w:rFonts w:hint="eastAsia" w:ascii="黑体" w:hAnsi="黑体" w:eastAsia="黑体"/>
                <w:sz w:val="32"/>
                <w:szCs w:val="24"/>
              </w:rPr>
              <w:t>　　第二部分   202</w:t>
            </w:r>
            <w:r>
              <w:rPr>
                <w:rFonts w:hint="eastAsia" w:ascii="黑体" w:hAnsi="黑体" w:eastAsia="黑体"/>
                <w:sz w:val="32"/>
                <w:szCs w:val="24"/>
                <w:lang w:val="en-US" w:eastAsia="zh-CN"/>
              </w:rPr>
              <w:t>5</w:t>
            </w:r>
            <w:r>
              <w:rPr>
                <w:rFonts w:hint="eastAsia" w:ascii="黑体" w:hAnsi="黑体" w:eastAsia="黑体"/>
                <w:sz w:val="32"/>
                <w:szCs w:val="24"/>
              </w:rPr>
              <w:t>年单位预算说明</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一、202</w:t>
            </w:r>
            <w:r>
              <w:rPr>
                <w:rFonts w:hint="eastAsia" w:ascii="仿宋_GB2312" w:hAnsi="仿宋_GB2312" w:eastAsia="仿宋_GB2312"/>
                <w:sz w:val="32"/>
                <w:szCs w:val="24"/>
                <w:lang w:val="en-US" w:eastAsia="zh-CN"/>
              </w:rPr>
              <w:t>5</w:t>
            </w:r>
            <w:r>
              <w:rPr>
                <w:rFonts w:hint="eastAsia" w:ascii="仿宋_GB2312" w:hAnsi="仿宋_GB2312" w:eastAsia="仿宋_GB2312"/>
                <w:sz w:val="32"/>
                <w:szCs w:val="24"/>
              </w:rPr>
              <w:t>年单位预算收支总体情况</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二、一般公共预算财政拨款支出预算情况</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三、政府性基金预算财政拨款支出情况</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四、“三公”经费财政拨款预算情况</w:t>
            </w:r>
          </w:p>
          <w:p>
            <w:pPr>
              <w:spacing w:line="555" w:lineRule="exact"/>
              <w:rPr>
                <w:rFonts w:hint="eastAsia" w:ascii="黑体" w:hAnsi="黑体" w:eastAsia="黑体"/>
                <w:sz w:val="32"/>
                <w:szCs w:val="24"/>
              </w:rPr>
            </w:pPr>
            <w:r>
              <w:rPr>
                <w:rFonts w:hint="eastAsia" w:ascii="仿宋_GB2312" w:hAnsi="仿宋_GB2312" w:eastAsia="仿宋_GB2312"/>
                <w:sz w:val="32"/>
                <w:szCs w:val="24"/>
              </w:rPr>
              <w:t>　　五、其他重要事项的情况说明</w:t>
            </w:r>
          </w:p>
          <w:p>
            <w:pPr>
              <w:spacing w:line="555" w:lineRule="exact"/>
              <w:rPr>
                <w:rFonts w:hint="eastAsia" w:ascii="黑体" w:hAnsi="黑体" w:eastAsia="黑体"/>
                <w:sz w:val="32"/>
                <w:szCs w:val="24"/>
              </w:rPr>
            </w:pPr>
            <w:r>
              <w:rPr>
                <w:rFonts w:hint="eastAsia" w:ascii="黑体" w:hAnsi="黑体" w:eastAsia="黑体"/>
                <w:sz w:val="32"/>
                <w:szCs w:val="24"/>
              </w:rPr>
              <w:t>　　第三部分   名词解释</w:t>
            </w:r>
          </w:p>
          <w:p>
            <w:pPr>
              <w:spacing w:line="555" w:lineRule="exact"/>
              <w:rPr>
                <w:rFonts w:hint="eastAsia" w:ascii="黑体" w:hAnsi="黑体" w:eastAsia="黑体"/>
                <w:sz w:val="32"/>
                <w:szCs w:val="24"/>
              </w:rPr>
            </w:pPr>
            <w:r>
              <w:rPr>
                <w:rFonts w:hint="eastAsia" w:ascii="黑体" w:hAnsi="黑体" w:eastAsia="黑体"/>
                <w:sz w:val="32"/>
                <w:szCs w:val="24"/>
              </w:rPr>
              <w:t>　　第四部分   202</w:t>
            </w:r>
            <w:r>
              <w:rPr>
                <w:rFonts w:hint="eastAsia" w:ascii="黑体" w:hAnsi="黑体" w:eastAsia="黑体"/>
                <w:sz w:val="32"/>
                <w:szCs w:val="24"/>
                <w:lang w:val="en-US" w:eastAsia="zh-CN"/>
              </w:rPr>
              <w:t>5</w:t>
            </w:r>
            <w:r>
              <w:rPr>
                <w:rFonts w:hint="eastAsia" w:ascii="黑体" w:hAnsi="黑体" w:eastAsia="黑体"/>
                <w:sz w:val="32"/>
                <w:szCs w:val="24"/>
              </w:rPr>
              <w:t>年单位预算附表</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一、部门收支预算总体情况表</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二、部门收入预算总体情况表</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三、部门支出预算总体情况表</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四、财政拨款收支预算总体情况表</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五、 一般公共预算支出情况表</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六、一般公共预算基本支出情况表（经济分类款级科目）</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七、一般公共预算“三公”经费支出情况表</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八、政府性基金预算支出情况表</w:t>
            </w:r>
          </w:p>
          <w:p>
            <w:pPr>
              <w:spacing w:line="555" w:lineRule="exact"/>
              <w:rPr>
                <w:rFonts w:hint="eastAsia" w:ascii="仿宋_GB2312" w:hAnsi="仿宋_GB2312" w:eastAsia="仿宋_GB2312"/>
                <w:sz w:val="32"/>
                <w:szCs w:val="24"/>
              </w:rPr>
            </w:pPr>
            <w:r>
              <w:rPr>
                <w:rFonts w:hint="eastAsia" w:ascii="仿宋_GB2312" w:hAnsi="仿宋_GB2312" w:eastAsia="仿宋_GB2312"/>
                <w:sz w:val="32"/>
                <w:szCs w:val="24"/>
              </w:rPr>
              <w:t>　　九、区对镇（街）转移支付支出预算表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ind w:left="20" w:firstLine="640" w:firstLineChars="200"/>
              <w:jc w:val="both"/>
              <w:rPr>
                <w:rFonts w:hint="eastAsia" w:ascii="黑体" w:hAnsi="黑体" w:eastAsia="黑体"/>
                <w:sz w:val="32"/>
                <w:szCs w:val="24"/>
              </w:rPr>
            </w:pPr>
            <w:r>
              <w:rPr>
                <w:rFonts w:hint="eastAsia" w:ascii="仿宋_GB2312" w:hAnsi="仿宋_GB2312" w:eastAsia="仿宋_GB2312"/>
                <w:b w:val="0"/>
                <w:i w:val="0"/>
                <w:sz w:val="32"/>
                <w:lang w:val="en-US" w:eastAsia="zh-CN"/>
              </w:rPr>
              <w:t>十、二级项目绩效目标表</w:t>
            </w:r>
          </w:p>
          <w:p>
            <w:pPr>
              <w:spacing w:line="555" w:lineRule="exact"/>
              <w:ind w:left="20"/>
              <w:jc w:val="center"/>
              <w:rPr>
                <w:rFonts w:hint="eastAsia" w:ascii="黑体" w:hAnsi="黑体" w:eastAsia="黑体"/>
                <w:sz w:val="32"/>
                <w:szCs w:val="24"/>
              </w:rPr>
            </w:pPr>
            <w:r>
              <w:rPr>
                <w:rFonts w:hint="eastAsia" w:ascii="黑体" w:hAnsi="黑体" w:eastAsia="黑体"/>
                <w:sz w:val="32"/>
                <w:szCs w:val="24"/>
              </w:rPr>
              <w:t>第一部分  单位概况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rPr>
                <w:rFonts w:hint="default" w:ascii="仿宋_GB2312" w:hAnsi="仿宋_GB2312" w:eastAsia="仿宋_GB2312"/>
                <w:sz w:val="32"/>
                <w:szCs w:val="24"/>
              </w:rPr>
            </w:pPr>
            <w:r>
              <w:rPr>
                <w:rFonts w:hint="eastAsia" w:ascii="黑体" w:hAnsi="黑体" w:eastAsia="黑体"/>
                <w:sz w:val="32"/>
                <w:szCs w:val="24"/>
              </w:rPr>
              <w:t>　　一、单位主要职责</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厦门市都市港湾幼儿园的主要职责是：</w:t>
            </w:r>
          </w:p>
          <w:p>
            <w:pPr>
              <w:keepNext w:val="0"/>
              <w:keepLines w:val="0"/>
              <w:pageBreakBefore w:val="0"/>
              <w:widowControl w:val="0"/>
              <w:kinsoku/>
              <w:wordWrap/>
              <w:overflowPunct/>
              <w:topLinePunct w:val="0"/>
              <w:autoSpaceDE w:val="0"/>
              <w:autoSpaceDN w:val="0"/>
              <w:bidi w:val="0"/>
              <w:adjustRightInd w:val="0"/>
              <w:snapToGrid/>
              <w:spacing w:line="555" w:lineRule="exact"/>
              <w:textAlignment w:val="auto"/>
              <w:rPr>
                <w:rFonts w:hint="eastAsia" w:ascii="仿宋_GB2312" w:hAnsi="仿宋_GB2312" w:eastAsia="仿宋_GB2312"/>
                <w:sz w:val="32"/>
                <w:szCs w:val="24"/>
              </w:rPr>
            </w:pPr>
            <w:r>
              <w:rPr>
                <w:rFonts w:hint="eastAsia" w:ascii="仿宋_GB2312" w:hAnsi="仿宋_GB2312" w:eastAsia="仿宋_GB2312"/>
                <w:sz w:val="32"/>
                <w:szCs w:val="24"/>
              </w:rPr>
              <w:t>　　（一）认真贯彻执行党和国家的有关法律法规、方针、政策，坚持依法办园，执行上级主管部门的指示和决定。</w:t>
            </w:r>
          </w:p>
          <w:p>
            <w:pPr>
              <w:keepNext w:val="0"/>
              <w:keepLines w:val="0"/>
              <w:pageBreakBefore w:val="0"/>
              <w:widowControl w:val="0"/>
              <w:kinsoku/>
              <w:wordWrap/>
              <w:overflowPunct/>
              <w:topLinePunct w:val="0"/>
              <w:autoSpaceDE w:val="0"/>
              <w:autoSpaceDN w:val="0"/>
              <w:bidi w:val="0"/>
              <w:adjustRightInd w:val="0"/>
              <w:snapToGrid/>
              <w:spacing w:line="555" w:lineRule="exact"/>
              <w:ind w:firstLine="640" w:firstLineChars="200"/>
              <w:textAlignment w:val="auto"/>
              <w:rPr>
                <w:rFonts w:hint="eastAsia" w:ascii="仿宋_GB2312" w:hAnsi="仿宋_GB2312" w:eastAsia="仿宋_GB2312"/>
                <w:sz w:val="32"/>
                <w:szCs w:val="24"/>
              </w:rPr>
            </w:pPr>
            <w:r>
              <w:rPr>
                <w:rFonts w:hint="eastAsia" w:ascii="仿宋_GB2312" w:hAnsi="仿宋_GB2312" w:eastAsia="仿宋_GB2312"/>
                <w:sz w:val="32"/>
                <w:szCs w:val="24"/>
              </w:rPr>
              <w:t>（二）实行保育和教育相结合的原则，对幼儿实施体、智、德、美诸方面全面发展的教育，促进其身心和谐发展。</w:t>
            </w:r>
          </w:p>
          <w:p>
            <w:pPr>
              <w:keepNext w:val="0"/>
              <w:keepLines w:val="0"/>
              <w:pageBreakBefore w:val="0"/>
              <w:widowControl w:val="0"/>
              <w:kinsoku/>
              <w:wordWrap/>
              <w:overflowPunct/>
              <w:topLinePunct w:val="0"/>
              <w:autoSpaceDE w:val="0"/>
              <w:autoSpaceDN w:val="0"/>
              <w:bidi w:val="0"/>
              <w:adjustRightInd w:val="0"/>
              <w:snapToGrid/>
              <w:spacing w:line="555" w:lineRule="exact"/>
              <w:ind w:firstLine="640" w:firstLineChars="200"/>
              <w:textAlignment w:val="auto"/>
              <w:rPr>
                <w:rFonts w:hint="eastAsia" w:ascii="仿宋_GB2312" w:hAnsi="仿宋_GB2312" w:eastAsia="仿宋_GB2312"/>
                <w:sz w:val="32"/>
                <w:szCs w:val="24"/>
              </w:rPr>
            </w:pPr>
            <w:r>
              <w:rPr>
                <w:rFonts w:hint="eastAsia" w:ascii="仿宋_GB2312" w:hAnsi="仿宋_GB2312" w:eastAsia="仿宋_GB2312"/>
                <w:sz w:val="32"/>
                <w:szCs w:val="24"/>
              </w:rPr>
              <w:t>（三）为儿童提供健康、丰富的生活和活动环境，合理组织幼儿一日生活活动和其</w:t>
            </w:r>
            <w:r>
              <w:rPr>
                <w:rFonts w:hint="eastAsia" w:ascii="仿宋_GB2312" w:hAnsi="仿宋_GB2312" w:eastAsia="仿宋_GB2312"/>
                <w:sz w:val="32"/>
                <w:szCs w:val="24"/>
                <w:lang w:val="en-US" w:eastAsia="zh-CN"/>
              </w:rPr>
              <w:t>他</w:t>
            </w:r>
            <w:r>
              <w:rPr>
                <w:rFonts w:hint="eastAsia" w:ascii="仿宋_GB2312" w:hAnsi="仿宋_GB2312" w:eastAsia="仿宋_GB2312"/>
                <w:sz w:val="32"/>
                <w:szCs w:val="24"/>
              </w:rPr>
              <w:t>活动。</w:t>
            </w:r>
          </w:p>
          <w:p>
            <w:pPr>
              <w:keepNext w:val="0"/>
              <w:keepLines w:val="0"/>
              <w:pageBreakBefore w:val="0"/>
              <w:widowControl w:val="0"/>
              <w:kinsoku/>
              <w:wordWrap/>
              <w:overflowPunct/>
              <w:topLinePunct w:val="0"/>
              <w:autoSpaceDE w:val="0"/>
              <w:autoSpaceDN w:val="0"/>
              <w:bidi w:val="0"/>
              <w:adjustRightInd w:val="0"/>
              <w:snapToGrid/>
              <w:spacing w:line="555" w:lineRule="exact"/>
              <w:ind w:firstLine="640" w:firstLineChars="200"/>
              <w:textAlignment w:val="auto"/>
              <w:rPr>
                <w:rFonts w:hint="eastAsia" w:ascii="仿宋_GB2312" w:hAnsi="仿宋_GB2312" w:eastAsia="仿宋_GB2312"/>
                <w:sz w:val="32"/>
                <w:szCs w:val="24"/>
              </w:rPr>
            </w:pPr>
            <w:r>
              <w:rPr>
                <w:rFonts w:hint="eastAsia" w:ascii="仿宋_GB2312" w:hAnsi="仿宋_GB2312" w:eastAsia="仿宋_GB2312"/>
                <w:sz w:val="32"/>
                <w:szCs w:val="24"/>
              </w:rPr>
              <w:t>（四）贯彻幼儿教育法规、传播科学教育理念、开展教育科学研究、培训师资，发挥市示范性幼儿园的示范、辐射作用。</w:t>
            </w:r>
          </w:p>
          <w:p>
            <w:pPr>
              <w:spacing w:line="555" w:lineRule="exact"/>
              <w:rPr>
                <w:rFonts w:hint="default" w:ascii="仿宋_GB2312" w:hAnsi="仿宋_GB2312" w:eastAsia="仿宋_GB2312"/>
                <w:sz w:val="32"/>
                <w:szCs w:val="24"/>
              </w:rPr>
            </w:pPr>
            <w:r>
              <w:rPr>
                <w:rFonts w:hint="eastAsia" w:ascii="黑体" w:hAnsi="黑体" w:eastAsia="黑体"/>
                <w:sz w:val="32"/>
                <w:szCs w:val="24"/>
              </w:rPr>
              <w:t>　　二、单位基本情况</w:t>
            </w:r>
          </w:p>
          <w:p>
            <w:pPr>
              <w:spacing w:line="520" w:lineRule="exact"/>
              <w:ind w:firstLine="640"/>
              <w:jc w:val="both"/>
              <w:rPr>
                <w:rFonts w:hint="eastAsia" w:ascii="仿宋_GB2312" w:hAnsi="仿宋_GB2312" w:eastAsia="仿宋_GB2312"/>
                <w:sz w:val="24"/>
                <w:szCs w:val="24"/>
              </w:rPr>
            </w:pPr>
            <w:r>
              <w:rPr>
                <w:rFonts w:hint="eastAsia" w:ascii="仿宋_GB2312" w:hAnsi="仿宋_GB2312" w:eastAsia="仿宋_GB2312"/>
                <w:sz w:val="32"/>
                <w:szCs w:val="24"/>
              </w:rPr>
              <w:t>厦门市都市港湾幼儿园内设</w:t>
            </w:r>
            <w:r>
              <w:rPr>
                <w:rFonts w:hint="eastAsia" w:ascii="仿宋_GB2312" w:hAnsi="仿宋_GB2312" w:eastAsia="仿宋_GB2312"/>
                <w:sz w:val="32"/>
                <w:lang w:val="en-US" w:eastAsia="zh-CN"/>
              </w:rPr>
              <w:t>2</w:t>
            </w:r>
            <w:r>
              <w:rPr>
                <w:rFonts w:hint="eastAsia" w:ascii="仿宋_GB2312" w:hAnsi="仿宋_GB2312" w:eastAsia="仿宋_GB2312"/>
                <w:sz w:val="32"/>
              </w:rPr>
              <w:t>个处室/科室</w:t>
            </w:r>
            <w:r>
              <w:rPr>
                <w:rFonts w:hint="eastAsia" w:ascii="仿宋_GB2312" w:hAnsi="仿宋_GB2312" w:eastAsia="仿宋_GB2312"/>
                <w:sz w:val="32"/>
                <w:lang w:eastAsia="zh-CN"/>
              </w:rPr>
              <w:t>，</w:t>
            </w:r>
            <w:r>
              <w:rPr>
                <w:rFonts w:hint="eastAsia" w:ascii="仿宋_GB2312" w:hAnsi="仿宋_GB2312" w:eastAsia="仿宋_GB2312"/>
                <w:sz w:val="32"/>
                <w:lang w:val="en-US" w:eastAsia="zh-CN"/>
              </w:rPr>
              <w:t>包括园长办公室和总务科</w:t>
            </w:r>
            <w:r>
              <w:rPr>
                <w:rFonts w:hint="eastAsia" w:ascii="仿宋_GB2312" w:hAnsi="仿宋_GB2312" w:eastAsia="仿宋_GB2312"/>
                <w:sz w:val="32"/>
                <w:szCs w:val="24"/>
              </w:rPr>
              <w:t>，包括</w:t>
            </w:r>
            <w:r>
              <w:rPr>
                <w:rFonts w:hint="eastAsia" w:ascii="仿宋_GB2312" w:hAnsi="仿宋_GB2312" w:eastAsia="仿宋_GB2312"/>
                <w:sz w:val="24"/>
                <w:szCs w:val="24"/>
              </w:rPr>
              <w:t>：</w:t>
            </w:r>
            <w:r>
              <w:rPr>
                <w:rFonts w:hint="eastAsia" w:ascii="仿宋_GB2312" w:hAnsi="宋体" w:eastAsia="仿宋_GB2312" w:cs="仿宋_GB2312"/>
                <w:sz w:val="31"/>
                <w:szCs w:val="31"/>
              </w:rPr>
              <w:t>人员编制数</w:t>
            </w:r>
            <w:r>
              <w:rPr>
                <w:rFonts w:hint="eastAsia" w:ascii="仿宋_GB2312" w:hAnsi="宋体" w:eastAsia="仿宋_GB2312" w:cs="仿宋_GB2312"/>
                <w:sz w:val="31"/>
                <w:szCs w:val="31"/>
                <w:lang w:val="en-US" w:eastAsia="zh-CN"/>
              </w:rPr>
              <w:t>70</w:t>
            </w:r>
            <w:r>
              <w:rPr>
                <w:rFonts w:hint="eastAsia" w:ascii="仿宋_GB2312" w:hAnsi="宋体" w:eastAsia="仿宋_GB2312" w:cs="仿宋_GB2312"/>
                <w:sz w:val="31"/>
                <w:szCs w:val="31"/>
              </w:rPr>
              <w:t>人，在职人数2</w:t>
            </w:r>
            <w:r>
              <w:rPr>
                <w:rFonts w:hint="eastAsia" w:ascii="仿宋_GB2312" w:hAnsi="宋体" w:eastAsia="仿宋_GB2312" w:cs="仿宋_GB2312"/>
                <w:sz w:val="31"/>
                <w:szCs w:val="31"/>
                <w:lang w:val="en-US" w:eastAsia="zh-CN"/>
              </w:rPr>
              <w:t>6</w:t>
            </w:r>
            <w:r>
              <w:rPr>
                <w:rFonts w:hint="eastAsia" w:ascii="仿宋_GB2312" w:hAnsi="宋体" w:eastAsia="仿宋_GB2312" w:cs="仿宋_GB2312"/>
                <w:sz w:val="31"/>
                <w:szCs w:val="31"/>
              </w:rPr>
              <w:t>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0"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rPr>
                <w:rFonts w:hint="default" w:ascii="仿宋_GB2312" w:hAnsi="仿宋_GB2312" w:eastAsia="仿宋_GB2312"/>
                <w:sz w:val="32"/>
                <w:szCs w:val="24"/>
              </w:rPr>
            </w:pPr>
            <w:r>
              <w:rPr>
                <w:rFonts w:hint="eastAsia" w:ascii="黑体" w:hAnsi="黑体" w:eastAsia="黑体"/>
                <w:sz w:val="32"/>
                <w:szCs w:val="24"/>
              </w:rPr>
              <w:t>　　三、单位主要工作任务</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202</w:t>
            </w:r>
            <w:r>
              <w:rPr>
                <w:rFonts w:hint="eastAsia" w:ascii="仿宋_GB2312" w:hAnsi="仿宋_GB2312" w:eastAsia="仿宋_GB2312"/>
                <w:sz w:val="32"/>
                <w:szCs w:val="24"/>
                <w:lang w:val="en-US" w:eastAsia="zh-CN"/>
              </w:rPr>
              <w:t>5</w:t>
            </w:r>
            <w:r>
              <w:rPr>
                <w:rFonts w:hint="eastAsia" w:ascii="仿宋_GB2312" w:hAnsi="仿宋_GB2312" w:eastAsia="仿宋_GB2312"/>
                <w:sz w:val="32"/>
                <w:szCs w:val="24"/>
              </w:rPr>
              <w:t>年，厦门市都市港湾幼儿园主要任务是：</w:t>
            </w:r>
            <w:r>
              <w:rPr>
                <w:rFonts w:hint="eastAsia" w:ascii="仿宋_GB2312" w:hAnsi="仿宋_GB2312" w:eastAsia="仿宋_GB2312"/>
                <w:color w:val="auto"/>
                <w:sz w:val="32"/>
                <w:szCs w:val="24"/>
              </w:rPr>
              <w:t>为学龄前儿童提供保育教育服务</w:t>
            </w:r>
            <w:r>
              <w:rPr>
                <w:rFonts w:hint="eastAsia" w:ascii="仿宋_GB2312" w:hAnsi="仿宋_GB2312" w:eastAsia="仿宋_GB2312"/>
                <w:sz w:val="32"/>
                <w:szCs w:val="24"/>
              </w:rPr>
              <w:t>。围绕上述任务，重点抓好以下工作：</w:t>
            </w:r>
          </w:p>
          <w:p>
            <w:pPr>
              <w:pStyle w:val="9"/>
              <w:rPr>
                <w:rFonts w:hint="eastAsia" w:ascii="仿宋_GB2312" w:hAnsi="仿宋_GB2312" w:eastAsia="仿宋_GB2312"/>
                <w:sz w:val="32"/>
                <w:szCs w:val="24"/>
              </w:rPr>
            </w:pPr>
            <w:r>
              <w:rPr>
                <w:rFonts w:hint="eastAsia" w:ascii="仿宋_GB2312" w:hAnsi="仿宋_GB2312" w:eastAsia="仿宋_GB2312"/>
                <w:sz w:val="32"/>
                <w:szCs w:val="24"/>
              </w:rPr>
              <w:t>　　</w:t>
            </w:r>
            <w:r>
              <w:rPr>
                <w:rFonts w:hint="eastAsia" w:ascii="仿宋_GB2312" w:hAnsi="仿宋_GB2312" w:eastAsia="仿宋_GB2312"/>
                <w:sz w:val="32"/>
                <w:szCs w:val="24"/>
                <w:lang w:eastAsia="zh-CN"/>
              </w:rPr>
              <w:t>（一）</w:t>
            </w:r>
            <w:r>
              <w:rPr>
                <w:rFonts w:hint="eastAsia" w:ascii="仿宋_GB2312" w:hAnsi="仿宋_GB2312" w:eastAsia="仿宋_GB2312"/>
                <w:sz w:val="32"/>
                <w:szCs w:val="24"/>
              </w:rPr>
              <w:t>在党建品牌的引领下进一步探索“五和”党建工作模式，全面贯彻党的教育方针，落实立德树人根本任务。</w:t>
            </w:r>
          </w:p>
          <w:p>
            <w:pPr>
              <w:pStyle w:val="9"/>
              <w:rPr>
                <w:rFonts w:hint="eastAsia" w:ascii="仿宋_GB2312" w:hAnsi="仿宋_GB2312" w:eastAsia="仿宋_GB2312"/>
                <w:sz w:val="32"/>
                <w:szCs w:val="24"/>
              </w:rPr>
            </w:pPr>
            <w:r>
              <w:rPr>
                <w:rFonts w:hint="eastAsia" w:ascii="仿宋_GB2312" w:hAnsi="仿宋_GB2312" w:eastAsia="仿宋_GB2312"/>
                <w:sz w:val="32"/>
                <w:szCs w:val="24"/>
              </w:rPr>
              <w:t xml:space="preserve">  </w:t>
            </w:r>
            <w:r>
              <w:rPr>
                <w:rFonts w:hint="eastAsia" w:ascii="仿宋_GB2312" w:hAnsi="仿宋_GB2312" w:eastAsia="仿宋_GB2312"/>
                <w:sz w:val="32"/>
                <w:szCs w:val="24"/>
                <w:lang w:val="en-US" w:eastAsia="zh-CN"/>
              </w:rPr>
              <w:t xml:space="preserve">  </w:t>
            </w:r>
            <w:r>
              <w:rPr>
                <w:rFonts w:hint="eastAsia" w:ascii="仿宋_GB2312" w:hAnsi="仿宋_GB2312" w:eastAsia="仿宋_GB2312"/>
                <w:sz w:val="32"/>
                <w:szCs w:val="24"/>
                <w:lang w:eastAsia="zh-CN"/>
              </w:rPr>
              <w:t>（二）</w:t>
            </w:r>
            <w:r>
              <w:rPr>
                <w:rFonts w:hint="eastAsia" w:ascii="仿宋_GB2312" w:hAnsi="仿宋_GB2312" w:eastAsia="仿宋_GB2312"/>
                <w:sz w:val="32"/>
                <w:szCs w:val="24"/>
              </w:rPr>
              <w:t xml:space="preserve">建立和完善园本保教质量监控方案，在日常工作中尝试开展多形式保教质量评估方法的探索，力求在规范园所管理的基础上建强师资队伍，促进幼儿全面发展，不断提升幼儿园保教质量水平。                                                                                                                                                                                                                                                                               </w:t>
            </w:r>
          </w:p>
          <w:p>
            <w:pPr>
              <w:pStyle w:val="9"/>
              <w:ind w:firstLine="640"/>
              <w:rPr>
                <w:rFonts w:hint="eastAsia" w:ascii="仿宋_GB2312" w:hAnsi="仿宋_GB2312" w:eastAsia="仿宋_GB2312"/>
                <w:sz w:val="32"/>
                <w:szCs w:val="24"/>
                <w:lang w:eastAsia="zh-CN"/>
              </w:rPr>
            </w:pPr>
            <w:r>
              <w:rPr>
                <w:rFonts w:hint="eastAsia" w:ascii="仿宋_GB2312" w:hAnsi="仿宋_GB2312" w:eastAsia="仿宋_GB2312"/>
                <w:sz w:val="32"/>
                <w:szCs w:val="24"/>
                <w:lang w:eastAsia="zh-CN"/>
              </w:rPr>
              <w:t>（</w:t>
            </w:r>
            <w:r>
              <w:rPr>
                <w:rFonts w:hint="eastAsia" w:ascii="仿宋_GB2312" w:hAnsi="仿宋_GB2312" w:eastAsia="仿宋_GB2312"/>
                <w:sz w:val="32"/>
                <w:szCs w:val="24"/>
                <w:lang w:val="en-US" w:eastAsia="zh-CN"/>
              </w:rPr>
              <w:t>三</w:t>
            </w:r>
            <w:r>
              <w:rPr>
                <w:rFonts w:hint="eastAsia" w:ascii="仿宋_GB2312" w:hAnsi="仿宋_GB2312" w:eastAsia="仿宋_GB2312"/>
                <w:sz w:val="32"/>
                <w:szCs w:val="24"/>
                <w:lang w:eastAsia="zh-CN"/>
              </w:rPr>
              <w:t>）推动实施教师专业发展三年规划，建立层级引领的带教模式，充分发挥骨干力量的辐射引领，分批分阶段推动个性化的教师层级培养。</w:t>
            </w:r>
          </w:p>
          <w:p>
            <w:pPr>
              <w:pStyle w:val="9"/>
              <w:rPr>
                <w:rFonts w:hint="eastAsia"/>
              </w:rPr>
            </w:pPr>
            <w:r>
              <w:rPr>
                <w:rFonts w:hint="eastAsia" w:ascii="仿宋_GB2312" w:hAnsi="仿宋_GB2312" w:eastAsia="仿宋_GB2312"/>
                <w:sz w:val="32"/>
                <w:szCs w:val="24"/>
              </w:rPr>
              <w:t xml:space="preserve">                                                                                                                                                                     </w:t>
            </w:r>
            <w:r>
              <w:rPr>
                <w:rFonts w:hint="eastAsia" w:ascii="仿宋_GB2312" w:hAnsi="仿宋_GB2312" w:eastAsia="仿宋_GB2312"/>
                <w:sz w:val="32"/>
                <w:szCs w:val="24"/>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ind w:left="20"/>
              <w:jc w:val="center"/>
              <w:rPr>
                <w:rFonts w:hint="eastAsia" w:ascii="黑体" w:hAnsi="黑体" w:eastAsia="黑体"/>
                <w:sz w:val="32"/>
                <w:szCs w:val="24"/>
              </w:rPr>
            </w:pPr>
          </w:p>
          <w:p>
            <w:pPr>
              <w:spacing w:line="555" w:lineRule="exact"/>
              <w:ind w:left="20"/>
              <w:jc w:val="center"/>
              <w:rPr>
                <w:rFonts w:hint="eastAsia" w:ascii="黑体" w:hAnsi="黑体" w:eastAsia="黑体"/>
                <w:sz w:val="32"/>
                <w:szCs w:val="24"/>
              </w:rPr>
            </w:pPr>
            <w:r>
              <w:rPr>
                <w:rFonts w:hint="eastAsia" w:ascii="黑体" w:hAnsi="黑体" w:eastAsia="黑体"/>
                <w:sz w:val="32"/>
                <w:szCs w:val="24"/>
              </w:rPr>
              <w:t>第二部分  202</w:t>
            </w:r>
            <w:r>
              <w:rPr>
                <w:rFonts w:hint="eastAsia" w:ascii="黑体" w:hAnsi="黑体" w:eastAsia="黑体"/>
                <w:sz w:val="32"/>
                <w:szCs w:val="24"/>
                <w:lang w:val="en-US" w:eastAsia="zh-CN"/>
              </w:rPr>
              <w:t>5</w:t>
            </w:r>
            <w:r>
              <w:rPr>
                <w:rFonts w:hint="eastAsia" w:ascii="黑体" w:hAnsi="黑体" w:eastAsia="黑体"/>
                <w:sz w:val="32"/>
                <w:szCs w:val="24"/>
              </w:rPr>
              <w:t>年单位预算说明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1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rPr>
                <w:rFonts w:hint="default" w:ascii="仿宋_GB2312" w:hAnsi="仿宋_GB2312" w:eastAsia="仿宋_GB2312"/>
                <w:sz w:val="32"/>
                <w:szCs w:val="24"/>
              </w:rPr>
            </w:pPr>
            <w:r>
              <w:rPr>
                <w:rFonts w:hint="eastAsia" w:ascii="黑体" w:hAnsi="黑体" w:eastAsia="黑体"/>
                <w:sz w:val="32"/>
                <w:szCs w:val="24"/>
              </w:rPr>
              <w:t>　　一、202</w:t>
            </w:r>
            <w:r>
              <w:rPr>
                <w:rFonts w:hint="eastAsia" w:ascii="黑体" w:hAnsi="黑体" w:eastAsia="黑体"/>
                <w:sz w:val="32"/>
                <w:szCs w:val="24"/>
                <w:lang w:val="en-US" w:eastAsia="zh-CN"/>
              </w:rPr>
              <w:t>5</w:t>
            </w:r>
            <w:r>
              <w:rPr>
                <w:rFonts w:hint="eastAsia" w:ascii="黑体" w:hAnsi="黑体" w:eastAsia="黑体"/>
                <w:sz w:val="32"/>
                <w:szCs w:val="24"/>
              </w:rPr>
              <w:t>年单位预算收支总体情况</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根据预算管理的有关规定，单位的全部收入和支出均纳入部门预算管理。</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（一）厦门市都市港湾幼儿园202</w:t>
            </w:r>
            <w:r>
              <w:rPr>
                <w:rFonts w:hint="eastAsia" w:ascii="仿宋_GB2312" w:hAnsi="仿宋_GB2312" w:eastAsia="仿宋_GB2312"/>
                <w:sz w:val="32"/>
                <w:szCs w:val="24"/>
                <w:lang w:val="en-US" w:eastAsia="zh-CN"/>
              </w:rPr>
              <w:t>5</w:t>
            </w:r>
            <w:r>
              <w:rPr>
                <w:rFonts w:hint="eastAsia" w:ascii="仿宋_GB2312" w:hAnsi="仿宋_GB2312" w:eastAsia="仿宋_GB2312"/>
                <w:sz w:val="32"/>
                <w:szCs w:val="24"/>
              </w:rPr>
              <w:t>年收入预算为1,441.26万元，比202</w:t>
            </w:r>
            <w:r>
              <w:rPr>
                <w:rFonts w:hint="eastAsia" w:ascii="仿宋_GB2312" w:hAnsi="仿宋_GB2312" w:eastAsia="仿宋_GB2312"/>
                <w:sz w:val="32"/>
                <w:szCs w:val="24"/>
                <w:lang w:val="en-US" w:eastAsia="zh-CN"/>
              </w:rPr>
              <w:t>4</w:t>
            </w:r>
            <w:r>
              <w:rPr>
                <w:rFonts w:hint="eastAsia" w:ascii="仿宋_GB2312" w:hAnsi="仿宋_GB2312" w:eastAsia="仿宋_GB2312"/>
                <w:sz w:val="32"/>
                <w:szCs w:val="24"/>
              </w:rPr>
              <w:t>年预算数减少8.35万元，下降0.58％，具体情况如下：</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1.财政拨款收入1,441.26万元，其中一般公共预算拨款收入1,441.26万元，政府性基金拨款收入0.00万元，国有资本经营预算拨款收入0.00万元；</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2.财政专户管理资金收入0.00万元；</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3.事业收入0.00万元；</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4.事业单位经营收入0.00万元；</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5.上级补助收入0.00万元；</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6.附属单位上缴收入0.00万元；</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7.其他收入0.00万元；</w:t>
            </w:r>
          </w:p>
          <w:p>
            <w:pPr>
              <w:spacing w:line="555" w:lineRule="exact"/>
              <w:rPr>
                <w:rFonts w:hint="eastAsia" w:ascii="仿宋_GB2312" w:hAnsi="仿宋_GB2312" w:eastAsia="仿宋_GB2312"/>
                <w:sz w:val="32"/>
                <w:szCs w:val="24"/>
              </w:rPr>
            </w:pPr>
            <w:r>
              <w:rPr>
                <w:rFonts w:hint="eastAsia" w:ascii="仿宋_GB2312" w:hAnsi="仿宋_GB2312" w:eastAsia="仿宋_GB2312"/>
                <w:sz w:val="32"/>
                <w:szCs w:val="24"/>
              </w:rPr>
              <w:t>　　8.上年结转结余0.00万元。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ind w:firstLine="640" w:firstLineChars="200"/>
              <w:rPr>
                <w:rFonts w:hint="default" w:ascii="仿宋_GB2312" w:hAnsi="仿宋_GB2312" w:eastAsia="仿宋_GB2312"/>
                <w:sz w:val="32"/>
                <w:szCs w:val="24"/>
              </w:rPr>
            </w:pPr>
            <w:r>
              <w:rPr>
                <w:rFonts w:hint="eastAsia" w:ascii="仿宋_GB2312" w:hAnsi="仿宋_GB2312" w:eastAsia="仿宋_GB2312"/>
                <w:sz w:val="32"/>
                <w:szCs w:val="24"/>
              </w:rPr>
              <w:t>（二）厦门市都市港湾幼儿园202</w:t>
            </w:r>
            <w:r>
              <w:rPr>
                <w:rFonts w:hint="eastAsia" w:ascii="仿宋_GB2312" w:hAnsi="仿宋_GB2312" w:eastAsia="仿宋_GB2312"/>
                <w:sz w:val="32"/>
                <w:szCs w:val="24"/>
                <w:lang w:val="en-US" w:eastAsia="zh-CN"/>
              </w:rPr>
              <w:t>5</w:t>
            </w:r>
            <w:r>
              <w:rPr>
                <w:rFonts w:hint="eastAsia" w:ascii="仿宋_GB2312" w:hAnsi="仿宋_GB2312" w:eastAsia="仿宋_GB2312"/>
                <w:sz w:val="32"/>
                <w:szCs w:val="24"/>
              </w:rPr>
              <w:t>年支出预算为1,441.26万元（不含市对区转移支付项目），比202</w:t>
            </w:r>
            <w:r>
              <w:rPr>
                <w:rFonts w:hint="eastAsia" w:ascii="仿宋_GB2312" w:hAnsi="仿宋_GB2312" w:eastAsia="仿宋_GB2312"/>
                <w:sz w:val="32"/>
                <w:szCs w:val="24"/>
                <w:lang w:val="en-US" w:eastAsia="zh-CN"/>
              </w:rPr>
              <w:t>4</w:t>
            </w:r>
            <w:r>
              <w:rPr>
                <w:rFonts w:hint="eastAsia" w:ascii="仿宋_GB2312" w:hAnsi="仿宋_GB2312" w:eastAsia="仿宋_GB2312"/>
                <w:sz w:val="32"/>
                <w:szCs w:val="24"/>
              </w:rPr>
              <w:t>年预算数减少8.35万元，下降0.58％，具体情况如下：</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1.财政拨款基本支出1,441.26万元，其中，人员支出838.31万元，公用支出602.95万元；</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2.财政拨款项目支出0.00万元；</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3.非财政拨款支出0.00万元。</w:t>
            </w:r>
          </w:p>
          <w:p>
            <w:pPr>
              <w:spacing w:line="555" w:lineRule="exact"/>
              <w:ind w:firstLine="640"/>
              <w:rPr>
                <w:rFonts w:hint="eastAsia"/>
              </w:rPr>
            </w:pPr>
            <w:r>
              <w:rPr>
                <w:rFonts w:hint="eastAsia" w:ascii="仿宋_GB2312" w:hAnsi="仿宋_GB2312" w:eastAsia="仿宋_GB2312"/>
                <w:sz w:val="32"/>
                <w:szCs w:val="24"/>
              </w:rPr>
              <w:t>（三）厦门市都市港湾幼儿园202</w:t>
            </w:r>
            <w:r>
              <w:rPr>
                <w:rFonts w:hint="eastAsia" w:ascii="仿宋_GB2312" w:hAnsi="仿宋_GB2312" w:eastAsia="仿宋_GB2312"/>
                <w:sz w:val="32"/>
                <w:szCs w:val="24"/>
                <w:lang w:val="en-US" w:eastAsia="zh-CN"/>
              </w:rPr>
              <w:t>5</w:t>
            </w:r>
            <w:r>
              <w:rPr>
                <w:rFonts w:hint="eastAsia" w:ascii="仿宋_GB2312" w:hAnsi="仿宋_GB2312" w:eastAsia="仿宋_GB2312"/>
                <w:sz w:val="32"/>
                <w:szCs w:val="24"/>
              </w:rPr>
              <w:t>年区对镇（街）转移支付项目预算为万元。</w:t>
            </w:r>
          </w:p>
          <w:p>
            <w:pPr>
              <w:pStyle w:val="9"/>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807"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rPr>
                <w:rFonts w:hint="default" w:ascii="仿宋_GB2312" w:hAnsi="仿宋_GB2312" w:eastAsia="仿宋_GB2312"/>
                <w:sz w:val="32"/>
                <w:szCs w:val="24"/>
              </w:rPr>
            </w:pPr>
            <w:r>
              <w:rPr>
                <w:rFonts w:hint="eastAsia" w:ascii="黑体" w:hAnsi="黑体" w:eastAsia="黑体"/>
                <w:sz w:val="32"/>
                <w:szCs w:val="24"/>
              </w:rPr>
              <w:t>　　二、一般公共预算财政拨款支出预算情况</w:t>
            </w:r>
          </w:p>
          <w:p>
            <w:pPr>
              <w:spacing w:line="555" w:lineRule="exact"/>
              <w:rPr>
                <w:rFonts w:hint="eastAsia" w:ascii="仿宋_GB2312" w:hAnsi="仿宋_GB2312" w:eastAsia="仿宋_GB2312"/>
                <w:sz w:val="32"/>
                <w:szCs w:val="24"/>
              </w:rPr>
            </w:pPr>
            <w:r>
              <w:rPr>
                <w:rFonts w:hint="eastAsia" w:ascii="仿宋_GB2312" w:hAnsi="仿宋_GB2312" w:eastAsia="仿宋_GB2312"/>
                <w:sz w:val="32"/>
                <w:szCs w:val="24"/>
              </w:rPr>
              <w:t>　　202</w:t>
            </w:r>
            <w:r>
              <w:rPr>
                <w:rFonts w:hint="eastAsia" w:ascii="仿宋_GB2312" w:hAnsi="仿宋_GB2312" w:eastAsia="仿宋_GB2312"/>
                <w:sz w:val="32"/>
                <w:szCs w:val="24"/>
                <w:lang w:val="en-US" w:eastAsia="zh-CN"/>
              </w:rPr>
              <w:t>5</w:t>
            </w:r>
            <w:r>
              <w:rPr>
                <w:rFonts w:hint="eastAsia" w:ascii="仿宋_GB2312" w:hAnsi="仿宋_GB2312" w:eastAsia="仿宋_GB2312"/>
                <w:sz w:val="32"/>
                <w:szCs w:val="24"/>
              </w:rPr>
              <w:t>年度一般公共预算支出1,441.26万元（不含市对区转移支付项目），比202</w:t>
            </w:r>
            <w:r>
              <w:rPr>
                <w:rFonts w:hint="eastAsia" w:ascii="仿宋_GB2312" w:hAnsi="仿宋_GB2312" w:eastAsia="仿宋_GB2312"/>
                <w:sz w:val="32"/>
                <w:szCs w:val="24"/>
                <w:lang w:val="en-US" w:eastAsia="zh-CN"/>
              </w:rPr>
              <w:t>4</w:t>
            </w:r>
            <w:r>
              <w:rPr>
                <w:rFonts w:hint="eastAsia" w:ascii="仿宋_GB2312" w:hAnsi="仿宋_GB2312" w:eastAsia="仿宋_GB2312"/>
                <w:sz w:val="32"/>
                <w:szCs w:val="24"/>
              </w:rPr>
              <w:t>年预算数减少8.35万元，下降0.58%，主要是由于</w:t>
            </w:r>
            <w:r>
              <w:rPr>
                <w:rFonts w:hint="eastAsia" w:ascii="仿宋_GB2312" w:hAnsi="仿宋_GB2312" w:eastAsia="仿宋_GB2312" w:cs="Times New Roman"/>
                <w:sz w:val="32"/>
                <w:szCs w:val="24"/>
                <w:lang w:eastAsia="zh-CN"/>
              </w:rPr>
              <w:t>幼儿生数减少</w:t>
            </w:r>
            <w:r>
              <w:rPr>
                <w:rFonts w:hint="eastAsia" w:ascii="仿宋_GB2312" w:hAnsi="仿宋_GB2312" w:eastAsia="仿宋_GB2312"/>
                <w:sz w:val="32"/>
                <w:szCs w:val="24"/>
              </w:rPr>
              <w:t>（阐述增减变化原因）。支出项目(按项级科目分类统计)包括：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1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ind w:left="20"/>
              <w:rPr>
                <w:rFonts w:hint="eastAsia" w:ascii="仿宋_GB2312" w:hAnsi="仿宋_GB2312" w:eastAsia="仿宋_GB2312"/>
                <w:sz w:val="32"/>
                <w:szCs w:val="24"/>
              </w:rPr>
            </w:pPr>
            <w:r>
              <w:rPr>
                <w:rFonts w:hint="eastAsia" w:ascii="仿宋_GB2312" w:hAnsi="仿宋_GB2312" w:eastAsia="仿宋_GB2312"/>
                <w:sz w:val="32"/>
                <w:szCs w:val="24"/>
              </w:rPr>
              <w:t>　　1.教育支出（类）普通教育（款）学前教育（项）1,277.44万元。主要用于</w:t>
            </w:r>
            <w:r>
              <w:rPr>
                <w:rFonts w:hint="eastAsia" w:ascii="仿宋_GB2312" w:hAnsi="仿宋_GB2312" w:eastAsia="仿宋_GB2312"/>
                <w:sz w:val="32"/>
                <w:szCs w:val="24"/>
                <w:lang w:eastAsia="zh-CN"/>
              </w:rPr>
              <w:t>学前教育</w:t>
            </w:r>
            <w:r>
              <w:rPr>
                <w:rFonts w:hint="eastAsia" w:ascii="仿宋_GB2312" w:hAnsi="仿宋_GB2312" w:eastAsia="仿宋_GB2312"/>
                <w:sz w:val="32"/>
                <w:szCs w:val="24"/>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1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ind w:left="20"/>
              <w:rPr>
                <w:rFonts w:hint="eastAsia" w:ascii="仿宋_GB2312" w:hAnsi="仿宋_GB2312" w:eastAsia="仿宋_GB2312"/>
                <w:sz w:val="32"/>
                <w:szCs w:val="24"/>
              </w:rPr>
            </w:pPr>
            <w:r>
              <w:rPr>
                <w:rFonts w:hint="eastAsia" w:ascii="仿宋_GB2312" w:hAnsi="仿宋_GB2312" w:eastAsia="仿宋_GB2312"/>
                <w:sz w:val="32"/>
                <w:szCs w:val="24"/>
              </w:rPr>
              <w:t>　　2.社会保障和就业支出（类）行政事业单位养老支出（款）事业单位离退休（项）11.44万元。主要用于</w:t>
            </w:r>
            <w:r>
              <w:rPr>
                <w:rFonts w:hint="eastAsia" w:ascii="仿宋_GB2312" w:hAnsi="仿宋_GB2312" w:eastAsia="仿宋_GB2312"/>
                <w:sz w:val="32"/>
                <w:szCs w:val="24"/>
                <w:lang w:eastAsia="zh-CN"/>
              </w:rPr>
              <w:t>事业单位离退休</w:t>
            </w:r>
            <w:r>
              <w:rPr>
                <w:rFonts w:hint="eastAsia" w:ascii="仿宋_GB2312" w:hAnsi="仿宋_GB2312" w:eastAsia="仿宋_GB2312"/>
                <w:sz w:val="32"/>
                <w:szCs w:val="24"/>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79"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ind w:left="20"/>
              <w:rPr>
                <w:rFonts w:hint="eastAsia" w:ascii="仿宋_GB2312" w:hAnsi="仿宋_GB2312" w:eastAsia="仿宋_GB2312"/>
                <w:sz w:val="32"/>
                <w:szCs w:val="24"/>
              </w:rPr>
            </w:pPr>
            <w:r>
              <w:rPr>
                <w:rFonts w:hint="eastAsia" w:ascii="仿宋_GB2312" w:hAnsi="仿宋_GB2312" w:eastAsia="仿宋_GB2312"/>
                <w:sz w:val="32"/>
                <w:szCs w:val="24"/>
              </w:rPr>
              <w:t>　　3.社会保障和就业支出（类）行政事业单位养老支出（款）机关事业单位基本养老保险缴费支出（项）61.00万元。主要用于机关事业单位基本养老保险缴费支出。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79"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ind w:left="20"/>
              <w:rPr>
                <w:rFonts w:hint="eastAsia" w:ascii="仿宋_GB2312" w:hAnsi="仿宋_GB2312" w:eastAsia="仿宋_GB2312"/>
                <w:sz w:val="32"/>
                <w:szCs w:val="24"/>
              </w:rPr>
            </w:pPr>
            <w:r>
              <w:rPr>
                <w:rFonts w:hint="eastAsia" w:ascii="仿宋_GB2312" w:hAnsi="仿宋_GB2312" w:eastAsia="仿宋_GB2312"/>
                <w:sz w:val="32"/>
                <w:szCs w:val="24"/>
              </w:rPr>
              <w:t>　　4.社会保障和就业支出（类）行政事业单位养老支出（款）机关事业单位职业年金缴费支出（项）30.50万元。主要用于机关事业单位职业年金缴费支出。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1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ind w:left="20"/>
              <w:rPr>
                <w:rFonts w:hint="eastAsia" w:ascii="仿宋_GB2312" w:hAnsi="仿宋_GB2312" w:eastAsia="仿宋_GB2312"/>
                <w:sz w:val="32"/>
                <w:szCs w:val="24"/>
              </w:rPr>
            </w:pPr>
            <w:r>
              <w:rPr>
                <w:rFonts w:hint="eastAsia" w:ascii="仿宋_GB2312" w:hAnsi="仿宋_GB2312" w:eastAsia="仿宋_GB2312"/>
                <w:sz w:val="32"/>
                <w:szCs w:val="24"/>
              </w:rPr>
              <w:t>　　5.卫生健康支出（类）行政事业单位医疗（款）事业单位医疗（项）24.78万元。主要用于</w:t>
            </w:r>
            <w:r>
              <w:rPr>
                <w:rFonts w:hint="eastAsia" w:ascii="仿宋_GB2312" w:hAnsi="仿宋_GB2312" w:eastAsia="仿宋_GB2312"/>
                <w:sz w:val="32"/>
                <w:szCs w:val="24"/>
                <w:lang w:eastAsia="zh-CN"/>
              </w:rPr>
              <w:t>事业单位医疗</w:t>
            </w:r>
            <w:r>
              <w:rPr>
                <w:rFonts w:hint="eastAsia" w:ascii="仿宋_GB2312" w:hAnsi="仿宋_GB2312" w:eastAsia="仿宋_GB2312"/>
                <w:sz w:val="32"/>
                <w:szCs w:val="24"/>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1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ind w:left="20"/>
              <w:rPr>
                <w:rFonts w:hint="eastAsia" w:ascii="仿宋_GB2312" w:hAnsi="仿宋_GB2312" w:eastAsia="仿宋_GB2312"/>
                <w:sz w:val="32"/>
                <w:szCs w:val="24"/>
              </w:rPr>
            </w:pPr>
            <w:r>
              <w:rPr>
                <w:rFonts w:hint="eastAsia" w:ascii="仿宋_GB2312" w:hAnsi="仿宋_GB2312" w:eastAsia="仿宋_GB2312"/>
                <w:sz w:val="32"/>
                <w:szCs w:val="24"/>
              </w:rPr>
              <w:t>　　6.卫生健康支出（类）行政事业单位医疗（款）其他行政事业单位医疗支出（项）13.34万元。主要用于他行政事业单位医疗支出。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1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ind w:left="20"/>
              <w:rPr>
                <w:rFonts w:hint="eastAsia" w:ascii="仿宋_GB2312" w:hAnsi="仿宋_GB2312" w:eastAsia="仿宋_GB2312"/>
                <w:sz w:val="32"/>
                <w:szCs w:val="24"/>
              </w:rPr>
            </w:pPr>
            <w:r>
              <w:rPr>
                <w:rFonts w:hint="eastAsia" w:ascii="仿宋_GB2312" w:hAnsi="仿宋_GB2312" w:eastAsia="仿宋_GB2312"/>
                <w:sz w:val="32"/>
                <w:szCs w:val="24"/>
              </w:rPr>
              <w:t>　　7.住房保障支出（类）住房改革支出（款）购房补贴（项）22.75万元。主要用于</w:t>
            </w:r>
            <w:r>
              <w:rPr>
                <w:rFonts w:hint="eastAsia" w:ascii="仿宋_GB2312" w:hAnsi="仿宋_GB2312" w:eastAsia="仿宋_GB2312"/>
                <w:sz w:val="32"/>
                <w:szCs w:val="24"/>
                <w:lang w:eastAsia="zh-CN"/>
              </w:rPr>
              <w:t>住房保障</w:t>
            </w:r>
            <w:r>
              <w:rPr>
                <w:rFonts w:hint="eastAsia" w:ascii="仿宋_GB2312" w:hAnsi="仿宋_GB2312" w:eastAsia="仿宋_GB2312"/>
                <w:sz w:val="32"/>
                <w:szCs w:val="24"/>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807"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rPr>
                <w:rFonts w:hint="default" w:ascii="仿宋_GB2312" w:hAnsi="仿宋_GB2312" w:eastAsia="仿宋_GB2312"/>
                <w:sz w:val="32"/>
                <w:szCs w:val="24"/>
              </w:rPr>
            </w:pPr>
            <w:r>
              <w:rPr>
                <w:rFonts w:hint="eastAsia" w:ascii="黑体" w:hAnsi="黑体" w:eastAsia="黑体"/>
                <w:sz w:val="32"/>
                <w:szCs w:val="24"/>
              </w:rPr>
              <w:t>　　三、政府性基金预算财政拨款支出情况</w:t>
            </w:r>
          </w:p>
          <w:p>
            <w:pPr>
              <w:spacing w:line="555" w:lineRule="exact"/>
              <w:rPr>
                <w:rFonts w:hint="eastAsia" w:ascii="仿宋_GB2312" w:hAnsi="仿宋_GB2312" w:eastAsia="仿宋_GB2312"/>
                <w:sz w:val="32"/>
                <w:szCs w:val="24"/>
              </w:rPr>
            </w:pPr>
            <w:r>
              <w:rPr>
                <w:rFonts w:hint="eastAsia" w:ascii="仿宋_GB2312" w:hAnsi="仿宋_GB2312" w:eastAsia="仿宋_GB2312"/>
                <w:sz w:val="32"/>
                <w:szCs w:val="24"/>
              </w:rPr>
              <w:t>　　202</w:t>
            </w:r>
            <w:r>
              <w:rPr>
                <w:rFonts w:hint="eastAsia" w:ascii="仿宋_GB2312" w:hAnsi="仿宋_GB2312" w:eastAsia="仿宋_GB2312"/>
                <w:sz w:val="32"/>
                <w:szCs w:val="24"/>
                <w:lang w:val="en-US" w:eastAsia="zh-CN"/>
              </w:rPr>
              <w:t>5</w:t>
            </w:r>
            <w:r>
              <w:rPr>
                <w:rFonts w:hint="eastAsia" w:ascii="仿宋_GB2312" w:hAnsi="仿宋_GB2312" w:eastAsia="仿宋_GB2312"/>
                <w:sz w:val="32"/>
                <w:szCs w:val="24"/>
              </w:rPr>
              <w:t>年度政府性基金支出0.00万元（不含市对区转移支付项目），比202</w:t>
            </w:r>
            <w:r>
              <w:rPr>
                <w:rFonts w:hint="eastAsia" w:ascii="仿宋_GB2312" w:hAnsi="仿宋_GB2312" w:eastAsia="仿宋_GB2312"/>
                <w:sz w:val="32"/>
                <w:szCs w:val="24"/>
                <w:lang w:val="en-US" w:eastAsia="zh-CN"/>
              </w:rPr>
              <w:t>4</w:t>
            </w:r>
            <w:r>
              <w:rPr>
                <w:rFonts w:hint="eastAsia" w:ascii="仿宋_GB2312" w:hAnsi="仿宋_GB2312" w:eastAsia="仿宋_GB2312"/>
                <w:sz w:val="32"/>
                <w:szCs w:val="24"/>
              </w:rPr>
              <w:t>年预算数增加0.00万元，增长0%，主要是由于</w:t>
            </w:r>
            <w:r>
              <w:rPr>
                <w:rFonts w:hint="eastAsia" w:ascii="仿宋_GB2312" w:hAnsi="仿宋_GB2312" w:eastAsia="仿宋_GB2312"/>
                <w:color w:val="auto"/>
                <w:sz w:val="32"/>
                <w:szCs w:val="24"/>
                <w:lang w:eastAsia="zh-CN"/>
              </w:rPr>
              <w:t>增长（下降）</w:t>
            </w:r>
            <w:r>
              <w:rPr>
                <w:rFonts w:hint="eastAsia" w:ascii="仿宋_GB2312" w:hAnsi="仿宋_GB2312" w:eastAsia="仿宋_GB2312"/>
                <w:color w:val="auto"/>
                <w:sz w:val="32"/>
                <w:szCs w:val="24"/>
                <w:lang w:val="en-US" w:eastAsia="zh-CN"/>
              </w:rPr>
              <w:t>0%</w:t>
            </w:r>
            <w:r>
              <w:rPr>
                <w:rFonts w:hint="eastAsia" w:ascii="仿宋_GB2312" w:hAnsi="仿宋_GB2312" w:eastAsia="仿宋_GB2312"/>
                <w:sz w:val="32"/>
                <w:szCs w:val="24"/>
              </w:rPr>
              <w:t>（阐述增减变化原因）。支出项目（按项级科目分类统计）：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ind w:left="20"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暂无数据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79"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rPr>
                <w:rFonts w:hint="eastAsia" w:ascii="仿宋_GB2312" w:hAnsi="仿宋_GB2312" w:eastAsia="仿宋_GB2312"/>
                <w:sz w:val="32"/>
                <w:szCs w:val="24"/>
              </w:rPr>
            </w:pPr>
            <w:r>
              <w:rPr>
                <w:rFonts w:hint="eastAsia" w:ascii="仿宋_GB2312" w:hAnsi="仿宋_GB2312" w:eastAsia="仿宋_GB2312"/>
                <w:sz w:val="32"/>
                <w:szCs w:val="24"/>
              </w:rPr>
              <w:t>　　202</w:t>
            </w:r>
            <w:r>
              <w:rPr>
                <w:rFonts w:hint="eastAsia" w:ascii="仿宋_GB2312" w:hAnsi="仿宋_GB2312" w:eastAsia="仿宋_GB2312"/>
                <w:sz w:val="32"/>
                <w:szCs w:val="24"/>
                <w:lang w:val="en-US" w:eastAsia="zh-CN"/>
              </w:rPr>
              <w:t>5</w:t>
            </w:r>
            <w:r>
              <w:rPr>
                <w:rFonts w:hint="eastAsia" w:ascii="仿宋_GB2312" w:hAnsi="仿宋_GB2312" w:eastAsia="仿宋_GB2312"/>
                <w:sz w:val="32"/>
                <w:szCs w:val="24"/>
              </w:rPr>
              <w:t>年</w:t>
            </w:r>
            <w:r>
              <w:rPr>
                <w:rFonts w:hint="eastAsia" w:ascii="仿宋_GB2312" w:hAnsi="仿宋_GB2312" w:eastAsia="仿宋_GB2312"/>
                <w:sz w:val="32"/>
                <w:szCs w:val="24"/>
                <w:lang w:val="en-US" w:eastAsia="zh-CN"/>
              </w:rPr>
              <w:t>无此项经费预算拨款安排</w:t>
            </w:r>
            <w:r>
              <w:rPr>
                <w:rFonts w:hint="eastAsia" w:ascii="仿宋_GB2312" w:hAnsi="仿宋_GB2312" w:eastAsia="仿宋_GB2312"/>
                <w:sz w:val="32"/>
                <w:szCs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807"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rPr>
                <w:rFonts w:hint="default" w:ascii="仿宋_GB2312" w:hAnsi="仿宋_GB2312" w:eastAsia="仿宋_GB2312"/>
                <w:sz w:val="32"/>
                <w:szCs w:val="24"/>
              </w:rPr>
            </w:pPr>
            <w:r>
              <w:rPr>
                <w:rFonts w:hint="eastAsia" w:ascii="黑体" w:hAnsi="黑体" w:eastAsia="黑体"/>
                <w:sz w:val="32"/>
                <w:szCs w:val="24"/>
              </w:rPr>
              <w:t>　　四、“三公”经费财政拨款预算情况</w:t>
            </w:r>
          </w:p>
          <w:p>
            <w:pPr>
              <w:spacing w:line="555" w:lineRule="exact"/>
              <w:rPr>
                <w:rFonts w:hint="eastAsia" w:ascii="仿宋_GB2312" w:hAnsi="仿宋_GB2312" w:eastAsia="仿宋_GB2312"/>
                <w:sz w:val="32"/>
                <w:szCs w:val="24"/>
              </w:rPr>
            </w:pPr>
            <w:r>
              <w:rPr>
                <w:rFonts w:hint="eastAsia" w:ascii="仿宋_GB2312" w:hAnsi="仿宋_GB2312" w:eastAsia="仿宋_GB2312"/>
                <w:sz w:val="32"/>
                <w:szCs w:val="24"/>
              </w:rPr>
              <w:t>　　厦门市都市港湾幼儿园单位202</w:t>
            </w:r>
            <w:r>
              <w:rPr>
                <w:rFonts w:hint="eastAsia" w:ascii="仿宋_GB2312" w:hAnsi="仿宋_GB2312" w:eastAsia="仿宋_GB2312"/>
                <w:sz w:val="32"/>
                <w:szCs w:val="24"/>
                <w:lang w:val="en-US" w:eastAsia="zh-CN"/>
              </w:rPr>
              <w:t>5</w:t>
            </w:r>
            <w:r>
              <w:rPr>
                <w:rFonts w:hint="eastAsia" w:ascii="仿宋_GB2312" w:hAnsi="仿宋_GB2312" w:eastAsia="仿宋_GB2312"/>
                <w:sz w:val="32"/>
                <w:szCs w:val="24"/>
              </w:rPr>
              <w:t>年“三公”经费财政拨款预算数为0.00万元，其中：因公出国（境）经费0.00万元，公务接待费0.00万元，公务用车购置及运行费0.00万元。具体情况如下：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rPr>
                <w:rFonts w:hint="default" w:ascii="仿宋_GB2312" w:hAnsi="仿宋_GB2312" w:eastAsia="仿宋_GB2312"/>
                <w:sz w:val="32"/>
                <w:szCs w:val="24"/>
              </w:rPr>
            </w:pPr>
            <w:r>
              <w:rPr>
                <w:rFonts w:hint="eastAsia" w:ascii="楷体_GB2312" w:hAnsi="楷体_GB2312" w:eastAsia="楷体_GB2312"/>
                <w:sz w:val="32"/>
                <w:szCs w:val="24"/>
              </w:rPr>
              <w:t>　　（一）因公出国（境）经费</w:t>
            </w:r>
          </w:p>
          <w:p>
            <w:pPr>
              <w:spacing w:line="555" w:lineRule="exact"/>
              <w:rPr>
                <w:rFonts w:hint="eastAsia" w:ascii="楷体" w:hAnsi="楷体" w:eastAsia="楷体"/>
                <w:sz w:val="32"/>
                <w:szCs w:val="24"/>
              </w:rPr>
            </w:pPr>
            <w:r>
              <w:rPr>
                <w:rFonts w:hint="eastAsia" w:ascii="仿宋_GB2312" w:hAnsi="仿宋_GB2312" w:eastAsia="仿宋_GB2312"/>
                <w:sz w:val="32"/>
                <w:szCs w:val="24"/>
              </w:rPr>
              <w:t>　　202</w:t>
            </w:r>
            <w:r>
              <w:rPr>
                <w:rFonts w:hint="eastAsia" w:ascii="仿宋_GB2312" w:hAnsi="仿宋_GB2312" w:eastAsia="仿宋_GB2312"/>
                <w:sz w:val="32"/>
                <w:szCs w:val="24"/>
                <w:lang w:val="en-US" w:eastAsia="zh-CN"/>
              </w:rPr>
              <w:t>5</w:t>
            </w:r>
            <w:r>
              <w:rPr>
                <w:rFonts w:hint="eastAsia" w:ascii="仿宋_GB2312" w:hAnsi="仿宋_GB2312" w:eastAsia="仿宋_GB2312"/>
                <w:sz w:val="32"/>
                <w:szCs w:val="24"/>
              </w:rPr>
              <w:t>年预算安排0.00万元。主要</w:t>
            </w:r>
            <w:r>
              <w:rPr>
                <w:rFonts w:hint="eastAsia" w:ascii="FangSong_GB2312" w:hAnsi="FangSong_GB2312" w:eastAsia="FangSong_GB2312"/>
                <w:color w:val="auto"/>
                <w:sz w:val="32"/>
                <w:szCs w:val="24"/>
              </w:rPr>
              <w:t>因</w:t>
            </w:r>
            <w:r>
              <w:rPr>
                <w:rFonts w:hint="eastAsia" w:ascii="仿宋" w:hAnsi="仿宋" w:eastAsia="仿宋"/>
                <w:color w:val="auto"/>
                <w:sz w:val="32"/>
                <w:szCs w:val="24"/>
              </w:rPr>
              <w:t>无此项经费预算拨款</w:t>
            </w:r>
            <w:bookmarkStart w:id="0" w:name="_GoBack"/>
            <w:bookmarkEnd w:id="0"/>
            <w:r>
              <w:rPr>
                <w:rFonts w:hint="eastAsia" w:ascii="仿宋_GB2312" w:hAnsi="仿宋_GB2312" w:eastAsia="仿宋_GB2312"/>
                <w:sz w:val="32"/>
                <w:szCs w:val="24"/>
              </w:rPr>
              <w:t>。与上年预算相比，主要原因是:</w:t>
            </w:r>
            <w:r>
              <w:rPr>
                <w:rFonts w:hint="eastAsia" w:ascii="仿宋" w:hAnsi="仿宋" w:eastAsia="仿宋"/>
                <w:color w:val="auto"/>
                <w:sz w:val="32"/>
                <w:szCs w:val="24"/>
              </w:rPr>
              <w:t>上年没有此项拨款预算</w:t>
            </w:r>
            <w:r>
              <w:rPr>
                <w:rFonts w:hint="eastAsia" w:ascii="仿宋_GB2312" w:hAnsi="仿宋_GB2312" w:eastAsia="仿宋_GB2312"/>
                <w:sz w:val="32"/>
                <w:szCs w:val="24"/>
              </w:rPr>
              <w:t>。</w:t>
            </w:r>
          </w:p>
          <w:p>
            <w:pPr>
              <w:spacing w:line="555" w:lineRule="exact"/>
              <w:rPr>
                <w:rFonts w:hint="default" w:ascii="仿宋_GB2312" w:hAnsi="仿宋_GB2312" w:eastAsia="仿宋_GB2312"/>
                <w:sz w:val="32"/>
                <w:szCs w:val="24"/>
              </w:rPr>
            </w:pPr>
            <w:r>
              <w:rPr>
                <w:rFonts w:hint="eastAsia" w:ascii="楷体_GB2312" w:hAnsi="楷体_GB2312" w:eastAsia="楷体_GB2312"/>
                <w:sz w:val="32"/>
                <w:szCs w:val="24"/>
              </w:rPr>
              <w:t>　　（二）公务接待费</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202</w:t>
            </w:r>
            <w:r>
              <w:rPr>
                <w:rFonts w:hint="eastAsia" w:ascii="仿宋_GB2312" w:hAnsi="仿宋_GB2312" w:eastAsia="仿宋_GB2312"/>
                <w:sz w:val="32"/>
                <w:szCs w:val="24"/>
                <w:lang w:val="en-US" w:eastAsia="zh-CN"/>
              </w:rPr>
              <w:t>5</w:t>
            </w:r>
            <w:r>
              <w:rPr>
                <w:rFonts w:hint="eastAsia" w:ascii="仿宋_GB2312" w:hAnsi="仿宋_GB2312" w:eastAsia="仿宋_GB2312"/>
                <w:sz w:val="32"/>
                <w:szCs w:val="24"/>
              </w:rPr>
              <w:t>年预算安排0.00万元。主要</w:t>
            </w:r>
            <w:r>
              <w:rPr>
                <w:rFonts w:hint="eastAsia" w:ascii="FangSong_GB2312" w:hAnsi="FangSong_GB2312" w:eastAsia="FangSong_GB2312"/>
                <w:color w:val="auto"/>
                <w:sz w:val="32"/>
                <w:szCs w:val="24"/>
              </w:rPr>
              <w:t>因</w:t>
            </w:r>
            <w:r>
              <w:rPr>
                <w:rFonts w:hint="eastAsia" w:ascii="仿宋" w:hAnsi="仿宋" w:eastAsia="仿宋"/>
                <w:color w:val="auto"/>
                <w:sz w:val="32"/>
                <w:szCs w:val="24"/>
              </w:rPr>
              <w:t>无此项经费预算拨款</w:t>
            </w:r>
            <w:r>
              <w:rPr>
                <w:rFonts w:hint="eastAsia" w:ascii="仿宋_GB2312" w:hAnsi="仿宋_GB2312" w:eastAsia="仿宋_GB2312"/>
                <w:sz w:val="32"/>
                <w:szCs w:val="24"/>
              </w:rPr>
              <w:t>等方面的接待活动。与上年预算相比，主要原因是:</w:t>
            </w:r>
            <w:r>
              <w:rPr>
                <w:rFonts w:hint="eastAsia" w:ascii="仿宋" w:hAnsi="仿宋" w:eastAsia="仿宋"/>
                <w:color w:val="auto"/>
                <w:sz w:val="32"/>
                <w:szCs w:val="24"/>
              </w:rPr>
              <w:t>上年没有此项拨款预算</w:t>
            </w:r>
            <w:r>
              <w:rPr>
                <w:rFonts w:hint="eastAsia" w:ascii="仿宋_GB2312" w:hAnsi="仿宋_GB2312" w:eastAsia="仿宋_GB2312"/>
                <w:sz w:val="32"/>
                <w:szCs w:val="24"/>
              </w:rPr>
              <w:t>。</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w:t>
            </w:r>
            <w:r>
              <w:rPr>
                <w:rFonts w:hint="eastAsia" w:ascii="楷体_GB2312" w:hAnsi="楷体_GB2312" w:eastAsia="楷体_GB2312"/>
                <w:sz w:val="32"/>
                <w:szCs w:val="24"/>
              </w:rPr>
              <w:t>（三）公务用车购置及运行费</w:t>
            </w:r>
          </w:p>
          <w:p>
            <w:pPr>
              <w:spacing w:line="555" w:lineRule="exact"/>
              <w:rPr>
                <w:rFonts w:hint="eastAsia" w:ascii="仿宋_GB2312" w:hAnsi="仿宋_GB2312" w:eastAsia="仿宋_GB2312"/>
                <w:sz w:val="32"/>
                <w:szCs w:val="24"/>
              </w:rPr>
            </w:pPr>
            <w:r>
              <w:rPr>
                <w:rFonts w:hint="eastAsia" w:ascii="仿宋_GB2312" w:hAnsi="仿宋_GB2312" w:eastAsia="仿宋_GB2312"/>
                <w:sz w:val="32"/>
                <w:szCs w:val="24"/>
              </w:rPr>
              <w:t>　　202</w:t>
            </w:r>
            <w:r>
              <w:rPr>
                <w:rFonts w:hint="eastAsia" w:ascii="仿宋_GB2312" w:hAnsi="仿宋_GB2312" w:eastAsia="仿宋_GB2312"/>
                <w:sz w:val="32"/>
                <w:szCs w:val="24"/>
                <w:lang w:val="en-US" w:eastAsia="zh-CN"/>
              </w:rPr>
              <w:t>5</w:t>
            </w:r>
            <w:r>
              <w:rPr>
                <w:rFonts w:hint="eastAsia" w:ascii="仿宋_GB2312" w:hAnsi="仿宋_GB2312" w:eastAsia="仿宋_GB2312"/>
                <w:sz w:val="32"/>
                <w:szCs w:val="24"/>
              </w:rPr>
              <w:t>年预算安排0.00万元，其中：公务用车运行费0.00万元，主要用于公务用车燃油、维修、保险等方面支出；公务用车购置费0.00万元。与上年预算相比，主要原因是:</w:t>
            </w:r>
            <w:r>
              <w:rPr>
                <w:rFonts w:hint="eastAsia" w:ascii="仿宋_GB2312" w:hAnsi="仿宋" w:eastAsia="仿宋_GB2312"/>
                <w:color w:val="auto"/>
                <w:sz w:val="32"/>
                <w:szCs w:val="24"/>
              </w:rPr>
              <w:t>上年没有此项拨款预算</w:t>
            </w:r>
            <w:r>
              <w:rPr>
                <w:rFonts w:hint="eastAsia" w:ascii="仿宋_GB2312" w:hAnsi="仿宋_GB2312" w:eastAsia="仿宋_GB2312"/>
                <w:sz w:val="32"/>
                <w:szCs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260"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ind w:firstLine="640" w:firstLineChars="200"/>
              <w:rPr>
                <w:rFonts w:hint="eastAsia" w:ascii="华文仿宋" w:hAnsi="华文仿宋" w:eastAsia="华文仿宋"/>
                <w:sz w:val="32"/>
                <w:szCs w:val="24"/>
              </w:rPr>
            </w:pPr>
            <w:r>
              <w:rPr>
                <w:rFonts w:hint="eastAsia" w:ascii="黑体" w:hAnsi="黑体" w:eastAsia="黑体"/>
                <w:sz w:val="32"/>
                <w:szCs w:val="24"/>
              </w:rPr>
              <w:t>五、其他重要事项的情况说明</w:t>
            </w:r>
          </w:p>
          <w:p>
            <w:pPr>
              <w:spacing w:line="555" w:lineRule="exact"/>
              <w:rPr>
                <w:rFonts w:hint="default" w:ascii="仿宋_GB2312" w:hAnsi="仿宋_GB2312" w:eastAsia="仿宋_GB2312"/>
                <w:sz w:val="32"/>
                <w:szCs w:val="24"/>
              </w:rPr>
            </w:pPr>
            <w:r>
              <w:rPr>
                <w:rFonts w:hint="eastAsia" w:ascii="华文仿宋" w:hAnsi="华文仿宋" w:eastAsia="华文仿宋"/>
                <w:sz w:val="32"/>
                <w:szCs w:val="24"/>
              </w:rPr>
              <w:t>　　</w:t>
            </w:r>
            <w:r>
              <w:rPr>
                <w:rFonts w:hint="eastAsia" w:ascii="楷体_GB2312" w:hAnsi="楷体_GB2312" w:eastAsia="楷体_GB2312"/>
                <w:sz w:val="32"/>
                <w:szCs w:val="24"/>
              </w:rPr>
              <w:t>（一）机关运行经费</w:t>
            </w:r>
          </w:p>
          <w:p>
            <w:pPr>
              <w:spacing w:line="555" w:lineRule="exact"/>
              <w:ind w:firstLine="640"/>
              <w:rPr>
                <w:rFonts w:hint="eastAsia" w:ascii="仿宋_GB2312" w:hAnsi="仿宋_GB2312" w:eastAsia="仿宋_GB2312"/>
                <w:sz w:val="32"/>
                <w:szCs w:val="24"/>
              </w:rPr>
            </w:pPr>
            <w:r>
              <w:rPr>
                <w:rFonts w:hint="eastAsia" w:ascii="仿宋_GB2312" w:hAnsi="仿宋_GB2312" w:eastAsia="仿宋_GB2312"/>
                <w:sz w:val="32"/>
                <w:szCs w:val="24"/>
              </w:rPr>
              <w:t>202</w:t>
            </w:r>
            <w:r>
              <w:rPr>
                <w:rFonts w:hint="eastAsia" w:ascii="仿宋_GB2312" w:hAnsi="仿宋_GB2312" w:eastAsia="仿宋_GB2312"/>
                <w:sz w:val="32"/>
                <w:szCs w:val="24"/>
                <w:lang w:val="en-US" w:eastAsia="zh-CN"/>
              </w:rPr>
              <w:t>5</w:t>
            </w:r>
            <w:r>
              <w:rPr>
                <w:rFonts w:hint="eastAsia" w:ascii="仿宋_GB2312" w:hAnsi="仿宋_GB2312" w:eastAsia="仿宋_GB2312"/>
                <w:sz w:val="32"/>
                <w:szCs w:val="24"/>
              </w:rPr>
              <w:t>年厦门市都市港湾幼儿园的机关运行经费财政拨款预算</w:t>
            </w:r>
            <w:r>
              <w:rPr>
                <w:rFonts w:hint="eastAsia" w:ascii="仿宋_GB2312" w:hAnsi="仿宋_GB2312" w:eastAsia="仿宋_GB2312"/>
                <w:color w:val="auto"/>
                <w:sz w:val="32"/>
                <w:szCs w:val="24"/>
                <w:lang w:val="en-US" w:eastAsia="zh-CN"/>
              </w:rPr>
              <w:t>0</w:t>
            </w:r>
            <w:r>
              <w:rPr>
                <w:rFonts w:hint="eastAsia" w:ascii="仿宋_GB2312" w:hAnsi="仿宋_GB2312" w:eastAsia="仿宋_GB2312"/>
                <w:sz w:val="32"/>
                <w:szCs w:val="24"/>
              </w:rPr>
              <w:t>万元，比202</w:t>
            </w:r>
            <w:r>
              <w:rPr>
                <w:rFonts w:hint="eastAsia" w:ascii="仿宋_GB2312" w:hAnsi="仿宋_GB2312" w:eastAsia="仿宋_GB2312"/>
                <w:sz w:val="32"/>
                <w:szCs w:val="24"/>
                <w:lang w:val="en-US" w:eastAsia="zh-CN"/>
              </w:rPr>
              <w:t>4</w:t>
            </w:r>
            <w:r>
              <w:rPr>
                <w:rFonts w:hint="eastAsia" w:ascii="仿宋_GB2312" w:hAnsi="仿宋_GB2312" w:eastAsia="仿宋_GB2312"/>
                <w:sz w:val="32"/>
                <w:szCs w:val="24"/>
              </w:rPr>
              <w:t>年预算减少（增加）</w:t>
            </w:r>
            <w:r>
              <w:rPr>
                <w:rFonts w:hint="eastAsia" w:ascii="仿宋_GB2312" w:hAnsi="仿宋_GB2312" w:eastAsia="仿宋_GB2312"/>
                <w:color w:val="auto"/>
                <w:sz w:val="32"/>
                <w:szCs w:val="24"/>
                <w:lang w:val="en-US" w:eastAsia="zh-CN"/>
              </w:rPr>
              <w:t>0</w:t>
            </w:r>
            <w:r>
              <w:rPr>
                <w:rFonts w:hint="eastAsia" w:ascii="仿宋_GB2312" w:hAnsi="仿宋_GB2312" w:eastAsia="仿宋_GB2312"/>
                <w:sz w:val="32"/>
                <w:szCs w:val="24"/>
              </w:rPr>
              <w:t>万元，下降（增长）</w:t>
            </w:r>
            <w:r>
              <w:rPr>
                <w:rFonts w:hint="eastAsia" w:ascii="仿宋_GB2312" w:hAnsi="仿宋_GB2312" w:eastAsia="仿宋_GB2312" w:cs="Times New Roman"/>
                <w:color w:val="auto"/>
                <w:sz w:val="32"/>
                <w:szCs w:val="24"/>
                <w:lang w:val="en-US" w:eastAsia="zh-CN"/>
              </w:rPr>
              <w:t>0</w:t>
            </w:r>
            <w:r>
              <w:rPr>
                <w:rFonts w:hint="eastAsia" w:ascii="仿宋_GB2312" w:hAnsi="仿宋_GB2312" w:eastAsia="仿宋_GB2312"/>
                <w:sz w:val="32"/>
                <w:szCs w:val="24"/>
              </w:rPr>
              <w:t>%。</w:t>
            </w:r>
          </w:p>
          <w:p>
            <w:pPr>
              <w:pStyle w:val="9"/>
              <w:ind w:firstLine="640"/>
              <w:rPr>
                <w:rFonts w:hint="eastAsia" w:ascii="仿宋_GB2312" w:hAnsi="仿宋_GB2312" w:eastAsia="仿宋_GB2312" w:cs="Times New Roman"/>
                <w:color w:val="000000"/>
                <w:sz w:val="32"/>
                <w:szCs w:val="24"/>
              </w:rPr>
            </w:pPr>
            <w:r>
              <w:rPr>
                <w:rFonts w:hint="eastAsia" w:ascii="仿宋_GB2312" w:hAnsi="仿宋_GB2312" w:eastAsia="仿宋_GB2312" w:cs="Times New Roman"/>
                <w:color w:val="000000"/>
                <w:sz w:val="32"/>
                <w:szCs w:val="24"/>
              </w:rPr>
              <w:t>202</w:t>
            </w:r>
            <w:r>
              <w:rPr>
                <w:rFonts w:hint="eastAsia" w:ascii="仿宋_GB2312" w:hAnsi="仿宋_GB2312" w:eastAsia="仿宋_GB2312" w:cs="Times New Roman"/>
                <w:color w:val="000000"/>
                <w:sz w:val="32"/>
                <w:szCs w:val="24"/>
                <w:lang w:val="en-US" w:eastAsia="zh-CN"/>
              </w:rPr>
              <w:t>5</w:t>
            </w:r>
            <w:r>
              <w:rPr>
                <w:rFonts w:hint="eastAsia" w:ascii="仿宋_GB2312" w:hAnsi="仿宋_GB2312" w:eastAsia="仿宋_GB2312" w:cs="Times New Roman"/>
                <w:color w:val="000000"/>
                <w:sz w:val="32"/>
                <w:szCs w:val="24"/>
              </w:rPr>
              <w:t>年没有使用机关运行经费财政拨款安排支出。</w:t>
            </w:r>
          </w:p>
          <w:p>
            <w:pPr>
              <w:spacing w:line="555" w:lineRule="exact"/>
              <w:rPr>
                <w:rFonts w:hint="default" w:ascii="仿宋_GB2312" w:hAnsi="仿宋_GB2312" w:eastAsia="仿宋_GB2312"/>
                <w:sz w:val="32"/>
                <w:szCs w:val="24"/>
              </w:rPr>
            </w:pPr>
            <w:r>
              <w:rPr>
                <w:rFonts w:hint="eastAsia" w:ascii="华文仿宋" w:hAnsi="华文仿宋" w:eastAsia="华文仿宋"/>
                <w:sz w:val="32"/>
                <w:szCs w:val="24"/>
              </w:rPr>
              <w:t>　　</w:t>
            </w:r>
            <w:r>
              <w:rPr>
                <w:rFonts w:hint="eastAsia" w:ascii="楷体_GB2312" w:hAnsi="楷体_GB2312" w:eastAsia="楷体_GB2312"/>
                <w:sz w:val="32"/>
                <w:szCs w:val="24"/>
              </w:rPr>
              <w:t>（二）政府采购情况</w:t>
            </w:r>
          </w:p>
          <w:p>
            <w:pPr>
              <w:spacing w:line="555" w:lineRule="exact"/>
              <w:ind w:firstLine="640"/>
              <w:rPr>
                <w:rFonts w:hint="eastAsia" w:ascii="仿宋_GB2312" w:hAnsi="仿宋_GB2312" w:eastAsia="仿宋_GB2312"/>
                <w:sz w:val="32"/>
                <w:szCs w:val="24"/>
              </w:rPr>
            </w:pPr>
            <w:r>
              <w:rPr>
                <w:rFonts w:hint="eastAsia" w:ascii="仿宋_GB2312" w:hAnsi="仿宋_GB2312" w:eastAsia="仿宋_GB2312"/>
                <w:sz w:val="32"/>
                <w:szCs w:val="24"/>
              </w:rPr>
              <w:t>202</w:t>
            </w:r>
            <w:r>
              <w:rPr>
                <w:rFonts w:hint="eastAsia" w:ascii="仿宋_GB2312" w:hAnsi="仿宋_GB2312" w:eastAsia="仿宋_GB2312"/>
                <w:sz w:val="32"/>
                <w:szCs w:val="24"/>
                <w:lang w:val="en-US" w:eastAsia="zh-CN"/>
              </w:rPr>
              <w:t>5</w:t>
            </w:r>
            <w:r>
              <w:rPr>
                <w:rFonts w:hint="eastAsia" w:ascii="仿宋_GB2312" w:hAnsi="仿宋_GB2312" w:eastAsia="仿宋_GB2312"/>
                <w:sz w:val="32"/>
                <w:szCs w:val="24"/>
              </w:rPr>
              <w:t>年厦门市都市港湾幼儿园政府采购预算总额0.00万元，其中：政府采购货物预算0.00万元，政府采购工程预算0.00万元，政府采购服务预算0.00万元。</w:t>
            </w:r>
          </w:p>
          <w:p>
            <w:pPr>
              <w:spacing w:beforeLines="0" w:afterLines="0" w:line="555" w:lineRule="exact"/>
              <w:ind w:firstLine="640"/>
              <w:rPr>
                <w:rFonts w:hint="eastAsia" w:ascii="仿宋_GB2312" w:hAnsi="??_GB2312" w:eastAsia="仿宋_GB2312"/>
                <w:sz w:val="32"/>
              </w:rPr>
            </w:pPr>
            <w:r>
              <w:rPr>
                <w:rFonts w:hint="eastAsia" w:ascii="仿宋_GB2312" w:hAnsi="仿宋_GB2312" w:eastAsia="仿宋_GB2312"/>
                <w:sz w:val="32"/>
              </w:rPr>
              <w:t>202</w:t>
            </w:r>
            <w:r>
              <w:rPr>
                <w:rFonts w:hint="eastAsia" w:ascii="仿宋_GB2312" w:hAnsi="仿宋_GB2312" w:eastAsia="仿宋_GB2312"/>
                <w:sz w:val="32"/>
                <w:lang w:val="en-US" w:eastAsia="zh-CN"/>
              </w:rPr>
              <w:t>5</w:t>
            </w:r>
            <w:r>
              <w:rPr>
                <w:rFonts w:hint="eastAsia" w:ascii="仿宋_GB2312" w:hAnsi="仿宋_GB2312" w:eastAsia="仿宋_GB2312"/>
                <w:sz w:val="32"/>
              </w:rPr>
              <w:t>年没有使用政府采购经费安排支出。</w:t>
            </w:r>
          </w:p>
          <w:p>
            <w:pPr>
              <w:spacing w:line="555" w:lineRule="exact"/>
              <w:ind w:firstLine="640"/>
              <w:rPr>
                <w:rFonts w:hint="default" w:ascii="仿宋_GB2312" w:hAnsi="仿宋_GB2312" w:eastAsia="仿宋_GB2312"/>
                <w:sz w:val="32"/>
                <w:szCs w:val="24"/>
              </w:rPr>
            </w:pPr>
            <w:r>
              <w:rPr>
                <w:rFonts w:hint="eastAsia" w:ascii="楷体_GB2312" w:hAnsi="楷体_GB2312" w:eastAsia="楷体_GB2312"/>
                <w:sz w:val="32"/>
                <w:szCs w:val="24"/>
              </w:rPr>
              <w:t>（三）国有资产占有使用情况</w:t>
            </w:r>
          </w:p>
          <w:p>
            <w:pPr>
              <w:spacing w:line="555" w:lineRule="exact"/>
              <w:rPr>
                <w:rFonts w:hint="eastAsia" w:ascii="楷体_GB2312" w:hAnsi="楷体_GB2312" w:eastAsia="楷体_GB2312"/>
                <w:sz w:val="32"/>
                <w:szCs w:val="24"/>
              </w:rPr>
            </w:pPr>
            <w:r>
              <w:rPr>
                <w:rFonts w:hint="eastAsia" w:ascii="仿宋_GB2312" w:hAnsi="仿宋_GB2312" w:eastAsia="仿宋_GB2312"/>
                <w:sz w:val="32"/>
                <w:szCs w:val="24"/>
              </w:rPr>
              <w:t>　　截至202</w:t>
            </w:r>
            <w:r>
              <w:rPr>
                <w:rFonts w:hint="eastAsia" w:ascii="仿宋_GB2312" w:hAnsi="仿宋_GB2312" w:eastAsia="仿宋_GB2312"/>
                <w:sz w:val="32"/>
                <w:szCs w:val="24"/>
                <w:lang w:val="en-US" w:eastAsia="zh-CN"/>
              </w:rPr>
              <w:t>4</w:t>
            </w:r>
            <w:r>
              <w:rPr>
                <w:rFonts w:hint="eastAsia" w:ascii="仿宋_GB2312" w:hAnsi="仿宋_GB2312" w:eastAsia="仿宋_GB2312"/>
                <w:sz w:val="32"/>
                <w:szCs w:val="24"/>
              </w:rPr>
              <w:t>年12月31日，厦门市都市港湾幼儿园所属各预算单位共有车辆</w:t>
            </w:r>
            <w:r>
              <w:rPr>
                <w:rFonts w:hint="eastAsia" w:ascii="仿宋_GB2312" w:hAnsi="仿宋_GB2312" w:eastAsia="仿宋_GB2312"/>
                <w:color w:val="auto"/>
                <w:sz w:val="32"/>
                <w:szCs w:val="24"/>
                <w:lang w:val="en-US" w:eastAsia="zh-CN"/>
              </w:rPr>
              <w:t>0</w:t>
            </w:r>
            <w:r>
              <w:rPr>
                <w:rFonts w:hint="eastAsia" w:ascii="仿宋_GB2312" w:hAnsi="仿宋_GB2312" w:eastAsia="仿宋_GB2312"/>
                <w:sz w:val="32"/>
                <w:szCs w:val="24"/>
              </w:rPr>
              <w:t>辆，单位价值100万元以上设备</w:t>
            </w:r>
            <w:r>
              <w:rPr>
                <w:rFonts w:hint="eastAsia" w:ascii="仿宋_GB2312" w:hAnsi="仿宋_GB2312" w:eastAsia="仿宋_GB2312"/>
                <w:color w:val="auto"/>
                <w:sz w:val="32"/>
                <w:szCs w:val="24"/>
                <w:lang w:val="en-US" w:eastAsia="zh-CN"/>
              </w:rPr>
              <w:t>0</w:t>
            </w:r>
            <w:r>
              <w:rPr>
                <w:rFonts w:hint="eastAsia" w:ascii="仿宋_GB2312" w:hAnsi="仿宋_GB2312" w:eastAsia="仿宋_GB2312"/>
                <w:sz w:val="32"/>
                <w:szCs w:val="24"/>
              </w:rPr>
              <w:t>台（套）。</w:t>
            </w:r>
          </w:p>
          <w:p>
            <w:pPr>
              <w:spacing w:line="555" w:lineRule="exact"/>
              <w:ind w:firstLine="640" w:firstLineChars="200"/>
              <w:rPr>
                <w:rFonts w:hint="default" w:ascii="仿宋_GB2312" w:hAnsi="仿宋_GB2312" w:eastAsia="仿宋_GB2312"/>
                <w:sz w:val="32"/>
                <w:szCs w:val="24"/>
              </w:rPr>
            </w:pPr>
            <w:r>
              <w:rPr>
                <w:rFonts w:hint="eastAsia" w:ascii="楷体_GB2312" w:hAnsi="楷体_GB2312" w:eastAsia="楷体_GB2312"/>
                <w:sz w:val="32"/>
                <w:szCs w:val="24"/>
              </w:rPr>
              <w:t>（四）绩效目标设置情况</w:t>
            </w:r>
          </w:p>
          <w:p>
            <w:pPr>
              <w:spacing w:line="555" w:lineRule="exact"/>
              <w:rPr>
                <w:rFonts w:hint="eastAsia" w:ascii="仿宋_GB2312" w:hAnsi="仿宋_GB2312" w:eastAsia="仿宋_GB2312"/>
                <w:sz w:val="32"/>
                <w:szCs w:val="24"/>
              </w:rPr>
            </w:pPr>
            <w:r>
              <w:rPr>
                <w:rFonts w:hint="eastAsia" w:ascii="仿宋_GB2312" w:hAnsi="仿宋_GB2312" w:eastAsia="仿宋_GB2312"/>
                <w:sz w:val="32"/>
                <w:szCs w:val="24"/>
              </w:rPr>
              <w:t>　　厦门市都市港湾幼儿园202</w:t>
            </w:r>
            <w:r>
              <w:rPr>
                <w:rFonts w:hint="eastAsia" w:ascii="仿宋_GB2312" w:hAnsi="仿宋_GB2312" w:eastAsia="仿宋_GB2312"/>
                <w:sz w:val="32"/>
                <w:szCs w:val="24"/>
                <w:lang w:val="en-US" w:eastAsia="zh-CN"/>
              </w:rPr>
              <w:t>5</w:t>
            </w:r>
            <w:r>
              <w:rPr>
                <w:rFonts w:hint="eastAsia" w:ascii="仿宋_GB2312" w:hAnsi="仿宋_GB2312" w:eastAsia="仿宋_GB2312"/>
                <w:sz w:val="32"/>
                <w:szCs w:val="24"/>
              </w:rPr>
              <w:t>年实行绩效目标管理的二级项目0个，涉及一般公共预算拨款0.00万元、政府性基金预算拨款0.00万元。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ind w:left="20"/>
              <w:jc w:val="center"/>
              <w:rPr>
                <w:rFonts w:hint="eastAsia" w:ascii="黑体" w:hAnsi="黑体" w:eastAsia="黑体"/>
                <w:sz w:val="32"/>
                <w:szCs w:val="24"/>
              </w:rPr>
            </w:pPr>
          </w:p>
          <w:p>
            <w:pPr>
              <w:pStyle w:val="2"/>
              <w:rPr>
                <w:rFonts w:hint="eastAsia" w:ascii="黑体" w:hAnsi="黑体" w:eastAsia="黑体"/>
                <w:sz w:val="32"/>
                <w:szCs w:val="24"/>
              </w:rPr>
            </w:pPr>
          </w:p>
          <w:p>
            <w:pPr>
              <w:pStyle w:val="2"/>
              <w:rPr>
                <w:rFonts w:hint="eastAsia" w:ascii="黑体" w:hAnsi="黑体" w:eastAsia="黑体"/>
                <w:sz w:val="32"/>
                <w:szCs w:val="24"/>
              </w:rPr>
            </w:pPr>
          </w:p>
          <w:p>
            <w:pPr>
              <w:spacing w:line="555" w:lineRule="exact"/>
              <w:ind w:left="20"/>
              <w:jc w:val="center"/>
              <w:rPr>
                <w:rFonts w:hint="eastAsia" w:ascii="黑体" w:hAnsi="黑体" w:eastAsia="黑体"/>
                <w:sz w:val="32"/>
                <w:szCs w:val="24"/>
              </w:rPr>
            </w:pPr>
            <w:r>
              <w:rPr>
                <w:rFonts w:hint="eastAsia" w:ascii="黑体" w:hAnsi="黑体" w:eastAsia="黑体"/>
                <w:sz w:val="32"/>
                <w:szCs w:val="24"/>
              </w:rPr>
              <w:t>第三部分  名词解释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rPr>
                <w:rFonts w:hint="default" w:ascii="楷体_GB2312" w:hAnsi="楷体_GB2312" w:eastAsia="楷体_GB2312"/>
                <w:sz w:val="32"/>
                <w:szCs w:val="24"/>
              </w:rPr>
            </w:pPr>
            <w:r>
              <w:rPr>
                <w:rFonts w:hint="eastAsia" w:ascii="楷体_GB2312" w:hAnsi="楷体_GB2312" w:eastAsia="楷体_GB2312"/>
                <w:sz w:val="32"/>
                <w:szCs w:val="24"/>
              </w:rPr>
              <w:t>　　一、基本支出</w:t>
            </w:r>
            <w:r>
              <w:rPr>
                <w:rFonts w:hint="eastAsia" w:ascii="楷体" w:hAnsi="楷体" w:eastAsia="楷体"/>
                <w:sz w:val="32"/>
                <w:szCs w:val="24"/>
              </w:rPr>
              <w:t>：</w:t>
            </w:r>
            <w:r>
              <w:rPr>
                <w:rFonts w:hint="eastAsia" w:ascii="仿宋_GB2312" w:hAnsi="仿宋_GB2312" w:eastAsia="仿宋_GB2312"/>
                <w:sz w:val="32"/>
                <w:szCs w:val="24"/>
              </w:rPr>
              <w:t>指为保障机构正常运转、完成日常工作任务而发生的人员支出、对个人和家庭的补助支出和公用支出。</w:t>
            </w:r>
          </w:p>
          <w:p>
            <w:pPr>
              <w:spacing w:line="555" w:lineRule="exact"/>
              <w:rPr>
                <w:rFonts w:hint="default" w:ascii="楷体_GB2312" w:hAnsi="楷体_GB2312" w:eastAsia="楷体_GB2312"/>
                <w:sz w:val="32"/>
                <w:szCs w:val="24"/>
              </w:rPr>
            </w:pPr>
            <w:r>
              <w:rPr>
                <w:rFonts w:hint="eastAsia" w:ascii="楷体_GB2312" w:hAnsi="楷体_GB2312" w:eastAsia="楷体_GB2312"/>
                <w:sz w:val="32"/>
                <w:szCs w:val="24"/>
              </w:rPr>
              <w:t>　　二、项目支出：</w:t>
            </w:r>
            <w:r>
              <w:rPr>
                <w:rFonts w:hint="eastAsia" w:ascii="仿宋_GB2312" w:hAnsi="仿宋_GB2312" w:eastAsia="仿宋_GB2312"/>
                <w:sz w:val="32"/>
                <w:szCs w:val="24"/>
              </w:rPr>
              <w:t>指在基本支出之外为完成特定行政任务和事业发展目标所发生的支出，包括部门专项、发展经费和基建项目。</w:t>
            </w:r>
          </w:p>
          <w:p>
            <w:pPr>
              <w:spacing w:line="555" w:lineRule="exact"/>
              <w:rPr>
                <w:rFonts w:hint="default" w:ascii="楷体_GB2312" w:hAnsi="楷体_GB2312" w:eastAsia="楷体_GB2312"/>
                <w:sz w:val="32"/>
                <w:szCs w:val="24"/>
              </w:rPr>
            </w:pPr>
            <w:r>
              <w:rPr>
                <w:rFonts w:hint="eastAsia" w:ascii="楷体_GB2312" w:hAnsi="楷体_GB2312" w:eastAsia="楷体_GB2312"/>
                <w:sz w:val="32"/>
                <w:szCs w:val="24"/>
              </w:rPr>
              <w:t>　　三、“三公”经费：</w:t>
            </w:r>
            <w:r>
              <w:rPr>
                <w:rFonts w:hint="eastAsia" w:ascii="仿宋_GB2312" w:hAnsi="仿宋_GB2312" w:eastAsia="仿宋_GB2312"/>
                <w:sz w:val="32"/>
                <w:szCs w:val="24"/>
              </w:rPr>
              <w:t>纳入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牌照费）、燃料费、维修费、过路过桥费、保险费、安全奖励费用等支出；公务接待费反映单位按规定开支的各类公务接待（含外宾接待）支出。</w:t>
            </w:r>
          </w:p>
          <w:p>
            <w:pPr>
              <w:spacing w:line="555" w:lineRule="exact"/>
              <w:rPr>
                <w:rFonts w:hint="default" w:ascii="楷体_GB2312" w:hAnsi="楷体_GB2312" w:eastAsia="楷体_GB2312"/>
                <w:sz w:val="32"/>
                <w:szCs w:val="24"/>
              </w:rPr>
            </w:pPr>
            <w:r>
              <w:rPr>
                <w:rFonts w:hint="eastAsia" w:ascii="楷体_GB2312" w:hAnsi="楷体_GB2312" w:eastAsia="楷体_GB2312"/>
                <w:sz w:val="32"/>
                <w:szCs w:val="24"/>
              </w:rPr>
              <w:t>　　四、机关运行经费：</w:t>
            </w:r>
            <w:r>
              <w:rPr>
                <w:rFonts w:hint="eastAsia" w:ascii="仿宋_GB2312" w:hAnsi="仿宋_GB2312" w:eastAsia="仿宋_GB2312"/>
                <w:sz w:val="32"/>
                <w:szCs w:val="24"/>
              </w:rPr>
              <w:t>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pPr>
              <w:spacing w:line="555" w:lineRule="exact"/>
              <w:rPr>
                <w:rFonts w:hint="eastAsia" w:ascii="仿宋_GB2312" w:hAnsi="仿宋_GB2312" w:eastAsia="仿宋_GB2312"/>
                <w:sz w:val="32"/>
                <w:szCs w:val="24"/>
              </w:rPr>
            </w:pPr>
            <w:r>
              <w:rPr>
                <w:rFonts w:hint="eastAsia" w:ascii="楷体_GB2312" w:hAnsi="楷体_GB2312" w:eastAsia="楷体_GB2312"/>
                <w:sz w:val="32"/>
                <w:szCs w:val="24"/>
              </w:rPr>
              <w:t>　　五、其他名词解释。</w:t>
            </w:r>
            <w:r>
              <w:rPr>
                <w:rFonts w:hint="eastAsia" w:ascii="仿宋_GB2312" w:hAnsi="仿宋_GB2312" w:eastAsia="仿宋_GB2312"/>
                <w:sz w:val="32"/>
                <w:szCs w:val="24"/>
                <w:lang w:val="en-US" w:eastAsia="zh-CN"/>
              </w:rPr>
              <w:t>无</w:t>
            </w:r>
            <w:r>
              <w:rPr>
                <w:rFonts w:hint="eastAsia" w:ascii="仿宋_GB2312" w:hAnsi="仿宋_GB2312" w:eastAsia="仿宋_GB2312"/>
                <w:sz w:val="32"/>
                <w:szCs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9"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jc w:val="center"/>
              <w:rPr>
                <w:rFonts w:hint="eastAsia" w:ascii="黑体" w:hAnsi="黑体" w:eastAsia="黑体"/>
                <w:sz w:val="32"/>
                <w:szCs w:val="24"/>
              </w:rPr>
            </w:pPr>
          </w:p>
          <w:p>
            <w:pPr>
              <w:spacing w:line="555" w:lineRule="exact"/>
              <w:jc w:val="center"/>
              <w:rPr>
                <w:rFonts w:hint="eastAsia" w:ascii="黑体" w:hAnsi="黑体" w:eastAsia="黑体"/>
                <w:sz w:val="32"/>
                <w:szCs w:val="24"/>
              </w:rPr>
            </w:pPr>
          </w:p>
          <w:p>
            <w:pPr>
              <w:spacing w:line="555" w:lineRule="exact"/>
              <w:jc w:val="center"/>
              <w:rPr>
                <w:rFonts w:hint="eastAsia" w:ascii="黑体" w:hAnsi="黑体" w:eastAsia="黑体"/>
                <w:sz w:val="32"/>
                <w:szCs w:val="24"/>
              </w:rPr>
            </w:pPr>
          </w:p>
          <w:p>
            <w:pPr>
              <w:spacing w:line="555" w:lineRule="exact"/>
              <w:jc w:val="center"/>
              <w:rPr>
                <w:rFonts w:hint="eastAsia" w:ascii="黑体" w:hAnsi="黑体" w:eastAsia="黑体"/>
                <w:sz w:val="32"/>
                <w:szCs w:val="24"/>
              </w:rPr>
            </w:pPr>
          </w:p>
          <w:p>
            <w:pPr>
              <w:spacing w:line="555" w:lineRule="exact"/>
              <w:jc w:val="center"/>
              <w:rPr>
                <w:rFonts w:hint="eastAsia" w:ascii="黑体" w:hAnsi="黑体" w:eastAsia="黑体"/>
                <w:sz w:val="32"/>
                <w:szCs w:val="24"/>
              </w:rPr>
            </w:pPr>
          </w:p>
          <w:p>
            <w:pPr>
              <w:spacing w:line="555" w:lineRule="exact"/>
              <w:jc w:val="center"/>
              <w:rPr>
                <w:rFonts w:hint="eastAsia" w:ascii="黑体" w:hAnsi="黑体" w:eastAsia="黑体"/>
                <w:sz w:val="32"/>
                <w:szCs w:val="24"/>
              </w:rPr>
            </w:pPr>
            <w:r>
              <w:rPr>
                <w:rFonts w:hint="eastAsia" w:ascii="黑体" w:hAnsi="黑体" w:eastAsia="黑体"/>
                <w:sz w:val="32"/>
                <w:szCs w:val="24"/>
              </w:rPr>
              <w:t>第四部分  202</w:t>
            </w:r>
            <w:r>
              <w:rPr>
                <w:rFonts w:hint="eastAsia" w:ascii="黑体" w:hAnsi="黑体" w:eastAsia="黑体"/>
                <w:sz w:val="32"/>
                <w:szCs w:val="24"/>
                <w:lang w:val="en-US" w:eastAsia="zh-CN"/>
              </w:rPr>
              <w:t>5</w:t>
            </w:r>
            <w:r>
              <w:rPr>
                <w:rFonts w:hint="eastAsia" w:ascii="黑体" w:hAnsi="黑体" w:eastAsia="黑体"/>
                <w:sz w:val="32"/>
                <w:szCs w:val="24"/>
              </w:rPr>
              <w:t>年单位预算附表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7"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40" w:lineRule="exact"/>
              <w:rPr>
                <w:rFonts w:hint="default" w:ascii="仿宋_GB2312" w:hAnsi="仿宋_GB2312" w:eastAsia="仿宋_GB2312"/>
                <w:sz w:val="32"/>
                <w:szCs w:val="24"/>
              </w:rPr>
            </w:pPr>
            <w:r>
              <w:rPr>
                <w:rFonts w:hint="eastAsia" w:ascii="仿宋_GB2312" w:hAnsi="仿宋_GB2312" w:eastAsia="仿宋_GB2312"/>
                <w:sz w:val="32"/>
                <w:szCs w:val="24"/>
              </w:rPr>
              <w:t>　　一、部门收支预算总体情况表</w:t>
            </w:r>
          </w:p>
          <w:p>
            <w:pPr>
              <w:spacing w:line="540" w:lineRule="exact"/>
              <w:rPr>
                <w:rFonts w:hint="default" w:ascii="仿宋_GB2312" w:hAnsi="仿宋_GB2312" w:eastAsia="仿宋_GB2312"/>
                <w:sz w:val="32"/>
                <w:szCs w:val="24"/>
              </w:rPr>
            </w:pPr>
            <w:r>
              <w:rPr>
                <w:rFonts w:hint="eastAsia" w:ascii="仿宋_GB2312" w:hAnsi="仿宋_GB2312" w:eastAsia="仿宋_GB2312"/>
                <w:sz w:val="32"/>
                <w:szCs w:val="24"/>
              </w:rPr>
              <w:t>　　二、部门收入预算总体情况表</w:t>
            </w:r>
          </w:p>
          <w:p>
            <w:pPr>
              <w:spacing w:line="540" w:lineRule="exact"/>
              <w:rPr>
                <w:rFonts w:hint="default" w:ascii="仿宋_GB2312" w:hAnsi="仿宋_GB2312" w:eastAsia="仿宋_GB2312"/>
                <w:sz w:val="32"/>
                <w:szCs w:val="24"/>
              </w:rPr>
            </w:pPr>
            <w:r>
              <w:rPr>
                <w:rFonts w:hint="eastAsia" w:ascii="仿宋_GB2312" w:hAnsi="仿宋_GB2312" w:eastAsia="仿宋_GB2312"/>
                <w:sz w:val="32"/>
                <w:szCs w:val="24"/>
              </w:rPr>
              <w:t>　　三、部门支出预算总体情况表</w:t>
            </w:r>
          </w:p>
          <w:p>
            <w:pPr>
              <w:spacing w:line="540" w:lineRule="exact"/>
              <w:rPr>
                <w:rFonts w:hint="default" w:ascii="仿宋_GB2312" w:hAnsi="仿宋_GB2312" w:eastAsia="仿宋_GB2312"/>
                <w:sz w:val="32"/>
                <w:szCs w:val="24"/>
              </w:rPr>
            </w:pPr>
            <w:r>
              <w:rPr>
                <w:rFonts w:hint="eastAsia" w:ascii="仿宋_GB2312" w:hAnsi="仿宋_GB2312" w:eastAsia="仿宋_GB2312"/>
                <w:sz w:val="32"/>
                <w:szCs w:val="24"/>
              </w:rPr>
              <w:t>　　四、财政拨款收支预算总体情况表</w:t>
            </w:r>
          </w:p>
          <w:p>
            <w:pPr>
              <w:spacing w:line="540" w:lineRule="exact"/>
              <w:rPr>
                <w:rFonts w:hint="default" w:ascii="仿宋_GB2312" w:hAnsi="仿宋_GB2312" w:eastAsia="仿宋_GB2312"/>
                <w:sz w:val="32"/>
                <w:szCs w:val="24"/>
              </w:rPr>
            </w:pPr>
            <w:r>
              <w:rPr>
                <w:rFonts w:hint="eastAsia" w:ascii="仿宋_GB2312" w:hAnsi="仿宋_GB2312" w:eastAsia="仿宋_GB2312"/>
                <w:sz w:val="32"/>
                <w:szCs w:val="24"/>
              </w:rPr>
              <w:t>　　五、一般公共预算支出情况表</w:t>
            </w:r>
          </w:p>
          <w:p>
            <w:pPr>
              <w:spacing w:line="540" w:lineRule="exact"/>
              <w:rPr>
                <w:rFonts w:hint="default" w:ascii="仿宋_GB2312" w:hAnsi="仿宋_GB2312" w:eastAsia="仿宋_GB2312"/>
                <w:sz w:val="32"/>
                <w:szCs w:val="24"/>
              </w:rPr>
            </w:pPr>
            <w:r>
              <w:rPr>
                <w:rFonts w:hint="eastAsia" w:ascii="仿宋_GB2312" w:hAnsi="仿宋_GB2312" w:eastAsia="仿宋_GB2312"/>
                <w:sz w:val="32"/>
                <w:szCs w:val="24"/>
              </w:rPr>
              <w:t>　　六、一般公共预算基本支出情况表（经济分类款级科目）</w:t>
            </w:r>
          </w:p>
          <w:p>
            <w:pPr>
              <w:spacing w:line="540" w:lineRule="exact"/>
              <w:rPr>
                <w:rFonts w:hint="default" w:ascii="仿宋_GB2312" w:hAnsi="仿宋_GB2312" w:eastAsia="仿宋_GB2312"/>
                <w:sz w:val="32"/>
                <w:szCs w:val="24"/>
              </w:rPr>
            </w:pPr>
            <w:r>
              <w:rPr>
                <w:rFonts w:hint="eastAsia" w:ascii="仿宋_GB2312" w:hAnsi="仿宋_GB2312" w:eastAsia="仿宋_GB2312"/>
                <w:sz w:val="32"/>
                <w:szCs w:val="24"/>
              </w:rPr>
              <w:t>　　七、一般公共预算“三公”经费支出情况表</w:t>
            </w:r>
          </w:p>
          <w:p>
            <w:pPr>
              <w:spacing w:line="540" w:lineRule="exact"/>
              <w:rPr>
                <w:rFonts w:hint="default" w:ascii="仿宋_GB2312" w:hAnsi="仿宋_GB2312" w:eastAsia="仿宋_GB2312"/>
                <w:sz w:val="32"/>
                <w:szCs w:val="24"/>
              </w:rPr>
            </w:pPr>
            <w:r>
              <w:rPr>
                <w:rFonts w:hint="eastAsia" w:ascii="仿宋_GB2312" w:hAnsi="仿宋_GB2312" w:eastAsia="仿宋_GB2312"/>
                <w:sz w:val="32"/>
                <w:szCs w:val="24"/>
              </w:rPr>
              <w:t>　　八、政府性基金预算支出情况表</w:t>
            </w:r>
          </w:p>
          <w:p>
            <w:pPr>
              <w:spacing w:line="540" w:lineRule="exact"/>
              <w:ind w:firstLine="640"/>
              <w:rPr>
                <w:rFonts w:hint="eastAsia" w:ascii="仿宋_GB2312" w:hAnsi="仿宋_GB2312" w:eastAsia="仿宋_GB2312"/>
                <w:sz w:val="32"/>
                <w:szCs w:val="24"/>
              </w:rPr>
            </w:pPr>
            <w:r>
              <w:rPr>
                <w:rFonts w:hint="eastAsia" w:ascii="仿宋_GB2312" w:hAnsi="仿宋_GB2312" w:eastAsia="仿宋_GB2312"/>
                <w:sz w:val="32"/>
                <w:szCs w:val="24"/>
              </w:rPr>
              <w:t>九、区对镇（街）转移支付项目支出预算表</w:t>
            </w:r>
          </w:p>
          <w:p>
            <w:pPr>
              <w:pStyle w:val="9"/>
              <w:ind w:firstLine="640"/>
              <w:rPr>
                <w:rFonts w:hint="eastAsia"/>
              </w:rPr>
            </w:pPr>
            <w:r>
              <w:rPr>
                <w:rFonts w:hint="eastAsia" w:ascii="仿宋_GB2312" w:hAnsi="仿宋_GB2312" w:eastAsia="仿宋_GB2312"/>
                <w:b w:val="0"/>
                <w:i w:val="0"/>
                <w:sz w:val="32"/>
                <w:lang w:val="en-US" w:eastAsia="zh-CN"/>
              </w:rPr>
              <w:t>十、二级项目绩效目标表</w:t>
            </w:r>
          </w:p>
          <w:p>
            <w:pPr>
              <w:spacing w:line="540" w:lineRule="exact"/>
              <w:rPr>
                <w:rFonts w:hint="eastAsia" w:ascii="黑体" w:hAnsi="黑体" w:eastAsia="黑体"/>
                <w:sz w:val="32"/>
                <w:szCs w:val="24"/>
              </w:rPr>
            </w:pPr>
            <w:r>
              <w:rPr>
                <w:rFonts w:hint="eastAsia" w:ascii="黑体" w:hAnsi="黑体" w:eastAsia="黑体"/>
                <w:sz w:val="32"/>
                <w:szCs w:val="24"/>
              </w:rPr>
              <w:t>　　</w:t>
            </w:r>
          </w:p>
        </w:tc>
      </w:tr>
    </w:tbl>
    <w:p>
      <w:pPr>
        <w:rPr>
          <w:rFonts w:hint="default"/>
          <w:sz w:val="24"/>
          <w:szCs w:val="24"/>
        </w:rPr>
      </w:pPr>
    </w:p>
    <w:sectPr>
      <w:footerReference r:id="rId3" w:type="default"/>
      <w:pgSz w:w="11905" w:h="16837"/>
      <w:pgMar w:top="1388" w:right="1559" w:bottom="1388" w:left="1559"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roman"/>
    <w:pitch w:val="default"/>
    <w:sig w:usb0="00000001" w:usb1="080E0000" w:usb2="00000000" w:usb3="00000000" w:csb0="00040000" w:csb1="00000000"/>
  </w:font>
  <w:font w:name="方正小标宋简体">
    <w:panose1 w:val="02010601030101010101"/>
    <w:charset w:val="86"/>
    <w:family w:val="roma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楷体_GB2312">
    <w:panose1 w:val="02010609030101010101"/>
    <w:charset w:val="86"/>
    <w:family w:val="roman"/>
    <w:pitch w:val="default"/>
    <w:sig w:usb0="00000001" w:usb1="080E0000" w:usb2="00000000" w:usb3="00000000" w:csb0="00040000" w:csb1="00000000"/>
  </w:font>
  <w:font w:name="楷体">
    <w:panose1 w:val="02010609060101010101"/>
    <w:charset w:val="86"/>
    <w:family w:val="roman"/>
    <w:pitch w:val="default"/>
    <w:sig w:usb0="800002BF" w:usb1="38CF7CFA" w:usb2="00000016" w:usb3="00000000" w:csb0="00040001" w:csb1="00000000"/>
  </w:font>
  <w:font w:name="FangSong_GB2312">
    <w:altName w:val="仿宋_GB2312"/>
    <w:panose1 w:val="00000000000000000000"/>
    <w:charset w:val="86"/>
    <w:family w:val="roman"/>
    <w:pitch w:val="default"/>
    <w:sig w:usb0="00000000" w:usb1="00000000" w:usb2="00000000" w:usb3="00000000" w:csb0="00040000" w:csb1="00000000"/>
  </w:font>
  <w:font w:name="华文仿宋">
    <w:panose1 w:val="02010600040101010101"/>
    <w:charset w:val="86"/>
    <w:family w:val="roman"/>
    <w:pitch w:val="default"/>
    <w:sig w:usb0="00000287" w:usb1="080F0000" w:usb2="00000000" w:usb3="00000000" w:csb0="0004009F" w:csb1="DFD70000"/>
  </w:font>
  <w:font w:name="??_GB2312">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8"/>
      <w:tblW w:w="9489"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163"/>
      <w:gridCol w:w="3163"/>
      <w:gridCol w:w="31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jc w:val="center"/>
      </w:trPr>
      <w:tc>
        <w:tcPr>
          <w:tcW w:w="3163" w:type="dxa"/>
          <w:tcBorders>
            <w:top w:val="nil"/>
            <w:left w:val="nil"/>
            <w:bottom w:val="nil"/>
            <w:right w:val="nil"/>
            <w:tl2br w:val="nil"/>
            <w:tr2bl w:val="nil"/>
          </w:tcBorders>
          <w:shd w:val="clear" w:color="auto" w:fill="FFFFFF"/>
          <w:noWrap w:val="0"/>
          <w:vAlign w:val="top"/>
        </w:tcPr>
        <w:p>
          <w:pPr>
            <w:rPr>
              <w:rFonts w:hint="default"/>
              <w:sz w:val="24"/>
              <w:szCs w:val="24"/>
            </w:rPr>
          </w:pPr>
        </w:p>
      </w:tc>
      <w:tc>
        <w:tcPr>
          <w:tcW w:w="3163" w:type="dxa"/>
          <w:tcBorders>
            <w:top w:val="nil"/>
            <w:left w:val="nil"/>
            <w:bottom w:val="nil"/>
            <w:right w:val="nil"/>
            <w:tl2br w:val="nil"/>
            <w:tr2bl w:val="nil"/>
          </w:tcBorders>
          <w:shd w:val="clear" w:color="auto" w:fill="FFFFFF"/>
          <w:noWrap w:val="0"/>
          <w:vAlign w:val="top"/>
        </w:tcPr>
        <w:p>
          <w:pPr>
            <w:spacing w:line="320" w:lineRule="atLeast"/>
            <w:jc w:val="center"/>
            <w:rPr>
              <w:rFonts w:hint="eastAsia" w:ascii="宋体" w:hAnsi="宋体"/>
              <w:sz w:val="18"/>
              <w:szCs w:val="24"/>
            </w:rPr>
          </w:pPr>
          <w:r>
            <w:rPr>
              <w:rFonts w:hint="eastAsia" w:ascii="宋体" w:hAnsi="宋体"/>
              <w:sz w:val="18"/>
              <w:szCs w:val="24"/>
            </w:rPr>
            <w:fldChar w:fldCharType="begin"/>
          </w:r>
          <w:r>
            <w:rPr>
              <w:rFonts w:hint="eastAsia" w:ascii="宋体" w:hAnsi="宋体"/>
              <w:sz w:val="18"/>
              <w:szCs w:val="24"/>
            </w:rPr>
            <w:instrText xml:space="preserve">PAGE</w:instrText>
          </w:r>
          <w:r>
            <w:rPr>
              <w:rFonts w:hint="eastAsia" w:ascii="宋体" w:hAnsi="宋体"/>
              <w:sz w:val="18"/>
              <w:szCs w:val="24"/>
            </w:rPr>
            <w:fldChar w:fldCharType="separate"/>
          </w:r>
          <w:r>
            <w:rPr>
              <w:rFonts w:hint="eastAsia" w:ascii="宋体" w:hAnsi="宋体"/>
              <w:sz w:val="18"/>
              <w:szCs w:val="24"/>
            </w:rPr>
            <w:t xml:space="preserve"> </w:t>
          </w:r>
          <w:r>
            <w:rPr>
              <w:rFonts w:hint="eastAsia" w:ascii="宋体" w:hAnsi="宋体"/>
              <w:sz w:val="18"/>
              <w:szCs w:val="24"/>
            </w:rPr>
            <w:fldChar w:fldCharType="end"/>
          </w:r>
          <w:r>
            <w:rPr>
              <w:rFonts w:hint="eastAsia" w:ascii="宋体" w:hAnsi="宋体"/>
              <w:sz w:val="18"/>
              <w:szCs w:val="24"/>
            </w:rPr>
            <w:t xml:space="preserve"> </w:t>
          </w:r>
        </w:p>
      </w:tc>
      <w:tc>
        <w:tcPr>
          <w:tcW w:w="3163" w:type="dxa"/>
          <w:tcBorders>
            <w:top w:val="nil"/>
            <w:left w:val="nil"/>
            <w:bottom w:val="nil"/>
            <w:right w:val="nil"/>
            <w:tl2br w:val="nil"/>
            <w:tr2bl w:val="nil"/>
          </w:tcBorders>
          <w:shd w:val="clear" w:color="auto" w:fill="FFFFFF"/>
          <w:noWrap w:val="0"/>
          <w:vAlign w:val="top"/>
        </w:tcPr>
        <w:p>
          <w:pPr>
            <w:rPr>
              <w:rFonts w:hint="default"/>
              <w:sz w:val="24"/>
              <w:szCs w:val="24"/>
            </w:rPr>
          </w:pPr>
        </w:p>
      </w:tc>
    </w:tr>
  </w:tbl>
  <w:p>
    <w:pPr>
      <w:rPr>
        <w:rFonts w:hint="default"/>
        <w:sz w:val="24"/>
        <w:szCs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rawingGridHorizontalSpacing w:val="120"/>
  <w:drawingGridVerticalSpacing w:val="120"/>
  <w:displayHorizontalDrawingGridEvery w:val="3"/>
  <w:displayVerticalDrawingGridEvery w:val="3"/>
  <w:doNotUseMarginsForDrawingGridOrigin w:val="1"/>
  <w:drawingGridHorizontalOrigin w:val="1701"/>
  <w:drawingGridVerticalOrigin w:val="1984"/>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iNjhlMmJmYmY2MWIzNDZkNGY5MmJhMTljODMyMzEifQ=="/>
  </w:docVars>
  <w:rsids>
    <w:rsidRoot w:val="00172A27"/>
    <w:rsid w:val="03E559F2"/>
    <w:rsid w:val="05F10422"/>
    <w:rsid w:val="123C5906"/>
    <w:rsid w:val="1B3744E2"/>
    <w:rsid w:val="22EA7B20"/>
    <w:rsid w:val="26FD0B45"/>
    <w:rsid w:val="2AF55703"/>
    <w:rsid w:val="31FD1EA6"/>
    <w:rsid w:val="38DA7B79"/>
    <w:rsid w:val="3A992562"/>
    <w:rsid w:val="3CB03473"/>
    <w:rsid w:val="3F543AB9"/>
    <w:rsid w:val="4C4269CB"/>
    <w:rsid w:val="4F8E1547"/>
    <w:rsid w:val="54E84641"/>
    <w:rsid w:val="643577CC"/>
    <w:rsid w:val="6ED14614"/>
    <w:rsid w:val="700D53AB"/>
    <w:rsid w:val="75810062"/>
    <w:rsid w:val="7A032A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99" w:semiHidden="0" w:name="Normal"/>
    <w:lsdException w:qFormat="1" w:uiPriority="99" w:semiHidden="0" w:name="heading 1"/>
    <w:lsdException w:qFormat="1" w:uiPriority="99" w:semiHidden="0" w:name="heading 2"/>
    <w:lsdException w:qFormat="1"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nhideWhenUsed="0" w:uiPriority="99" w:semiHidden="0"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qFormat="1" w:uiPriority="99" w:semiHidden="0" w:name="Default Paragraph Font"/>
    <w:lsdException w:qFormat="1" w:uiPriority="0"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nhideWhenUsed="0" w:uiPriority="99" w:semiHidden="0"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99" w:semiHidden="0" w:name="Table Grid"/>
    <w:lsdException w:qFormat="1"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99"/>
    <w:pPr>
      <w:widowControl w:val="0"/>
      <w:autoSpaceDE w:val="0"/>
      <w:autoSpaceDN w:val="0"/>
      <w:adjustRightInd w:val="0"/>
    </w:pPr>
    <w:rPr>
      <w:rFonts w:hint="default" w:ascii="Arial" w:hAnsi="Arial" w:eastAsia="宋体" w:cs="Times New Roman"/>
      <w:color w:val="000000"/>
      <w:sz w:val="24"/>
      <w:szCs w:val="24"/>
    </w:rPr>
  </w:style>
  <w:style w:type="paragraph" w:styleId="4">
    <w:name w:val="heading 1"/>
    <w:next w:val="1"/>
    <w:unhideWhenUsed/>
    <w:qFormat/>
    <w:uiPriority w:val="99"/>
    <w:pPr>
      <w:widowControl w:val="0"/>
      <w:autoSpaceDE w:val="0"/>
      <w:autoSpaceDN w:val="0"/>
      <w:adjustRightInd w:val="0"/>
    </w:pPr>
    <w:rPr>
      <w:rFonts w:hint="default" w:ascii="Arial" w:hAnsi="Arial" w:eastAsia="宋体" w:cs="Times New Roman"/>
      <w:b/>
      <w:color w:val="000000"/>
      <w:sz w:val="32"/>
      <w:szCs w:val="24"/>
    </w:rPr>
  </w:style>
  <w:style w:type="paragraph" w:styleId="5">
    <w:name w:val="heading 2"/>
    <w:next w:val="1"/>
    <w:unhideWhenUsed/>
    <w:qFormat/>
    <w:uiPriority w:val="99"/>
    <w:pPr>
      <w:widowControl w:val="0"/>
      <w:autoSpaceDE w:val="0"/>
      <w:autoSpaceDN w:val="0"/>
      <w:adjustRightInd w:val="0"/>
    </w:pPr>
    <w:rPr>
      <w:rFonts w:hint="default" w:ascii="Arial" w:hAnsi="Arial" w:eastAsia="宋体" w:cs="Times New Roman"/>
      <w:b/>
      <w:i/>
      <w:color w:val="000000"/>
      <w:sz w:val="28"/>
      <w:szCs w:val="24"/>
    </w:rPr>
  </w:style>
  <w:style w:type="paragraph" w:styleId="6">
    <w:name w:val="heading 3"/>
    <w:next w:val="1"/>
    <w:unhideWhenUsed/>
    <w:qFormat/>
    <w:uiPriority w:val="99"/>
    <w:pPr>
      <w:widowControl w:val="0"/>
      <w:autoSpaceDE w:val="0"/>
      <w:autoSpaceDN w:val="0"/>
      <w:adjustRightInd w:val="0"/>
    </w:pPr>
    <w:rPr>
      <w:rFonts w:hint="default" w:ascii="Arial" w:hAnsi="Arial" w:eastAsia="宋体" w:cs="Times New Roman"/>
      <w:b/>
      <w:color w:val="000000"/>
      <w:sz w:val="26"/>
      <w:szCs w:val="24"/>
    </w:rPr>
  </w:style>
  <w:style w:type="character" w:default="1" w:styleId="7">
    <w:name w:val="Default Paragraph Font"/>
    <w:unhideWhenUsed/>
    <w:qFormat/>
    <w:uiPriority w:val="99"/>
    <w:rPr>
      <w:rFonts w:hint="default"/>
      <w:sz w:val="24"/>
      <w:szCs w:val="24"/>
    </w:rPr>
  </w:style>
  <w:style w:type="table" w:default="1" w:styleId="8">
    <w:name w:val="Normal Table"/>
    <w:qFormat/>
    <w:uiPriority w:val="99"/>
    <w:tblPr>
      <w:tblLayout w:type="fixed"/>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rPr>
      <w:rFonts w:hint="eastAsia"/>
      <w:sz w:val="28"/>
    </w:rPr>
  </w:style>
  <w:style w:type="paragraph" w:styleId="3">
    <w:name w:val="Body Text"/>
    <w:basedOn w:val="1"/>
    <w:unhideWhenUsed/>
    <w:qFormat/>
    <w:uiPriority w:val="0"/>
    <w:rPr>
      <w:rFonts w:hint="eastAsia" w:ascii="仿宋_GB2312" w:hAnsi="Calibri" w:eastAsia="仿宋_GB2312"/>
      <w:sz w:val="28"/>
    </w:rPr>
  </w:style>
  <w:style w:type="paragraph" w:customStyle="1" w:styleId="9">
    <w:name w:val="1.正文"/>
    <w:basedOn w:val="1"/>
    <w:qFormat/>
    <w:uiPriority w:val="99"/>
    <w:rPr>
      <w:rFonts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3785</Words>
  <Characters>4088</Characters>
  <TotalTime>9</TotalTime>
  <ScaleCrop>false</ScaleCrop>
  <LinksUpToDate>false</LinksUpToDate>
  <CharactersWithSpaces>4277</CharactersWithSpaces>
  <Application>WPS Office_11.8.2.8053_F1E327BC-269C-435d-A152-05C5408002CA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2024-04-10T00:15:00Z</dcterms:created>
  <dc:creator>DELL</dc:creator>
  <cp:lastModifiedBy>dell</cp:lastModifiedBy>
  <dcterms:modified xsi:type="dcterms:W3CDTF">2025-02-11T07:12:02Z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8C08A31568EA419286F72C2D7579AB23_13</vt:lpwstr>
  </property>
  <property fmtid="{D5CDD505-2E9C-101B-9397-08002B2CF9AE}" pid="4" name="KSOTemplateDocerSaveRecord">
    <vt:lpwstr>eyJoZGlkIjoiZTJiNjhlMmJmYmY2MWIzNDZkNGY5MmJhMTljODMyMzEiLCJ1c2VySWQiOiI0MTQ0MDU5NjYifQ==</vt:lpwstr>
  </property>
</Properties>
</file>