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sz w:val="2"/>
          <w:szCs w:val="24"/>
        </w:rPr>
      </w:pPr>
    </w:p>
    <w:tbl>
      <w:tblPr>
        <w:tblStyle w:val="8"/>
        <w:tblW w:w="8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4"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25" w:lineRule="exact"/>
              <w:jc w:val="center"/>
              <w:rPr>
                <w:rFonts w:hint="eastAsia" w:ascii="黑体" w:hAnsi="黑体" w:eastAsia="黑体"/>
                <w:sz w:val="30"/>
                <w:szCs w:val="24"/>
              </w:rPr>
            </w:pPr>
            <w:r>
              <w:rPr>
                <w:rFonts w:hint="eastAsia" w:ascii="方正小标宋简体" w:hAnsi="方正小标宋简体" w:eastAsia="方正小标宋简体"/>
                <w:sz w:val="44"/>
                <w:szCs w:val="24"/>
              </w:rPr>
              <w:t>2025年度厦门市高林南区幼儿园单位预算</w:t>
            </w:r>
          </w:p>
          <w:p>
            <w:pPr>
              <w:spacing w:line="525" w:lineRule="exact"/>
              <w:jc w:val="center"/>
              <w:rPr>
                <w:rFonts w:hint="eastAsia" w:ascii="黑体" w:hAnsi="黑体" w:eastAsia="黑体"/>
                <w:sz w:val="30"/>
                <w:szCs w:val="24"/>
              </w:rPr>
            </w:pPr>
          </w:p>
          <w:p>
            <w:pPr>
              <w:spacing w:line="525" w:lineRule="exact"/>
              <w:jc w:val="center"/>
              <w:rPr>
                <w:rFonts w:hint="eastAsia" w:ascii="黑体" w:hAnsi="黑体" w:eastAsia="黑体"/>
                <w:sz w:val="32"/>
                <w:szCs w:val="24"/>
              </w:rPr>
            </w:pPr>
            <w:r>
              <w:rPr>
                <w:rFonts w:hint="eastAsia" w:ascii="黑体" w:hAnsi="黑体" w:eastAsia="黑体"/>
                <w:sz w:val="32"/>
                <w:szCs w:val="24"/>
              </w:rPr>
              <w:t>目　　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3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eastAsia" w:ascii="仿宋" w:hAnsi="仿宋" w:eastAsia="仿宋"/>
                <w:sz w:val="32"/>
                <w:szCs w:val="24"/>
              </w:rPr>
            </w:pPr>
            <w:r>
              <w:rPr>
                <w:rFonts w:hint="eastAsia" w:ascii="黑体" w:hAnsi="黑体" w:eastAsia="黑体"/>
                <w:sz w:val="32"/>
                <w:szCs w:val="24"/>
              </w:rPr>
              <w:t>　　第一部分   单位概况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一、单位主要职责</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二、单位基本情况</w:t>
            </w:r>
          </w:p>
          <w:p>
            <w:pPr>
              <w:spacing w:line="555" w:lineRule="exact"/>
              <w:rPr>
                <w:rFonts w:hint="eastAsia" w:ascii="黑体" w:hAnsi="黑体" w:eastAsia="黑体"/>
                <w:sz w:val="32"/>
                <w:szCs w:val="24"/>
              </w:rPr>
            </w:pPr>
            <w:r>
              <w:rPr>
                <w:rFonts w:hint="eastAsia" w:ascii="仿宋_GB2312" w:hAnsi="仿宋_GB2312" w:eastAsia="仿宋_GB2312"/>
                <w:sz w:val="32"/>
                <w:szCs w:val="24"/>
              </w:rPr>
              <w:t>　　三、单位主要工作任务</w:t>
            </w:r>
          </w:p>
          <w:p>
            <w:pPr>
              <w:spacing w:line="555" w:lineRule="exact"/>
              <w:rPr>
                <w:rFonts w:hint="eastAsia" w:ascii="黑体" w:hAnsi="黑体" w:eastAsia="黑体"/>
                <w:sz w:val="32"/>
                <w:szCs w:val="24"/>
              </w:rPr>
            </w:pPr>
            <w:r>
              <w:rPr>
                <w:rFonts w:hint="eastAsia" w:ascii="黑体" w:hAnsi="黑体" w:eastAsia="黑体"/>
                <w:sz w:val="32"/>
                <w:szCs w:val="24"/>
              </w:rPr>
              <w:t>　　第二部分   2025年单位预算说明</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一、2025年单位预算收支总体情况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二、一般公共预算财政拨款支出预算情况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三、政府性基金预算财政拨款支出情况</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四、“三公”经费财政拨款预算情况</w:t>
            </w:r>
          </w:p>
          <w:p>
            <w:pPr>
              <w:spacing w:line="555" w:lineRule="exact"/>
              <w:rPr>
                <w:rFonts w:hint="eastAsia" w:ascii="黑体" w:hAnsi="黑体" w:eastAsia="黑体"/>
                <w:sz w:val="32"/>
                <w:szCs w:val="24"/>
              </w:rPr>
            </w:pPr>
            <w:r>
              <w:rPr>
                <w:rFonts w:hint="eastAsia" w:ascii="仿宋_GB2312" w:hAnsi="仿宋_GB2312" w:eastAsia="仿宋_GB2312"/>
                <w:sz w:val="32"/>
                <w:szCs w:val="24"/>
              </w:rPr>
              <w:t>　　五、其他重要事项的情况说明</w:t>
            </w:r>
          </w:p>
          <w:p>
            <w:pPr>
              <w:spacing w:line="555" w:lineRule="exact"/>
              <w:rPr>
                <w:rFonts w:hint="eastAsia" w:ascii="黑体" w:hAnsi="黑体" w:eastAsia="黑体"/>
                <w:sz w:val="32"/>
                <w:szCs w:val="24"/>
              </w:rPr>
            </w:pPr>
            <w:r>
              <w:rPr>
                <w:rFonts w:hint="eastAsia" w:ascii="黑体" w:hAnsi="黑体" w:eastAsia="黑体"/>
                <w:sz w:val="32"/>
                <w:szCs w:val="24"/>
              </w:rPr>
              <w:t>　　第三部分   名词解释</w:t>
            </w:r>
          </w:p>
          <w:p>
            <w:pPr>
              <w:spacing w:line="555" w:lineRule="exact"/>
              <w:rPr>
                <w:rFonts w:hint="eastAsia" w:ascii="黑体" w:hAnsi="黑体" w:eastAsia="黑体"/>
                <w:sz w:val="32"/>
                <w:szCs w:val="24"/>
              </w:rPr>
            </w:pPr>
            <w:r>
              <w:rPr>
                <w:rFonts w:hint="eastAsia" w:ascii="黑体" w:hAnsi="黑体" w:eastAsia="黑体"/>
                <w:sz w:val="32"/>
                <w:szCs w:val="24"/>
              </w:rPr>
              <w:t>　　第四部分   2025年单位预算附表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一、部门收支预算总体情况表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二、部门收入预算总体情况表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三、部门支出预算总体情况表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五、 一般公共预算支出情况表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spacing w:line="555" w:lineRule="exact"/>
              <w:ind w:firstLine="640" w:firstLineChars="200"/>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九、区对镇（街）转移支付支出预算表</w:t>
            </w:r>
          </w:p>
          <w:p>
            <w:pPr>
              <w:spacing w:line="555" w:lineRule="exact"/>
              <w:ind w:firstLine="640" w:firstLineChars="200"/>
              <w:rPr>
                <w:rFonts w:hint="eastAsia" w:eastAsia="宋体"/>
                <w:lang w:eastAsia="zh-CN"/>
              </w:rPr>
            </w:pPr>
            <w:r>
              <w:rPr>
                <w:rFonts w:hint="eastAsia" w:ascii="仿宋_GB2312" w:hAnsi="仿宋_GB2312" w:eastAsia="仿宋_GB2312" w:cs="Times New Roman"/>
                <w:sz w:val="32"/>
                <w:szCs w:val="24"/>
                <w:lang w:eastAsia="zh-CN"/>
              </w:rPr>
              <w:t>十、二级项目绩效目标表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第一部分  单位概况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一、单位主要职责</w:t>
            </w:r>
          </w:p>
          <w:p>
            <w:pPr>
              <w:spacing w:line="555" w:lineRule="exact"/>
              <w:rPr>
                <w:rFonts w:hint="default" w:ascii="仿宋_GB2312" w:hAnsi="仿宋_GB2312" w:eastAsia="仿宋_GB2312"/>
                <w:sz w:val="32"/>
                <w:szCs w:val="24"/>
              </w:rPr>
            </w:pPr>
            <w:r>
              <w:rPr>
                <w:rFonts w:hint="eastAsia" w:ascii="仿宋_GB2312" w:hAnsi="仿宋_GB2312" w:eastAsia="仿宋_GB2312"/>
                <w:sz w:val="32"/>
                <w:szCs w:val="24"/>
              </w:rPr>
              <w:t>　　厦门市高林南区幼儿园的主要职责是：</w:t>
            </w:r>
          </w:p>
          <w:p>
            <w:pPr>
              <w:spacing w:beforeLines="0" w:afterLines="0" w:line="555" w:lineRule="exact"/>
              <w:rPr>
                <w:rFonts w:hint="eastAsia" w:ascii="仿宋_GB2312" w:hAnsi="仿宋_GB2312" w:eastAsia="仿宋_GB2312"/>
                <w:color w:val="auto"/>
                <w:sz w:val="32"/>
                <w:szCs w:val="24"/>
              </w:rPr>
            </w:pPr>
            <w:r>
              <w:rPr>
                <w:rFonts w:hint="eastAsia" w:ascii="仿宋_GB2312" w:hAnsi="仿宋_GB2312" w:eastAsia="仿宋_GB2312"/>
                <w:sz w:val="32"/>
                <w:szCs w:val="24"/>
              </w:rPr>
              <w:t>　　（一）</w:t>
            </w:r>
            <w:r>
              <w:rPr>
                <w:rFonts w:hint="eastAsia" w:ascii="仿宋_GB2312" w:hAnsi="仿宋_GB2312" w:eastAsia="仿宋_GB2312"/>
                <w:color w:val="auto"/>
                <w:sz w:val="32"/>
                <w:szCs w:val="24"/>
                <w:lang w:eastAsia="zh-CN"/>
              </w:rPr>
              <w:t>为</w:t>
            </w:r>
            <w:r>
              <w:rPr>
                <w:rFonts w:hint="eastAsia" w:ascii="仿宋_GB2312" w:hAnsi="仿宋" w:eastAsia="仿宋_GB2312"/>
                <w:color w:val="auto"/>
                <w:sz w:val="32"/>
                <w:szCs w:val="24"/>
              </w:rPr>
              <w:t>学龄前儿童提供保育和教育服务</w:t>
            </w:r>
            <w:r>
              <w:rPr>
                <w:rFonts w:hint="eastAsia" w:ascii="仿宋_GB2312" w:hAnsi="仿宋_GB2312" w:eastAsia="仿宋_GB2312"/>
                <w:color w:val="auto"/>
                <w:sz w:val="32"/>
                <w:szCs w:val="24"/>
              </w:rPr>
              <w:t>。</w:t>
            </w:r>
          </w:p>
          <w:p>
            <w:pPr>
              <w:spacing w:beforeLines="0" w:afterLines="0" w:line="555" w:lineRule="exact"/>
              <w:rPr>
                <w:rFonts w:hint="eastAsia" w:ascii="黑体" w:hAnsi="黑体" w:eastAsia="黑体"/>
                <w:sz w:val="32"/>
                <w:szCs w:val="24"/>
              </w:rPr>
            </w:pPr>
            <w:r>
              <w:rPr>
                <w:rFonts w:hint="eastAsia" w:ascii="仿宋_GB2312" w:hAnsi="仿宋_GB2312" w:eastAsia="仿宋_GB2312"/>
                <w:color w:val="auto"/>
                <w:sz w:val="32"/>
                <w:szCs w:val="24"/>
              </w:rPr>
              <w:t>　　（二）</w:t>
            </w:r>
            <w:r>
              <w:rPr>
                <w:rFonts w:hint="eastAsia" w:ascii="仿宋_GB2312" w:hAnsi="仿宋_GB2312" w:eastAsia="仿宋_GB2312"/>
                <w:color w:val="auto"/>
                <w:sz w:val="32"/>
                <w:szCs w:val="24"/>
                <w:lang w:eastAsia="zh-CN"/>
              </w:rPr>
              <w:t>幼</w:t>
            </w:r>
            <w:r>
              <w:rPr>
                <w:rFonts w:hint="eastAsia" w:ascii="仿宋_GB2312" w:hAnsi="仿宋" w:eastAsia="仿宋_GB2312"/>
                <w:color w:val="auto"/>
                <w:sz w:val="32"/>
                <w:szCs w:val="24"/>
              </w:rPr>
              <w:t>儿保育，幼儿教育</w:t>
            </w:r>
            <w:r>
              <w:rPr>
                <w:rFonts w:hint="eastAsia" w:ascii="仿宋_GB2312" w:hAnsi="仿宋" w:eastAsia="仿宋_GB2312"/>
                <w:color w:val="auto"/>
                <w:sz w:val="32"/>
                <w:szCs w:val="24"/>
                <w:lang w:eastAsia="zh-CN"/>
              </w:rPr>
              <w:t>，</w:t>
            </w:r>
            <w:r>
              <w:rPr>
                <w:rFonts w:hint="eastAsia" w:ascii="仿宋_GB2312" w:hAnsi="仿宋" w:eastAsia="仿宋_GB2312"/>
                <w:color w:val="auto"/>
                <w:sz w:val="32"/>
                <w:szCs w:val="24"/>
                <w:lang w:val="en-US" w:eastAsia="zh-CN"/>
              </w:rPr>
              <w:t>婴幼儿托育服务</w:t>
            </w:r>
            <w:r>
              <w:rPr>
                <w:rFonts w:hint="eastAsia" w:ascii="仿宋_GB2312" w:hAnsi="仿宋_GB2312" w:eastAsia="仿宋_GB2312"/>
                <w:color w:val="auto"/>
                <w:sz w:val="32"/>
                <w:szCs w:val="24"/>
              </w:rPr>
              <w:t>。</w:t>
            </w:r>
          </w:p>
          <w:p>
            <w:pPr>
              <w:spacing w:line="555" w:lineRule="exact"/>
              <w:rPr>
                <w:rFonts w:hint="default" w:ascii="仿宋_GB2312" w:hAnsi="仿宋_GB2312" w:eastAsia="仿宋_GB2312"/>
                <w:sz w:val="32"/>
                <w:szCs w:val="24"/>
              </w:rPr>
            </w:pPr>
            <w:r>
              <w:rPr>
                <w:rFonts w:hint="eastAsia" w:ascii="黑体" w:hAnsi="黑体" w:eastAsia="黑体"/>
                <w:sz w:val="32"/>
                <w:szCs w:val="24"/>
              </w:rPr>
              <w:t>　　二、单位基本情况</w:t>
            </w:r>
          </w:p>
          <w:p>
            <w:pPr>
              <w:spacing w:line="555" w:lineRule="exact"/>
              <w:rPr>
                <w:rFonts w:hint="eastAsia" w:ascii="仿宋_GB2312" w:hAnsi="仿宋_GB2312" w:eastAsia="仿宋_GB2312"/>
                <w:sz w:val="24"/>
                <w:szCs w:val="24"/>
              </w:rPr>
            </w:pPr>
            <w:r>
              <w:rPr>
                <w:rFonts w:hint="eastAsia" w:ascii="仿宋_GB2312" w:hAnsi="仿宋_GB2312" w:eastAsia="仿宋_GB2312"/>
                <w:sz w:val="32"/>
                <w:szCs w:val="24"/>
              </w:rPr>
              <w:t>　　厦门市高林南区幼儿园内设</w:t>
            </w:r>
            <w:r>
              <w:rPr>
                <w:rFonts w:hint="eastAsia" w:ascii="仿宋_GB2312" w:hAnsi="仿宋_GB2312" w:eastAsia="仿宋_GB2312"/>
                <w:color w:val="auto"/>
                <w:sz w:val="32"/>
                <w:szCs w:val="24"/>
                <w:lang w:val="en-US" w:eastAsia="zh-CN"/>
              </w:rPr>
              <w:t>2</w:t>
            </w:r>
            <w:r>
              <w:rPr>
                <w:rFonts w:hint="eastAsia" w:ascii="仿宋_GB2312" w:hAnsi="仿宋_GB2312" w:eastAsia="仿宋_GB2312"/>
                <w:color w:val="auto"/>
                <w:sz w:val="32"/>
                <w:szCs w:val="24"/>
              </w:rPr>
              <w:t>个</w:t>
            </w:r>
            <w:r>
              <w:rPr>
                <w:rFonts w:hint="eastAsia" w:ascii="仿宋_GB2312" w:hAnsi="仿宋_GB2312" w:eastAsia="仿宋_GB2312"/>
                <w:sz w:val="32"/>
                <w:szCs w:val="24"/>
              </w:rPr>
              <w:t>科室，包</w:t>
            </w:r>
            <w:r>
              <w:rPr>
                <w:rFonts w:hint="eastAsia" w:ascii="仿宋_GB2312" w:hAnsi="仿宋_GB2312" w:eastAsia="仿宋_GB2312" w:cs="Times New Roman"/>
                <w:sz w:val="32"/>
                <w:szCs w:val="24"/>
              </w:rPr>
              <w:t>括：</w:t>
            </w:r>
            <w:r>
              <w:rPr>
                <w:rFonts w:hint="eastAsia" w:ascii="仿宋_GB2312" w:hAnsi="仿宋_GB2312" w:eastAsia="仿宋_GB2312" w:cs="Times New Roman"/>
                <w:sz w:val="32"/>
                <w:szCs w:val="24"/>
                <w:lang w:eastAsia="zh-CN"/>
              </w:rPr>
              <w:t>园长办公室及总务科，人员编制数</w:t>
            </w:r>
            <w:r>
              <w:rPr>
                <w:rFonts w:hint="eastAsia" w:ascii="仿宋_GB2312" w:hAnsi="仿宋_GB2312" w:eastAsia="仿宋_GB2312" w:cs="Times New Roman"/>
                <w:sz w:val="32"/>
                <w:szCs w:val="24"/>
                <w:lang w:val="en-US" w:eastAsia="zh-CN"/>
              </w:rPr>
              <w:t>74人，在职人数20人。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5"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spacing w:line="555" w:lineRule="exact"/>
              <w:rPr>
                <w:rFonts w:hint="default" w:ascii="仿宋_GB2312" w:hAnsi="仿宋_GB2312" w:eastAsia="仿宋_GB2312"/>
                <w:sz w:val="32"/>
                <w:szCs w:val="24"/>
              </w:rPr>
            </w:pPr>
            <w:r>
              <w:rPr>
                <w:rFonts w:hint="eastAsia" w:ascii="黑体" w:hAnsi="黑体" w:eastAsia="黑体"/>
                <w:sz w:val="32"/>
                <w:szCs w:val="24"/>
              </w:rPr>
              <w:t>　　三、单位主要工作任务</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2025年，厦门市高林南区幼儿园主要任务是：坚持贯彻党的方针政策，依据幼儿园的发展规划，继续在“爱于心 美于行”办园理念的指引下，以保教结合为原则，以贯彻安全工作为主线，以促进幼儿发展为目的，以促进师资队伍建设与内涵建设为重点，抓好园所文化、教师队伍及家长、社区工作三项建设，有效开展幼儿园工作。围绕上述任务，重点抓好以下工作：</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（一）在蒲公英文化指引下推进一园一品的构建，深化品牌特色。</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（二）提升党建引领，促党建与校园文化及教育教学等深度融合，加强党政班子建设，提升行政管理水平，管理效率。</w:t>
            </w:r>
          </w:p>
          <w:p>
            <w:pPr>
              <w:spacing w:line="555"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（三）依托厦门市改革园深入研究保教质量监控体制，促进保教质量内涵提升。</w:t>
            </w:r>
          </w:p>
          <w:p>
            <w:pPr>
              <w:spacing w:line="555" w:lineRule="exact"/>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（四）以东宅分园市级示范园评估为契机，全面提升总分园保教质量。</w:t>
            </w:r>
          </w:p>
          <w:p>
            <w:pPr>
              <w:spacing w:line="555" w:lineRule="exact"/>
              <w:rPr>
                <w:rFonts w:hint="eastAsia" w:ascii="仿宋_GB2312" w:hAnsi="仿宋_GB2312" w:eastAsia="仿宋_GB2312"/>
                <w:sz w:val="32"/>
                <w:szCs w:val="24"/>
              </w:rPr>
            </w:pPr>
            <w:r>
              <w:rPr>
                <w:rFonts w:hint="eastAsia" w:ascii="仿宋_GB2312" w:hAnsi="仿宋_GB2312" w:eastAsia="仿宋_GB2312"/>
                <w:sz w:val="32"/>
                <w:szCs w:val="24"/>
              </w:rPr>
              <w:t xml:space="preserve">  </w:t>
            </w:r>
            <w:r>
              <w:rPr>
                <w:rFonts w:hint="eastAsia" w:ascii="仿宋_GB2312" w:hAnsi="仿宋_GB2312" w:eastAsia="仿宋_GB2312"/>
                <w:sz w:val="32"/>
                <w:szCs w:val="24"/>
                <w:lang w:val="en-US" w:eastAsia="zh-CN"/>
              </w:rPr>
              <w:t xml:space="preserve">  </w:t>
            </w:r>
            <w:r>
              <w:rPr>
                <w:rFonts w:hint="eastAsia" w:ascii="仿宋_GB2312" w:hAnsi="仿宋_GB2312" w:eastAsia="仿宋_GB2312"/>
                <w:sz w:val="32"/>
                <w:szCs w:val="24"/>
              </w:rPr>
              <w:t>（五）完善两园教研管理，提升联动教研的质量，凸显两园教研组织亮点。</w:t>
            </w:r>
          </w:p>
          <w:p>
            <w:pPr>
              <w:spacing w:line="555" w:lineRule="exact"/>
              <w:ind w:firstLine="640"/>
              <w:rPr>
                <w:rFonts w:hint="eastAsia" w:ascii="仿宋_GB2312" w:hAnsi="仿宋_GB2312" w:eastAsia="仿宋_GB2312"/>
                <w:sz w:val="32"/>
                <w:szCs w:val="24"/>
              </w:rPr>
            </w:pPr>
            <w:r>
              <w:rPr>
                <w:rFonts w:hint="eastAsia" w:ascii="仿宋_GB2312" w:hAnsi="仿宋_GB2312" w:eastAsia="仿宋_GB2312"/>
                <w:sz w:val="32"/>
                <w:szCs w:val="24"/>
              </w:rPr>
              <w:t>（六）做好卫生保健工作，确保幼儿健康成长，争创全国膳食营养与健康先进单位。</w:t>
            </w:r>
          </w:p>
          <w:p>
            <w:pPr>
              <w:spacing w:line="555" w:lineRule="exact"/>
              <w:jc w:val="center"/>
              <w:rPr>
                <w:rFonts w:hint="eastAsia" w:ascii="黑体" w:hAnsi="黑体" w:eastAsia="黑体"/>
                <w:sz w:val="32"/>
                <w:szCs w:val="24"/>
              </w:rPr>
            </w:pPr>
            <w:r>
              <w:rPr>
                <w:rFonts w:hint="eastAsia" w:ascii="黑体" w:hAnsi="黑体" w:eastAsia="黑体"/>
                <w:sz w:val="32"/>
                <w:szCs w:val="24"/>
              </w:rPr>
              <w:t>第二部分  2025年单位预算说明</w:t>
            </w:r>
          </w:p>
          <w:p>
            <w:pPr>
              <w:spacing w:line="555" w:lineRule="exact"/>
              <w:ind w:firstLine="640" w:firstLineChars="200"/>
              <w:rPr>
                <w:rFonts w:hint="default" w:ascii="仿宋_GB2312" w:hAnsi="仿宋_GB2312" w:eastAsia="仿宋_GB2312"/>
                <w:sz w:val="32"/>
                <w:szCs w:val="24"/>
              </w:rPr>
            </w:pPr>
            <w:r>
              <w:rPr>
                <w:rFonts w:hint="eastAsia" w:ascii="黑体" w:hAnsi="黑体" w:eastAsia="黑体"/>
                <w:sz w:val="32"/>
                <w:szCs w:val="24"/>
              </w:rPr>
              <w:t>一、2025年单位预算收支总体情况</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根据预算管理的有关规定，单位的全部收入和支出均纳入部门预算管理。</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（一）厦门市高林南区幼儿园2025年收入预算为1,453.71万元，比2024年预算数增加147.71万元，增长11.31％，具体情况如下：</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1.财政拨款收入1,453.71万元，其中一般公共预算拨款收入1,453.71万元，政府性基金拨款收入0.00万元，国有资本经营预算拨款收入0.00万元；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2.财政专户管理资金收入0.00万元；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3.事业收入0.00万元；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4.事业单位经营收入0.00万元；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5.上级补助收入0.00万元；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6.附属单位上缴收入0.00万元；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7.其他收入0.00万元；</w:t>
            </w:r>
          </w:p>
          <w:p>
            <w:pPr>
              <w:pStyle w:val="2"/>
              <w:keepNext w:val="0"/>
              <w:keepLines w:val="0"/>
              <w:pageBreakBefore w:val="0"/>
              <w:widowControl w:val="0"/>
              <w:kinsoku/>
              <w:wordWrap/>
              <w:overflowPunct/>
              <w:topLinePunct w:val="0"/>
              <w:autoSpaceDE w:val="0"/>
              <w:autoSpaceDN w:val="0"/>
              <w:bidi w:val="0"/>
              <w:adjustRightInd w:val="0"/>
              <w:snapToGrid/>
              <w:spacing w:beforeLines="0" w:after="0" w:afterLines="0" w:line="555" w:lineRule="exact"/>
              <w:textAlignment w:val="auto"/>
              <w:rPr>
                <w:rFonts w:hint="eastAsia"/>
              </w:rPr>
            </w:pPr>
            <w:r>
              <w:rPr>
                <w:rFonts w:hint="eastAsia" w:ascii="仿宋_GB2312" w:hAnsi="仿宋_GB2312" w:eastAsia="仿宋_GB2312"/>
                <w:sz w:val="32"/>
                <w:szCs w:val="24"/>
              </w:rPr>
              <w:t>　8.上年结转结余0.00万元。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3" w:hRule="atLeast"/>
        </w:trPr>
        <w:tc>
          <w:tcPr>
            <w:tcW w:w="8682"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（二）厦门市高林南区幼儿园2025年支出预算为1,453.71万元（不含市对区转移支付项目），比2024年预算数增加147.71万元，增长11.31％，具体情况如下：</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1.财政拨款基本支出1,453.71万元，其中，人员支出688.83万元，公用支出764.89万元；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2.财政拨款项目支出0.00万元；</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3.非财政拨款支出0.00万元。</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仿宋_GB2312" w:hAnsi="仿宋_GB2312" w:eastAsia="仿宋_GB2312"/>
                <w:sz w:val="32"/>
                <w:szCs w:val="24"/>
              </w:rPr>
              <w:t>（三）厦门市高林南区幼儿</w:t>
            </w:r>
            <w:bookmarkStart w:id="0" w:name="_GoBack"/>
            <w:bookmarkEnd w:id="0"/>
            <w:r>
              <w:rPr>
                <w:rFonts w:hint="eastAsia" w:ascii="仿宋_GB2312" w:hAnsi="仿宋_GB2312" w:eastAsia="仿宋_GB2312"/>
                <w:sz w:val="32"/>
                <w:szCs w:val="24"/>
              </w:rPr>
              <w:t>园2025年区对镇（街）转移支付项目预算为</w:t>
            </w:r>
            <w:r>
              <w:rPr>
                <w:rFonts w:hint="eastAsia" w:ascii="仿宋_GB2312" w:hAnsi="仿宋_GB2312" w:eastAsia="仿宋_GB2312"/>
                <w:sz w:val="32"/>
                <w:szCs w:val="24"/>
                <w:lang w:val="en-US" w:eastAsia="zh-CN"/>
              </w:rPr>
              <w:t>0.00</w:t>
            </w:r>
            <w:r>
              <w:rPr>
                <w:rFonts w:hint="eastAsia" w:ascii="仿宋_GB2312" w:hAnsi="仿宋_GB2312" w:eastAsia="仿宋_GB2312"/>
                <w:sz w:val="32"/>
                <w:szCs w:val="24"/>
              </w:rPr>
              <w:t>万元。</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仿宋_GB2312" w:hAnsi="仿宋_GB2312" w:eastAsia="仿宋_GB2312"/>
                <w:sz w:val="32"/>
                <w:szCs w:val="24"/>
              </w:rPr>
            </w:pPr>
            <w:r>
              <w:rPr>
                <w:rFonts w:hint="eastAsia" w:ascii="黑体" w:hAnsi="黑体" w:eastAsia="黑体"/>
                <w:sz w:val="32"/>
                <w:szCs w:val="24"/>
              </w:rPr>
              <w:t>二、一般公共预算财政拨款支出预算情况</w:t>
            </w:r>
          </w:p>
          <w:p>
            <w:pPr>
              <w:pStyle w:val="2"/>
              <w:keepNext w:val="0"/>
              <w:keepLines w:val="0"/>
              <w:pageBreakBefore w:val="0"/>
              <w:widowControl w:val="0"/>
              <w:kinsoku/>
              <w:wordWrap/>
              <w:overflowPunct/>
              <w:topLinePunct w:val="0"/>
              <w:autoSpaceDE w:val="0"/>
              <w:autoSpaceDN w:val="0"/>
              <w:bidi w:val="0"/>
              <w:adjustRightInd w:val="0"/>
              <w:snapToGrid/>
              <w:spacing w:beforeLines="0" w:after="0" w:afterLines="0" w:line="555" w:lineRule="exact"/>
              <w:textAlignment w:val="auto"/>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rPr>
              <w:t>　2025年度一般公共预算支出1,453.71万元（不含市对区转移支付项目），比2024年预算数增加147.71万元，增长11.31%，主要是由于幼儿生数增加，人员经费及公用经费增加。支出项目(按项级科目分类统计)包括：</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firstLineChars="200"/>
              <w:textAlignment w:val="auto"/>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lang w:val="en-US" w:eastAsia="zh-CN"/>
              </w:rPr>
              <w:t>1.</w:t>
            </w:r>
            <w:r>
              <w:rPr>
                <w:rFonts w:hint="eastAsia" w:ascii="仿宋_GB2312" w:hAnsi="仿宋_GB2312" w:eastAsia="仿宋_GB2312" w:cs="Times New Roman"/>
                <w:color w:val="000000"/>
                <w:sz w:val="32"/>
                <w:szCs w:val="24"/>
              </w:rPr>
              <w:t>教育支出（类）普通教育（款）学前教育（项）1,294.65万元。主要用于幼儿园的日常公用支出</w:t>
            </w:r>
            <w:r>
              <w:rPr>
                <w:rFonts w:hint="eastAsia" w:ascii="仿宋_GB2312" w:hAnsi="仿宋_GB2312" w:eastAsia="仿宋_GB2312" w:cs="Times New Roman"/>
                <w:color w:val="000000"/>
                <w:sz w:val="32"/>
                <w:szCs w:val="24"/>
                <w:lang w:eastAsia="zh-CN"/>
              </w:rPr>
              <w:t>和人员经费支出</w:t>
            </w:r>
            <w:r>
              <w:rPr>
                <w:rFonts w:hint="eastAsia" w:ascii="仿宋_GB2312" w:hAnsi="仿宋_GB2312" w:eastAsia="仿宋_GB2312" w:cs="Times New Roman"/>
                <w:color w:val="000000"/>
                <w:sz w:val="32"/>
                <w:szCs w:val="24"/>
              </w:rPr>
              <w:t>。</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rPr>
              <w:t>2.社会保障和就业支出（类）行政事业单位养老支出（款）事业单位离退休（项）6.22万元。主要用于事业单位离退休支出。</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default" w:ascii="仿宋_GB2312" w:hAnsi="仿宋_GB2312" w:eastAsia="仿宋_GB2312" w:cs="Times New Roman"/>
                <w:color w:val="000000"/>
                <w:sz w:val="32"/>
                <w:szCs w:val="24"/>
                <w:lang w:val="en-US" w:eastAsia="zh-CN"/>
              </w:rPr>
            </w:pPr>
            <w:r>
              <w:rPr>
                <w:rFonts w:hint="eastAsia" w:ascii="仿宋_GB2312" w:hAnsi="仿宋_GB2312" w:eastAsia="仿宋_GB2312" w:cs="Times New Roman"/>
                <w:color w:val="000000"/>
                <w:sz w:val="32"/>
                <w:szCs w:val="24"/>
              </w:rPr>
              <w:t>3.社会保障和就业支出（类）行政事业单位养老支出（款）机关事业单位基本养老保险缴费支出（项）48.18万元。主要用于机关事业单位基本养老保险缴费和其他社会保障支出。</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default" w:ascii="仿宋_GB2312" w:hAnsi="仿宋_GB2312" w:eastAsia="仿宋_GB2312" w:cs="Times New Roman"/>
                <w:color w:val="000000"/>
                <w:sz w:val="32"/>
                <w:szCs w:val="24"/>
                <w:lang w:val="en-US" w:eastAsia="zh-CN"/>
              </w:rPr>
            </w:pPr>
            <w:r>
              <w:rPr>
                <w:rFonts w:hint="eastAsia" w:ascii="仿宋_GB2312" w:hAnsi="仿宋_GB2312" w:eastAsia="仿宋_GB2312" w:cs="Times New Roman"/>
                <w:color w:val="000000"/>
                <w:sz w:val="32"/>
                <w:szCs w:val="24"/>
              </w:rPr>
              <w:t>4.社会保障和就业支出（类）行政事业单位养老支出（款）机关事业单位职业年金缴费支出（项）24.09万元。主要用于机关事业单位职业年金缴费支出。</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color w:val="000000"/>
                <w:sz w:val="32"/>
                <w:szCs w:val="24"/>
                <w:lang w:val="en-US" w:eastAsia="zh-CN"/>
              </w:rPr>
            </w:pPr>
            <w:r>
              <w:rPr>
                <w:rFonts w:hint="eastAsia" w:ascii="仿宋_GB2312" w:hAnsi="仿宋_GB2312" w:eastAsia="仿宋_GB2312" w:cs="Times New Roman"/>
                <w:color w:val="000000"/>
                <w:sz w:val="32"/>
                <w:szCs w:val="24"/>
              </w:rPr>
              <w:t>5.卫生健康支出（类）行政事业单位医疗（款）事业单位医疗（项）20.63万元。主要用于职工基本医疗保险缴费支出</w:t>
            </w:r>
            <w:r>
              <w:rPr>
                <w:rFonts w:hint="eastAsia" w:ascii="仿宋_GB2312" w:hAnsi="仿宋_GB2312" w:eastAsia="仿宋_GB2312" w:cs="Times New Roman"/>
                <w:color w:val="000000"/>
                <w:sz w:val="32"/>
                <w:szCs w:val="24"/>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rPr>
              <w:t>6.卫生健康支出（类）行政事业单位医疗（款）其他行政事业单位医疗支出（项）10.54万元。主要用于人员医疗补助支出。</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color w:val="000000"/>
                <w:sz w:val="32"/>
                <w:szCs w:val="24"/>
              </w:rPr>
            </w:pPr>
            <w:r>
              <w:rPr>
                <w:rFonts w:hint="eastAsia" w:ascii="仿宋_GB2312" w:hAnsi="仿宋_GB2312" w:eastAsia="仿宋_GB2312" w:cs="Times New Roman"/>
                <w:color w:val="000000"/>
                <w:sz w:val="32"/>
                <w:szCs w:val="24"/>
              </w:rPr>
              <w:t>7.住房保障支出（类）住房改革支出（款）购房补贴（项）49.40万元。主要用于教职工购房补贴支出。</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仿宋_GB2312" w:hAnsi="仿宋_GB2312" w:eastAsia="仿宋_GB2312"/>
                <w:sz w:val="32"/>
                <w:szCs w:val="24"/>
              </w:rPr>
            </w:pPr>
            <w:r>
              <w:rPr>
                <w:rFonts w:hint="eastAsia" w:ascii="黑体" w:hAnsi="黑体" w:eastAsia="黑体"/>
                <w:sz w:val="32"/>
                <w:szCs w:val="24"/>
              </w:rPr>
              <w:t>三、政府性基金预算财政拨款支出情况</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sz w:val="32"/>
                <w:szCs w:val="24"/>
              </w:rPr>
            </w:pPr>
            <w:r>
              <w:rPr>
                <w:rFonts w:hint="eastAsia" w:ascii="仿宋_GB2312" w:hAnsi="仿宋_GB2312" w:eastAsia="仿宋_GB2312"/>
                <w:sz w:val="32"/>
                <w:szCs w:val="24"/>
              </w:rPr>
              <w:t>2025年度政府性基金支出0.00万元（不含市对区转移支付项目），比2024年预算数增加0.00万元，增长0%，主要是由于</w:t>
            </w:r>
            <w:r>
              <w:rPr>
                <w:rFonts w:hint="eastAsia" w:ascii="仿宋_GB2312" w:hAnsi="仿宋_GB2312" w:eastAsia="仿宋_GB2312"/>
                <w:color w:val="auto"/>
                <w:sz w:val="32"/>
                <w:szCs w:val="24"/>
              </w:rPr>
              <w:t>无此项项目</w:t>
            </w:r>
            <w:r>
              <w:rPr>
                <w:rFonts w:hint="eastAsia" w:ascii="仿宋_GB2312" w:hAnsi="仿宋_GB2312" w:eastAsia="仿宋_GB2312"/>
                <w:sz w:val="32"/>
                <w:szCs w:val="24"/>
              </w:rPr>
              <w:t>。支出项目（按项级科目分类统计）：</w:t>
            </w:r>
            <w:r>
              <w:rPr>
                <w:rFonts w:hint="eastAsia" w:ascii="仿宋_GB2312" w:hAnsi="仿宋_GB2312" w:eastAsia="仿宋_GB2312" w:cs="Times New Roman"/>
                <w:sz w:val="32"/>
                <w:szCs w:val="24"/>
              </w:rPr>
              <w:t>暂无数据</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lang w:val="en-US" w:eastAsia="zh-CN"/>
              </w:rPr>
              <w:t>2025年</w:t>
            </w:r>
            <w:r>
              <w:rPr>
                <w:rFonts w:hint="eastAsia" w:ascii="仿宋_GB2312" w:hAnsi="仿宋_GB2312" w:eastAsia="仿宋_GB2312" w:cs="Times New Roman"/>
                <w:sz w:val="32"/>
                <w:szCs w:val="24"/>
              </w:rPr>
              <w:t>无此项经费预算拨款。</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55" w:lineRule="exact"/>
              <w:ind w:firstLine="640" w:firstLineChars="200"/>
              <w:textAlignment w:val="auto"/>
              <w:rPr>
                <w:rFonts w:hint="default" w:ascii="黑体" w:hAnsi="黑体" w:eastAsia="黑体" w:cs="Times New Roman"/>
                <w:color w:val="000000"/>
                <w:sz w:val="32"/>
                <w:szCs w:val="24"/>
              </w:rPr>
            </w:pPr>
            <w:r>
              <w:rPr>
                <w:rFonts w:hint="eastAsia" w:ascii="黑体" w:hAnsi="黑体" w:eastAsia="黑体" w:cs="Times New Roman"/>
                <w:color w:val="000000"/>
                <w:sz w:val="32"/>
                <w:szCs w:val="24"/>
              </w:rPr>
              <w:t>“三公”经费财政拨款预算情况</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仿宋_GB2312" w:hAnsi="仿宋_GB2312" w:eastAsia="仿宋_GB2312"/>
                <w:sz w:val="32"/>
                <w:szCs w:val="24"/>
              </w:rPr>
              <w:t>厦门市高林南区幼儿园单位2025年“三公”经费财政拨款预算数为0.00万元，其中：因公出国（境）经费0.00万元，公务接待费0.00万元，公务用车购置及运行费0.00万元。具体情况如下：</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仿宋_GB2312" w:hAnsi="仿宋_GB2312" w:eastAsia="仿宋_GB2312"/>
                <w:sz w:val="32"/>
                <w:szCs w:val="24"/>
              </w:rPr>
            </w:pPr>
            <w:r>
              <w:rPr>
                <w:rFonts w:hint="eastAsia" w:ascii="楷体_GB2312" w:hAnsi="楷体_GB2312" w:eastAsia="楷体_GB2312"/>
                <w:sz w:val="32"/>
                <w:szCs w:val="24"/>
              </w:rPr>
              <w:t>（一）因公出国（境）经费</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textAlignment w:val="auto"/>
              <w:rPr>
                <w:rFonts w:hint="eastAsia" w:ascii="仿宋_GB2312" w:hAnsi="仿宋_GB2312" w:eastAsia="仿宋_GB2312"/>
                <w:sz w:val="32"/>
                <w:szCs w:val="24"/>
              </w:rPr>
            </w:pPr>
            <w:r>
              <w:rPr>
                <w:rFonts w:hint="eastAsia" w:ascii="仿宋_GB2312" w:hAnsi="仿宋_GB2312" w:eastAsia="仿宋_GB2312"/>
                <w:sz w:val="32"/>
                <w:szCs w:val="24"/>
              </w:rPr>
              <w:t>2025年预算安排0.00万元。主要</w:t>
            </w:r>
            <w:r>
              <w:rPr>
                <w:rFonts w:hint="eastAsia" w:ascii="仿宋_GB2312" w:hAnsi="仿宋_GB2312" w:eastAsia="仿宋_GB2312"/>
                <w:sz w:val="32"/>
                <w:szCs w:val="24"/>
                <w:lang w:eastAsia="zh-CN"/>
              </w:rPr>
              <w:t>因</w:t>
            </w:r>
            <w:r>
              <w:rPr>
                <w:rFonts w:hint="eastAsia" w:ascii="仿宋_GB2312" w:hAnsi="仿宋_GB2312" w:eastAsia="仿宋_GB2312"/>
                <w:color w:val="auto"/>
                <w:sz w:val="32"/>
                <w:szCs w:val="24"/>
              </w:rPr>
              <w:t>无此项经费预算拨款</w:t>
            </w:r>
            <w:r>
              <w:rPr>
                <w:rFonts w:hint="eastAsia" w:ascii="仿宋_GB2312" w:hAnsi="仿宋_GB2312" w:eastAsia="仿宋_GB2312"/>
                <w:sz w:val="32"/>
                <w:szCs w:val="24"/>
              </w:rPr>
              <w:t>。与上年预算相比，主要原因是:</w:t>
            </w:r>
            <w:r>
              <w:rPr>
                <w:rFonts w:hint="eastAsia" w:ascii="仿宋_GB2312" w:hAnsi="仿宋_GB2312" w:eastAsia="仿宋_GB2312"/>
                <w:color w:val="auto"/>
                <w:sz w:val="32"/>
                <w:szCs w:val="24"/>
              </w:rPr>
              <w:t>上年无此项拨款预算</w:t>
            </w:r>
            <w:r>
              <w:rPr>
                <w:rFonts w:hint="eastAsia" w:ascii="仿宋_GB2312" w:hAnsi="仿宋_GB2312" w:eastAsia="仿宋_GB2312"/>
                <w:sz w:val="32"/>
                <w:szCs w:val="24"/>
              </w:rPr>
              <w:t>。</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textAlignment w:val="auto"/>
              <w:rPr>
                <w:rFonts w:hint="eastAsia" w:ascii="楷体_GB2312" w:hAnsi="楷体_GB2312" w:eastAsia="楷体_GB2312"/>
                <w:sz w:val="32"/>
                <w:szCs w:val="24"/>
              </w:rPr>
            </w:pPr>
            <w:r>
              <w:rPr>
                <w:rFonts w:hint="eastAsia" w:ascii="仿宋_GB2312" w:hAnsi="仿宋_GB2312" w:eastAsia="仿宋_GB2312"/>
                <w:sz w:val="32"/>
                <w:szCs w:val="24"/>
                <w:lang w:val="en-US" w:eastAsia="zh-CN"/>
              </w:rPr>
              <w:t>2025</w:t>
            </w:r>
            <w:r>
              <w:rPr>
                <w:rFonts w:hint="eastAsia" w:ascii="仿宋_GB2312" w:hAnsi="仿宋_GB2312" w:eastAsia="仿宋_GB2312"/>
                <w:color w:val="auto"/>
                <w:sz w:val="32"/>
                <w:szCs w:val="24"/>
              </w:rPr>
              <w:t>年无此项经费预算拨款。</w:t>
            </w:r>
            <w:r>
              <w:rPr>
                <w:rFonts w:hint="eastAsia" w:ascii="楷体_GB2312" w:hAnsi="楷体_GB2312" w:eastAsia="楷体_GB2312"/>
                <w:sz w:val="32"/>
                <w:szCs w:val="24"/>
              </w:rPr>
              <w:t>　</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textAlignment w:val="auto"/>
              <w:rPr>
                <w:rFonts w:hint="default" w:ascii="仿宋_GB2312" w:hAnsi="仿宋_GB2312" w:eastAsia="仿宋_GB2312"/>
                <w:sz w:val="32"/>
                <w:szCs w:val="24"/>
              </w:rPr>
            </w:pPr>
            <w:r>
              <w:rPr>
                <w:rFonts w:hint="eastAsia" w:ascii="楷体_GB2312" w:hAnsi="楷体_GB2312" w:eastAsia="楷体_GB2312"/>
                <w:sz w:val="32"/>
                <w:szCs w:val="24"/>
              </w:rPr>
              <w:t>（二）公务接待费</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textAlignment w:val="auto"/>
              <w:rPr>
                <w:rFonts w:hint="eastAsia" w:ascii="仿宋_GB2312" w:hAnsi="仿宋_GB2312" w:eastAsia="仿宋_GB2312"/>
                <w:sz w:val="32"/>
                <w:szCs w:val="24"/>
              </w:rPr>
            </w:pPr>
            <w:r>
              <w:rPr>
                <w:rFonts w:hint="eastAsia" w:ascii="仿宋_GB2312" w:hAnsi="仿宋_GB2312" w:eastAsia="仿宋_GB2312"/>
                <w:sz w:val="32"/>
                <w:szCs w:val="24"/>
              </w:rPr>
              <w:t>2025年预算安排0.00万元。主要</w:t>
            </w:r>
            <w:r>
              <w:rPr>
                <w:rFonts w:hint="eastAsia" w:ascii="仿宋_GB2312" w:hAnsi="仿宋_GB2312" w:eastAsia="仿宋_GB2312"/>
                <w:sz w:val="32"/>
                <w:szCs w:val="24"/>
                <w:lang w:eastAsia="zh-CN"/>
              </w:rPr>
              <w:t>因</w:t>
            </w:r>
            <w:r>
              <w:rPr>
                <w:rFonts w:hint="eastAsia" w:ascii="仿宋_GB2312" w:hAnsi="仿宋_GB2312" w:eastAsia="仿宋_GB2312"/>
                <w:color w:val="auto"/>
                <w:sz w:val="32"/>
                <w:szCs w:val="24"/>
              </w:rPr>
              <w:t>无此项经费预算拨款</w:t>
            </w:r>
            <w:r>
              <w:rPr>
                <w:rFonts w:hint="eastAsia" w:ascii="仿宋_GB2312" w:hAnsi="仿宋_GB2312" w:eastAsia="仿宋_GB2312"/>
                <w:sz w:val="32"/>
                <w:szCs w:val="24"/>
              </w:rPr>
              <w:t>。与上年预算相比，主要原因是:</w:t>
            </w:r>
            <w:r>
              <w:rPr>
                <w:rFonts w:hint="eastAsia" w:ascii="仿宋_GB2312" w:hAnsi="仿宋_GB2312" w:eastAsia="仿宋_GB2312"/>
                <w:color w:val="auto"/>
                <w:sz w:val="32"/>
                <w:szCs w:val="24"/>
              </w:rPr>
              <w:t>上年无此项拨款预算</w:t>
            </w:r>
            <w:r>
              <w:rPr>
                <w:rFonts w:hint="eastAsia" w:ascii="仿宋_GB2312" w:hAnsi="仿宋_GB2312" w:eastAsia="仿宋_GB2312"/>
                <w:sz w:val="32"/>
                <w:szCs w:val="24"/>
              </w:rPr>
              <w:t>。</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olor w:val="auto"/>
                <w:sz w:val="32"/>
                <w:szCs w:val="24"/>
              </w:rPr>
            </w:pPr>
            <w:r>
              <w:rPr>
                <w:rFonts w:hint="eastAsia" w:ascii="仿宋_GB2312" w:hAnsi="仿宋_GB2312" w:eastAsia="仿宋_GB2312"/>
                <w:sz w:val="32"/>
                <w:szCs w:val="24"/>
                <w:lang w:val="en-US" w:eastAsia="zh-CN"/>
              </w:rPr>
              <w:t>2025</w:t>
            </w:r>
            <w:r>
              <w:rPr>
                <w:rFonts w:hint="eastAsia" w:ascii="仿宋_GB2312" w:hAnsi="仿宋_GB2312" w:eastAsia="仿宋_GB2312"/>
                <w:color w:val="auto"/>
                <w:sz w:val="32"/>
                <w:szCs w:val="24"/>
              </w:rPr>
              <w:t>年无此项经费预算拨款。</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sz w:val="32"/>
                <w:szCs w:val="24"/>
              </w:rPr>
            </w:pPr>
            <w:r>
              <w:rPr>
                <w:rFonts w:hint="eastAsia" w:ascii="楷体_GB2312" w:hAnsi="楷体_GB2312" w:eastAsia="楷体_GB2312"/>
                <w:sz w:val="32"/>
                <w:szCs w:val="24"/>
              </w:rPr>
              <w:t>（三）公务用车购置及运行费</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 w:eastAsia="仿宋_GB2312"/>
                <w:color w:val="auto"/>
                <w:sz w:val="32"/>
                <w:szCs w:val="24"/>
              </w:rPr>
            </w:pPr>
            <w:r>
              <w:rPr>
                <w:rFonts w:hint="eastAsia" w:ascii="仿宋_GB2312" w:hAnsi="仿宋_GB2312" w:eastAsia="仿宋_GB2312"/>
                <w:sz w:val="32"/>
                <w:szCs w:val="24"/>
              </w:rPr>
              <w:t>202</w:t>
            </w: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年预算安排0.00万元，其中：公务用车运行费0.00万元，主要用于公务用车燃油、维修、保险等方面支出；公务用车购置费0.00万元。与上年预算相比，主要原因是:</w:t>
            </w:r>
            <w:r>
              <w:rPr>
                <w:rFonts w:hint="eastAsia" w:ascii="仿宋_GB2312" w:hAnsi="仿宋" w:eastAsia="仿宋_GB2312"/>
                <w:color w:val="auto"/>
                <w:sz w:val="32"/>
                <w:szCs w:val="24"/>
              </w:rPr>
              <w:t xml:space="preserve"> 无该项目经费支出。</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 w:eastAsia="仿宋_GB2312"/>
                <w:color w:val="auto"/>
                <w:sz w:val="32"/>
                <w:szCs w:val="24"/>
              </w:rPr>
            </w:pPr>
            <w:r>
              <w:rPr>
                <w:rFonts w:hint="eastAsia" w:ascii="仿宋_GB2312" w:hAnsi="仿宋_GB2312" w:eastAsia="仿宋_GB2312"/>
                <w:sz w:val="32"/>
                <w:szCs w:val="24"/>
                <w:lang w:val="en-US" w:eastAsia="zh-CN"/>
              </w:rPr>
              <w:t>2025</w:t>
            </w:r>
            <w:r>
              <w:rPr>
                <w:rFonts w:hint="eastAsia" w:ascii="仿宋_GB2312" w:hAnsi="仿宋_GB2312" w:eastAsia="仿宋_GB2312"/>
                <w:color w:val="auto"/>
                <w:sz w:val="32"/>
                <w:szCs w:val="24"/>
              </w:rPr>
              <w:t>年无此项经费预算拨款。</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华文仿宋" w:hAnsi="华文仿宋" w:eastAsia="华文仿宋"/>
                <w:sz w:val="32"/>
                <w:szCs w:val="24"/>
              </w:rPr>
            </w:pPr>
            <w:r>
              <w:rPr>
                <w:rFonts w:hint="eastAsia" w:ascii="黑体" w:hAnsi="黑体" w:eastAsia="黑体"/>
                <w:sz w:val="32"/>
                <w:szCs w:val="24"/>
              </w:rPr>
              <w:t>五、其他重要事项的情况说明</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（一）机关运行经费</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　　2025年厦门市高林南区幼儿园的机关运行经费财政拨款预算</w:t>
            </w:r>
            <w:r>
              <w:rPr>
                <w:rFonts w:hint="eastAsia" w:ascii="仿宋_GB2312" w:hAnsi="仿宋_GB2312" w:eastAsia="仿宋_GB2312" w:cs="Times New Roman"/>
                <w:sz w:val="32"/>
                <w:szCs w:val="24"/>
                <w:lang w:val="en-US" w:eastAsia="zh-CN"/>
              </w:rPr>
              <w:t>0</w:t>
            </w:r>
            <w:r>
              <w:rPr>
                <w:rFonts w:hint="eastAsia" w:ascii="仿宋_GB2312" w:hAnsi="仿宋_GB2312" w:eastAsia="仿宋_GB2312" w:cs="Times New Roman"/>
                <w:sz w:val="32"/>
                <w:szCs w:val="24"/>
              </w:rPr>
              <w:t>万元，比2024年预算减少</w:t>
            </w:r>
            <w:r>
              <w:rPr>
                <w:rFonts w:hint="eastAsia" w:ascii="仿宋_GB2312" w:hAnsi="仿宋_GB2312" w:eastAsia="仿宋_GB2312" w:cs="Times New Roman"/>
                <w:sz w:val="32"/>
                <w:szCs w:val="24"/>
                <w:lang w:val="en-US" w:eastAsia="zh-CN"/>
              </w:rPr>
              <w:t>0</w:t>
            </w:r>
            <w:r>
              <w:rPr>
                <w:rFonts w:hint="eastAsia" w:ascii="仿宋_GB2312" w:hAnsi="仿宋_GB2312" w:eastAsia="仿宋_GB2312" w:cs="Times New Roman"/>
                <w:sz w:val="32"/>
                <w:szCs w:val="24"/>
              </w:rPr>
              <w:t>万元，下降</w:t>
            </w:r>
            <w:r>
              <w:rPr>
                <w:rFonts w:hint="eastAsia" w:ascii="仿宋_GB2312" w:hAnsi="仿宋_GB2312" w:eastAsia="仿宋_GB2312" w:cs="Times New Roman"/>
                <w:sz w:val="32"/>
                <w:szCs w:val="24"/>
                <w:lang w:val="en-US" w:eastAsia="zh-CN"/>
              </w:rPr>
              <w:t>0</w:t>
            </w:r>
            <w:r>
              <w:rPr>
                <w:rFonts w:hint="eastAsia" w:ascii="仿宋_GB2312" w:hAnsi="仿宋_GB2312" w:eastAsia="仿宋_GB2312" w:cs="Times New Roman"/>
                <w:sz w:val="32"/>
                <w:szCs w:val="24"/>
              </w:rPr>
              <w:t>%。主要原因是没有此项经费预算拨款。</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202</w:t>
            </w:r>
            <w:r>
              <w:rPr>
                <w:rFonts w:hint="eastAsia" w:ascii="仿宋_GB2312" w:hAnsi="仿宋_GB2312" w:eastAsia="仿宋_GB2312" w:cs="Times New Roman"/>
                <w:sz w:val="32"/>
                <w:szCs w:val="24"/>
                <w:lang w:val="en-US" w:eastAsia="zh-CN"/>
              </w:rPr>
              <w:t>5</w:t>
            </w:r>
            <w:r>
              <w:rPr>
                <w:rFonts w:hint="eastAsia" w:ascii="仿宋_GB2312" w:hAnsi="仿宋_GB2312" w:eastAsia="仿宋_GB2312" w:cs="Times New Roman"/>
                <w:sz w:val="32"/>
                <w:szCs w:val="24"/>
              </w:rPr>
              <w:t>年无此项经费预算拨款。</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仿宋_GB2312" w:hAnsi="仿宋_GB2312" w:eastAsia="仿宋_GB2312"/>
                <w:sz w:val="32"/>
                <w:szCs w:val="24"/>
              </w:rPr>
            </w:pPr>
            <w:r>
              <w:rPr>
                <w:rFonts w:hint="eastAsia" w:ascii="楷体_GB2312" w:hAnsi="楷体_GB2312" w:eastAsia="楷体_GB2312"/>
                <w:sz w:val="32"/>
                <w:szCs w:val="24"/>
              </w:rPr>
              <w:t>（二）政府采购情况</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textAlignment w:val="auto"/>
              <w:rPr>
                <w:rFonts w:hint="eastAsia" w:ascii="仿宋_GB2312" w:hAnsi="仿宋_GB2312" w:eastAsia="仿宋_GB2312"/>
                <w:sz w:val="32"/>
                <w:szCs w:val="24"/>
              </w:rPr>
            </w:pPr>
            <w:r>
              <w:rPr>
                <w:rFonts w:hint="eastAsia" w:ascii="仿宋_GB2312" w:hAnsi="仿宋_GB2312" w:eastAsia="仿宋_GB2312"/>
                <w:sz w:val="32"/>
                <w:szCs w:val="24"/>
              </w:rPr>
              <w:t>2025年厦门市高林南区幼儿园政府采购预算总额0.00万元，其中：政府采购货物预算0.00万元，政府采购工程预算0.00万元，政府采购服务预算0.00万元。</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202</w:t>
            </w:r>
            <w:r>
              <w:rPr>
                <w:rFonts w:hint="eastAsia" w:ascii="仿宋_GB2312" w:hAnsi="仿宋_GB2312" w:eastAsia="仿宋_GB2312" w:cs="Times New Roman"/>
                <w:sz w:val="32"/>
                <w:szCs w:val="24"/>
                <w:lang w:val="en-US" w:eastAsia="zh-CN"/>
              </w:rPr>
              <w:t>5</w:t>
            </w:r>
            <w:r>
              <w:rPr>
                <w:rFonts w:hint="eastAsia" w:ascii="仿宋_GB2312" w:hAnsi="仿宋_GB2312" w:eastAsia="仿宋_GB2312" w:cs="Times New Roman"/>
                <w:sz w:val="32"/>
                <w:szCs w:val="24"/>
              </w:rPr>
              <w:t>年无此项经费预算拨款。</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楷体_GB2312" w:hAnsi="楷体_GB2312" w:eastAsia="楷体_GB2312"/>
                <w:sz w:val="32"/>
                <w:szCs w:val="24"/>
              </w:rPr>
              <w:t>　　（三）国有资产占有使用情况</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楷体_GB2312" w:hAnsi="楷体_GB2312" w:eastAsia="楷体_GB2312"/>
                <w:color w:val="auto"/>
                <w:sz w:val="32"/>
                <w:szCs w:val="24"/>
              </w:rPr>
            </w:pPr>
            <w:r>
              <w:rPr>
                <w:rFonts w:hint="eastAsia" w:ascii="仿宋_GB2312" w:hAnsi="仿宋_GB2312" w:eastAsia="仿宋_GB2312"/>
                <w:sz w:val="32"/>
                <w:szCs w:val="24"/>
              </w:rPr>
              <w:t>截至2024年12月31日，厦门市高林南区幼儿园所属各预算单</w:t>
            </w:r>
            <w:r>
              <w:rPr>
                <w:rFonts w:hint="eastAsia" w:ascii="仿宋_GB2312" w:hAnsi="仿宋_GB2312" w:eastAsia="仿宋_GB2312"/>
                <w:color w:val="auto"/>
                <w:sz w:val="32"/>
                <w:szCs w:val="24"/>
              </w:rPr>
              <w:t>位共有车辆</w:t>
            </w:r>
            <w:r>
              <w:rPr>
                <w:rFonts w:hint="eastAsia" w:ascii="仿宋_GB2312" w:hAnsi="仿宋_GB2312" w:eastAsia="仿宋_GB2312"/>
                <w:color w:val="auto"/>
                <w:sz w:val="32"/>
                <w:szCs w:val="24"/>
                <w:lang w:val="en-US" w:eastAsia="zh-CN"/>
              </w:rPr>
              <w:t>0</w:t>
            </w:r>
            <w:r>
              <w:rPr>
                <w:rFonts w:hint="eastAsia" w:ascii="仿宋_GB2312" w:hAnsi="仿宋_GB2312" w:eastAsia="仿宋_GB2312"/>
                <w:color w:val="auto"/>
                <w:sz w:val="32"/>
                <w:szCs w:val="24"/>
              </w:rPr>
              <w:t>辆，单位价值100万元以上设备</w:t>
            </w:r>
            <w:r>
              <w:rPr>
                <w:rFonts w:hint="eastAsia" w:ascii="仿宋_GB2312" w:hAnsi="仿宋_GB2312" w:eastAsia="仿宋_GB2312"/>
                <w:color w:val="auto"/>
                <w:sz w:val="32"/>
                <w:szCs w:val="24"/>
                <w:lang w:val="en-US" w:eastAsia="zh-CN"/>
              </w:rPr>
              <w:t>0</w:t>
            </w:r>
            <w:r>
              <w:rPr>
                <w:rFonts w:hint="eastAsia" w:ascii="仿宋_GB2312" w:hAnsi="仿宋_GB2312" w:eastAsia="仿宋_GB2312"/>
                <w:color w:val="auto"/>
                <w:sz w:val="32"/>
                <w:szCs w:val="24"/>
              </w:rPr>
              <w:t>台（套）。我单位一直以来没有购入车辆。</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color w:val="auto"/>
                <w:sz w:val="32"/>
                <w:szCs w:val="24"/>
              </w:rPr>
            </w:pPr>
            <w:r>
              <w:rPr>
                <w:rFonts w:hint="eastAsia" w:ascii="楷体_GB2312" w:hAnsi="楷体_GB2312" w:eastAsia="楷体_GB2312"/>
                <w:color w:val="auto"/>
                <w:sz w:val="32"/>
                <w:szCs w:val="24"/>
              </w:rPr>
              <w:t>　　（四）绩效目标设置情况</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color w:val="auto"/>
                <w:sz w:val="32"/>
                <w:szCs w:val="24"/>
              </w:rPr>
            </w:pPr>
            <w:r>
              <w:rPr>
                <w:rFonts w:hint="eastAsia" w:ascii="仿宋_GB2312" w:hAnsi="仿宋_GB2312" w:eastAsia="仿宋_GB2312"/>
                <w:color w:val="auto"/>
                <w:sz w:val="32"/>
                <w:szCs w:val="24"/>
              </w:rPr>
              <w:t>厦门市高林南区幼儿园2025年实行绩效目标管理的二级项目0个，涉及一般公共预算拨款0.00万元、政府性基金预算拨款0.00万元。</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cs="Times New Roman"/>
                <w:sz w:val="32"/>
                <w:szCs w:val="24"/>
                <w:lang w:eastAsia="zh-CN"/>
              </w:rPr>
            </w:pPr>
            <w:r>
              <w:rPr>
                <w:rFonts w:hint="eastAsia" w:ascii="仿宋_GB2312" w:hAnsi="仿宋_GB2312" w:eastAsia="仿宋_GB2312" w:cs="Times New Roman"/>
                <w:sz w:val="32"/>
                <w:szCs w:val="24"/>
                <w:lang w:eastAsia="zh-CN"/>
              </w:rPr>
              <w:t>本单位</w:t>
            </w:r>
            <w:r>
              <w:rPr>
                <w:rFonts w:hint="eastAsia" w:ascii="仿宋_GB2312" w:hAnsi="仿宋_GB2312" w:eastAsia="仿宋_GB2312" w:cs="Times New Roman"/>
                <w:sz w:val="32"/>
                <w:szCs w:val="24"/>
              </w:rPr>
              <w:t>202</w:t>
            </w:r>
            <w:r>
              <w:rPr>
                <w:rFonts w:hint="eastAsia" w:ascii="仿宋_GB2312" w:hAnsi="仿宋_GB2312" w:eastAsia="仿宋_GB2312" w:cs="Times New Roman"/>
                <w:sz w:val="32"/>
                <w:szCs w:val="24"/>
                <w:lang w:val="en-US" w:eastAsia="zh-CN"/>
              </w:rPr>
              <w:t>5</w:t>
            </w:r>
            <w:r>
              <w:rPr>
                <w:rFonts w:hint="eastAsia" w:ascii="仿宋_GB2312" w:hAnsi="仿宋_GB2312" w:eastAsia="仿宋_GB2312" w:cs="Times New Roman"/>
                <w:sz w:val="32"/>
                <w:szCs w:val="24"/>
              </w:rPr>
              <w:t>年</w:t>
            </w:r>
            <w:r>
              <w:rPr>
                <w:rFonts w:hint="eastAsia" w:ascii="仿宋_GB2312" w:hAnsi="仿宋_GB2312" w:eastAsia="仿宋_GB2312" w:cs="Times New Roman"/>
                <w:sz w:val="32"/>
                <w:szCs w:val="24"/>
                <w:lang w:eastAsia="zh-CN"/>
              </w:rPr>
              <w:t>没有项目预算安排。</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leftChars="0"/>
              <w:jc w:val="center"/>
              <w:textAlignment w:val="auto"/>
              <w:rPr>
                <w:rFonts w:hint="eastAsia" w:ascii="黑体" w:hAnsi="黑体" w:eastAsia="黑体"/>
                <w:sz w:val="32"/>
                <w:szCs w:val="24"/>
              </w:rPr>
            </w:pPr>
            <w:r>
              <w:rPr>
                <w:rFonts w:hint="eastAsia" w:ascii="黑体" w:hAnsi="黑体" w:eastAsia="黑体"/>
                <w:sz w:val="32"/>
                <w:szCs w:val="24"/>
                <w:lang w:eastAsia="zh-CN"/>
              </w:rPr>
              <w:t>第三部分</w:t>
            </w:r>
            <w:r>
              <w:rPr>
                <w:rFonts w:hint="eastAsia" w:ascii="黑体" w:hAnsi="黑体" w:eastAsia="黑体"/>
                <w:sz w:val="32"/>
                <w:szCs w:val="24"/>
              </w:rPr>
              <w:t xml:space="preserve"> 名词解释</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楷体_GB2312" w:hAnsi="楷体_GB2312" w:eastAsia="楷体_GB2312"/>
                <w:sz w:val="32"/>
                <w:szCs w:val="24"/>
              </w:rPr>
            </w:pPr>
            <w:r>
              <w:rPr>
                <w:rFonts w:hint="eastAsia" w:ascii="楷体_GB2312" w:hAnsi="楷体_GB2312" w:eastAsia="楷体_GB2312"/>
                <w:sz w:val="32"/>
                <w:szCs w:val="24"/>
              </w:rPr>
              <w:t>一、基本支出</w:t>
            </w:r>
            <w:r>
              <w:rPr>
                <w:rFonts w:hint="eastAsia" w:ascii="楷体" w:hAnsi="楷体" w:eastAsia="楷体"/>
                <w:sz w:val="32"/>
                <w:szCs w:val="24"/>
              </w:rPr>
              <w:t>：</w:t>
            </w:r>
            <w:r>
              <w:rPr>
                <w:rFonts w:hint="eastAsia" w:ascii="仿宋_GB2312" w:hAnsi="仿宋_GB2312" w:eastAsia="仿宋_GB2312"/>
                <w:sz w:val="32"/>
                <w:szCs w:val="24"/>
              </w:rPr>
              <w:t>指为保障机构正常运转、完成日常工作任务而发生的人员支出、对个人和家庭的补助支出和公用支出。</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楷体_GB2312" w:hAnsi="楷体_GB2312" w:eastAsia="楷体_GB2312"/>
                <w:sz w:val="32"/>
                <w:szCs w:val="24"/>
              </w:rPr>
            </w:pPr>
            <w:r>
              <w:rPr>
                <w:rFonts w:hint="eastAsia" w:ascii="楷体_GB2312" w:hAnsi="楷体_GB2312" w:eastAsia="楷体_GB2312"/>
                <w:sz w:val="32"/>
                <w:szCs w:val="24"/>
              </w:rPr>
              <w:t>　　二、项目支出：</w:t>
            </w:r>
            <w:r>
              <w:rPr>
                <w:rFonts w:hint="eastAsia" w:ascii="仿宋_GB2312" w:hAnsi="仿宋_GB2312" w:eastAsia="仿宋_GB2312"/>
                <w:sz w:val="32"/>
                <w:szCs w:val="24"/>
              </w:rPr>
              <w:t>指在基本支出之外为完成特定行政任务和事业发展目标所发生的支出，包括部门专项、发展经费和基建项目。</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楷体_GB2312" w:hAnsi="楷体_GB2312" w:eastAsia="楷体_GB2312"/>
                <w:sz w:val="32"/>
                <w:szCs w:val="24"/>
              </w:rPr>
            </w:pPr>
            <w:r>
              <w:rPr>
                <w:rFonts w:hint="eastAsia" w:ascii="楷体_GB2312" w:hAnsi="楷体_GB2312" w:eastAsia="楷体_GB2312"/>
                <w:sz w:val="32"/>
                <w:szCs w:val="24"/>
              </w:rPr>
              <w:t>　　三、“三公”经费：</w:t>
            </w:r>
            <w:r>
              <w:rPr>
                <w:rFonts w:hint="eastAsia" w:ascii="仿宋_GB2312" w:hAnsi="仿宋_GB2312" w:eastAsia="仿宋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楷体_GB2312" w:hAnsi="楷体_GB2312" w:eastAsia="楷体_GB2312"/>
                <w:sz w:val="32"/>
                <w:szCs w:val="24"/>
              </w:rPr>
            </w:pPr>
            <w:r>
              <w:rPr>
                <w:rFonts w:hint="eastAsia" w:ascii="楷体_GB2312" w:hAnsi="楷体_GB2312" w:eastAsia="楷体_GB2312"/>
                <w:sz w:val="32"/>
                <w:szCs w:val="24"/>
              </w:rPr>
              <w:t>　　四、机关运行经费：</w:t>
            </w:r>
            <w:r>
              <w:rPr>
                <w:rFonts w:hint="eastAsia" w:ascii="仿宋_GB2312" w:hAnsi="仿宋_GB2312" w:eastAsia="仿宋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楷体_GB2312"/>
                <w:sz w:val="32"/>
                <w:szCs w:val="24"/>
                <w:lang w:val="en-US" w:eastAsia="zh-CN"/>
              </w:rPr>
            </w:pPr>
            <w:r>
              <w:rPr>
                <w:rFonts w:hint="eastAsia" w:ascii="楷体_GB2312" w:hAnsi="楷体_GB2312" w:eastAsia="楷体_GB2312"/>
                <w:sz w:val="32"/>
                <w:szCs w:val="24"/>
              </w:rPr>
              <w:t>五、其他名词解释。</w:t>
            </w:r>
            <w:r>
              <w:rPr>
                <w:rFonts w:hint="eastAsia" w:ascii="楷体_GB2312" w:hAnsi="楷体_GB2312" w:eastAsia="楷体_GB2312"/>
                <w:sz w:val="32"/>
                <w:szCs w:val="24"/>
                <w:lang w:eastAsia="zh-CN"/>
              </w:rPr>
              <w:t>无。</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55" w:lineRule="exact"/>
              <w:ind w:leftChars="0"/>
              <w:jc w:val="center"/>
              <w:textAlignment w:val="auto"/>
              <w:rPr>
                <w:rFonts w:hint="eastAsia" w:ascii="黑体" w:hAnsi="黑体" w:eastAsia="黑体"/>
                <w:sz w:val="32"/>
                <w:szCs w:val="24"/>
              </w:rPr>
            </w:pPr>
            <w:r>
              <w:rPr>
                <w:rFonts w:hint="eastAsia" w:ascii="黑体" w:hAnsi="黑体" w:eastAsia="黑体"/>
                <w:sz w:val="32"/>
                <w:szCs w:val="24"/>
                <w:lang w:eastAsia="zh-CN"/>
              </w:rPr>
              <w:t>第四部分</w:t>
            </w:r>
            <w:r>
              <w:rPr>
                <w:rFonts w:hint="eastAsia" w:ascii="黑体" w:hAnsi="黑体" w:eastAsia="黑体"/>
                <w:sz w:val="32"/>
                <w:szCs w:val="24"/>
                <w:lang w:val="en-US" w:eastAsia="zh-CN"/>
              </w:rPr>
              <w:t xml:space="preserve">  </w:t>
            </w:r>
            <w:r>
              <w:rPr>
                <w:rFonts w:hint="eastAsia" w:ascii="黑体" w:hAnsi="黑体" w:eastAsia="黑体"/>
                <w:sz w:val="32"/>
                <w:szCs w:val="24"/>
              </w:rPr>
              <w:t>2025年单位预算附表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55" w:lineRule="exact"/>
              <w:ind w:leftChars="0" w:firstLine="640" w:firstLineChars="200"/>
              <w:textAlignment w:val="auto"/>
              <w:rPr>
                <w:rFonts w:hint="default" w:ascii="仿宋_GB2312" w:hAnsi="仿宋_GB2312" w:eastAsia="仿宋_GB2312"/>
                <w:sz w:val="32"/>
                <w:szCs w:val="24"/>
              </w:rPr>
            </w:pPr>
            <w:r>
              <w:rPr>
                <w:rFonts w:hint="eastAsia" w:ascii="仿宋_GB2312" w:hAnsi="仿宋_GB2312" w:eastAsia="仿宋_GB2312"/>
                <w:sz w:val="32"/>
                <w:szCs w:val="24"/>
              </w:rPr>
              <w:t>一、部门收支预算总体情况表</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sz w:val="32"/>
                <w:szCs w:val="24"/>
              </w:rPr>
            </w:pPr>
            <w:r>
              <w:rPr>
                <w:rFonts w:hint="eastAsia" w:ascii="仿宋_GB2312" w:hAnsi="仿宋_GB2312" w:eastAsia="仿宋_GB2312"/>
                <w:sz w:val="32"/>
                <w:szCs w:val="24"/>
              </w:rPr>
              <w:t>二、部门收入预算总体情况表</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default" w:ascii="仿宋_GB2312" w:hAnsi="仿宋_GB2312" w:eastAsia="仿宋_GB2312"/>
                <w:sz w:val="32"/>
                <w:szCs w:val="24"/>
              </w:rPr>
            </w:pPr>
            <w:r>
              <w:rPr>
                <w:rFonts w:hint="eastAsia" w:ascii="仿宋_GB2312" w:hAnsi="仿宋_GB2312" w:eastAsia="仿宋_GB2312"/>
                <w:sz w:val="32"/>
                <w:szCs w:val="24"/>
              </w:rPr>
              <w:t>三、部门支出预算总体情况表</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cs="Times New Roman"/>
                <w:sz w:val="32"/>
                <w:szCs w:val="24"/>
              </w:rPr>
            </w:pPr>
            <w:r>
              <w:rPr>
                <w:rFonts w:hint="eastAsia" w:ascii="仿宋_GB2312" w:hAnsi="仿宋_GB2312" w:eastAsia="仿宋_GB2312"/>
                <w:sz w:val="32"/>
                <w:szCs w:val="24"/>
              </w:rPr>
              <w:t>　　</w:t>
            </w:r>
            <w:r>
              <w:rPr>
                <w:rFonts w:hint="eastAsia" w:ascii="仿宋_GB2312" w:hAnsi="仿宋_GB2312" w:eastAsia="仿宋_GB2312" w:cs="Times New Roman"/>
                <w:sz w:val="32"/>
                <w:szCs w:val="24"/>
              </w:rPr>
              <w:t>五、一般公共预算支出情况表</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cs="Times New Roman"/>
                <w:sz w:val="32"/>
                <w:szCs w:val="24"/>
              </w:rPr>
            </w:pPr>
            <w:r>
              <w:rPr>
                <w:rFonts w:hint="eastAsia" w:ascii="仿宋_GB2312" w:hAnsi="仿宋_GB2312" w:eastAsia="仿宋_GB2312" w:cs="Times New Roman"/>
                <w:sz w:val="32"/>
                <w:szCs w:val="24"/>
              </w:rPr>
              <w:t>　　六、一般公共预算基本支出情况表（经济分类款级科目）</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cs="Times New Roman"/>
                <w:sz w:val="32"/>
                <w:szCs w:val="24"/>
              </w:rPr>
            </w:pPr>
            <w:r>
              <w:rPr>
                <w:rFonts w:hint="eastAsia" w:ascii="仿宋_GB2312" w:hAnsi="仿宋_GB2312" w:eastAsia="仿宋_GB2312" w:cs="Times New Roman"/>
                <w:sz w:val="32"/>
                <w:szCs w:val="24"/>
              </w:rPr>
              <w:t>　　七、一般公共预算“三公”经费支出情况表</w:t>
            </w:r>
          </w:p>
          <w:p>
            <w:pPr>
              <w:keepNext w:val="0"/>
              <w:keepLines w:val="0"/>
              <w:pageBreakBefore w:val="0"/>
              <w:widowControl w:val="0"/>
              <w:kinsoku/>
              <w:wordWrap/>
              <w:overflowPunct/>
              <w:topLinePunct w:val="0"/>
              <w:autoSpaceDE w:val="0"/>
              <w:autoSpaceDN w:val="0"/>
              <w:bidi w:val="0"/>
              <w:adjustRightInd w:val="0"/>
              <w:snapToGrid/>
              <w:spacing w:line="555" w:lineRule="exact"/>
              <w:textAlignment w:val="auto"/>
              <w:rPr>
                <w:rFonts w:hint="default" w:ascii="仿宋_GB2312" w:hAnsi="仿宋_GB2312" w:eastAsia="仿宋_GB2312" w:cs="Times New Roman"/>
                <w:sz w:val="32"/>
                <w:szCs w:val="24"/>
              </w:rPr>
            </w:pPr>
            <w:r>
              <w:rPr>
                <w:rFonts w:hint="eastAsia" w:ascii="仿宋_GB2312" w:hAnsi="仿宋_GB2312" w:eastAsia="仿宋_GB2312" w:cs="Times New Roman"/>
                <w:sz w:val="32"/>
                <w:szCs w:val="24"/>
              </w:rPr>
              <w:t>　　八、政府性基金预算支出情况表</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九、区对镇（街）转移支付支出预算表</w:t>
            </w:r>
          </w:p>
          <w:p>
            <w:pPr>
              <w:keepNext w:val="0"/>
              <w:keepLines w:val="0"/>
              <w:pageBreakBefore w:val="0"/>
              <w:widowControl w:val="0"/>
              <w:kinsoku/>
              <w:wordWrap/>
              <w:overflowPunct/>
              <w:topLinePunct w:val="0"/>
              <w:autoSpaceDE w:val="0"/>
              <w:autoSpaceDN w:val="0"/>
              <w:bidi w:val="0"/>
              <w:adjustRightInd w:val="0"/>
              <w:snapToGrid/>
              <w:spacing w:line="555" w:lineRule="exact"/>
              <w:ind w:firstLine="640" w:firstLineChars="200"/>
              <w:textAlignment w:val="auto"/>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lang w:eastAsia="zh-CN"/>
              </w:rPr>
              <w:t>十、二级项目绩效目标表</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Lines="0" w:after="0" w:afterLines="0" w:line="555" w:lineRule="exact"/>
              <w:ind w:firstLine="640"/>
              <w:textAlignment w:val="auto"/>
              <w:rPr>
                <w:rFonts w:hint="eastAsia" w:ascii="仿宋_GB2312" w:hAnsi="仿宋_GB2312" w:eastAsia="仿宋_GB2312"/>
                <w:sz w:val="32"/>
                <w:szCs w:val="24"/>
                <w:lang w:val="en-US" w:eastAsia="zh-CN"/>
              </w:rPr>
            </w:pPr>
            <w:r>
              <w:rPr>
                <w:rFonts w:hint="eastAsia" w:ascii="黑体" w:hAnsi="黑体" w:eastAsia="黑体"/>
                <w:sz w:val="32"/>
                <w:szCs w:val="24"/>
              </w:rPr>
              <w:t>　</w:t>
            </w:r>
          </w:p>
        </w:tc>
      </w:tr>
    </w:tbl>
    <w:p>
      <w:pPr>
        <w:rPr>
          <w:rFonts w:hint="default"/>
          <w:sz w:val="24"/>
          <w:szCs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 w:name="华文仿宋">
    <w:panose1 w:val="02010600040101010101"/>
    <w:charset w:val="86"/>
    <w:family w:val="roman"/>
    <w:pitch w:val="default"/>
    <w:sig w:usb0="00000287" w:usb1="080F0000" w:usb2="00000000" w:usb3="00000000" w:csb0="0004009F" w:csb1="DFD7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c>
        <w:tcPr>
          <w:tcW w:w="3163" w:type="dxa"/>
          <w:tcBorders>
            <w:top w:val="nil"/>
            <w:left w:val="nil"/>
            <w:bottom w:val="nil"/>
            <w:right w:val="nil"/>
            <w:tl2br w:val="nil"/>
            <w:tr2bl w:val="nil"/>
          </w:tcBorders>
          <w:shd w:val="clear" w:color="auto" w:fill="FFFFFF"/>
          <w:noWrap w:val="0"/>
          <w:vAlign w:val="top"/>
        </w:tcPr>
        <w:p>
          <w:pPr>
            <w:spacing w:line="320" w:lineRule="atLeast"/>
            <w:jc w:val="center"/>
            <w:rPr>
              <w:rFonts w:hint="eastAsia" w:ascii="宋体" w:hAnsi="宋体"/>
              <w:sz w:val="18"/>
              <w:szCs w:val="24"/>
            </w:rPr>
          </w:pPr>
          <w:r>
            <w:rPr>
              <w:rFonts w:hint="eastAsia" w:ascii="宋体" w:hAnsi="宋体"/>
              <w:sz w:val="18"/>
              <w:szCs w:val="24"/>
            </w:rPr>
            <w:fldChar w:fldCharType="begin"/>
          </w:r>
          <w:r>
            <w:rPr>
              <w:rFonts w:hint="eastAsia" w:ascii="宋体" w:hAnsi="宋体"/>
              <w:sz w:val="18"/>
              <w:szCs w:val="24"/>
            </w:rPr>
            <w:instrText xml:space="preserve">PAGE</w:instrText>
          </w:r>
          <w:r>
            <w:rPr>
              <w:rFonts w:hint="eastAsia" w:ascii="宋体" w:hAnsi="宋体"/>
              <w:sz w:val="18"/>
              <w:szCs w:val="24"/>
            </w:rPr>
            <w:fldChar w:fldCharType="separate"/>
          </w:r>
          <w:r>
            <w:rPr>
              <w:rFonts w:hint="eastAsia" w:ascii="宋体" w:hAnsi="宋体"/>
              <w:sz w:val="18"/>
              <w:szCs w:val="24"/>
            </w:rPr>
            <w:t xml:space="preserve"> </w:t>
          </w:r>
          <w:r>
            <w:rPr>
              <w:rFonts w:hint="eastAsia" w:ascii="宋体" w:hAnsi="宋体"/>
              <w:sz w:val="18"/>
              <w:szCs w:val="24"/>
            </w:rPr>
            <w:fldChar w:fldCharType="end"/>
          </w:r>
          <w:r>
            <w:rPr>
              <w:rFonts w:hint="eastAsia" w:ascii="宋体" w:hAnsi="宋体"/>
              <w:sz w:val="18"/>
              <w:szCs w:val="24"/>
            </w:rPr>
            <w:t xml:space="preserve"> </w:t>
          </w:r>
        </w:p>
      </w:tc>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r>
  </w:tbl>
  <w:p>
    <w:pPr>
      <w:rPr>
        <w:rFonts w:hint="default"/>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5D9F3B"/>
    <w:multiLevelType w:val="singleLevel"/>
    <w:tmpl w:val="FE5D9F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EA04113"/>
    <w:rsid w:val="2C43763B"/>
    <w:rsid w:val="31C97569"/>
    <w:rsid w:val="5EAF33F0"/>
    <w:rsid w:val="7FFF7D75"/>
    <w:rsid w:val="DFBF72BF"/>
    <w:rsid w:val="FD51C3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uiPriority w:val="99"/>
    <w:pPr>
      <w:widowControl w:val="0"/>
      <w:autoSpaceDE w:val="0"/>
      <w:autoSpaceDN w:val="0"/>
      <w:adjustRightInd w:val="0"/>
    </w:pPr>
    <w:rPr>
      <w:rFonts w:hint="default" w:ascii="Arial" w:hAnsi="Arial" w:eastAsia="宋体" w:cs="Times New Roman"/>
      <w:color w:val="000000"/>
      <w:sz w:val="24"/>
      <w:szCs w:val="24"/>
    </w:rPr>
  </w:style>
  <w:style w:type="paragraph" w:styleId="4">
    <w:name w:val="heading 1"/>
    <w:next w:val="1"/>
    <w:unhideWhenUsed/>
    <w:uiPriority w:val="99"/>
    <w:pPr>
      <w:widowControl w:val="0"/>
      <w:autoSpaceDE w:val="0"/>
      <w:autoSpaceDN w:val="0"/>
      <w:adjustRightInd w:val="0"/>
    </w:pPr>
    <w:rPr>
      <w:rFonts w:hint="default" w:ascii="Arial" w:hAnsi="Arial" w:eastAsia="宋体" w:cs="Times New Roman"/>
      <w:b/>
      <w:color w:val="000000"/>
      <w:sz w:val="32"/>
      <w:szCs w:val="24"/>
    </w:rPr>
  </w:style>
  <w:style w:type="paragraph" w:styleId="5">
    <w:name w:val="heading 2"/>
    <w:next w:val="1"/>
    <w:unhideWhenUsed/>
    <w:qFormat/>
    <w:uiPriority w:val="99"/>
    <w:pPr>
      <w:widowControl w:val="0"/>
      <w:autoSpaceDE w:val="0"/>
      <w:autoSpaceDN w:val="0"/>
      <w:adjustRightInd w:val="0"/>
    </w:pPr>
    <w:rPr>
      <w:rFonts w:hint="default" w:ascii="Arial" w:hAnsi="Arial" w:eastAsia="宋体" w:cs="Times New Roman"/>
      <w:b/>
      <w:i/>
      <w:color w:val="000000"/>
      <w:sz w:val="28"/>
      <w:szCs w:val="24"/>
    </w:rPr>
  </w:style>
  <w:style w:type="paragraph" w:styleId="6">
    <w:name w:val="heading 3"/>
    <w:next w:val="1"/>
    <w:unhideWhenUsed/>
    <w:qFormat/>
    <w:uiPriority w:val="99"/>
    <w:pPr>
      <w:widowControl w:val="0"/>
      <w:autoSpaceDE w:val="0"/>
      <w:autoSpaceDN w:val="0"/>
      <w:adjustRightInd w:val="0"/>
    </w:pPr>
    <w:rPr>
      <w:rFonts w:hint="default" w:ascii="Arial" w:hAnsi="Arial" w:eastAsia="宋体" w:cs="Times New Roman"/>
      <w:b/>
      <w:color w:val="000000"/>
      <w:sz w:val="26"/>
      <w:szCs w:val="24"/>
    </w:rPr>
  </w:style>
  <w:style w:type="character" w:default="1" w:styleId="7">
    <w:name w:val="Default Paragraph Font"/>
    <w:unhideWhenUsed/>
    <w:qFormat/>
    <w:uiPriority w:val="99"/>
    <w:rPr>
      <w:rFonts w:hint="default"/>
      <w:sz w:val="24"/>
      <w:szCs w:val="24"/>
    </w:rPr>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spacing w:beforeLines="0" w:afterLines="0"/>
      <w:ind w:firstLine="420" w:firstLineChars="100"/>
    </w:pPr>
    <w:rPr>
      <w:rFonts w:hint="eastAsia" w:ascii="Calibri" w:hAnsi="Calibri"/>
      <w:sz w:val="20"/>
      <w:szCs w:val="24"/>
    </w:rPr>
  </w:style>
  <w:style w:type="paragraph" w:styleId="3">
    <w:name w:val="Body Text"/>
    <w:basedOn w:val="1"/>
    <w:unhideWhenUsed/>
    <w:qFormat/>
    <w:uiPriority w:val="99"/>
    <w:pPr>
      <w:spacing w:beforeLines="0" w:after="120" w:afterLines="0"/>
    </w:pPr>
    <w:rPr>
      <w:rFonts w:hint="eastAsia"/>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3163</Words>
  <Characters>3482</Characters>
  <TotalTime>6</TotalTime>
  <ScaleCrop>false</ScaleCrop>
  <LinksUpToDate>false</LinksUpToDate>
  <CharactersWithSpaces>3625</CharactersWithSpaces>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2025-02-06T17:39:00Z</dcterms:created>
  <dc:creator>uos</dc:creator>
  <cp:lastModifiedBy>dell</cp:lastModifiedBy>
  <dcterms:modified xsi:type="dcterms:W3CDTF">2025-02-11T07:52:32Z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BDB9FCFE727A8B3B0E90A467222CC830</vt:lpwstr>
  </property>
  <property fmtid="{D5CDD505-2E9C-101B-9397-08002B2CF9AE}" pid="4" name="KSOTemplateDocerSaveRecord">
    <vt:lpwstr>eyJoZGlkIjoiZTdhZDhiN2M0M2IzMTk0YTc1M2NkNmJlNTJiY2Q1NjYiLCJ1c2VySWQiOiIyNTA5MjYwNDgifQ==</vt:lpwstr>
  </property>
</Properties>
</file>