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宋体" w:hAnsi="宋体"/>
          <w:sz w:val="24"/>
        </w:rPr>
      </w:pPr>
    </w:p>
    <w:p>
      <w:pPr>
        <w:spacing w:line="360" w:lineRule="auto"/>
        <w:jc w:val="center"/>
        <w:rPr>
          <w:rFonts w:ascii="宋体" w:hAnsi="宋体"/>
          <w:sz w:val="24"/>
        </w:rPr>
      </w:pPr>
    </w:p>
    <w:p>
      <w:pPr>
        <w:spacing w:line="360" w:lineRule="auto"/>
        <w:jc w:val="center"/>
        <w:rPr>
          <w:rFonts w:ascii="宋体" w:hAnsi="宋体"/>
          <w:sz w:val="24"/>
        </w:rPr>
      </w:pPr>
    </w:p>
    <w:p>
      <w:pPr>
        <w:spacing w:line="360" w:lineRule="auto"/>
        <w:jc w:val="center"/>
        <w:rPr>
          <w:rFonts w:ascii="宋体" w:hAnsi="宋体"/>
          <w:sz w:val="24"/>
        </w:rPr>
      </w:pPr>
    </w:p>
    <w:p>
      <w:pPr>
        <w:widowControl/>
        <w:jc w:val="center"/>
        <w:rPr>
          <w:sz w:val="32"/>
          <w:szCs w:val="32"/>
        </w:rPr>
      </w:pPr>
    </w:p>
    <w:p>
      <w:pPr>
        <w:widowControl/>
        <w:rPr>
          <w:sz w:val="84"/>
          <w:szCs w:val="84"/>
        </w:rPr>
      </w:pPr>
    </w:p>
    <w:p>
      <w:pPr>
        <w:widowControl/>
        <w:jc w:val="center"/>
        <w:rPr>
          <w:rFonts w:ascii="方正小标宋简体" w:eastAsia="方正小标宋简体"/>
          <w:b/>
          <w:bCs/>
          <w:sz w:val="84"/>
          <w:szCs w:val="84"/>
        </w:rPr>
      </w:pPr>
      <w:r>
        <w:rPr>
          <w:rFonts w:hint="eastAsia" w:ascii="方正小标宋简体" w:eastAsia="方正小标宋简体"/>
          <w:b/>
          <w:bCs/>
          <w:sz w:val="84"/>
          <w:szCs w:val="84"/>
        </w:rPr>
        <w:t>2024年度</w:t>
      </w:r>
    </w:p>
    <w:p>
      <w:pPr>
        <w:widowControl/>
        <w:jc w:val="center"/>
        <w:rPr>
          <w:rFonts w:ascii="方正小标宋简体" w:eastAsia="方正小标宋简体"/>
          <w:b/>
          <w:bCs/>
          <w:sz w:val="84"/>
          <w:szCs w:val="84"/>
        </w:rPr>
      </w:pPr>
      <w:r>
        <w:rPr>
          <w:rFonts w:hint="eastAsia" w:ascii="方正小标宋简体" w:eastAsia="方正小标宋简体"/>
          <w:b/>
          <w:bCs/>
          <w:sz w:val="84"/>
          <w:szCs w:val="84"/>
        </w:rPr>
        <w:t>厦门外国语学校湖里分校</w:t>
      </w:r>
    </w:p>
    <w:p>
      <w:pPr>
        <w:widowControl/>
        <w:jc w:val="center"/>
        <w:rPr>
          <w:rFonts w:ascii="方正小标宋简体" w:eastAsia="方正小标宋简体"/>
          <w:b/>
          <w:bCs/>
          <w:sz w:val="84"/>
          <w:szCs w:val="84"/>
        </w:rPr>
        <w:sectPr>
          <w:footerReference r:id="rId3" w:type="default"/>
          <w:pgSz w:w="11906" w:h="16838"/>
          <w:pgMar w:top="1440" w:right="1083" w:bottom="1440" w:left="1083" w:header="0" w:footer="720" w:gutter="0"/>
          <w:cols w:space="0" w:num="1"/>
          <w:docGrid w:type="lines" w:linePitch="317" w:charSpace="0"/>
        </w:sectPr>
      </w:pPr>
      <w:r>
        <w:rPr>
          <w:rFonts w:hint="eastAsia" w:ascii="方正小标宋简体" w:eastAsia="方正小标宋简体"/>
          <w:b/>
          <w:bCs/>
          <w:sz w:val="84"/>
          <w:szCs w:val="84"/>
        </w:rPr>
        <w:t>单位决算</w:t>
      </w:r>
    </w:p>
    <w:p>
      <w:pPr>
        <w:widowControl/>
        <w:jc w:val="center"/>
        <w:rPr>
          <w:rFonts w:ascii="仿宋" w:hAnsi="仿宋" w:eastAsia="仿宋" w:cs="仿宋"/>
          <w:b/>
          <w:bCs/>
          <w:kern w:val="0"/>
          <w:sz w:val="32"/>
          <w:szCs w:val="32"/>
        </w:rPr>
      </w:pPr>
      <w:r>
        <w:rPr>
          <w:rFonts w:hint="eastAsia" w:ascii="仿宋" w:hAnsi="仿宋" w:eastAsia="仿宋" w:cs="仿宋"/>
          <w:b/>
          <w:bCs/>
          <w:kern w:val="0"/>
          <w:sz w:val="32"/>
          <w:szCs w:val="32"/>
        </w:rPr>
        <w:t>目录</w:t>
      </w:r>
    </w:p>
    <w:p>
      <w:pPr>
        <w:pStyle w:val="17"/>
        <w:tabs>
          <w:tab w:val="right" w:leader="dot" w:pos="9730"/>
        </w:tabs>
        <w:ind w:firstLine="640"/>
        <w:rPr>
          <w:rFonts w:ascii="Calibri" w:hAnsi="Calibri"/>
          <w:sz w:val="22"/>
        </w:rPr>
      </w:pPr>
      <w:r>
        <w:rPr>
          <w:rFonts w:hint="eastAsia" w:ascii="仿宋" w:hAnsi="仿宋" w:cs="仿宋"/>
          <w:bCs/>
          <w:kern w:val="2"/>
          <w:szCs w:val="32"/>
          <w:lang w:eastAsia="zh-CN"/>
        </w:rPr>
        <w:fldChar w:fldCharType="begin"/>
      </w:r>
      <w:r>
        <w:rPr>
          <w:rFonts w:hint="eastAsia" w:ascii="仿宋" w:hAnsi="仿宋" w:cs="仿宋"/>
          <w:bCs/>
          <w:kern w:val="2"/>
          <w:szCs w:val="32"/>
          <w:lang w:eastAsia="zh-CN"/>
        </w:rPr>
        <w:instrText xml:space="preserve">TOC \o "1-3" \h \u </w:instrText>
      </w:r>
      <w:r>
        <w:rPr>
          <w:rFonts w:hint="eastAsia" w:ascii="仿宋" w:hAnsi="仿宋" w:cs="仿宋"/>
          <w:bCs/>
          <w:kern w:val="2"/>
          <w:szCs w:val="32"/>
          <w:lang w:eastAsia="zh-CN"/>
        </w:rPr>
        <w:fldChar w:fldCharType="separate"/>
      </w:r>
      <w:r>
        <w:fldChar w:fldCharType="begin"/>
      </w:r>
      <w:r>
        <w:instrText xml:space="preserve"> HYPERLINK \l "_Toc256000093" </w:instrText>
      </w:r>
      <w:r>
        <w:fldChar w:fldCharType="separate"/>
      </w:r>
      <w:r>
        <w:rPr>
          <w:rStyle w:val="21"/>
          <w:rFonts w:ascii="黑体" w:hAnsi="黑体" w:eastAsia="黑体" w:cs="黑体"/>
        </w:rPr>
        <w:t>第一部分</w:t>
      </w:r>
      <w:r>
        <w:rPr>
          <w:rStyle w:val="21"/>
          <w:rFonts w:hint="eastAsia" w:ascii="黑体" w:hAnsi="黑体" w:eastAsia="黑体" w:cs="黑体"/>
        </w:rPr>
        <w:t xml:space="preserve">  单位概况</w:t>
      </w:r>
      <w:r>
        <w:tab/>
      </w:r>
      <w:r>
        <w:fldChar w:fldCharType="begin"/>
      </w:r>
      <w:r>
        <w:instrText xml:space="preserve"> PAGEREF _Toc256000093 \h </w:instrText>
      </w:r>
      <w:r>
        <w:fldChar w:fldCharType="separate"/>
      </w:r>
      <w:r>
        <w:t>4</w:t>
      </w:r>
      <w:r>
        <w:fldChar w:fldCharType="end"/>
      </w:r>
      <w:r>
        <w:fldChar w:fldCharType="end"/>
      </w:r>
    </w:p>
    <w:p>
      <w:pPr>
        <w:pStyle w:val="10"/>
        <w:tabs>
          <w:tab w:val="right" w:leader="dot" w:pos="9730"/>
        </w:tabs>
        <w:ind w:firstLine="1280"/>
        <w:rPr>
          <w:rFonts w:ascii="Calibri" w:hAnsi="Calibri"/>
          <w:sz w:val="22"/>
        </w:rPr>
      </w:pPr>
      <w:r>
        <w:fldChar w:fldCharType="begin"/>
      </w:r>
      <w:r>
        <w:instrText xml:space="preserve"> HYPERLINK \l "_Toc256000095" </w:instrText>
      </w:r>
      <w:r>
        <w:fldChar w:fldCharType="separate"/>
      </w:r>
      <w:r>
        <w:rPr>
          <w:rStyle w:val="21"/>
          <w:rFonts w:ascii="黑体" w:hAnsi="黑体" w:eastAsia="黑体" w:cs="黑体"/>
        </w:rPr>
        <w:t>一、单位主要职责</w:t>
      </w:r>
      <w:r>
        <w:tab/>
      </w:r>
      <w:r>
        <w:rPr>
          <w:rFonts w:hint="eastAsia"/>
          <w:lang w:eastAsia="zh-CN"/>
        </w:rPr>
        <w:t>5</w:t>
      </w:r>
      <w:r>
        <w:rPr>
          <w:rFonts w:hint="eastAsia"/>
          <w:lang w:eastAsia="zh-CN"/>
        </w:rPr>
        <w:fldChar w:fldCharType="end"/>
      </w:r>
    </w:p>
    <w:p>
      <w:pPr>
        <w:pStyle w:val="10"/>
        <w:tabs>
          <w:tab w:val="right" w:leader="dot" w:pos="9730"/>
        </w:tabs>
        <w:ind w:firstLine="1280"/>
        <w:rPr>
          <w:rFonts w:ascii="Calibri" w:hAnsi="Calibri"/>
          <w:sz w:val="22"/>
        </w:rPr>
      </w:pPr>
      <w:r>
        <w:fldChar w:fldCharType="begin"/>
      </w:r>
      <w:r>
        <w:instrText xml:space="preserve"> HYPERLINK \l "_Toc256000096" </w:instrText>
      </w:r>
      <w:r>
        <w:fldChar w:fldCharType="separate"/>
      </w:r>
      <w:r>
        <w:rPr>
          <w:rStyle w:val="21"/>
          <w:rFonts w:ascii="黑体" w:hAnsi="黑体" w:eastAsia="黑体" w:cs="黑体"/>
        </w:rPr>
        <w:t>二、单位基本情况</w:t>
      </w:r>
      <w:r>
        <w:tab/>
      </w:r>
      <w:r>
        <w:rPr>
          <w:rFonts w:hint="eastAsia"/>
          <w:lang w:eastAsia="zh-CN"/>
        </w:rPr>
        <w:t>5</w:t>
      </w:r>
      <w:r>
        <w:rPr>
          <w:rFonts w:hint="eastAsia"/>
          <w:lang w:eastAsia="zh-CN"/>
        </w:rPr>
        <w:fldChar w:fldCharType="end"/>
      </w:r>
    </w:p>
    <w:p>
      <w:pPr>
        <w:pStyle w:val="10"/>
        <w:tabs>
          <w:tab w:val="right" w:leader="dot" w:pos="9730"/>
        </w:tabs>
        <w:ind w:firstLine="1280"/>
        <w:rPr>
          <w:rFonts w:ascii="Calibri" w:hAnsi="Calibri"/>
          <w:sz w:val="22"/>
        </w:rPr>
      </w:pPr>
      <w:r>
        <w:fldChar w:fldCharType="begin"/>
      </w:r>
      <w:r>
        <w:instrText xml:space="preserve"> HYPERLINK \l "_Toc256000097" </w:instrText>
      </w:r>
      <w:r>
        <w:fldChar w:fldCharType="separate"/>
      </w:r>
      <w:r>
        <w:rPr>
          <w:rStyle w:val="21"/>
          <w:rFonts w:ascii="黑体" w:hAnsi="黑体" w:eastAsia="黑体" w:cs="黑体"/>
        </w:rPr>
        <w:t>三、单位主要工作总结</w:t>
      </w:r>
      <w:r>
        <w:tab/>
      </w:r>
      <w:r>
        <w:rPr>
          <w:rFonts w:hint="eastAsia"/>
          <w:lang w:eastAsia="zh-CN"/>
        </w:rPr>
        <w:t>5</w:t>
      </w:r>
      <w:r>
        <w:rPr>
          <w:rFonts w:hint="eastAsia"/>
          <w:lang w:eastAsia="zh-CN"/>
        </w:rPr>
        <w:fldChar w:fldCharType="end"/>
      </w:r>
    </w:p>
    <w:p>
      <w:pPr>
        <w:pStyle w:val="17"/>
        <w:tabs>
          <w:tab w:val="right" w:leader="dot" w:pos="9730"/>
        </w:tabs>
        <w:ind w:firstLine="640"/>
        <w:rPr>
          <w:rFonts w:ascii="Calibri" w:hAnsi="Calibri"/>
          <w:sz w:val="22"/>
        </w:rPr>
      </w:pPr>
      <w:r>
        <w:fldChar w:fldCharType="begin"/>
      </w:r>
      <w:r>
        <w:instrText xml:space="preserve"> HYPERLINK \l "_Toc256000098" </w:instrText>
      </w:r>
      <w:r>
        <w:fldChar w:fldCharType="separate"/>
      </w:r>
      <w:r>
        <w:rPr>
          <w:rStyle w:val="21"/>
          <w:rFonts w:ascii="黑体" w:hAnsi="黑体" w:eastAsia="黑体" w:cs="黑体"/>
        </w:rPr>
        <w:t>第二部分</w:t>
      </w:r>
      <w:r>
        <w:rPr>
          <w:rStyle w:val="21"/>
          <w:rFonts w:hint="eastAsia" w:ascii="黑体" w:hAnsi="黑体" w:eastAsia="黑体" w:cs="黑体"/>
        </w:rPr>
        <w:t xml:space="preserve"> 2024年度决算表</w:t>
      </w:r>
      <w:r>
        <w:tab/>
      </w:r>
      <w:r>
        <w:rPr>
          <w:rFonts w:hint="eastAsia"/>
          <w:lang w:eastAsia="zh-CN"/>
        </w:rPr>
        <w:t>6</w:t>
      </w:r>
      <w:r>
        <w:rPr>
          <w:rFonts w:hint="eastAsia"/>
          <w:lang w:eastAsia="zh-CN"/>
        </w:rPr>
        <w:fldChar w:fldCharType="end"/>
      </w:r>
    </w:p>
    <w:p>
      <w:pPr>
        <w:pStyle w:val="10"/>
        <w:tabs>
          <w:tab w:val="right" w:leader="dot" w:pos="9730"/>
        </w:tabs>
        <w:ind w:firstLine="1280"/>
        <w:rPr>
          <w:rFonts w:ascii="Calibri" w:hAnsi="Calibri"/>
          <w:sz w:val="22"/>
        </w:rPr>
      </w:pPr>
      <w:r>
        <w:fldChar w:fldCharType="begin"/>
      </w:r>
      <w:r>
        <w:instrText xml:space="preserve"> HYPERLINK \l "_Toc256000100" </w:instrText>
      </w:r>
      <w:r>
        <w:fldChar w:fldCharType="separate"/>
      </w:r>
      <w:r>
        <w:rPr>
          <w:rStyle w:val="21"/>
          <w:rFonts w:ascii="黑体" w:hAnsi="黑体" w:eastAsia="黑体" w:cs="黑体"/>
        </w:rPr>
        <w:t>一、收入支出决算总表</w:t>
      </w:r>
      <w:r>
        <w:tab/>
      </w:r>
      <w:r>
        <w:rPr>
          <w:rFonts w:hint="eastAsia"/>
          <w:lang w:eastAsia="zh-CN"/>
        </w:rPr>
        <w:t>7</w:t>
      </w:r>
      <w:r>
        <w:rPr>
          <w:rFonts w:hint="eastAsia"/>
          <w:lang w:eastAsia="zh-CN"/>
        </w:rPr>
        <w:fldChar w:fldCharType="end"/>
      </w:r>
    </w:p>
    <w:p>
      <w:pPr>
        <w:pStyle w:val="10"/>
        <w:tabs>
          <w:tab w:val="right" w:leader="dot" w:pos="9730"/>
        </w:tabs>
        <w:ind w:firstLine="1280"/>
        <w:rPr>
          <w:rFonts w:ascii="Calibri" w:hAnsi="Calibri"/>
          <w:sz w:val="22"/>
        </w:rPr>
      </w:pPr>
      <w:r>
        <w:fldChar w:fldCharType="begin"/>
      </w:r>
      <w:r>
        <w:instrText xml:space="preserve"> HYPERLINK \l "_Toc256000101" </w:instrText>
      </w:r>
      <w:r>
        <w:fldChar w:fldCharType="separate"/>
      </w:r>
      <w:r>
        <w:rPr>
          <w:rStyle w:val="21"/>
          <w:rFonts w:ascii="黑体" w:hAnsi="黑体" w:eastAsia="黑体" w:cs="黑体"/>
        </w:rPr>
        <w:t>二、收入决算表</w:t>
      </w:r>
      <w:r>
        <w:tab/>
      </w:r>
      <w:r>
        <w:rPr>
          <w:rFonts w:hint="eastAsia"/>
          <w:lang w:eastAsia="zh-CN"/>
        </w:rPr>
        <w:t>8</w:t>
      </w:r>
      <w:r>
        <w:rPr>
          <w:rFonts w:hint="eastAsia"/>
          <w:lang w:eastAsia="zh-CN"/>
        </w:rPr>
        <w:fldChar w:fldCharType="end"/>
      </w:r>
    </w:p>
    <w:p>
      <w:pPr>
        <w:pStyle w:val="10"/>
        <w:tabs>
          <w:tab w:val="right" w:leader="dot" w:pos="9730"/>
        </w:tabs>
        <w:ind w:firstLine="1280"/>
        <w:rPr>
          <w:rFonts w:ascii="Calibri" w:hAnsi="Calibri"/>
          <w:sz w:val="22"/>
          <w:lang w:eastAsia="zh-CN"/>
        </w:rPr>
      </w:pPr>
      <w:r>
        <w:fldChar w:fldCharType="begin"/>
      </w:r>
      <w:r>
        <w:instrText xml:space="preserve"> HYPERLINK \l "_Toc256000102" </w:instrText>
      </w:r>
      <w:r>
        <w:fldChar w:fldCharType="separate"/>
      </w:r>
      <w:r>
        <w:rPr>
          <w:rStyle w:val="21"/>
          <w:rFonts w:ascii="黑体" w:hAnsi="黑体" w:eastAsia="黑体" w:cs="黑体"/>
        </w:rPr>
        <w:t>三、支出决算表</w:t>
      </w:r>
      <w:r>
        <w:tab/>
      </w:r>
      <w:r>
        <w:rPr>
          <w:rFonts w:hint="eastAsia"/>
          <w:lang w:eastAsia="zh-CN"/>
        </w:rPr>
        <w:t>9</w:t>
      </w:r>
      <w:r>
        <w:rPr>
          <w:rFonts w:hint="eastAsia"/>
          <w:lang w:eastAsia="zh-CN"/>
        </w:rPr>
        <w:fldChar w:fldCharType="end"/>
      </w:r>
    </w:p>
    <w:p>
      <w:pPr>
        <w:pStyle w:val="10"/>
        <w:tabs>
          <w:tab w:val="right" w:leader="dot" w:pos="9730"/>
        </w:tabs>
        <w:ind w:firstLine="1280"/>
        <w:rPr>
          <w:rFonts w:ascii="Calibri" w:hAnsi="Calibri"/>
          <w:sz w:val="22"/>
          <w:lang w:eastAsia="zh-CN"/>
        </w:rPr>
      </w:pPr>
      <w:r>
        <w:fldChar w:fldCharType="begin"/>
      </w:r>
      <w:r>
        <w:instrText xml:space="preserve"> HYPERLINK \l "_Toc256000103" </w:instrText>
      </w:r>
      <w:r>
        <w:fldChar w:fldCharType="separate"/>
      </w:r>
      <w:r>
        <w:rPr>
          <w:rStyle w:val="21"/>
          <w:rFonts w:ascii="黑体" w:hAnsi="黑体" w:eastAsia="黑体" w:cs="黑体"/>
        </w:rPr>
        <w:t>四、财政拨款收入支出决算总表</w:t>
      </w:r>
      <w:r>
        <w:tab/>
      </w:r>
      <w:r>
        <w:rPr>
          <w:rFonts w:hint="eastAsia"/>
          <w:lang w:eastAsia="zh-CN"/>
        </w:rPr>
        <w:t>10</w:t>
      </w:r>
      <w:r>
        <w:rPr>
          <w:rFonts w:hint="eastAsia"/>
          <w:lang w:eastAsia="zh-CN"/>
        </w:rPr>
        <w:fldChar w:fldCharType="end"/>
      </w:r>
    </w:p>
    <w:p>
      <w:pPr>
        <w:pStyle w:val="10"/>
        <w:tabs>
          <w:tab w:val="right" w:leader="dot" w:pos="9730"/>
        </w:tabs>
        <w:ind w:firstLine="1280"/>
        <w:rPr>
          <w:rFonts w:ascii="Calibri" w:hAnsi="Calibri"/>
          <w:sz w:val="22"/>
          <w:lang w:eastAsia="zh-CN"/>
        </w:rPr>
      </w:pPr>
      <w:r>
        <w:fldChar w:fldCharType="begin"/>
      </w:r>
      <w:r>
        <w:instrText xml:space="preserve"> HYPERLINK \l "_Toc256000104" </w:instrText>
      </w:r>
      <w:r>
        <w:fldChar w:fldCharType="separate"/>
      </w:r>
      <w:r>
        <w:rPr>
          <w:rStyle w:val="21"/>
          <w:rFonts w:ascii="黑体" w:hAnsi="黑体" w:eastAsia="黑体" w:cs="黑体"/>
        </w:rPr>
        <w:t>五、一般公共预算财政拨款支出决算表</w:t>
      </w:r>
      <w:r>
        <w:tab/>
      </w:r>
      <w:r>
        <w:rPr>
          <w:rFonts w:hint="eastAsia"/>
          <w:lang w:eastAsia="zh-CN"/>
        </w:rPr>
        <w:t>11</w:t>
      </w:r>
      <w:r>
        <w:rPr>
          <w:rFonts w:hint="eastAsia"/>
          <w:lang w:eastAsia="zh-CN"/>
        </w:rPr>
        <w:fldChar w:fldCharType="end"/>
      </w:r>
    </w:p>
    <w:p>
      <w:pPr>
        <w:pStyle w:val="10"/>
        <w:tabs>
          <w:tab w:val="right" w:leader="dot" w:pos="9730"/>
        </w:tabs>
        <w:ind w:firstLine="1280"/>
        <w:rPr>
          <w:rFonts w:ascii="Calibri" w:hAnsi="Calibri"/>
          <w:sz w:val="22"/>
          <w:lang w:eastAsia="zh-CN"/>
        </w:rPr>
      </w:pPr>
      <w:r>
        <w:fldChar w:fldCharType="begin"/>
      </w:r>
      <w:r>
        <w:instrText xml:space="preserve"> HYPERLINK \l "_Toc256000105" </w:instrText>
      </w:r>
      <w:r>
        <w:fldChar w:fldCharType="separate"/>
      </w:r>
      <w:r>
        <w:rPr>
          <w:rStyle w:val="21"/>
          <w:rFonts w:ascii="黑体" w:hAnsi="黑体" w:eastAsia="黑体" w:cs="黑体"/>
        </w:rPr>
        <w:t>六、一般公共预算财政拨款基本支出决算表</w:t>
      </w:r>
      <w:r>
        <w:tab/>
      </w:r>
      <w:r>
        <w:rPr>
          <w:rFonts w:hint="eastAsia"/>
          <w:lang w:eastAsia="zh-CN"/>
        </w:rPr>
        <w:t>1</w:t>
      </w:r>
      <w:r>
        <w:rPr>
          <w:rFonts w:hint="eastAsia"/>
          <w:lang w:eastAsia="zh-CN"/>
        </w:rPr>
        <w:fldChar w:fldCharType="end"/>
      </w:r>
      <w:r>
        <w:rPr>
          <w:rFonts w:hint="eastAsia"/>
          <w:lang w:eastAsia="zh-CN"/>
        </w:rPr>
        <w:t>2</w:t>
      </w:r>
    </w:p>
    <w:p>
      <w:pPr>
        <w:pStyle w:val="10"/>
        <w:tabs>
          <w:tab w:val="right" w:leader="dot" w:pos="9730"/>
        </w:tabs>
        <w:ind w:firstLine="1280"/>
        <w:rPr>
          <w:rFonts w:ascii="Calibri" w:hAnsi="Calibri"/>
          <w:sz w:val="22"/>
          <w:lang w:eastAsia="zh-CN"/>
        </w:rPr>
      </w:pPr>
      <w:r>
        <w:fldChar w:fldCharType="begin"/>
      </w:r>
      <w:r>
        <w:instrText xml:space="preserve"> HYPERLINK \l "_Toc256000106" </w:instrText>
      </w:r>
      <w:r>
        <w:fldChar w:fldCharType="separate"/>
      </w:r>
      <w:r>
        <w:rPr>
          <w:rStyle w:val="21"/>
          <w:rFonts w:ascii="黑体" w:hAnsi="黑体" w:eastAsia="黑体" w:cs="黑体"/>
        </w:rPr>
        <w:t>七、一般公共预算财政拨款“三公”经费支出决算表</w:t>
      </w:r>
      <w:r>
        <w:tab/>
      </w:r>
      <w:r>
        <w:rPr>
          <w:rFonts w:hint="eastAsia"/>
          <w:lang w:eastAsia="zh-CN"/>
        </w:rPr>
        <w:t>14</w:t>
      </w:r>
      <w:r>
        <w:rPr>
          <w:rFonts w:hint="eastAsia"/>
          <w:lang w:eastAsia="zh-CN"/>
        </w:rPr>
        <w:fldChar w:fldCharType="end"/>
      </w:r>
    </w:p>
    <w:p>
      <w:pPr>
        <w:pStyle w:val="10"/>
        <w:tabs>
          <w:tab w:val="right" w:leader="dot" w:pos="9730"/>
        </w:tabs>
        <w:ind w:firstLine="1280"/>
        <w:rPr>
          <w:rFonts w:ascii="Calibri" w:hAnsi="Calibri"/>
          <w:sz w:val="22"/>
          <w:lang w:eastAsia="zh-CN"/>
        </w:rPr>
      </w:pPr>
      <w:r>
        <w:fldChar w:fldCharType="begin"/>
      </w:r>
      <w:r>
        <w:instrText xml:space="preserve"> HYPERLINK \l "_Toc256000107" </w:instrText>
      </w:r>
      <w:r>
        <w:fldChar w:fldCharType="separate"/>
      </w:r>
      <w:r>
        <w:rPr>
          <w:rStyle w:val="21"/>
          <w:rFonts w:ascii="黑体" w:hAnsi="黑体" w:eastAsia="黑体" w:cs="黑体"/>
        </w:rPr>
        <w:t>八、政府性基金预算财政拨款收入支出决算表</w:t>
      </w:r>
      <w:r>
        <w:tab/>
      </w:r>
      <w:r>
        <w:rPr>
          <w:rFonts w:hint="eastAsia"/>
          <w:lang w:eastAsia="zh-CN"/>
        </w:rPr>
        <w:t>1</w:t>
      </w:r>
      <w:r>
        <w:rPr>
          <w:rFonts w:hint="eastAsia"/>
          <w:lang w:eastAsia="zh-CN"/>
        </w:rPr>
        <w:fldChar w:fldCharType="end"/>
      </w:r>
      <w:r>
        <w:rPr>
          <w:rFonts w:hint="eastAsia"/>
          <w:lang w:eastAsia="zh-CN"/>
        </w:rPr>
        <w:t>5</w:t>
      </w:r>
    </w:p>
    <w:p>
      <w:pPr>
        <w:pStyle w:val="10"/>
        <w:tabs>
          <w:tab w:val="right" w:leader="dot" w:pos="9730"/>
        </w:tabs>
        <w:ind w:firstLine="1280"/>
        <w:rPr>
          <w:rFonts w:ascii="Calibri" w:hAnsi="Calibri"/>
          <w:sz w:val="22"/>
          <w:lang w:eastAsia="zh-CN"/>
        </w:rPr>
      </w:pPr>
      <w:r>
        <w:fldChar w:fldCharType="begin"/>
      </w:r>
      <w:r>
        <w:instrText xml:space="preserve"> HYPERLINK \l "_Toc256000108" </w:instrText>
      </w:r>
      <w:r>
        <w:fldChar w:fldCharType="separate"/>
      </w:r>
      <w:r>
        <w:rPr>
          <w:rStyle w:val="21"/>
          <w:rFonts w:ascii="黑体" w:hAnsi="黑体" w:eastAsia="黑体" w:cs="黑体"/>
        </w:rPr>
        <w:t>九、国有资本经营预算财政拨款支出决算表</w:t>
      </w:r>
      <w:r>
        <w:tab/>
      </w:r>
      <w:r>
        <w:rPr>
          <w:rFonts w:hint="eastAsia"/>
          <w:lang w:eastAsia="zh-CN"/>
        </w:rPr>
        <w:t>1</w:t>
      </w:r>
      <w:r>
        <w:rPr>
          <w:rFonts w:hint="eastAsia"/>
          <w:lang w:eastAsia="zh-CN"/>
        </w:rPr>
        <w:fldChar w:fldCharType="end"/>
      </w:r>
      <w:r>
        <w:rPr>
          <w:rFonts w:hint="eastAsia"/>
          <w:lang w:eastAsia="zh-CN"/>
        </w:rPr>
        <w:t>5</w:t>
      </w:r>
    </w:p>
    <w:p>
      <w:pPr>
        <w:pStyle w:val="17"/>
        <w:tabs>
          <w:tab w:val="right" w:leader="dot" w:pos="9730"/>
        </w:tabs>
        <w:ind w:firstLine="640"/>
        <w:rPr>
          <w:rFonts w:ascii="Calibri" w:hAnsi="Calibri"/>
          <w:sz w:val="22"/>
          <w:lang w:eastAsia="zh-CN"/>
        </w:rPr>
      </w:pPr>
      <w:r>
        <w:fldChar w:fldCharType="begin"/>
      </w:r>
      <w:r>
        <w:instrText xml:space="preserve"> HYPERLINK \l "_Toc256000109" </w:instrText>
      </w:r>
      <w:r>
        <w:fldChar w:fldCharType="separate"/>
      </w:r>
      <w:r>
        <w:rPr>
          <w:rStyle w:val="21"/>
          <w:rFonts w:ascii="黑体" w:hAnsi="黑体" w:eastAsia="黑体" w:cs="黑体"/>
        </w:rPr>
        <w:t>第三部分</w:t>
      </w:r>
      <w:r>
        <w:rPr>
          <w:rStyle w:val="21"/>
          <w:rFonts w:hint="eastAsia" w:ascii="黑体" w:hAnsi="黑体" w:eastAsia="黑体" w:cs="黑体"/>
        </w:rPr>
        <w:t xml:space="preserve"> 2024年度决算情况说明</w:t>
      </w:r>
      <w:r>
        <w:tab/>
      </w:r>
      <w:r>
        <w:rPr>
          <w:rFonts w:hint="eastAsia"/>
          <w:lang w:eastAsia="zh-CN"/>
        </w:rPr>
        <w:t>1</w:t>
      </w:r>
      <w:r>
        <w:rPr>
          <w:rFonts w:hint="eastAsia"/>
          <w:lang w:eastAsia="zh-CN"/>
        </w:rPr>
        <w:fldChar w:fldCharType="end"/>
      </w:r>
      <w:r>
        <w:rPr>
          <w:rFonts w:hint="eastAsia"/>
          <w:lang w:eastAsia="zh-CN"/>
        </w:rPr>
        <w:t>6</w:t>
      </w:r>
    </w:p>
    <w:p>
      <w:pPr>
        <w:pStyle w:val="10"/>
        <w:tabs>
          <w:tab w:val="right" w:leader="dot" w:pos="9730"/>
        </w:tabs>
        <w:ind w:firstLine="1280"/>
        <w:rPr>
          <w:rFonts w:ascii="Calibri" w:hAnsi="Calibri"/>
          <w:sz w:val="22"/>
          <w:lang w:eastAsia="zh-CN"/>
        </w:rPr>
      </w:pPr>
      <w:r>
        <w:fldChar w:fldCharType="begin"/>
      </w:r>
      <w:r>
        <w:instrText xml:space="preserve"> HYPERLINK \l "_Toc256000111" </w:instrText>
      </w:r>
      <w:r>
        <w:fldChar w:fldCharType="separate"/>
      </w:r>
      <w:r>
        <w:rPr>
          <w:rStyle w:val="21"/>
          <w:rFonts w:ascii="黑体" w:hAnsi="黑体" w:eastAsia="黑体" w:cs="黑体"/>
        </w:rPr>
        <w:t>一、收入支出决算总体情况说明</w:t>
      </w:r>
      <w:r>
        <w:tab/>
      </w:r>
      <w:r>
        <w:rPr>
          <w:rFonts w:hint="eastAsia"/>
          <w:lang w:eastAsia="zh-CN"/>
        </w:rPr>
        <w:t>1</w:t>
      </w:r>
      <w:r>
        <w:rPr>
          <w:rFonts w:hint="eastAsia"/>
          <w:lang w:eastAsia="zh-CN"/>
        </w:rPr>
        <w:fldChar w:fldCharType="end"/>
      </w:r>
      <w:r>
        <w:rPr>
          <w:rFonts w:hint="eastAsia"/>
          <w:lang w:eastAsia="zh-CN"/>
        </w:rPr>
        <w:t>7</w:t>
      </w:r>
    </w:p>
    <w:p>
      <w:pPr>
        <w:pStyle w:val="10"/>
        <w:tabs>
          <w:tab w:val="right" w:leader="dot" w:pos="9730"/>
        </w:tabs>
        <w:ind w:firstLine="1280"/>
        <w:rPr>
          <w:rFonts w:ascii="Calibri" w:hAnsi="Calibri"/>
          <w:sz w:val="22"/>
          <w:lang w:eastAsia="zh-CN"/>
        </w:rPr>
      </w:pPr>
      <w:r>
        <w:fldChar w:fldCharType="begin"/>
      </w:r>
      <w:r>
        <w:instrText xml:space="preserve"> HYPERLINK \l "_Toc256000112" </w:instrText>
      </w:r>
      <w:r>
        <w:fldChar w:fldCharType="separate"/>
      </w:r>
      <w:r>
        <w:rPr>
          <w:rStyle w:val="21"/>
          <w:rFonts w:ascii="黑体" w:hAnsi="黑体" w:eastAsia="黑体" w:cs="黑体"/>
        </w:rPr>
        <w:t>二、财政拨款收入支出决算总体情况说明</w:t>
      </w:r>
      <w:r>
        <w:tab/>
      </w:r>
      <w:r>
        <w:rPr>
          <w:rFonts w:hint="eastAsia"/>
          <w:lang w:eastAsia="zh-CN"/>
        </w:rPr>
        <w:t>1</w:t>
      </w:r>
      <w:r>
        <w:rPr>
          <w:rFonts w:hint="eastAsia"/>
          <w:lang w:eastAsia="zh-CN"/>
        </w:rPr>
        <w:fldChar w:fldCharType="end"/>
      </w:r>
      <w:r>
        <w:rPr>
          <w:rFonts w:hint="eastAsia"/>
          <w:lang w:eastAsia="zh-CN"/>
        </w:rPr>
        <w:t>8</w:t>
      </w:r>
    </w:p>
    <w:p>
      <w:pPr>
        <w:pStyle w:val="10"/>
        <w:tabs>
          <w:tab w:val="right" w:leader="dot" w:pos="9730"/>
        </w:tabs>
        <w:ind w:firstLine="1280"/>
        <w:rPr>
          <w:rFonts w:ascii="Calibri" w:hAnsi="Calibri"/>
          <w:sz w:val="22"/>
          <w:lang w:eastAsia="zh-CN"/>
        </w:rPr>
      </w:pPr>
      <w:r>
        <w:fldChar w:fldCharType="begin"/>
      </w:r>
      <w:r>
        <w:instrText xml:space="preserve"> HYPERLINK \l "_Toc256000113" </w:instrText>
      </w:r>
      <w:r>
        <w:fldChar w:fldCharType="separate"/>
      </w:r>
      <w:r>
        <w:rPr>
          <w:rStyle w:val="21"/>
          <w:rFonts w:ascii="黑体" w:hAnsi="黑体" w:eastAsia="黑体" w:cs="黑体"/>
        </w:rPr>
        <w:t>三、一般公共预算拨款支出决算情况说明</w:t>
      </w:r>
      <w:r>
        <w:tab/>
      </w:r>
      <w:r>
        <w:rPr>
          <w:rFonts w:hint="eastAsia"/>
          <w:lang w:eastAsia="zh-CN"/>
        </w:rPr>
        <w:t>1</w:t>
      </w:r>
      <w:r>
        <w:rPr>
          <w:rFonts w:hint="eastAsia"/>
          <w:lang w:eastAsia="zh-CN"/>
        </w:rPr>
        <w:fldChar w:fldCharType="end"/>
      </w:r>
      <w:r>
        <w:rPr>
          <w:rFonts w:hint="eastAsia"/>
          <w:lang w:eastAsia="zh-CN"/>
        </w:rPr>
        <w:t>8</w:t>
      </w:r>
    </w:p>
    <w:p>
      <w:pPr>
        <w:pStyle w:val="10"/>
        <w:tabs>
          <w:tab w:val="right" w:leader="dot" w:pos="9730"/>
        </w:tabs>
        <w:ind w:firstLine="1280"/>
        <w:rPr>
          <w:rFonts w:ascii="Calibri" w:hAnsi="Calibri"/>
          <w:sz w:val="22"/>
          <w:lang w:eastAsia="zh-CN"/>
        </w:rPr>
      </w:pPr>
      <w:r>
        <w:fldChar w:fldCharType="begin"/>
      </w:r>
      <w:r>
        <w:instrText xml:space="preserve"> HYPERLINK \l "_Toc256000114" </w:instrText>
      </w:r>
      <w:r>
        <w:fldChar w:fldCharType="separate"/>
      </w:r>
      <w:r>
        <w:rPr>
          <w:rStyle w:val="21"/>
          <w:rFonts w:ascii="黑体" w:hAnsi="黑体" w:eastAsia="黑体" w:cs="黑体"/>
        </w:rPr>
        <w:t>四、政府性基金预算财政拨款支出决算情况说明</w:t>
      </w:r>
      <w:r>
        <w:tab/>
      </w:r>
      <w:r>
        <w:rPr>
          <w:rFonts w:hint="eastAsia"/>
          <w:lang w:eastAsia="zh-CN"/>
        </w:rPr>
        <w:t>1</w:t>
      </w:r>
      <w:r>
        <w:rPr>
          <w:rFonts w:hint="eastAsia"/>
          <w:lang w:eastAsia="zh-CN"/>
        </w:rPr>
        <w:fldChar w:fldCharType="end"/>
      </w:r>
      <w:r>
        <w:rPr>
          <w:rFonts w:hint="eastAsia"/>
          <w:lang w:eastAsia="zh-CN"/>
        </w:rPr>
        <w:t>9</w:t>
      </w:r>
    </w:p>
    <w:p>
      <w:pPr>
        <w:pStyle w:val="10"/>
        <w:tabs>
          <w:tab w:val="right" w:leader="dot" w:pos="9730"/>
        </w:tabs>
        <w:ind w:firstLine="1280"/>
        <w:rPr>
          <w:rFonts w:ascii="Calibri" w:hAnsi="Calibri"/>
          <w:sz w:val="22"/>
          <w:lang w:eastAsia="zh-CN"/>
        </w:rPr>
      </w:pPr>
      <w:r>
        <w:fldChar w:fldCharType="begin"/>
      </w:r>
      <w:r>
        <w:instrText xml:space="preserve"> HYPERLINK \l "_Toc256000115" </w:instrText>
      </w:r>
      <w:r>
        <w:fldChar w:fldCharType="separate"/>
      </w:r>
      <w:r>
        <w:rPr>
          <w:rStyle w:val="21"/>
          <w:rFonts w:ascii="黑体" w:hAnsi="黑体" w:eastAsia="黑体" w:cs="黑体"/>
        </w:rPr>
        <w:t>五、国有资本经营预算财政拨款支出决算情况说明</w:t>
      </w:r>
      <w:r>
        <w:tab/>
      </w:r>
      <w:r>
        <w:rPr>
          <w:rFonts w:hint="eastAsia"/>
          <w:lang w:eastAsia="zh-CN"/>
        </w:rPr>
        <w:t>1</w:t>
      </w:r>
      <w:r>
        <w:rPr>
          <w:rFonts w:hint="eastAsia"/>
          <w:lang w:eastAsia="zh-CN"/>
        </w:rPr>
        <w:fldChar w:fldCharType="end"/>
      </w:r>
      <w:r>
        <w:rPr>
          <w:rFonts w:hint="eastAsia"/>
          <w:lang w:eastAsia="zh-CN"/>
        </w:rPr>
        <w:t>9</w:t>
      </w:r>
    </w:p>
    <w:p>
      <w:pPr>
        <w:pStyle w:val="10"/>
        <w:tabs>
          <w:tab w:val="right" w:leader="dot" w:pos="9730"/>
        </w:tabs>
        <w:ind w:firstLine="1280"/>
        <w:rPr>
          <w:rFonts w:ascii="Calibri" w:hAnsi="Calibri"/>
          <w:sz w:val="22"/>
          <w:lang w:eastAsia="zh-CN"/>
        </w:rPr>
      </w:pPr>
      <w:r>
        <w:fldChar w:fldCharType="begin"/>
      </w:r>
      <w:r>
        <w:instrText xml:space="preserve"> HYPERLINK \l "_Toc256000116" </w:instrText>
      </w:r>
      <w:r>
        <w:fldChar w:fldCharType="separate"/>
      </w:r>
      <w:r>
        <w:rPr>
          <w:rStyle w:val="21"/>
          <w:rFonts w:ascii="黑体" w:hAnsi="黑体" w:eastAsia="黑体" w:cs="黑体"/>
        </w:rPr>
        <w:t>六、一般公共预算财政拨款基本支出决算情况说明</w:t>
      </w:r>
      <w:r>
        <w:tab/>
      </w:r>
      <w:r>
        <w:rPr>
          <w:rFonts w:hint="eastAsia"/>
          <w:lang w:eastAsia="zh-CN"/>
        </w:rPr>
        <w:t>2</w:t>
      </w:r>
      <w:r>
        <w:rPr>
          <w:rFonts w:hint="eastAsia"/>
          <w:lang w:eastAsia="zh-CN"/>
        </w:rPr>
        <w:fldChar w:fldCharType="end"/>
      </w:r>
      <w:r>
        <w:rPr>
          <w:rFonts w:hint="eastAsia"/>
          <w:lang w:eastAsia="zh-CN"/>
        </w:rPr>
        <w:t>0</w:t>
      </w:r>
    </w:p>
    <w:p>
      <w:pPr>
        <w:pStyle w:val="10"/>
        <w:tabs>
          <w:tab w:val="right" w:leader="dot" w:pos="9730"/>
        </w:tabs>
        <w:ind w:firstLine="1280"/>
        <w:rPr>
          <w:rFonts w:ascii="Calibri" w:hAnsi="Calibri"/>
          <w:sz w:val="22"/>
          <w:lang w:eastAsia="zh-CN"/>
        </w:rPr>
      </w:pPr>
      <w:r>
        <w:fldChar w:fldCharType="begin"/>
      </w:r>
      <w:r>
        <w:instrText xml:space="preserve"> HYPERLINK \l "_Toc256000117" </w:instrText>
      </w:r>
      <w:r>
        <w:fldChar w:fldCharType="separate"/>
      </w:r>
      <w:r>
        <w:rPr>
          <w:rStyle w:val="21"/>
          <w:rFonts w:ascii="黑体" w:hAnsi="黑体" w:eastAsia="黑体" w:cs="黑体"/>
        </w:rPr>
        <w:t>七、一般公共预算拨款“三公”经费支出决算情况说明</w:t>
      </w:r>
      <w:r>
        <w:tab/>
      </w:r>
      <w:r>
        <w:rPr>
          <w:rFonts w:hint="eastAsia"/>
          <w:lang w:eastAsia="zh-CN"/>
        </w:rPr>
        <w:t>2</w:t>
      </w:r>
      <w:r>
        <w:rPr>
          <w:rFonts w:hint="eastAsia"/>
          <w:lang w:eastAsia="zh-CN"/>
        </w:rPr>
        <w:fldChar w:fldCharType="end"/>
      </w:r>
      <w:r>
        <w:rPr>
          <w:rFonts w:hint="eastAsia"/>
          <w:lang w:eastAsia="zh-CN"/>
        </w:rPr>
        <w:t>0</w:t>
      </w:r>
    </w:p>
    <w:p>
      <w:pPr>
        <w:pStyle w:val="10"/>
        <w:tabs>
          <w:tab w:val="right" w:leader="dot" w:pos="9730"/>
        </w:tabs>
        <w:ind w:firstLine="1280"/>
        <w:rPr>
          <w:rFonts w:ascii="Calibri" w:hAnsi="Calibri"/>
          <w:sz w:val="22"/>
        </w:rPr>
      </w:pPr>
      <w:r>
        <w:fldChar w:fldCharType="begin"/>
      </w:r>
      <w:r>
        <w:instrText xml:space="preserve"> HYPERLINK \l "_Toc256000118" </w:instrText>
      </w:r>
      <w:r>
        <w:fldChar w:fldCharType="separate"/>
      </w:r>
      <w:r>
        <w:rPr>
          <w:rStyle w:val="21"/>
          <w:rFonts w:ascii="黑体" w:hAnsi="黑体" w:eastAsia="黑体" w:cs="黑体"/>
        </w:rPr>
        <w:t>八、预算绩效情况说明</w:t>
      </w:r>
      <w:r>
        <w:tab/>
      </w:r>
      <w:r>
        <w:rPr>
          <w:rFonts w:hint="eastAsia"/>
          <w:lang w:eastAsia="zh-CN"/>
        </w:rPr>
        <w:t>21</w:t>
      </w:r>
      <w:r>
        <w:rPr>
          <w:rFonts w:hint="eastAsia"/>
          <w:lang w:eastAsia="zh-CN"/>
        </w:rPr>
        <w:fldChar w:fldCharType="end"/>
      </w:r>
    </w:p>
    <w:p>
      <w:pPr>
        <w:pStyle w:val="10"/>
        <w:tabs>
          <w:tab w:val="right" w:leader="dot" w:pos="9730"/>
        </w:tabs>
        <w:ind w:firstLine="1280"/>
        <w:rPr>
          <w:rFonts w:ascii="Calibri" w:hAnsi="Calibri"/>
          <w:sz w:val="22"/>
          <w:lang w:eastAsia="zh-CN"/>
        </w:rPr>
      </w:pPr>
      <w:r>
        <w:fldChar w:fldCharType="begin"/>
      </w:r>
      <w:r>
        <w:instrText xml:space="preserve"> HYPERLINK \l "_Toc256000119" </w:instrText>
      </w:r>
      <w:r>
        <w:fldChar w:fldCharType="separate"/>
      </w:r>
      <w:r>
        <w:rPr>
          <w:rStyle w:val="21"/>
          <w:rFonts w:ascii="黑体" w:hAnsi="黑体" w:eastAsia="黑体" w:cs="黑体"/>
        </w:rPr>
        <w:t>九、其他重要事项说明</w:t>
      </w:r>
      <w:r>
        <w:tab/>
      </w:r>
      <w:r>
        <w:rPr>
          <w:rFonts w:hint="eastAsia"/>
          <w:lang w:eastAsia="zh-CN"/>
        </w:rPr>
        <w:t>2</w:t>
      </w:r>
      <w:r>
        <w:rPr>
          <w:rFonts w:hint="eastAsia"/>
          <w:lang w:eastAsia="zh-CN"/>
        </w:rPr>
        <w:fldChar w:fldCharType="end"/>
      </w:r>
      <w:r>
        <w:rPr>
          <w:rFonts w:hint="eastAsia"/>
          <w:lang w:val="en-US" w:eastAsia="zh-CN"/>
        </w:rPr>
        <w:t>2</w:t>
      </w:r>
    </w:p>
    <w:p>
      <w:pPr>
        <w:pStyle w:val="17"/>
        <w:tabs>
          <w:tab w:val="right" w:leader="dot" w:pos="9730"/>
        </w:tabs>
        <w:ind w:firstLine="640"/>
        <w:rPr>
          <w:rFonts w:ascii="Calibri" w:hAnsi="Calibri"/>
          <w:sz w:val="22"/>
          <w:lang w:eastAsia="zh-CN"/>
        </w:rPr>
      </w:pPr>
      <w:r>
        <w:fldChar w:fldCharType="begin"/>
      </w:r>
      <w:r>
        <w:instrText xml:space="preserve"> HYPERLINK \l "_Toc256000120" </w:instrText>
      </w:r>
      <w:r>
        <w:fldChar w:fldCharType="separate"/>
      </w:r>
      <w:r>
        <w:rPr>
          <w:rStyle w:val="21"/>
          <w:rFonts w:ascii="黑体" w:hAnsi="黑体" w:eastAsia="黑体" w:cs="黑体"/>
        </w:rPr>
        <w:t>第四部分</w:t>
      </w:r>
      <w:r>
        <w:rPr>
          <w:rStyle w:val="21"/>
          <w:rFonts w:hint="eastAsia" w:ascii="黑体" w:hAnsi="黑体" w:eastAsia="黑体" w:cs="黑体"/>
        </w:rPr>
        <w:t xml:space="preserve"> 名词解释</w:t>
      </w:r>
      <w:r>
        <w:tab/>
      </w:r>
      <w:r>
        <w:fldChar w:fldCharType="end"/>
      </w:r>
      <w:r>
        <w:rPr>
          <w:rFonts w:hint="eastAsia"/>
          <w:lang w:eastAsia="zh-CN"/>
        </w:rPr>
        <w:t>23</w:t>
      </w:r>
    </w:p>
    <w:p>
      <w:pPr>
        <w:pStyle w:val="17"/>
        <w:tabs>
          <w:tab w:val="right" w:leader="dot" w:pos="9730"/>
        </w:tabs>
        <w:ind w:firstLine="640"/>
        <w:rPr>
          <w:rFonts w:ascii="Calibri" w:hAnsi="Calibri"/>
          <w:sz w:val="22"/>
          <w:lang w:eastAsia="zh-CN"/>
        </w:rPr>
      </w:pPr>
      <w:r>
        <w:fldChar w:fldCharType="begin"/>
      </w:r>
      <w:r>
        <w:instrText xml:space="preserve"> HYPERLINK \l "_Toc256000122" </w:instrText>
      </w:r>
      <w:r>
        <w:fldChar w:fldCharType="separate"/>
      </w:r>
      <w:r>
        <w:rPr>
          <w:rStyle w:val="21"/>
          <w:rFonts w:ascii="黑体" w:hAnsi="黑体" w:eastAsia="黑体" w:cs="黑体"/>
        </w:rPr>
        <w:t>第五部分</w:t>
      </w:r>
      <w:r>
        <w:rPr>
          <w:rStyle w:val="21"/>
          <w:rFonts w:hint="eastAsia" w:ascii="黑体" w:hAnsi="黑体" w:eastAsia="黑体" w:cs="黑体"/>
        </w:rPr>
        <w:t xml:space="preserve"> 附件</w:t>
      </w:r>
      <w:r>
        <w:tab/>
      </w:r>
      <w:r>
        <w:rPr>
          <w:rFonts w:hint="eastAsia"/>
          <w:lang w:eastAsia="zh-CN"/>
        </w:rPr>
        <w:t>2</w:t>
      </w:r>
      <w:r>
        <w:rPr>
          <w:rFonts w:hint="eastAsia"/>
          <w:lang w:eastAsia="zh-CN"/>
        </w:rPr>
        <w:fldChar w:fldCharType="end"/>
      </w:r>
      <w:r>
        <w:rPr>
          <w:rFonts w:hint="eastAsia"/>
          <w:lang w:eastAsia="zh-CN"/>
        </w:rPr>
        <w:t>6</w:t>
      </w:r>
    </w:p>
    <w:p>
      <w:pPr>
        <w:adjustRightInd w:val="0"/>
        <w:snapToGrid w:val="0"/>
        <w:rPr>
          <w:rFonts w:ascii="仿宋" w:hAnsi="仿宋" w:eastAsia="仿宋" w:cs="仿宋"/>
          <w:bCs/>
          <w:sz w:val="32"/>
          <w:szCs w:val="32"/>
        </w:rPr>
        <w:sectPr>
          <w:footerReference r:id="rId4" w:type="default"/>
          <w:pgSz w:w="11906" w:h="16838"/>
          <w:pgMar w:top="1440" w:right="1083" w:bottom="1440" w:left="1083" w:header="0" w:footer="720" w:gutter="0"/>
          <w:cols w:space="0" w:num="1"/>
          <w:docGrid w:type="lines" w:linePitch="317" w:charSpace="0"/>
        </w:sectPr>
      </w:pPr>
      <w:r>
        <w:rPr>
          <w:rFonts w:hint="eastAsia" w:ascii="仿宋" w:hAnsi="仿宋" w:eastAsia="仿宋" w:cs="仿宋"/>
          <w:bCs/>
          <w:sz w:val="32"/>
          <w:szCs w:val="32"/>
        </w:rPr>
        <w:fldChar w:fldCharType="end"/>
      </w:r>
    </w:p>
    <w:p>
      <w:pPr>
        <w:pStyle w:val="28"/>
        <w:widowControl/>
        <w:spacing w:before="100" w:after="100"/>
        <w:jc w:val="center"/>
        <w:rPr>
          <w:rFonts w:hint="eastAsia" w:ascii="黑体" w:hAnsi="黑体" w:eastAsia="黑体" w:cs="黑体"/>
          <w:b/>
          <w:sz w:val="56"/>
          <w:szCs w:val="56"/>
        </w:rPr>
      </w:pPr>
      <w:bookmarkStart w:id="0" w:name="_Toc256000093"/>
      <w:bookmarkStart w:id="1" w:name="_Toc256000000"/>
      <w:bookmarkStart w:id="2" w:name="_Toc256000031"/>
      <w:bookmarkStart w:id="3" w:name="_Toc256000062"/>
      <w:bookmarkStart w:id="4" w:name="a000"/>
    </w:p>
    <w:p>
      <w:pPr>
        <w:pStyle w:val="28"/>
        <w:widowControl/>
        <w:spacing w:before="100" w:after="100"/>
        <w:jc w:val="center"/>
        <w:rPr>
          <w:rFonts w:hint="eastAsia" w:ascii="黑体" w:hAnsi="黑体" w:eastAsia="黑体" w:cs="黑体"/>
          <w:b/>
          <w:sz w:val="56"/>
          <w:szCs w:val="56"/>
        </w:rPr>
      </w:pPr>
    </w:p>
    <w:p>
      <w:pPr>
        <w:pStyle w:val="28"/>
        <w:widowControl/>
        <w:spacing w:before="100" w:after="100"/>
        <w:jc w:val="center"/>
        <w:rPr>
          <w:rFonts w:hint="eastAsia" w:ascii="黑体" w:hAnsi="黑体" w:eastAsia="黑体" w:cs="黑体"/>
          <w:b/>
          <w:sz w:val="56"/>
          <w:szCs w:val="56"/>
        </w:rPr>
      </w:pPr>
    </w:p>
    <w:p>
      <w:pPr>
        <w:pStyle w:val="28"/>
        <w:widowControl/>
        <w:spacing w:before="100" w:after="100"/>
        <w:jc w:val="center"/>
        <w:rPr>
          <w:rFonts w:hint="eastAsia" w:ascii="黑体" w:hAnsi="黑体" w:eastAsia="黑体" w:cs="黑体"/>
          <w:b/>
          <w:sz w:val="56"/>
          <w:szCs w:val="56"/>
        </w:rPr>
      </w:pPr>
    </w:p>
    <w:p>
      <w:pPr>
        <w:pStyle w:val="28"/>
        <w:widowControl/>
        <w:spacing w:before="100" w:after="100"/>
        <w:jc w:val="center"/>
        <w:rPr>
          <w:rFonts w:hint="eastAsia" w:ascii="黑体" w:hAnsi="黑体" w:eastAsia="黑体" w:cs="黑体"/>
          <w:b/>
          <w:sz w:val="56"/>
          <w:szCs w:val="56"/>
        </w:rPr>
      </w:pPr>
    </w:p>
    <w:p>
      <w:pPr>
        <w:pStyle w:val="28"/>
        <w:widowControl/>
        <w:spacing w:before="100" w:after="100"/>
        <w:jc w:val="center"/>
        <w:rPr>
          <w:rFonts w:hint="eastAsia" w:ascii="黑体" w:hAnsi="黑体" w:eastAsia="黑体" w:cs="黑体"/>
          <w:b/>
          <w:color w:val="auto"/>
          <w:sz w:val="56"/>
          <w:szCs w:val="56"/>
        </w:rPr>
      </w:pPr>
      <w:r>
        <w:rPr>
          <w:rFonts w:ascii="黑体" w:hAnsi="黑体" w:eastAsia="黑体" w:cs="黑体"/>
          <w:b/>
          <w:color w:val="auto"/>
          <w:sz w:val="56"/>
          <w:szCs w:val="56"/>
        </w:rPr>
        <w:t>第一部分</w:t>
      </w:r>
      <w:bookmarkEnd w:id="0"/>
      <w:bookmarkEnd w:id="1"/>
      <w:bookmarkEnd w:id="2"/>
      <w:bookmarkEnd w:id="3"/>
      <w:bookmarkStart w:id="5" w:name="_Toc256000001"/>
      <w:bookmarkStart w:id="6" w:name="_Toc256000032"/>
      <w:bookmarkStart w:id="7" w:name="_Toc256000063"/>
      <w:bookmarkStart w:id="8" w:name="_Toc256000094"/>
    </w:p>
    <w:p>
      <w:pPr>
        <w:pStyle w:val="28"/>
        <w:widowControl/>
        <w:spacing w:before="100" w:after="100"/>
        <w:jc w:val="center"/>
        <w:rPr>
          <w:rFonts w:eastAsia="Times New Roman"/>
          <w:b/>
          <w:bCs/>
          <w:color w:val="auto"/>
          <w:kern w:val="0"/>
          <w:sz w:val="36"/>
          <w:szCs w:val="36"/>
        </w:rPr>
      </w:pPr>
      <w:r>
        <w:rPr>
          <w:rFonts w:ascii="黑体" w:hAnsi="黑体" w:eastAsia="黑体" w:cs="黑体"/>
          <w:b/>
          <w:color w:val="auto"/>
          <w:sz w:val="56"/>
          <w:szCs w:val="56"/>
        </w:rPr>
        <w:t>单位概况</w:t>
      </w:r>
      <w:bookmarkEnd w:id="5"/>
      <w:bookmarkEnd w:id="6"/>
      <w:bookmarkEnd w:id="7"/>
      <w:bookmarkEnd w:id="8"/>
    </w:p>
    <w:p>
      <w:pPr>
        <w:pStyle w:val="29"/>
        <w:widowControl/>
        <w:spacing w:before="100" w:after="100"/>
        <w:jc w:val="center"/>
        <w:rPr>
          <w:rFonts w:eastAsia="Times New Roman"/>
          <w:kern w:val="0"/>
          <w:sz w:val="24"/>
        </w:rPr>
      </w:pPr>
    </w:p>
    <w:p>
      <w:pPr>
        <w:widowControl/>
        <w:jc w:val="left"/>
        <w:rPr>
          <w:rFonts w:ascii="黑体" w:hAnsi="黑体" w:eastAsia="黑体" w:cs="黑体"/>
          <w:b/>
          <w:bCs/>
          <w:kern w:val="0"/>
          <w:sz w:val="32"/>
          <w:szCs w:val="32"/>
        </w:rPr>
      </w:pPr>
      <w:bookmarkStart w:id="9" w:name="_Toc256000002"/>
      <w:bookmarkStart w:id="10" w:name="_Toc256000033"/>
      <w:bookmarkStart w:id="11" w:name="_Toc256000064"/>
      <w:bookmarkStart w:id="12" w:name="_Toc256000095"/>
      <w:r>
        <w:rPr>
          <w:rFonts w:ascii="黑体" w:hAnsi="黑体" w:eastAsia="黑体" w:cs="黑体"/>
          <w:b/>
        </w:rPr>
        <w:br w:type="page"/>
      </w:r>
    </w:p>
    <w:p>
      <w:pPr>
        <w:pStyle w:val="5"/>
        <w:keepNext w:val="0"/>
        <w:keepLines w:val="0"/>
        <w:spacing w:before="100" w:after="100" w:line="240" w:lineRule="auto"/>
        <w:ind w:firstLine="640"/>
        <w:rPr>
          <w:rFonts w:eastAsia="Times New Roman"/>
          <w:b/>
          <w:sz w:val="28"/>
          <w:szCs w:val="28"/>
        </w:rPr>
      </w:pPr>
      <w:r>
        <w:rPr>
          <w:rFonts w:ascii="黑体" w:hAnsi="黑体" w:eastAsia="黑体" w:cs="黑体"/>
          <w:b/>
        </w:rPr>
        <w:t>一、单位主要职责</w:t>
      </w:r>
      <w:bookmarkEnd w:id="9"/>
      <w:bookmarkEnd w:id="10"/>
      <w:bookmarkEnd w:id="11"/>
      <w:bookmarkEnd w:id="12"/>
    </w:p>
    <w:p>
      <w:pPr>
        <w:pStyle w:val="28"/>
        <w:widowControl/>
        <w:spacing w:before="100" w:after="100" w:line="600" w:lineRule="atLeast"/>
        <w:ind w:firstLine="640"/>
        <w:jc w:val="left"/>
        <w:rPr>
          <w:rFonts w:ascii="仿宋" w:hAnsi="仿宋" w:eastAsia="仿宋" w:cs="仿宋"/>
          <w:kern w:val="0"/>
          <w:sz w:val="32"/>
          <w:szCs w:val="32"/>
        </w:rPr>
      </w:pPr>
      <w:bookmarkStart w:id="13" w:name="_Toc256000065"/>
      <w:bookmarkStart w:id="14" w:name="_Toc256000034"/>
      <w:bookmarkStart w:id="15" w:name="_Toc256000003"/>
      <w:bookmarkStart w:id="16" w:name="_Toc256000096"/>
      <w:r>
        <w:rPr>
          <w:rFonts w:ascii="仿宋" w:hAnsi="仿宋" w:eastAsia="仿宋" w:cs="仿宋"/>
          <w:kern w:val="0"/>
          <w:sz w:val="32"/>
          <w:szCs w:val="32"/>
        </w:rPr>
        <w:t>厦门外国语学校湖里分校单位的主要职责是：</w:t>
      </w:r>
    </w:p>
    <w:p>
      <w:pPr>
        <w:spacing w:line="555" w:lineRule="exact"/>
        <w:ind w:firstLine="640" w:firstLineChars="200"/>
        <w:rPr>
          <w:rFonts w:ascii="仿宋" w:hAnsi="仿宋" w:eastAsia="仿宋" w:cs="仿宋"/>
          <w:kern w:val="0"/>
          <w:sz w:val="32"/>
          <w:szCs w:val="32"/>
        </w:rPr>
      </w:pPr>
      <w:r>
        <w:rPr>
          <w:rFonts w:hint="eastAsia" w:ascii="仿宋" w:hAnsi="仿宋" w:eastAsia="仿宋" w:cs="仿宋"/>
          <w:kern w:val="0"/>
          <w:sz w:val="32"/>
          <w:szCs w:val="32"/>
        </w:rPr>
        <w:t>（一）实施初中义务教育。</w:t>
      </w:r>
    </w:p>
    <w:p>
      <w:pPr>
        <w:spacing w:line="555" w:lineRule="exact"/>
        <w:rPr>
          <w:rFonts w:ascii="仿宋" w:hAnsi="仿宋" w:eastAsia="仿宋" w:cs="仿宋"/>
          <w:kern w:val="0"/>
          <w:sz w:val="32"/>
          <w:szCs w:val="32"/>
        </w:rPr>
      </w:pPr>
      <w:r>
        <w:rPr>
          <w:rFonts w:hint="eastAsia" w:ascii="仿宋" w:hAnsi="仿宋" w:eastAsia="仿宋" w:cs="仿宋"/>
          <w:kern w:val="0"/>
          <w:sz w:val="32"/>
          <w:szCs w:val="32"/>
        </w:rPr>
        <w:t>　　（二）促进基础教育发展。</w:t>
      </w:r>
    </w:p>
    <w:p>
      <w:pPr>
        <w:spacing w:line="555" w:lineRule="exact"/>
        <w:rPr>
          <w:rFonts w:ascii="仿宋" w:hAnsi="仿宋" w:eastAsia="仿宋" w:cs="仿宋"/>
          <w:kern w:val="0"/>
          <w:sz w:val="32"/>
          <w:szCs w:val="32"/>
        </w:rPr>
      </w:pPr>
      <w:r>
        <w:rPr>
          <w:rFonts w:hint="eastAsia" w:ascii="仿宋" w:hAnsi="仿宋" w:eastAsia="仿宋" w:cs="仿宋"/>
          <w:kern w:val="0"/>
          <w:sz w:val="32"/>
          <w:szCs w:val="32"/>
        </w:rPr>
        <w:t>　　（三）进行初中学历教育。</w:t>
      </w:r>
    </w:p>
    <w:p>
      <w:pPr>
        <w:pStyle w:val="5"/>
        <w:keepNext w:val="0"/>
        <w:keepLines w:val="0"/>
        <w:spacing w:before="100" w:after="100" w:line="600" w:lineRule="atLeast"/>
        <w:ind w:firstLine="640" w:firstLineChars="0"/>
        <w:rPr>
          <w:rFonts w:eastAsia="Times New Roman"/>
          <w:b/>
          <w:sz w:val="28"/>
          <w:szCs w:val="28"/>
        </w:rPr>
      </w:pPr>
      <w:r>
        <w:rPr>
          <w:rFonts w:ascii="黑体" w:hAnsi="黑体" w:eastAsia="黑体" w:cs="黑体"/>
          <w:b/>
        </w:rPr>
        <w:t>二、单位基本情况</w:t>
      </w:r>
      <w:bookmarkEnd w:id="13"/>
      <w:bookmarkEnd w:id="14"/>
      <w:bookmarkEnd w:id="15"/>
      <w:bookmarkEnd w:id="16"/>
    </w:p>
    <w:p>
      <w:pPr>
        <w:pStyle w:val="28"/>
        <w:widowControl/>
        <w:spacing w:before="100" w:after="100" w:line="600" w:lineRule="atLeast"/>
        <w:ind w:firstLine="640"/>
        <w:jc w:val="left"/>
        <w:rPr>
          <w:rFonts w:ascii="仿宋" w:hAnsi="仿宋" w:eastAsia="仿宋" w:cs="仿宋"/>
          <w:color w:val="auto"/>
          <w:kern w:val="0"/>
          <w:sz w:val="32"/>
          <w:szCs w:val="32"/>
        </w:rPr>
      </w:pPr>
      <w:bookmarkStart w:id="17" w:name="_Toc256000035"/>
      <w:bookmarkStart w:id="18" w:name="_Toc256000004"/>
      <w:bookmarkStart w:id="19" w:name="_Toc256000097"/>
      <w:bookmarkStart w:id="20" w:name="_Toc256000066"/>
      <w:r>
        <w:rPr>
          <w:rFonts w:hint="eastAsia" w:ascii="仿宋" w:hAnsi="仿宋" w:eastAsia="仿宋" w:cs="仿宋"/>
          <w:color w:val="auto"/>
          <w:kern w:val="0"/>
          <w:sz w:val="32"/>
          <w:szCs w:val="32"/>
        </w:rPr>
        <w:t>从决算单位构成看，厦门外国语学校湖里分校包括 6个</w:t>
      </w:r>
      <w:r>
        <w:rPr>
          <w:rFonts w:ascii="仿宋" w:hAnsi="仿宋" w:eastAsia="仿宋" w:cs="仿宋"/>
          <w:color w:val="auto"/>
          <w:kern w:val="0"/>
          <w:sz w:val="32"/>
          <w:szCs w:val="32"/>
        </w:rPr>
        <w:t>内设机构，其中：列入2024年决算编制范围的单位详细情况见下表:</w:t>
      </w:r>
    </w:p>
    <w:tbl>
      <w:tblPr>
        <w:tblStyle w:val="22"/>
        <w:tblW w:w="90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3164"/>
        <w:gridCol w:w="59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54" w:hRule="atLeast"/>
          <w:tblHeader/>
        </w:trPr>
        <w:tc>
          <w:tcPr>
            <w:tcW w:w="3164" w:type="dxa"/>
            <w:tcMar>
              <w:top w:w="22" w:type="dxa"/>
              <w:left w:w="22" w:type="dxa"/>
              <w:bottom w:w="22" w:type="dxa"/>
              <w:right w:w="22" w:type="dxa"/>
            </w:tcMar>
            <w:vAlign w:val="center"/>
          </w:tcPr>
          <w:p>
            <w:pPr>
              <w:widowControl/>
              <w:ind w:firstLine="640"/>
              <w:jc w:val="center"/>
              <w:rPr>
                <w:rFonts w:ascii="仿宋" w:hAnsi="仿宋" w:eastAsia="仿宋" w:cs="仿宋"/>
                <w:b/>
                <w:bCs/>
                <w:color w:val="auto"/>
                <w:kern w:val="0"/>
                <w:sz w:val="24"/>
              </w:rPr>
            </w:pPr>
            <w:r>
              <w:rPr>
                <w:rFonts w:ascii="仿宋" w:hAnsi="仿宋" w:eastAsia="仿宋" w:cs="仿宋"/>
                <w:b/>
                <w:bCs/>
                <w:color w:val="auto"/>
                <w:kern w:val="0"/>
                <w:sz w:val="24"/>
              </w:rPr>
              <w:t>序号</w:t>
            </w:r>
          </w:p>
        </w:tc>
        <w:tc>
          <w:tcPr>
            <w:tcW w:w="5906" w:type="dxa"/>
            <w:tcMar>
              <w:top w:w="22" w:type="dxa"/>
              <w:left w:w="22" w:type="dxa"/>
              <w:bottom w:w="22" w:type="dxa"/>
              <w:right w:w="22" w:type="dxa"/>
            </w:tcMar>
            <w:vAlign w:val="center"/>
          </w:tcPr>
          <w:p>
            <w:pPr>
              <w:widowControl/>
              <w:ind w:firstLine="640"/>
              <w:jc w:val="center"/>
              <w:rPr>
                <w:rFonts w:ascii="仿宋" w:hAnsi="仿宋" w:eastAsia="仿宋" w:cs="仿宋"/>
                <w:b/>
                <w:bCs/>
                <w:color w:val="auto"/>
                <w:kern w:val="0"/>
                <w:sz w:val="24"/>
              </w:rPr>
            </w:pPr>
            <w:r>
              <w:rPr>
                <w:rFonts w:ascii="仿宋" w:hAnsi="仿宋" w:eastAsia="仿宋" w:cs="仿宋"/>
                <w:b/>
                <w:bCs/>
                <w:color w:val="auto"/>
                <w:kern w:val="0"/>
                <w:sz w:val="24"/>
              </w:rPr>
              <w:t>单位名称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317" w:hRule="atLeast"/>
          <w:tblHeader/>
        </w:trPr>
        <w:tc>
          <w:tcPr>
            <w:tcW w:w="3164" w:type="dxa"/>
            <w:tcMar>
              <w:top w:w="22" w:type="dxa"/>
              <w:left w:w="22" w:type="dxa"/>
              <w:bottom w:w="22" w:type="dxa"/>
              <w:right w:w="22" w:type="dxa"/>
            </w:tcMar>
            <w:vAlign w:val="center"/>
          </w:tcPr>
          <w:p>
            <w:pPr>
              <w:widowControl/>
              <w:ind w:firstLine="640"/>
              <w:jc w:val="center"/>
              <w:rPr>
                <w:rFonts w:ascii="仿宋" w:hAnsi="仿宋" w:eastAsia="仿宋" w:cs="仿宋"/>
                <w:b/>
                <w:bCs/>
                <w:color w:val="auto"/>
                <w:kern w:val="0"/>
                <w:sz w:val="24"/>
              </w:rPr>
            </w:pPr>
            <w:r>
              <w:rPr>
                <w:rFonts w:hint="eastAsia" w:ascii="仿宋" w:hAnsi="仿宋" w:eastAsia="仿宋" w:cs="仿宋"/>
                <w:b/>
                <w:bCs/>
                <w:color w:val="auto"/>
                <w:kern w:val="0"/>
                <w:sz w:val="24"/>
              </w:rPr>
              <w:t>1</w:t>
            </w:r>
          </w:p>
        </w:tc>
        <w:tc>
          <w:tcPr>
            <w:tcW w:w="5906" w:type="dxa"/>
            <w:tcMar>
              <w:top w:w="22" w:type="dxa"/>
              <w:left w:w="22" w:type="dxa"/>
              <w:bottom w:w="22" w:type="dxa"/>
              <w:right w:w="22" w:type="dxa"/>
            </w:tcMar>
            <w:vAlign w:val="center"/>
          </w:tcPr>
          <w:p>
            <w:pPr>
              <w:widowControl/>
              <w:ind w:firstLine="640"/>
              <w:jc w:val="center"/>
              <w:rPr>
                <w:rFonts w:ascii="仿宋" w:hAnsi="仿宋" w:eastAsia="仿宋" w:cs="仿宋"/>
                <w:b/>
                <w:bCs/>
                <w:color w:val="auto"/>
                <w:kern w:val="0"/>
                <w:sz w:val="24"/>
              </w:rPr>
            </w:pPr>
            <w:r>
              <w:rPr>
                <w:rFonts w:hint="eastAsia" w:ascii="仿宋" w:hAnsi="仿宋" w:eastAsia="仿宋" w:cs="仿宋"/>
                <w:b/>
                <w:bCs/>
                <w:color w:val="auto"/>
                <w:kern w:val="0"/>
                <w:sz w:val="24"/>
              </w:rPr>
              <w:t>厦门外国语学校湖里分校</w:t>
            </w:r>
          </w:p>
        </w:tc>
      </w:tr>
    </w:tbl>
    <w:p>
      <w:pPr>
        <w:pStyle w:val="5"/>
        <w:keepNext w:val="0"/>
        <w:keepLines w:val="0"/>
        <w:spacing w:before="100" w:after="100" w:line="600" w:lineRule="atLeast"/>
        <w:ind w:firstLine="640" w:firstLineChars="0"/>
        <w:rPr>
          <w:rFonts w:eastAsia="Times New Roman"/>
          <w:b/>
          <w:sz w:val="28"/>
          <w:szCs w:val="28"/>
        </w:rPr>
      </w:pPr>
      <w:r>
        <w:rPr>
          <w:rFonts w:ascii="黑体" w:hAnsi="黑体" w:eastAsia="黑体" w:cs="黑体"/>
          <w:b/>
        </w:rPr>
        <w:t>三、单位主要工作总结</w:t>
      </w:r>
      <w:bookmarkEnd w:id="17"/>
      <w:bookmarkEnd w:id="18"/>
      <w:bookmarkEnd w:id="19"/>
      <w:bookmarkEnd w:id="20"/>
    </w:p>
    <w:p>
      <w:pPr>
        <w:pStyle w:val="28"/>
        <w:widowControl/>
        <w:spacing w:before="100" w:after="100" w:line="600" w:lineRule="atLeast"/>
        <w:ind w:firstLine="640"/>
        <w:jc w:val="left"/>
        <w:rPr>
          <w:rFonts w:ascii="仿宋" w:hAnsi="仿宋" w:eastAsia="仿宋" w:cs="仿宋"/>
          <w:kern w:val="0"/>
          <w:sz w:val="32"/>
          <w:szCs w:val="32"/>
        </w:rPr>
      </w:pPr>
      <w:r>
        <w:rPr>
          <w:rFonts w:hint="eastAsia" w:ascii="仿宋" w:hAnsi="仿宋" w:eastAsia="仿宋" w:cs="仿宋"/>
          <w:kern w:val="0"/>
          <w:sz w:val="32"/>
          <w:szCs w:val="32"/>
        </w:rPr>
        <w:t>2024年，厦门外国语学校湖里分校单位主要任务是：</w:t>
      </w:r>
      <w:r>
        <w:rPr>
          <w:rFonts w:hint="eastAsia" w:ascii="仿宋" w:hAnsi="仿宋" w:eastAsia="仿宋" w:cs="仿宋"/>
          <w:sz w:val="32"/>
          <w:szCs w:val="32"/>
        </w:rPr>
        <w:t>务实创新，落实学校党建和党风廉政建设等工作。</w:t>
      </w:r>
      <w:r>
        <w:rPr>
          <w:rFonts w:hint="eastAsia" w:ascii="仿宋" w:hAnsi="仿宋" w:eastAsia="仿宋" w:cs="仿宋"/>
          <w:kern w:val="0"/>
          <w:sz w:val="32"/>
          <w:szCs w:val="32"/>
        </w:rPr>
        <w:t>围绕上述任务，重点完成了以下工作：</w:t>
      </w:r>
    </w:p>
    <w:p>
      <w:pPr>
        <w:pStyle w:val="28"/>
        <w:widowControl/>
        <w:spacing w:before="100" w:after="100" w:line="600" w:lineRule="atLeast"/>
        <w:ind w:firstLine="640"/>
        <w:jc w:val="left"/>
        <w:rPr>
          <w:rFonts w:ascii="仿宋" w:hAnsi="仿宋" w:eastAsia="仿宋" w:cs="仿宋"/>
          <w:kern w:val="0"/>
          <w:sz w:val="32"/>
          <w:szCs w:val="32"/>
        </w:rPr>
      </w:pPr>
      <w:r>
        <w:rPr>
          <w:rFonts w:hint="eastAsia" w:ascii="仿宋" w:hAnsi="仿宋" w:eastAsia="仿宋" w:cs="仿宋"/>
          <w:kern w:val="0"/>
          <w:sz w:val="32"/>
          <w:szCs w:val="32"/>
        </w:rPr>
        <w:t>（一）坚持以政治建设为引领，坚决扛起主体责任。</w:t>
      </w:r>
    </w:p>
    <w:p>
      <w:pPr>
        <w:pStyle w:val="28"/>
        <w:widowControl/>
        <w:spacing w:before="100" w:after="100" w:line="600" w:lineRule="atLeast"/>
        <w:ind w:firstLine="640"/>
        <w:jc w:val="left"/>
        <w:rPr>
          <w:rFonts w:ascii="仿宋" w:hAnsi="仿宋" w:eastAsia="仿宋" w:cs="仿宋"/>
          <w:kern w:val="0"/>
          <w:sz w:val="32"/>
          <w:szCs w:val="32"/>
        </w:rPr>
      </w:pPr>
      <w:r>
        <w:rPr>
          <w:rFonts w:hint="eastAsia" w:ascii="仿宋" w:hAnsi="仿宋" w:eastAsia="仿宋" w:cs="仿宋"/>
          <w:kern w:val="0"/>
          <w:sz w:val="32"/>
          <w:szCs w:val="32"/>
        </w:rPr>
        <w:t>（二）坚持以思想建设为核心，扎实开展主题教育。</w:t>
      </w:r>
    </w:p>
    <w:p>
      <w:pPr>
        <w:pStyle w:val="28"/>
        <w:widowControl/>
        <w:spacing w:before="100" w:after="100" w:line="600" w:lineRule="atLeast"/>
        <w:ind w:firstLine="640"/>
        <w:jc w:val="left"/>
        <w:rPr>
          <w:rFonts w:ascii="仿宋" w:hAnsi="仿宋" w:eastAsia="仿宋" w:cs="仿宋"/>
          <w:kern w:val="0"/>
          <w:sz w:val="32"/>
          <w:szCs w:val="32"/>
        </w:rPr>
      </w:pPr>
      <w:r>
        <w:rPr>
          <w:rFonts w:hint="eastAsia" w:ascii="仿宋" w:hAnsi="仿宋" w:eastAsia="仿宋" w:cs="仿宋"/>
          <w:kern w:val="0"/>
          <w:sz w:val="32"/>
          <w:szCs w:val="32"/>
        </w:rPr>
        <w:t>（三）坚持以组织建设为目标，夯实党建工作基础。</w:t>
      </w:r>
    </w:p>
    <w:p>
      <w:pPr>
        <w:pStyle w:val="28"/>
        <w:widowControl/>
        <w:spacing w:before="100" w:after="100" w:line="600" w:lineRule="atLeast"/>
        <w:ind w:firstLine="640"/>
        <w:jc w:val="left"/>
        <w:rPr>
          <w:rFonts w:ascii="仿宋" w:hAnsi="仿宋" w:eastAsia="仿宋" w:cs="仿宋"/>
          <w:kern w:val="0"/>
          <w:sz w:val="32"/>
          <w:szCs w:val="32"/>
        </w:rPr>
      </w:pPr>
      <w:r>
        <w:rPr>
          <w:rFonts w:hint="eastAsia" w:ascii="仿宋" w:hAnsi="仿宋" w:eastAsia="仿宋" w:cs="仿宋"/>
          <w:kern w:val="0"/>
          <w:sz w:val="32"/>
          <w:szCs w:val="32"/>
        </w:rPr>
        <w:t>（四）坚持以作风建设为抓手，贯彻全面从严治党。</w:t>
      </w:r>
    </w:p>
    <w:p>
      <w:pPr>
        <w:pStyle w:val="28"/>
        <w:widowControl/>
        <w:spacing w:before="100" w:after="100" w:line="600" w:lineRule="atLeast"/>
        <w:ind w:firstLine="640"/>
        <w:jc w:val="left"/>
        <w:rPr>
          <w:rFonts w:ascii="仿宋" w:hAnsi="仿宋" w:eastAsia="仿宋" w:cs="仿宋"/>
          <w:kern w:val="0"/>
          <w:sz w:val="32"/>
          <w:szCs w:val="32"/>
        </w:rPr>
        <w:sectPr>
          <w:footerReference r:id="rId5" w:type="default"/>
          <w:pgSz w:w="11906" w:h="16383"/>
          <w:pgMar w:top="720" w:right="1440" w:bottom="720" w:left="1440" w:header="720" w:footer="720" w:gutter="0"/>
          <w:cols w:space="720" w:num="1"/>
        </w:sectPr>
      </w:pPr>
      <w:r>
        <w:rPr>
          <w:rFonts w:hint="eastAsia" w:ascii="仿宋" w:hAnsi="仿宋" w:eastAsia="仿宋" w:cs="仿宋"/>
          <w:kern w:val="0"/>
          <w:sz w:val="32"/>
          <w:szCs w:val="32"/>
        </w:rPr>
        <w:t>（五）坚持以问题整改为契机，擦亮学校党建品牌</w:t>
      </w:r>
    </w:p>
    <w:p>
      <w:pPr>
        <w:pStyle w:val="3"/>
        <w:keepNext w:val="0"/>
        <w:keepLines w:val="0"/>
        <w:spacing w:before="100" w:after="100" w:line="240" w:lineRule="auto"/>
        <w:ind w:firstLine="0" w:firstLineChars="0"/>
        <w:jc w:val="center"/>
        <w:rPr>
          <w:rFonts w:hint="eastAsia" w:ascii="黑体" w:hAnsi="黑体" w:eastAsia="黑体" w:cs="黑体"/>
          <w:b/>
          <w:sz w:val="56"/>
          <w:szCs w:val="56"/>
        </w:rPr>
      </w:pPr>
      <w:bookmarkStart w:id="21" w:name="_Toc256000036"/>
      <w:bookmarkStart w:id="22" w:name="_Toc256000005"/>
      <w:bookmarkStart w:id="23" w:name="_Toc256000098"/>
      <w:bookmarkStart w:id="24" w:name="_Toc256000067"/>
    </w:p>
    <w:p>
      <w:pPr>
        <w:pStyle w:val="3"/>
        <w:keepNext w:val="0"/>
        <w:keepLines w:val="0"/>
        <w:spacing w:before="100" w:after="100" w:line="240" w:lineRule="auto"/>
        <w:ind w:firstLine="0" w:firstLineChars="0"/>
        <w:jc w:val="center"/>
        <w:rPr>
          <w:rFonts w:hint="eastAsia" w:ascii="黑体" w:hAnsi="黑体" w:eastAsia="黑体" w:cs="黑体"/>
          <w:b/>
          <w:sz w:val="56"/>
          <w:szCs w:val="56"/>
        </w:rPr>
      </w:pPr>
    </w:p>
    <w:p>
      <w:pPr>
        <w:pStyle w:val="3"/>
        <w:keepNext w:val="0"/>
        <w:keepLines w:val="0"/>
        <w:spacing w:before="100" w:after="100" w:line="240" w:lineRule="auto"/>
        <w:ind w:firstLine="0" w:firstLineChars="0"/>
        <w:jc w:val="center"/>
        <w:rPr>
          <w:rFonts w:hint="eastAsia" w:ascii="黑体" w:hAnsi="黑体" w:eastAsia="黑体" w:cs="黑体"/>
          <w:b/>
          <w:sz w:val="56"/>
          <w:szCs w:val="56"/>
        </w:rPr>
      </w:pPr>
    </w:p>
    <w:p>
      <w:pPr>
        <w:pStyle w:val="3"/>
        <w:keepNext w:val="0"/>
        <w:keepLines w:val="0"/>
        <w:spacing w:before="100" w:after="100" w:line="240" w:lineRule="auto"/>
        <w:ind w:firstLine="0" w:firstLineChars="0"/>
        <w:jc w:val="center"/>
        <w:rPr>
          <w:rFonts w:hint="eastAsia" w:ascii="黑体" w:hAnsi="黑体" w:eastAsia="黑体" w:cs="黑体"/>
          <w:b/>
          <w:sz w:val="56"/>
          <w:szCs w:val="56"/>
        </w:rPr>
      </w:pPr>
    </w:p>
    <w:p>
      <w:pPr>
        <w:pStyle w:val="3"/>
        <w:keepNext w:val="0"/>
        <w:keepLines w:val="0"/>
        <w:spacing w:before="100" w:after="100" w:line="240" w:lineRule="auto"/>
        <w:ind w:firstLine="0" w:firstLineChars="0"/>
        <w:jc w:val="center"/>
        <w:rPr>
          <w:rFonts w:hint="eastAsia" w:ascii="黑体" w:hAnsi="黑体" w:eastAsia="黑体" w:cs="黑体"/>
          <w:b/>
          <w:sz w:val="56"/>
          <w:szCs w:val="56"/>
        </w:rPr>
      </w:pPr>
    </w:p>
    <w:p>
      <w:pPr>
        <w:pStyle w:val="3"/>
        <w:keepNext w:val="0"/>
        <w:keepLines w:val="0"/>
        <w:spacing w:before="100" w:after="100" w:line="240" w:lineRule="auto"/>
        <w:ind w:firstLine="0" w:firstLineChars="0"/>
        <w:jc w:val="center"/>
        <w:rPr>
          <w:rFonts w:hint="eastAsia" w:ascii="黑体" w:hAnsi="黑体" w:eastAsia="黑体" w:cs="黑体"/>
          <w:b/>
          <w:sz w:val="56"/>
          <w:szCs w:val="56"/>
        </w:rPr>
      </w:pPr>
      <w:r>
        <w:rPr>
          <w:rFonts w:ascii="黑体" w:hAnsi="黑体" w:eastAsia="黑体" w:cs="黑体"/>
          <w:b/>
          <w:sz w:val="56"/>
          <w:szCs w:val="56"/>
        </w:rPr>
        <w:t>第二部</w:t>
      </w:r>
      <w:bookmarkEnd w:id="21"/>
      <w:bookmarkEnd w:id="22"/>
      <w:bookmarkEnd w:id="23"/>
      <w:bookmarkEnd w:id="24"/>
      <w:bookmarkStart w:id="25" w:name="_Toc256000006"/>
      <w:bookmarkStart w:id="26" w:name="_Toc256000068"/>
      <w:bookmarkStart w:id="27" w:name="_Toc256000099"/>
      <w:bookmarkStart w:id="28" w:name="_Toc256000037"/>
      <w:r>
        <w:rPr>
          <w:rFonts w:hint="eastAsia" w:ascii="黑体" w:hAnsi="黑体" w:eastAsia="黑体" w:cs="黑体"/>
          <w:b/>
          <w:sz w:val="56"/>
          <w:szCs w:val="56"/>
        </w:rPr>
        <w:t xml:space="preserve">分 </w:t>
      </w:r>
    </w:p>
    <w:p>
      <w:pPr>
        <w:pStyle w:val="3"/>
        <w:keepNext w:val="0"/>
        <w:keepLines w:val="0"/>
        <w:spacing w:before="100" w:after="100" w:line="240" w:lineRule="auto"/>
        <w:ind w:firstLine="0" w:firstLineChars="0"/>
        <w:jc w:val="center"/>
        <w:rPr>
          <w:rFonts w:ascii="Times New Roman" w:hAnsi="Times New Roman" w:eastAsia="Times New Roman"/>
          <w:b/>
          <w:sz w:val="36"/>
          <w:szCs w:val="36"/>
        </w:rPr>
      </w:pPr>
      <w:r>
        <w:rPr>
          <w:rFonts w:ascii="黑体" w:hAnsi="黑体" w:eastAsia="黑体" w:cs="黑体"/>
          <w:b/>
          <w:sz w:val="56"/>
          <w:szCs w:val="56"/>
        </w:rPr>
        <w:t>2024年度决算表</w:t>
      </w:r>
      <w:bookmarkEnd w:id="25"/>
      <w:bookmarkEnd w:id="26"/>
      <w:bookmarkEnd w:id="27"/>
      <w:bookmarkEnd w:id="28"/>
    </w:p>
    <w:p>
      <w:pPr>
        <w:pStyle w:val="29"/>
        <w:widowControl/>
        <w:spacing w:before="100" w:after="100"/>
        <w:jc w:val="center"/>
        <w:rPr>
          <w:rFonts w:hint="eastAsia" w:eastAsia="Times New Roman"/>
          <w:kern w:val="0"/>
          <w:sz w:val="24"/>
        </w:rPr>
      </w:pPr>
    </w:p>
    <w:p>
      <w:pPr>
        <w:widowControl/>
        <w:jc w:val="left"/>
        <w:rPr>
          <w:rFonts w:eastAsia="Times New Roman"/>
          <w:kern w:val="0"/>
          <w:sz w:val="24"/>
        </w:rPr>
      </w:pPr>
      <w:r>
        <w:rPr>
          <w:rFonts w:eastAsia="Times New Roman"/>
          <w:kern w:val="0"/>
          <w:sz w:val="24"/>
        </w:rPr>
        <w:br w:type="page"/>
      </w:r>
    </w:p>
    <w:p>
      <w:pPr>
        <w:pStyle w:val="29"/>
        <w:widowControl/>
        <w:spacing w:before="100" w:after="100"/>
        <w:jc w:val="center"/>
        <w:rPr>
          <w:rFonts w:hint="eastAsia" w:eastAsia="Times New Roman"/>
          <w:kern w:val="0"/>
          <w:sz w:val="24"/>
        </w:rPr>
      </w:pPr>
    </w:p>
    <w:p>
      <w:pPr>
        <w:pStyle w:val="5"/>
        <w:keepNext w:val="0"/>
        <w:keepLines w:val="0"/>
        <w:numPr>
          <w:ilvl w:val="0"/>
          <w:numId w:val="1"/>
        </w:numPr>
        <w:spacing w:before="100" w:after="100" w:line="240" w:lineRule="auto"/>
        <w:ind w:firstLine="0" w:firstLineChars="0"/>
        <w:rPr>
          <w:rFonts w:ascii="黑体" w:hAnsi="黑体" w:eastAsia="黑体" w:cs="黑体"/>
          <w:b/>
        </w:rPr>
      </w:pPr>
      <w:bookmarkStart w:id="29" w:name="_Toc256000100"/>
      <w:bookmarkStart w:id="30" w:name="_Toc256000007"/>
      <w:bookmarkStart w:id="31" w:name="_Toc256000069"/>
      <w:bookmarkStart w:id="32" w:name="_Toc256000038"/>
      <w:r>
        <w:rPr>
          <w:rFonts w:ascii="黑体" w:hAnsi="黑体" w:eastAsia="黑体" w:cs="黑体"/>
          <w:b/>
        </w:rPr>
        <w:t>收入支出决算总表</w:t>
      </w:r>
      <w:bookmarkEnd w:id="29"/>
      <w:bookmarkEnd w:id="30"/>
      <w:bookmarkEnd w:id="31"/>
      <w:bookmarkEnd w:id="32"/>
    </w:p>
    <w:tbl>
      <w:tblPr>
        <w:tblStyle w:val="22"/>
        <w:tblpPr w:leftFromText="180" w:rightFromText="180" w:vertAnchor="text" w:horzAnchor="page" w:tblpX="1414" w:tblpY="380"/>
        <w:tblOverlap w:val="never"/>
        <w:tblW w:w="9596" w:type="dxa"/>
        <w:tblInd w:w="0" w:type="dxa"/>
        <w:tblLayout w:type="fixed"/>
        <w:tblCellMar>
          <w:top w:w="15" w:type="dxa"/>
          <w:left w:w="15" w:type="dxa"/>
          <w:bottom w:w="15" w:type="dxa"/>
          <w:right w:w="15" w:type="dxa"/>
        </w:tblCellMar>
      </w:tblPr>
      <w:tblGrid>
        <w:gridCol w:w="3345"/>
        <w:gridCol w:w="627"/>
        <w:gridCol w:w="888"/>
        <w:gridCol w:w="3144"/>
        <w:gridCol w:w="540"/>
        <w:gridCol w:w="1052"/>
      </w:tblGrid>
      <w:tr>
        <w:tblPrEx>
          <w:tblLayout w:type="fixed"/>
          <w:tblCellMar>
            <w:top w:w="15" w:type="dxa"/>
            <w:left w:w="15" w:type="dxa"/>
            <w:bottom w:w="15" w:type="dxa"/>
            <w:right w:w="15" w:type="dxa"/>
          </w:tblCellMar>
        </w:tblPrEx>
        <w:trPr>
          <w:trHeight w:val="567" w:hRule="atLeast"/>
          <w:tblHeader/>
        </w:trPr>
        <w:tc>
          <w:tcPr>
            <w:tcW w:w="9596" w:type="dxa"/>
            <w:gridSpan w:val="6"/>
            <w:tcMar>
              <w:top w:w="20" w:type="dxa"/>
              <w:left w:w="20" w:type="dxa"/>
              <w:bottom w:w="20" w:type="dxa"/>
              <w:right w:w="20" w:type="dxa"/>
            </w:tcMar>
            <w:vAlign w:val="center"/>
          </w:tcPr>
          <w:p>
            <w:pPr>
              <w:widowControl/>
              <w:spacing w:line="900" w:lineRule="atLeast"/>
              <w:jc w:val="center"/>
              <w:rPr>
                <w:rFonts w:eastAsia="Times New Roman"/>
                <w:color w:val="000000"/>
                <w:kern w:val="0"/>
                <w:sz w:val="20"/>
                <w:szCs w:val="20"/>
              </w:rPr>
            </w:pPr>
            <w:r>
              <w:rPr>
                <w:rFonts w:ascii="宋体" w:hAnsi="宋体" w:cs="宋体"/>
                <w:color w:val="000000"/>
                <w:kern w:val="0"/>
                <w:sz w:val="20"/>
                <w:szCs w:val="20"/>
              </w:rPr>
              <w:t>收入支出决算总表</w:t>
            </w:r>
          </w:p>
        </w:tc>
      </w:tr>
      <w:tr>
        <w:tblPrEx>
          <w:tblLayout w:type="fixed"/>
          <w:tblCellMar>
            <w:top w:w="15" w:type="dxa"/>
            <w:left w:w="15" w:type="dxa"/>
            <w:bottom w:w="15" w:type="dxa"/>
            <w:right w:w="15" w:type="dxa"/>
          </w:tblCellMar>
        </w:tblPrEx>
        <w:trPr>
          <w:tblHeader/>
        </w:trPr>
        <w:tc>
          <w:tcPr>
            <w:tcW w:w="3972" w:type="dxa"/>
            <w:gridSpan w:val="2"/>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0"/>
                <w:szCs w:val="20"/>
              </w:rPr>
            </w:pPr>
            <w:r>
              <w:rPr>
                <w:rFonts w:eastAsia="Times New Roman"/>
                <w:color w:val="000000"/>
                <w:kern w:val="0"/>
                <w:sz w:val="20"/>
                <w:szCs w:val="20"/>
              </w:rPr>
              <w:t> </w:t>
            </w:r>
          </w:p>
        </w:tc>
        <w:tc>
          <w:tcPr>
            <w:tcW w:w="888"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0"/>
                <w:szCs w:val="20"/>
              </w:rPr>
            </w:pPr>
            <w:r>
              <w:rPr>
                <w:rFonts w:eastAsia="Times New Roman"/>
                <w:color w:val="000000"/>
                <w:kern w:val="0"/>
                <w:sz w:val="20"/>
                <w:szCs w:val="20"/>
              </w:rPr>
              <w:t> </w:t>
            </w:r>
          </w:p>
        </w:tc>
        <w:tc>
          <w:tcPr>
            <w:tcW w:w="3144"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0"/>
                <w:szCs w:val="20"/>
              </w:rPr>
            </w:pPr>
            <w:r>
              <w:rPr>
                <w:rFonts w:eastAsia="Times New Roman"/>
                <w:color w:val="000000"/>
                <w:kern w:val="0"/>
                <w:sz w:val="20"/>
                <w:szCs w:val="20"/>
              </w:rPr>
              <w:t> </w:t>
            </w:r>
          </w:p>
        </w:tc>
        <w:tc>
          <w:tcPr>
            <w:tcW w:w="540"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0"/>
                <w:szCs w:val="20"/>
              </w:rPr>
            </w:pPr>
            <w:r>
              <w:rPr>
                <w:rFonts w:eastAsia="Times New Roman"/>
                <w:color w:val="000000"/>
                <w:kern w:val="0"/>
                <w:sz w:val="20"/>
                <w:szCs w:val="20"/>
              </w:rPr>
              <w:t> </w:t>
            </w:r>
          </w:p>
        </w:tc>
        <w:tc>
          <w:tcPr>
            <w:tcW w:w="1052"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rPr>
          <w:tblHeader/>
        </w:trPr>
        <w:tc>
          <w:tcPr>
            <w:tcW w:w="3345"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部门</w:t>
            </w:r>
            <w:r>
              <w:rPr>
                <w:rFonts w:eastAsia="Times New Roman"/>
                <w:color w:val="000000"/>
                <w:kern w:val="0"/>
                <w:sz w:val="20"/>
                <w:szCs w:val="20"/>
              </w:rPr>
              <w:t>/</w:t>
            </w:r>
            <w:r>
              <w:rPr>
                <w:rFonts w:ascii="宋体" w:hAnsi="宋体" w:cs="宋体"/>
                <w:color w:val="000000"/>
                <w:kern w:val="0"/>
                <w:sz w:val="20"/>
                <w:szCs w:val="20"/>
              </w:rPr>
              <w:t>单位：厦门外国语学校湖里分校</w:t>
            </w:r>
          </w:p>
        </w:tc>
        <w:tc>
          <w:tcPr>
            <w:tcW w:w="62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0"/>
                <w:szCs w:val="20"/>
              </w:rPr>
            </w:pPr>
            <w:r>
              <w:rPr>
                <w:rFonts w:eastAsia="Times New Roman"/>
                <w:color w:val="000000"/>
                <w:kern w:val="0"/>
                <w:sz w:val="20"/>
                <w:szCs w:val="20"/>
              </w:rPr>
              <w:t> </w:t>
            </w:r>
          </w:p>
        </w:tc>
        <w:tc>
          <w:tcPr>
            <w:tcW w:w="888"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0"/>
                <w:szCs w:val="20"/>
              </w:rPr>
            </w:pPr>
            <w:r>
              <w:rPr>
                <w:rFonts w:eastAsia="Times New Roman"/>
                <w:color w:val="000000"/>
                <w:kern w:val="0"/>
                <w:sz w:val="20"/>
                <w:szCs w:val="20"/>
              </w:rPr>
              <w:t> </w:t>
            </w:r>
          </w:p>
        </w:tc>
        <w:tc>
          <w:tcPr>
            <w:tcW w:w="3144"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2024</w:t>
            </w:r>
            <w:r>
              <w:rPr>
                <w:rFonts w:ascii="宋体" w:hAnsi="宋体" w:cs="宋体"/>
                <w:color w:val="000000"/>
                <w:kern w:val="0"/>
                <w:sz w:val="20"/>
                <w:szCs w:val="20"/>
              </w:rPr>
              <w:t>年度</w:t>
            </w:r>
          </w:p>
        </w:tc>
        <w:tc>
          <w:tcPr>
            <w:tcW w:w="540"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0"/>
                <w:szCs w:val="20"/>
              </w:rPr>
            </w:pPr>
            <w:r>
              <w:rPr>
                <w:rFonts w:eastAsia="Times New Roman"/>
                <w:color w:val="000000"/>
                <w:kern w:val="0"/>
                <w:sz w:val="20"/>
                <w:szCs w:val="20"/>
              </w:rPr>
              <w:t> </w:t>
            </w:r>
          </w:p>
        </w:tc>
        <w:tc>
          <w:tcPr>
            <w:tcW w:w="1052"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ascii="宋体" w:hAnsi="宋体" w:cs="宋体"/>
                <w:color w:val="000000"/>
                <w:kern w:val="0"/>
                <w:sz w:val="20"/>
                <w:szCs w:val="20"/>
              </w:rPr>
              <w:t>金额单位：万元</w:t>
            </w:r>
          </w:p>
        </w:tc>
      </w:tr>
      <w:tr>
        <w:tblPrEx>
          <w:tblLayout w:type="fixed"/>
          <w:tblCellMar>
            <w:top w:w="15" w:type="dxa"/>
            <w:left w:w="15" w:type="dxa"/>
            <w:bottom w:w="15" w:type="dxa"/>
            <w:right w:w="15" w:type="dxa"/>
          </w:tblCellMar>
        </w:tblPrEx>
        <w:tc>
          <w:tcPr>
            <w:tcW w:w="4860"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ascii="宋体" w:hAnsi="宋体" w:cs="宋体"/>
                <w:color w:val="000000"/>
                <w:kern w:val="0"/>
                <w:sz w:val="20"/>
                <w:szCs w:val="20"/>
              </w:rPr>
              <w:t>收入</w:t>
            </w:r>
          </w:p>
        </w:tc>
        <w:tc>
          <w:tcPr>
            <w:tcW w:w="4736"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ascii="宋体" w:hAnsi="宋体" w:cs="宋体"/>
                <w:color w:val="000000"/>
                <w:kern w:val="0"/>
                <w:sz w:val="20"/>
                <w:szCs w:val="20"/>
              </w:rPr>
              <w:t>支出</w:t>
            </w:r>
          </w:p>
        </w:tc>
      </w:tr>
      <w:tr>
        <w:tblPrEx>
          <w:tblLayout w:type="fixed"/>
          <w:tblCellMar>
            <w:top w:w="15" w:type="dxa"/>
            <w:left w:w="15" w:type="dxa"/>
            <w:bottom w:w="15" w:type="dxa"/>
            <w:right w:w="15" w:type="dxa"/>
          </w:tblCellMar>
        </w:tblPrEx>
        <w:tc>
          <w:tcPr>
            <w:tcW w:w="334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ascii="宋体" w:hAnsi="宋体" w:cs="宋体"/>
                <w:color w:val="000000"/>
                <w:kern w:val="0"/>
                <w:sz w:val="20"/>
                <w:szCs w:val="20"/>
              </w:rPr>
              <w:t>项目</w:t>
            </w:r>
          </w:p>
        </w:tc>
        <w:tc>
          <w:tcPr>
            <w:tcW w:w="6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ascii="宋体" w:hAnsi="宋体" w:cs="宋体"/>
                <w:color w:val="000000"/>
                <w:kern w:val="0"/>
                <w:sz w:val="20"/>
                <w:szCs w:val="20"/>
              </w:rPr>
              <w:t>行次</w:t>
            </w:r>
          </w:p>
        </w:tc>
        <w:tc>
          <w:tcPr>
            <w:tcW w:w="8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ascii="宋体" w:hAnsi="宋体" w:cs="宋体"/>
                <w:color w:val="000000"/>
                <w:kern w:val="0"/>
                <w:sz w:val="20"/>
                <w:szCs w:val="20"/>
              </w:rPr>
              <w:t>金额</w:t>
            </w:r>
          </w:p>
        </w:tc>
        <w:tc>
          <w:tcPr>
            <w:tcW w:w="31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ascii="宋体" w:hAnsi="宋体" w:cs="宋体"/>
                <w:color w:val="000000"/>
                <w:kern w:val="0"/>
                <w:sz w:val="20"/>
                <w:szCs w:val="20"/>
              </w:rPr>
              <w:t>项目</w:t>
            </w:r>
          </w:p>
        </w:tc>
        <w:tc>
          <w:tcPr>
            <w:tcW w:w="5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ascii="宋体" w:hAnsi="宋体" w:cs="宋体"/>
                <w:color w:val="000000"/>
                <w:kern w:val="0"/>
                <w:sz w:val="20"/>
                <w:szCs w:val="20"/>
              </w:rPr>
              <w:t>行次</w:t>
            </w:r>
          </w:p>
        </w:tc>
        <w:tc>
          <w:tcPr>
            <w:tcW w:w="105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ascii="宋体" w:hAnsi="宋体" w:cs="宋体"/>
                <w:color w:val="000000"/>
                <w:kern w:val="0"/>
                <w:sz w:val="20"/>
                <w:szCs w:val="20"/>
              </w:rPr>
              <w:t>金额</w:t>
            </w:r>
          </w:p>
        </w:tc>
      </w:tr>
      <w:tr>
        <w:tblPrEx>
          <w:tblLayout w:type="fixed"/>
          <w:tblCellMar>
            <w:top w:w="15" w:type="dxa"/>
            <w:left w:w="15" w:type="dxa"/>
            <w:bottom w:w="15" w:type="dxa"/>
            <w:right w:w="15" w:type="dxa"/>
          </w:tblCellMar>
        </w:tblPrEx>
        <w:tc>
          <w:tcPr>
            <w:tcW w:w="334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ascii="宋体" w:hAnsi="宋体" w:cs="宋体"/>
                <w:color w:val="000000"/>
                <w:kern w:val="0"/>
                <w:sz w:val="20"/>
                <w:szCs w:val="20"/>
              </w:rPr>
              <w:t>栏次</w:t>
            </w:r>
          </w:p>
        </w:tc>
        <w:tc>
          <w:tcPr>
            <w:tcW w:w="6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 </w:t>
            </w:r>
          </w:p>
        </w:tc>
        <w:tc>
          <w:tcPr>
            <w:tcW w:w="8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1</w:t>
            </w:r>
          </w:p>
        </w:tc>
        <w:tc>
          <w:tcPr>
            <w:tcW w:w="31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ascii="宋体" w:hAnsi="宋体" w:cs="宋体"/>
                <w:color w:val="000000"/>
                <w:kern w:val="0"/>
                <w:sz w:val="20"/>
                <w:szCs w:val="20"/>
              </w:rPr>
              <w:t>栏次</w:t>
            </w:r>
          </w:p>
        </w:tc>
        <w:tc>
          <w:tcPr>
            <w:tcW w:w="5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 </w:t>
            </w:r>
          </w:p>
        </w:tc>
        <w:tc>
          <w:tcPr>
            <w:tcW w:w="105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2</w:t>
            </w:r>
          </w:p>
        </w:tc>
      </w:tr>
      <w:tr>
        <w:tblPrEx>
          <w:tblLayout w:type="fixed"/>
          <w:tblCellMar>
            <w:top w:w="15" w:type="dxa"/>
            <w:left w:w="15" w:type="dxa"/>
            <w:bottom w:w="15" w:type="dxa"/>
            <w:right w:w="15" w:type="dxa"/>
          </w:tblCellMar>
        </w:tblPrEx>
        <w:tc>
          <w:tcPr>
            <w:tcW w:w="334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一、一般公共预算财政拨款收入</w:t>
            </w:r>
          </w:p>
        </w:tc>
        <w:tc>
          <w:tcPr>
            <w:tcW w:w="6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1</w:t>
            </w:r>
          </w:p>
        </w:tc>
        <w:tc>
          <w:tcPr>
            <w:tcW w:w="8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5,191.27</w:t>
            </w:r>
          </w:p>
        </w:tc>
        <w:tc>
          <w:tcPr>
            <w:tcW w:w="31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一、一般公共服务支出</w:t>
            </w:r>
          </w:p>
        </w:tc>
        <w:tc>
          <w:tcPr>
            <w:tcW w:w="5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32</w:t>
            </w:r>
          </w:p>
        </w:tc>
        <w:tc>
          <w:tcPr>
            <w:tcW w:w="105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c>
          <w:tcPr>
            <w:tcW w:w="334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二、政府性基金预算财政拨款收入</w:t>
            </w:r>
          </w:p>
        </w:tc>
        <w:tc>
          <w:tcPr>
            <w:tcW w:w="6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2</w:t>
            </w:r>
          </w:p>
        </w:tc>
        <w:tc>
          <w:tcPr>
            <w:tcW w:w="8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31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二、外交支出</w:t>
            </w:r>
            <w:r>
              <w:rPr>
                <w:rFonts w:eastAsia="Times New Roman"/>
                <w:color w:val="000000"/>
                <w:kern w:val="0"/>
                <w:sz w:val="20"/>
                <w:szCs w:val="20"/>
              </w:rPr>
              <w:t xml:space="preserve"> </w:t>
            </w:r>
          </w:p>
        </w:tc>
        <w:tc>
          <w:tcPr>
            <w:tcW w:w="5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33</w:t>
            </w:r>
          </w:p>
        </w:tc>
        <w:tc>
          <w:tcPr>
            <w:tcW w:w="105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c>
          <w:tcPr>
            <w:tcW w:w="334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三、国有资本经营预算财政拨款收入</w:t>
            </w:r>
          </w:p>
        </w:tc>
        <w:tc>
          <w:tcPr>
            <w:tcW w:w="6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3</w:t>
            </w:r>
          </w:p>
        </w:tc>
        <w:tc>
          <w:tcPr>
            <w:tcW w:w="8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31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三、国防支出</w:t>
            </w:r>
          </w:p>
        </w:tc>
        <w:tc>
          <w:tcPr>
            <w:tcW w:w="5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34</w:t>
            </w:r>
          </w:p>
        </w:tc>
        <w:tc>
          <w:tcPr>
            <w:tcW w:w="105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c>
          <w:tcPr>
            <w:tcW w:w="334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四、上级补助收入</w:t>
            </w:r>
          </w:p>
        </w:tc>
        <w:tc>
          <w:tcPr>
            <w:tcW w:w="6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4</w:t>
            </w:r>
          </w:p>
        </w:tc>
        <w:tc>
          <w:tcPr>
            <w:tcW w:w="8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31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四、公共安全支出</w:t>
            </w:r>
          </w:p>
        </w:tc>
        <w:tc>
          <w:tcPr>
            <w:tcW w:w="5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35</w:t>
            </w:r>
          </w:p>
        </w:tc>
        <w:tc>
          <w:tcPr>
            <w:tcW w:w="105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c>
          <w:tcPr>
            <w:tcW w:w="334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五、事业收入</w:t>
            </w:r>
          </w:p>
        </w:tc>
        <w:tc>
          <w:tcPr>
            <w:tcW w:w="6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5</w:t>
            </w:r>
          </w:p>
        </w:tc>
        <w:tc>
          <w:tcPr>
            <w:tcW w:w="8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31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五、教育支出</w:t>
            </w:r>
          </w:p>
        </w:tc>
        <w:tc>
          <w:tcPr>
            <w:tcW w:w="5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36</w:t>
            </w:r>
          </w:p>
        </w:tc>
        <w:tc>
          <w:tcPr>
            <w:tcW w:w="105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4,489.59</w:t>
            </w:r>
          </w:p>
        </w:tc>
      </w:tr>
      <w:tr>
        <w:tblPrEx>
          <w:tblLayout w:type="fixed"/>
          <w:tblCellMar>
            <w:top w:w="15" w:type="dxa"/>
            <w:left w:w="15" w:type="dxa"/>
            <w:bottom w:w="15" w:type="dxa"/>
            <w:right w:w="15" w:type="dxa"/>
          </w:tblCellMar>
        </w:tblPrEx>
        <w:tc>
          <w:tcPr>
            <w:tcW w:w="334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六、经营收入</w:t>
            </w:r>
          </w:p>
        </w:tc>
        <w:tc>
          <w:tcPr>
            <w:tcW w:w="6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6</w:t>
            </w:r>
          </w:p>
        </w:tc>
        <w:tc>
          <w:tcPr>
            <w:tcW w:w="8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31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六、科学技术支出</w:t>
            </w:r>
          </w:p>
        </w:tc>
        <w:tc>
          <w:tcPr>
            <w:tcW w:w="5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37</w:t>
            </w:r>
          </w:p>
        </w:tc>
        <w:tc>
          <w:tcPr>
            <w:tcW w:w="105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c>
          <w:tcPr>
            <w:tcW w:w="334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七、附属单位上缴收入</w:t>
            </w:r>
          </w:p>
        </w:tc>
        <w:tc>
          <w:tcPr>
            <w:tcW w:w="6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7</w:t>
            </w:r>
          </w:p>
        </w:tc>
        <w:tc>
          <w:tcPr>
            <w:tcW w:w="8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31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七、文化旅游体育与传媒支出</w:t>
            </w:r>
          </w:p>
        </w:tc>
        <w:tc>
          <w:tcPr>
            <w:tcW w:w="5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38</w:t>
            </w:r>
          </w:p>
        </w:tc>
        <w:tc>
          <w:tcPr>
            <w:tcW w:w="105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c>
          <w:tcPr>
            <w:tcW w:w="334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八、其他收入</w:t>
            </w:r>
          </w:p>
        </w:tc>
        <w:tc>
          <w:tcPr>
            <w:tcW w:w="6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8</w:t>
            </w:r>
          </w:p>
        </w:tc>
        <w:tc>
          <w:tcPr>
            <w:tcW w:w="8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31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八、社会保障和就业支出</w:t>
            </w:r>
          </w:p>
        </w:tc>
        <w:tc>
          <w:tcPr>
            <w:tcW w:w="5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39</w:t>
            </w:r>
          </w:p>
        </w:tc>
        <w:tc>
          <w:tcPr>
            <w:tcW w:w="105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469.12</w:t>
            </w:r>
          </w:p>
        </w:tc>
      </w:tr>
      <w:tr>
        <w:tblPrEx>
          <w:tblLayout w:type="fixed"/>
          <w:tblCellMar>
            <w:top w:w="15" w:type="dxa"/>
            <w:left w:w="15" w:type="dxa"/>
            <w:bottom w:w="15" w:type="dxa"/>
            <w:right w:w="15" w:type="dxa"/>
          </w:tblCellMar>
        </w:tblPrEx>
        <w:tc>
          <w:tcPr>
            <w:tcW w:w="334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 </w:t>
            </w:r>
          </w:p>
        </w:tc>
        <w:tc>
          <w:tcPr>
            <w:tcW w:w="6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9</w:t>
            </w:r>
          </w:p>
        </w:tc>
        <w:tc>
          <w:tcPr>
            <w:tcW w:w="8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 </w:t>
            </w:r>
          </w:p>
        </w:tc>
        <w:tc>
          <w:tcPr>
            <w:tcW w:w="31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九、卫生健康支出</w:t>
            </w:r>
          </w:p>
        </w:tc>
        <w:tc>
          <w:tcPr>
            <w:tcW w:w="5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40</w:t>
            </w:r>
          </w:p>
        </w:tc>
        <w:tc>
          <w:tcPr>
            <w:tcW w:w="105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181.49</w:t>
            </w:r>
          </w:p>
        </w:tc>
      </w:tr>
      <w:tr>
        <w:tblPrEx>
          <w:tblLayout w:type="fixed"/>
          <w:tblCellMar>
            <w:top w:w="15" w:type="dxa"/>
            <w:left w:w="15" w:type="dxa"/>
            <w:bottom w:w="15" w:type="dxa"/>
            <w:right w:w="15" w:type="dxa"/>
          </w:tblCellMar>
        </w:tblPrEx>
        <w:tc>
          <w:tcPr>
            <w:tcW w:w="334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 </w:t>
            </w:r>
          </w:p>
        </w:tc>
        <w:tc>
          <w:tcPr>
            <w:tcW w:w="6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10</w:t>
            </w:r>
          </w:p>
        </w:tc>
        <w:tc>
          <w:tcPr>
            <w:tcW w:w="8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31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十、节能环保支出</w:t>
            </w:r>
          </w:p>
        </w:tc>
        <w:tc>
          <w:tcPr>
            <w:tcW w:w="5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41</w:t>
            </w:r>
          </w:p>
        </w:tc>
        <w:tc>
          <w:tcPr>
            <w:tcW w:w="105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c>
          <w:tcPr>
            <w:tcW w:w="334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 </w:t>
            </w:r>
          </w:p>
        </w:tc>
        <w:tc>
          <w:tcPr>
            <w:tcW w:w="6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11</w:t>
            </w:r>
          </w:p>
        </w:tc>
        <w:tc>
          <w:tcPr>
            <w:tcW w:w="8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31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十一、城乡社区支出</w:t>
            </w:r>
          </w:p>
        </w:tc>
        <w:tc>
          <w:tcPr>
            <w:tcW w:w="5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42</w:t>
            </w:r>
          </w:p>
        </w:tc>
        <w:tc>
          <w:tcPr>
            <w:tcW w:w="105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c>
          <w:tcPr>
            <w:tcW w:w="334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 </w:t>
            </w:r>
          </w:p>
        </w:tc>
        <w:tc>
          <w:tcPr>
            <w:tcW w:w="6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12</w:t>
            </w:r>
          </w:p>
        </w:tc>
        <w:tc>
          <w:tcPr>
            <w:tcW w:w="8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31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十二、农林水支出</w:t>
            </w:r>
          </w:p>
        </w:tc>
        <w:tc>
          <w:tcPr>
            <w:tcW w:w="5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43</w:t>
            </w:r>
          </w:p>
        </w:tc>
        <w:tc>
          <w:tcPr>
            <w:tcW w:w="105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c>
          <w:tcPr>
            <w:tcW w:w="334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 </w:t>
            </w:r>
          </w:p>
        </w:tc>
        <w:tc>
          <w:tcPr>
            <w:tcW w:w="6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13</w:t>
            </w:r>
          </w:p>
        </w:tc>
        <w:tc>
          <w:tcPr>
            <w:tcW w:w="8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31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十三、交通运输支出</w:t>
            </w:r>
          </w:p>
        </w:tc>
        <w:tc>
          <w:tcPr>
            <w:tcW w:w="5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44</w:t>
            </w:r>
          </w:p>
        </w:tc>
        <w:tc>
          <w:tcPr>
            <w:tcW w:w="105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c>
          <w:tcPr>
            <w:tcW w:w="334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 </w:t>
            </w:r>
          </w:p>
        </w:tc>
        <w:tc>
          <w:tcPr>
            <w:tcW w:w="6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14</w:t>
            </w:r>
          </w:p>
        </w:tc>
        <w:tc>
          <w:tcPr>
            <w:tcW w:w="8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31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十四、资源勘探工业信息等支出</w:t>
            </w:r>
          </w:p>
        </w:tc>
        <w:tc>
          <w:tcPr>
            <w:tcW w:w="5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45</w:t>
            </w:r>
          </w:p>
        </w:tc>
        <w:tc>
          <w:tcPr>
            <w:tcW w:w="105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c>
          <w:tcPr>
            <w:tcW w:w="334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 </w:t>
            </w:r>
          </w:p>
        </w:tc>
        <w:tc>
          <w:tcPr>
            <w:tcW w:w="6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15</w:t>
            </w:r>
          </w:p>
        </w:tc>
        <w:tc>
          <w:tcPr>
            <w:tcW w:w="8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31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十五、商业服务业等支出</w:t>
            </w:r>
          </w:p>
        </w:tc>
        <w:tc>
          <w:tcPr>
            <w:tcW w:w="5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46</w:t>
            </w:r>
          </w:p>
        </w:tc>
        <w:tc>
          <w:tcPr>
            <w:tcW w:w="105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c>
          <w:tcPr>
            <w:tcW w:w="334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 </w:t>
            </w:r>
          </w:p>
        </w:tc>
        <w:tc>
          <w:tcPr>
            <w:tcW w:w="6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16</w:t>
            </w:r>
          </w:p>
        </w:tc>
        <w:tc>
          <w:tcPr>
            <w:tcW w:w="8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31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十六、金融支出</w:t>
            </w:r>
          </w:p>
        </w:tc>
        <w:tc>
          <w:tcPr>
            <w:tcW w:w="5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47</w:t>
            </w:r>
          </w:p>
        </w:tc>
        <w:tc>
          <w:tcPr>
            <w:tcW w:w="105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c>
          <w:tcPr>
            <w:tcW w:w="334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 </w:t>
            </w:r>
          </w:p>
        </w:tc>
        <w:tc>
          <w:tcPr>
            <w:tcW w:w="6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17</w:t>
            </w:r>
          </w:p>
        </w:tc>
        <w:tc>
          <w:tcPr>
            <w:tcW w:w="8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31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十七、援助其他地区支出</w:t>
            </w:r>
          </w:p>
        </w:tc>
        <w:tc>
          <w:tcPr>
            <w:tcW w:w="5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48</w:t>
            </w:r>
          </w:p>
        </w:tc>
        <w:tc>
          <w:tcPr>
            <w:tcW w:w="105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c>
          <w:tcPr>
            <w:tcW w:w="334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 </w:t>
            </w:r>
          </w:p>
        </w:tc>
        <w:tc>
          <w:tcPr>
            <w:tcW w:w="6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18</w:t>
            </w:r>
          </w:p>
        </w:tc>
        <w:tc>
          <w:tcPr>
            <w:tcW w:w="8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31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十八、自然资源海洋气象等支出</w:t>
            </w:r>
          </w:p>
        </w:tc>
        <w:tc>
          <w:tcPr>
            <w:tcW w:w="5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49</w:t>
            </w:r>
          </w:p>
        </w:tc>
        <w:tc>
          <w:tcPr>
            <w:tcW w:w="105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c>
          <w:tcPr>
            <w:tcW w:w="334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 </w:t>
            </w:r>
          </w:p>
        </w:tc>
        <w:tc>
          <w:tcPr>
            <w:tcW w:w="6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19</w:t>
            </w:r>
          </w:p>
        </w:tc>
        <w:tc>
          <w:tcPr>
            <w:tcW w:w="8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31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十九、住房保障支出</w:t>
            </w:r>
          </w:p>
        </w:tc>
        <w:tc>
          <w:tcPr>
            <w:tcW w:w="5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50</w:t>
            </w:r>
          </w:p>
        </w:tc>
        <w:tc>
          <w:tcPr>
            <w:tcW w:w="105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51.07</w:t>
            </w:r>
          </w:p>
        </w:tc>
      </w:tr>
      <w:tr>
        <w:tblPrEx>
          <w:tblLayout w:type="fixed"/>
          <w:tblCellMar>
            <w:top w:w="15" w:type="dxa"/>
            <w:left w:w="15" w:type="dxa"/>
            <w:bottom w:w="15" w:type="dxa"/>
            <w:right w:w="15" w:type="dxa"/>
          </w:tblCellMar>
        </w:tblPrEx>
        <w:tc>
          <w:tcPr>
            <w:tcW w:w="334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 </w:t>
            </w:r>
          </w:p>
        </w:tc>
        <w:tc>
          <w:tcPr>
            <w:tcW w:w="6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20</w:t>
            </w:r>
          </w:p>
        </w:tc>
        <w:tc>
          <w:tcPr>
            <w:tcW w:w="8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31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二十、粮油物资储备支出</w:t>
            </w:r>
          </w:p>
        </w:tc>
        <w:tc>
          <w:tcPr>
            <w:tcW w:w="5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51</w:t>
            </w:r>
          </w:p>
        </w:tc>
        <w:tc>
          <w:tcPr>
            <w:tcW w:w="105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c>
          <w:tcPr>
            <w:tcW w:w="334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 </w:t>
            </w:r>
          </w:p>
        </w:tc>
        <w:tc>
          <w:tcPr>
            <w:tcW w:w="6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21</w:t>
            </w:r>
          </w:p>
        </w:tc>
        <w:tc>
          <w:tcPr>
            <w:tcW w:w="8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31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二十一、国有资本经营预算支出</w:t>
            </w:r>
          </w:p>
        </w:tc>
        <w:tc>
          <w:tcPr>
            <w:tcW w:w="5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52</w:t>
            </w:r>
          </w:p>
        </w:tc>
        <w:tc>
          <w:tcPr>
            <w:tcW w:w="105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c>
          <w:tcPr>
            <w:tcW w:w="334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 </w:t>
            </w:r>
          </w:p>
        </w:tc>
        <w:tc>
          <w:tcPr>
            <w:tcW w:w="6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22</w:t>
            </w:r>
          </w:p>
        </w:tc>
        <w:tc>
          <w:tcPr>
            <w:tcW w:w="8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31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二十二、灾害防治及应急管理支出</w:t>
            </w:r>
          </w:p>
        </w:tc>
        <w:tc>
          <w:tcPr>
            <w:tcW w:w="5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53</w:t>
            </w:r>
          </w:p>
        </w:tc>
        <w:tc>
          <w:tcPr>
            <w:tcW w:w="105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c>
          <w:tcPr>
            <w:tcW w:w="334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 </w:t>
            </w:r>
          </w:p>
        </w:tc>
        <w:tc>
          <w:tcPr>
            <w:tcW w:w="6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23</w:t>
            </w:r>
          </w:p>
        </w:tc>
        <w:tc>
          <w:tcPr>
            <w:tcW w:w="8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31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二十三、其他支出</w:t>
            </w:r>
          </w:p>
        </w:tc>
        <w:tc>
          <w:tcPr>
            <w:tcW w:w="5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54</w:t>
            </w:r>
          </w:p>
        </w:tc>
        <w:tc>
          <w:tcPr>
            <w:tcW w:w="105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c>
          <w:tcPr>
            <w:tcW w:w="334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 </w:t>
            </w:r>
          </w:p>
        </w:tc>
        <w:tc>
          <w:tcPr>
            <w:tcW w:w="6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24</w:t>
            </w:r>
          </w:p>
        </w:tc>
        <w:tc>
          <w:tcPr>
            <w:tcW w:w="8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31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二十四、债务还本支出</w:t>
            </w:r>
          </w:p>
        </w:tc>
        <w:tc>
          <w:tcPr>
            <w:tcW w:w="5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55</w:t>
            </w:r>
          </w:p>
        </w:tc>
        <w:tc>
          <w:tcPr>
            <w:tcW w:w="105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c>
          <w:tcPr>
            <w:tcW w:w="334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 </w:t>
            </w:r>
          </w:p>
        </w:tc>
        <w:tc>
          <w:tcPr>
            <w:tcW w:w="6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25</w:t>
            </w:r>
          </w:p>
        </w:tc>
        <w:tc>
          <w:tcPr>
            <w:tcW w:w="8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31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二十五、债务付息支出</w:t>
            </w:r>
          </w:p>
        </w:tc>
        <w:tc>
          <w:tcPr>
            <w:tcW w:w="5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56</w:t>
            </w:r>
          </w:p>
        </w:tc>
        <w:tc>
          <w:tcPr>
            <w:tcW w:w="105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c>
          <w:tcPr>
            <w:tcW w:w="334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 </w:t>
            </w:r>
          </w:p>
        </w:tc>
        <w:tc>
          <w:tcPr>
            <w:tcW w:w="6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26</w:t>
            </w:r>
          </w:p>
        </w:tc>
        <w:tc>
          <w:tcPr>
            <w:tcW w:w="8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31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二十六、抗疫特别国债安排的支出</w:t>
            </w:r>
          </w:p>
        </w:tc>
        <w:tc>
          <w:tcPr>
            <w:tcW w:w="5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57</w:t>
            </w:r>
          </w:p>
        </w:tc>
        <w:tc>
          <w:tcPr>
            <w:tcW w:w="105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c>
          <w:tcPr>
            <w:tcW w:w="334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ascii="宋体" w:hAnsi="宋体" w:cs="宋体"/>
                <w:color w:val="000000"/>
                <w:kern w:val="0"/>
                <w:sz w:val="20"/>
                <w:szCs w:val="20"/>
              </w:rPr>
              <w:t>本年收入合计</w:t>
            </w:r>
          </w:p>
        </w:tc>
        <w:tc>
          <w:tcPr>
            <w:tcW w:w="6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27</w:t>
            </w:r>
          </w:p>
        </w:tc>
        <w:tc>
          <w:tcPr>
            <w:tcW w:w="8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5,191.27</w:t>
            </w:r>
          </w:p>
        </w:tc>
        <w:tc>
          <w:tcPr>
            <w:tcW w:w="31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ascii="宋体" w:hAnsi="宋体" w:cs="宋体"/>
                <w:color w:val="000000"/>
                <w:kern w:val="0"/>
                <w:sz w:val="20"/>
                <w:szCs w:val="20"/>
              </w:rPr>
              <w:t>本年支出合计</w:t>
            </w:r>
          </w:p>
        </w:tc>
        <w:tc>
          <w:tcPr>
            <w:tcW w:w="5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58</w:t>
            </w:r>
          </w:p>
        </w:tc>
        <w:tc>
          <w:tcPr>
            <w:tcW w:w="105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5,191.27</w:t>
            </w:r>
          </w:p>
        </w:tc>
      </w:tr>
      <w:tr>
        <w:tblPrEx>
          <w:tblLayout w:type="fixed"/>
          <w:tblCellMar>
            <w:top w:w="15" w:type="dxa"/>
            <w:left w:w="15" w:type="dxa"/>
            <w:bottom w:w="15" w:type="dxa"/>
            <w:right w:w="15" w:type="dxa"/>
          </w:tblCellMar>
        </w:tblPrEx>
        <w:tc>
          <w:tcPr>
            <w:tcW w:w="334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使用非财政拨款结余（含专用结余）</w:t>
            </w:r>
          </w:p>
        </w:tc>
        <w:tc>
          <w:tcPr>
            <w:tcW w:w="6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28</w:t>
            </w:r>
          </w:p>
        </w:tc>
        <w:tc>
          <w:tcPr>
            <w:tcW w:w="8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31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结余分配</w:t>
            </w:r>
          </w:p>
        </w:tc>
        <w:tc>
          <w:tcPr>
            <w:tcW w:w="5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59</w:t>
            </w:r>
          </w:p>
        </w:tc>
        <w:tc>
          <w:tcPr>
            <w:tcW w:w="105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c>
          <w:tcPr>
            <w:tcW w:w="334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年初结转和结余</w:t>
            </w:r>
            <w:r>
              <w:rPr>
                <w:rFonts w:eastAsia="Times New Roman"/>
                <w:color w:val="000000"/>
                <w:kern w:val="0"/>
                <w:sz w:val="20"/>
                <w:szCs w:val="20"/>
              </w:rPr>
              <w:t xml:space="preserve"> </w:t>
            </w:r>
          </w:p>
        </w:tc>
        <w:tc>
          <w:tcPr>
            <w:tcW w:w="6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29</w:t>
            </w:r>
          </w:p>
        </w:tc>
        <w:tc>
          <w:tcPr>
            <w:tcW w:w="8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31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年末结转和结余</w:t>
            </w:r>
            <w:r>
              <w:rPr>
                <w:rFonts w:eastAsia="Times New Roman"/>
                <w:color w:val="000000"/>
                <w:kern w:val="0"/>
                <w:sz w:val="20"/>
                <w:szCs w:val="20"/>
              </w:rPr>
              <w:t xml:space="preserve"> </w:t>
            </w:r>
          </w:p>
        </w:tc>
        <w:tc>
          <w:tcPr>
            <w:tcW w:w="5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60</w:t>
            </w:r>
          </w:p>
        </w:tc>
        <w:tc>
          <w:tcPr>
            <w:tcW w:w="105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c>
          <w:tcPr>
            <w:tcW w:w="334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 </w:t>
            </w:r>
          </w:p>
        </w:tc>
        <w:tc>
          <w:tcPr>
            <w:tcW w:w="6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30</w:t>
            </w:r>
          </w:p>
        </w:tc>
        <w:tc>
          <w:tcPr>
            <w:tcW w:w="8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 </w:t>
            </w:r>
          </w:p>
        </w:tc>
        <w:tc>
          <w:tcPr>
            <w:tcW w:w="31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 </w:t>
            </w:r>
          </w:p>
        </w:tc>
        <w:tc>
          <w:tcPr>
            <w:tcW w:w="5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61</w:t>
            </w:r>
          </w:p>
        </w:tc>
        <w:tc>
          <w:tcPr>
            <w:tcW w:w="105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c>
          <w:tcPr>
            <w:tcW w:w="334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ascii="宋体" w:hAnsi="宋体" w:cs="宋体"/>
                <w:color w:val="000000"/>
                <w:kern w:val="0"/>
                <w:sz w:val="20"/>
                <w:szCs w:val="20"/>
              </w:rPr>
              <w:t>总计</w:t>
            </w:r>
          </w:p>
        </w:tc>
        <w:tc>
          <w:tcPr>
            <w:tcW w:w="62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31</w:t>
            </w:r>
          </w:p>
        </w:tc>
        <w:tc>
          <w:tcPr>
            <w:tcW w:w="8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5,191.27</w:t>
            </w:r>
          </w:p>
        </w:tc>
        <w:tc>
          <w:tcPr>
            <w:tcW w:w="31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ascii="宋体" w:hAnsi="宋体" w:cs="宋体"/>
                <w:color w:val="000000"/>
                <w:kern w:val="0"/>
                <w:sz w:val="20"/>
                <w:szCs w:val="20"/>
              </w:rPr>
              <w:t>总计</w:t>
            </w:r>
          </w:p>
        </w:tc>
        <w:tc>
          <w:tcPr>
            <w:tcW w:w="54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62</w:t>
            </w:r>
          </w:p>
        </w:tc>
        <w:tc>
          <w:tcPr>
            <w:tcW w:w="105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5,191.27</w:t>
            </w:r>
          </w:p>
        </w:tc>
      </w:tr>
      <w:tr>
        <w:tblPrEx>
          <w:tblLayout w:type="fixed"/>
          <w:tblCellMar>
            <w:top w:w="15" w:type="dxa"/>
            <w:left w:w="15" w:type="dxa"/>
            <w:bottom w:w="15" w:type="dxa"/>
            <w:right w:w="15" w:type="dxa"/>
          </w:tblCellMar>
        </w:tblPrEx>
        <w:tc>
          <w:tcPr>
            <w:tcW w:w="9596" w:type="dxa"/>
            <w:gridSpan w:val="6"/>
            <w:tcMar>
              <w:top w:w="20" w:type="dxa"/>
              <w:left w:w="20" w:type="dxa"/>
              <w:bottom w:w="20" w:type="dxa"/>
              <w:right w:w="20" w:type="dxa"/>
            </w:tcMar>
            <w:vAlign w:val="center"/>
          </w:tcPr>
          <w:p>
            <w:pPr>
              <w:widowControl/>
              <w:spacing w:line="375" w:lineRule="atLeast"/>
              <w:jc w:val="left"/>
              <w:rPr>
                <w:rFonts w:eastAsia="Times New Roman"/>
                <w:color w:val="000000"/>
                <w:kern w:val="0"/>
                <w:sz w:val="20"/>
                <w:szCs w:val="20"/>
              </w:rPr>
            </w:pPr>
            <w:r>
              <w:rPr>
                <w:rFonts w:ascii="宋体" w:hAnsi="宋体" w:cs="宋体"/>
                <w:color w:val="000000"/>
                <w:kern w:val="0"/>
                <w:sz w:val="20"/>
                <w:szCs w:val="20"/>
              </w:rPr>
              <w:t>注：</w:t>
            </w:r>
            <w:r>
              <w:rPr>
                <w:rFonts w:eastAsia="Times New Roman"/>
                <w:color w:val="000000"/>
                <w:kern w:val="0"/>
                <w:sz w:val="20"/>
                <w:szCs w:val="20"/>
              </w:rPr>
              <w:t>1.</w:t>
            </w:r>
            <w:r>
              <w:rPr>
                <w:rFonts w:ascii="宋体" w:hAnsi="宋体" w:cs="宋体"/>
                <w:color w:val="000000"/>
                <w:kern w:val="0"/>
                <w:sz w:val="20"/>
                <w:szCs w:val="20"/>
              </w:rPr>
              <w:t>本表反映部门本年度的总收支和年末结转结余情况。</w:t>
            </w:r>
          </w:p>
        </w:tc>
      </w:tr>
      <w:tr>
        <w:tblPrEx>
          <w:tblLayout w:type="fixed"/>
          <w:tblCellMar>
            <w:top w:w="15" w:type="dxa"/>
            <w:left w:w="15" w:type="dxa"/>
            <w:bottom w:w="15" w:type="dxa"/>
            <w:right w:w="15" w:type="dxa"/>
          </w:tblCellMar>
        </w:tblPrEx>
        <w:tc>
          <w:tcPr>
            <w:tcW w:w="9596" w:type="dxa"/>
            <w:gridSpan w:val="6"/>
            <w:tcMar>
              <w:top w:w="20" w:type="dxa"/>
              <w:left w:w="485" w:type="dxa"/>
              <w:bottom w:w="20" w:type="dxa"/>
              <w:right w:w="20" w:type="dxa"/>
            </w:tcMar>
            <w:vAlign w:val="center"/>
          </w:tcPr>
          <w:p>
            <w:pPr>
              <w:widowControl/>
              <w:spacing w:line="375" w:lineRule="atLeast"/>
              <w:jc w:val="left"/>
              <w:rPr>
                <w:rFonts w:eastAsia="Times New Roman"/>
                <w:color w:val="000000"/>
                <w:kern w:val="0"/>
                <w:sz w:val="20"/>
                <w:szCs w:val="20"/>
              </w:rPr>
            </w:pPr>
            <w:r>
              <w:rPr>
                <w:rFonts w:eastAsia="Times New Roman"/>
                <w:color w:val="000000"/>
                <w:kern w:val="0"/>
                <w:sz w:val="20"/>
                <w:szCs w:val="20"/>
              </w:rPr>
              <w:t>2.</w:t>
            </w:r>
            <w:r>
              <w:rPr>
                <w:rFonts w:ascii="宋体" w:hAnsi="宋体" w:cs="宋体"/>
                <w:color w:val="000000"/>
                <w:kern w:val="0"/>
                <w:sz w:val="20"/>
                <w:szCs w:val="20"/>
              </w:rPr>
              <w:t>本套报表金额单位转换时可能存在尾数误差。</w:t>
            </w:r>
          </w:p>
        </w:tc>
      </w:tr>
    </w:tbl>
    <w:p>
      <w:pPr>
        <w:widowControl/>
        <w:jc w:val="left"/>
        <w:rPr>
          <w:rFonts w:hint="eastAsia" w:ascii="黑体" w:hAnsi="黑体" w:eastAsia="黑体" w:cs="黑体"/>
          <w:b/>
          <w:bCs/>
          <w:kern w:val="0"/>
          <w:sz w:val="32"/>
          <w:szCs w:val="32"/>
          <w:lang w:val="en-US" w:eastAsia="zh-CN" w:bidi="ar-SA"/>
        </w:rPr>
      </w:pPr>
      <w:r>
        <w:rPr>
          <w:rFonts w:ascii="黑体" w:hAnsi="黑体" w:eastAsia="黑体" w:cs="黑体"/>
          <w:b/>
          <w:bCs/>
          <w:kern w:val="0"/>
          <w:sz w:val="32"/>
          <w:szCs w:val="32"/>
          <w:lang w:val="en-US" w:eastAsia="zh-CN" w:bidi="ar-SA"/>
        </w:rPr>
        <w:t> </w:t>
      </w:r>
      <w:bookmarkStart w:id="33" w:name="_Toc256000070"/>
      <w:bookmarkStart w:id="34" w:name="_Toc256000008"/>
      <w:bookmarkStart w:id="35" w:name="_Toc256000039"/>
      <w:bookmarkStart w:id="36" w:name="_Toc256000101"/>
      <w:r>
        <w:rPr>
          <w:rFonts w:ascii="黑体" w:hAnsi="黑体" w:eastAsia="黑体" w:cs="黑体"/>
          <w:b/>
          <w:bCs/>
          <w:kern w:val="0"/>
          <w:sz w:val="32"/>
          <w:szCs w:val="32"/>
          <w:lang w:val="en-US" w:eastAsia="zh-CN" w:bidi="ar-SA"/>
        </w:rPr>
        <w:t>二、收入决算表</w:t>
      </w:r>
      <w:bookmarkEnd w:id="33"/>
      <w:bookmarkEnd w:id="34"/>
      <w:bookmarkEnd w:id="35"/>
      <w:bookmarkEnd w:id="36"/>
    </w:p>
    <w:tbl>
      <w:tblPr>
        <w:tblStyle w:val="22"/>
        <w:tblW w:w="9681" w:type="dxa"/>
        <w:tblInd w:w="0" w:type="dxa"/>
        <w:tblLayout w:type="fixed"/>
        <w:tblCellMar>
          <w:top w:w="15" w:type="dxa"/>
          <w:left w:w="15" w:type="dxa"/>
          <w:bottom w:w="15" w:type="dxa"/>
          <w:right w:w="15" w:type="dxa"/>
        </w:tblCellMar>
      </w:tblPr>
      <w:tblGrid>
        <w:gridCol w:w="993"/>
        <w:gridCol w:w="2207"/>
        <w:gridCol w:w="995"/>
        <w:gridCol w:w="1104"/>
        <w:gridCol w:w="984"/>
        <w:gridCol w:w="744"/>
        <w:gridCol w:w="707"/>
        <w:gridCol w:w="898"/>
        <w:gridCol w:w="1049"/>
      </w:tblGrid>
      <w:tr>
        <w:tblPrEx>
          <w:tblLayout w:type="fixed"/>
          <w:tblCellMar>
            <w:top w:w="15" w:type="dxa"/>
            <w:left w:w="15" w:type="dxa"/>
            <w:bottom w:w="15" w:type="dxa"/>
            <w:right w:w="15" w:type="dxa"/>
          </w:tblCellMar>
        </w:tblPrEx>
        <w:trPr>
          <w:trHeight w:val="901" w:hRule="atLeast"/>
          <w:tblHeader/>
        </w:trPr>
        <w:tc>
          <w:tcPr>
            <w:tcW w:w="9681" w:type="dxa"/>
            <w:gridSpan w:val="9"/>
            <w:tcMar>
              <w:top w:w="20" w:type="dxa"/>
              <w:left w:w="20" w:type="dxa"/>
              <w:bottom w:w="20" w:type="dxa"/>
              <w:right w:w="20" w:type="dxa"/>
            </w:tcMar>
            <w:vAlign w:val="center"/>
          </w:tcPr>
          <w:p>
            <w:pPr>
              <w:widowControl/>
              <w:spacing w:line="900" w:lineRule="atLeast"/>
              <w:jc w:val="center"/>
              <w:rPr>
                <w:rFonts w:eastAsia="Times New Roman"/>
                <w:color w:val="000000"/>
                <w:kern w:val="0"/>
                <w:sz w:val="20"/>
                <w:szCs w:val="20"/>
              </w:rPr>
            </w:pPr>
            <w:r>
              <w:rPr>
                <w:rFonts w:ascii="宋体" w:hAnsi="宋体" w:cs="宋体"/>
                <w:color w:val="000000"/>
                <w:kern w:val="0"/>
                <w:sz w:val="20"/>
                <w:szCs w:val="20"/>
              </w:rPr>
              <w:t>收入决算表</w:t>
            </w:r>
          </w:p>
        </w:tc>
      </w:tr>
      <w:tr>
        <w:tblPrEx>
          <w:tblLayout w:type="fixed"/>
          <w:tblCellMar>
            <w:top w:w="15" w:type="dxa"/>
            <w:left w:w="15" w:type="dxa"/>
            <w:bottom w:w="15" w:type="dxa"/>
            <w:right w:w="15" w:type="dxa"/>
          </w:tblCellMar>
        </w:tblPrEx>
        <w:trPr>
          <w:trHeight w:val="283" w:hRule="atLeast"/>
          <w:tblHeader/>
        </w:trPr>
        <w:tc>
          <w:tcPr>
            <w:tcW w:w="993"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0"/>
                <w:szCs w:val="20"/>
              </w:rPr>
            </w:pPr>
            <w:r>
              <w:rPr>
                <w:rFonts w:eastAsia="Times New Roman"/>
                <w:color w:val="000000"/>
                <w:kern w:val="0"/>
                <w:sz w:val="20"/>
                <w:szCs w:val="20"/>
              </w:rPr>
              <w:t> </w:t>
            </w:r>
          </w:p>
        </w:tc>
        <w:tc>
          <w:tcPr>
            <w:tcW w:w="220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0"/>
                <w:szCs w:val="20"/>
              </w:rPr>
            </w:pPr>
            <w:r>
              <w:rPr>
                <w:rFonts w:eastAsia="Times New Roman"/>
                <w:color w:val="000000"/>
                <w:kern w:val="0"/>
                <w:sz w:val="20"/>
                <w:szCs w:val="20"/>
              </w:rPr>
              <w:t> </w:t>
            </w:r>
          </w:p>
        </w:tc>
        <w:tc>
          <w:tcPr>
            <w:tcW w:w="995"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0"/>
                <w:szCs w:val="20"/>
              </w:rPr>
            </w:pPr>
            <w:r>
              <w:rPr>
                <w:rFonts w:eastAsia="Times New Roman"/>
                <w:color w:val="000000"/>
                <w:kern w:val="0"/>
                <w:sz w:val="20"/>
                <w:szCs w:val="20"/>
              </w:rPr>
              <w:t> </w:t>
            </w:r>
          </w:p>
        </w:tc>
        <w:tc>
          <w:tcPr>
            <w:tcW w:w="1104"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0"/>
                <w:szCs w:val="20"/>
              </w:rPr>
            </w:pPr>
            <w:r>
              <w:rPr>
                <w:rFonts w:eastAsia="Times New Roman"/>
                <w:color w:val="000000"/>
                <w:kern w:val="0"/>
                <w:sz w:val="20"/>
                <w:szCs w:val="20"/>
              </w:rPr>
              <w:t> </w:t>
            </w:r>
          </w:p>
        </w:tc>
        <w:tc>
          <w:tcPr>
            <w:tcW w:w="984"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0"/>
                <w:szCs w:val="20"/>
              </w:rPr>
            </w:pPr>
            <w:r>
              <w:rPr>
                <w:rFonts w:eastAsia="Times New Roman"/>
                <w:color w:val="000000"/>
                <w:kern w:val="0"/>
                <w:sz w:val="20"/>
                <w:szCs w:val="20"/>
              </w:rPr>
              <w:t> </w:t>
            </w:r>
          </w:p>
        </w:tc>
        <w:tc>
          <w:tcPr>
            <w:tcW w:w="744"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0"/>
                <w:szCs w:val="20"/>
              </w:rPr>
            </w:pPr>
            <w:r>
              <w:rPr>
                <w:rFonts w:eastAsia="Times New Roman"/>
                <w:color w:val="000000"/>
                <w:kern w:val="0"/>
                <w:sz w:val="20"/>
                <w:szCs w:val="20"/>
              </w:rPr>
              <w:t> </w:t>
            </w:r>
          </w:p>
        </w:tc>
        <w:tc>
          <w:tcPr>
            <w:tcW w:w="70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0"/>
                <w:szCs w:val="20"/>
              </w:rPr>
            </w:pPr>
            <w:r>
              <w:rPr>
                <w:rFonts w:eastAsia="Times New Roman"/>
                <w:color w:val="000000"/>
                <w:kern w:val="0"/>
                <w:sz w:val="20"/>
                <w:szCs w:val="20"/>
              </w:rPr>
              <w:t> </w:t>
            </w:r>
          </w:p>
        </w:tc>
        <w:tc>
          <w:tcPr>
            <w:tcW w:w="898"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0"/>
                <w:szCs w:val="20"/>
              </w:rPr>
            </w:pPr>
            <w:r>
              <w:rPr>
                <w:rFonts w:eastAsia="Times New Roman"/>
                <w:color w:val="000000"/>
                <w:kern w:val="0"/>
                <w:sz w:val="20"/>
                <w:szCs w:val="20"/>
              </w:rPr>
              <w:t> </w:t>
            </w:r>
          </w:p>
        </w:tc>
        <w:tc>
          <w:tcPr>
            <w:tcW w:w="1049"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rPr>
          <w:trHeight w:val="631" w:hRule="atLeast"/>
        </w:trPr>
        <w:tc>
          <w:tcPr>
            <w:tcW w:w="5299" w:type="dxa"/>
            <w:gridSpan w:val="4"/>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部门</w:t>
            </w:r>
            <w:r>
              <w:rPr>
                <w:rFonts w:eastAsia="Times New Roman"/>
                <w:color w:val="000000"/>
                <w:kern w:val="0"/>
                <w:sz w:val="20"/>
                <w:szCs w:val="20"/>
              </w:rPr>
              <w:t>/</w:t>
            </w:r>
            <w:r>
              <w:rPr>
                <w:rFonts w:ascii="宋体" w:hAnsi="宋体" w:cs="宋体"/>
                <w:color w:val="000000"/>
                <w:kern w:val="0"/>
                <w:sz w:val="20"/>
                <w:szCs w:val="20"/>
              </w:rPr>
              <w:t>单位：厦门外国语学校湖里分校</w:t>
            </w:r>
          </w:p>
        </w:tc>
        <w:tc>
          <w:tcPr>
            <w:tcW w:w="984"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2024</w:t>
            </w:r>
            <w:r>
              <w:rPr>
                <w:rFonts w:ascii="宋体" w:hAnsi="宋体" w:cs="宋体"/>
                <w:color w:val="000000"/>
                <w:kern w:val="0"/>
                <w:sz w:val="20"/>
                <w:szCs w:val="20"/>
              </w:rPr>
              <w:t>年度</w:t>
            </w:r>
          </w:p>
        </w:tc>
        <w:tc>
          <w:tcPr>
            <w:tcW w:w="744"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0"/>
                <w:szCs w:val="20"/>
              </w:rPr>
            </w:pPr>
            <w:r>
              <w:rPr>
                <w:rFonts w:eastAsia="Times New Roman"/>
                <w:color w:val="000000"/>
                <w:kern w:val="0"/>
                <w:sz w:val="20"/>
                <w:szCs w:val="20"/>
              </w:rPr>
              <w:t> </w:t>
            </w:r>
          </w:p>
        </w:tc>
        <w:tc>
          <w:tcPr>
            <w:tcW w:w="70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0"/>
                <w:szCs w:val="20"/>
              </w:rPr>
            </w:pPr>
            <w:r>
              <w:rPr>
                <w:rFonts w:eastAsia="Times New Roman"/>
                <w:color w:val="000000"/>
                <w:kern w:val="0"/>
                <w:sz w:val="20"/>
                <w:szCs w:val="20"/>
              </w:rPr>
              <w:t> </w:t>
            </w:r>
          </w:p>
        </w:tc>
        <w:tc>
          <w:tcPr>
            <w:tcW w:w="898"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0"/>
                <w:szCs w:val="20"/>
              </w:rPr>
            </w:pPr>
            <w:r>
              <w:rPr>
                <w:rFonts w:eastAsia="Times New Roman"/>
                <w:color w:val="000000"/>
                <w:kern w:val="0"/>
                <w:sz w:val="20"/>
                <w:szCs w:val="20"/>
              </w:rPr>
              <w:t> </w:t>
            </w:r>
          </w:p>
        </w:tc>
        <w:tc>
          <w:tcPr>
            <w:tcW w:w="1049"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ascii="宋体" w:hAnsi="宋体" w:cs="宋体"/>
                <w:color w:val="000000"/>
                <w:kern w:val="0"/>
                <w:sz w:val="20"/>
                <w:szCs w:val="20"/>
              </w:rPr>
              <w:t>金额单位：万元</w:t>
            </w:r>
          </w:p>
        </w:tc>
      </w:tr>
      <w:tr>
        <w:tblPrEx>
          <w:tblLayout w:type="fixed"/>
          <w:tblCellMar>
            <w:top w:w="15" w:type="dxa"/>
            <w:left w:w="15" w:type="dxa"/>
            <w:bottom w:w="15" w:type="dxa"/>
            <w:right w:w="15" w:type="dxa"/>
          </w:tblCellMar>
        </w:tblPrEx>
        <w:trPr>
          <w:trHeight w:val="283" w:hRule="atLeast"/>
          <w:tblHeader/>
        </w:trPr>
        <w:tc>
          <w:tcPr>
            <w:tcW w:w="3200"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ascii="宋体" w:hAnsi="宋体" w:cs="宋体"/>
                <w:color w:val="000000"/>
                <w:kern w:val="0"/>
                <w:sz w:val="20"/>
                <w:szCs w:val="20"/>
              </w:rPr>
              <w:t>项目</w:t>
            </w:r>
          </w:p>
        </w:tc>
        <w:tc>
          <w:tcPr>
            <w:tcW w:w="995"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ascii="宋体" w:hAnsi="宋体" w:cs="宋体"/>
                <w:color w:val="000000"/>
                <w:kern w:val="0"/>
                <w:sz w:val="20"/>
                <w:szCs w:val="20"/>
              </w:rPr>
              <w:t>本年收入合计</w:t>
            </w:r>
          </w:p>
        </w:tc>
        <w:tc>
          <w:tcPr>
            <w:tcW w:w="1104"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宋体" w:hAnsi="宋体" w:cs="宋体"/>
                <w:color w:val="000000"/>
                <w:kern w:val="0"/>
                <w:sz w:val="20"/>
                <w:szCs w:val="20"/>
              </w:rPr>
            </w:pPr>
            <w:r>
              <w:rPr>
                <w:rFonts w:ascii="宋体" w:hAnsi="宋体" w:cs="宋体"/>
                <w:color w:val="000000"/>
                <w:kern w:val="0"/>
                <w:sz w:val="20"/>
                <w:szCs w:val="20"/>
              </w:rPr>
              <w:t>财政拨款</w:t>
            </w:r>
          </w:p>
          <w:p>
            <w:pPr>
              <w:widowControl/>
              <w:jc w:val="center"/>
              <w:rPr>
                <w:rFonts w:eastAsia="Times New Roman"/>
                <w:color w:val="000000"/>
                <w:kern w:val="0"/>
                <w:sz w:val="20"/>
                <w:szCs w:val="20"/>
              </w:rPr>
            </w:pPr>
            <w:r>
              <w:rPr>
                <w:rFonts w:ascii="宋体" w:hAnsi="宋体" w:cs="宋体"/>
                <w:color w:val="000000"/>
                <w:kern w:val="0"/>
                <w:sz w:val="20"/>
                <w:szCs w:val="20"/>
              </w:rPr>
              <w:t>收入</w:t>
            </w:r>
            <w:r>
              <w:rPr>
                <w:rFonts w:eastAsia="Times New Roman"/>
                <w:color w:val="000000"/>
                <w:kern w:val="0"/>
                <w:sz w:val="20"/>
                <w:szCs w:val="20"/>
              </w:rPr>
              <w:t xml:space="preserve"> </w:t>
            </w:r>
          </w:p>
        </w:tc>
        <w:tc>
          <w:tcPr>
            <w:tcW w:w="984"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ascii="宋体" w:hAnsi="宋体" w:cs="宋体"/>
                <w:color w:val="000000"/>
                <w:kern w:val="0"/>
                <w:sz w:val="20"/>
                <w:szCs w:val="20"/>
              </w:rPr>
              <w:t>上级补助收入</w:t>
            </w:r>
          </w:p>
        </w:tc>
        <w:tc>
          <w:tcPr>
            <w:tcW w:w="744"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宋体" w:hAnsi="宋体" w:cs="宋体"/>
                <w:color w:val="000000"/>
                <w:kern w:val="0"/>
                <w:sz w:val="20"/>
                <w:szCs w:val="20"/>
              </w:rPr>
            </w:pPr>
            <w:r>
              <w:rPr>
                <w:rFonts w:ascii="宋体" w:hAnsi="宋体" w:cs="宋体"/>
                <w:color w:val="000000"/>
                <w:kern w:val="0"/>
                <w:sz w:val="20"/>
                <w:szCs w:val="20"/>
              </w:rPr>
              <w:t>事业</w:t>
            </w:r>
          </w:p>
          <w:p>
            <w:pPr>
              <w:widowControl/>
              <w:jc w:val="center"/>
              <w:rPr>
                <w:rFonts w:eastAsia="Times New Roman"/>
                <w:color w:val="000000"/>
                <w:kern w:val="0"/>
                <w:sz w:val="20"/>
                <w:szCs w:val="20"/>
              </w:rPr>
            </w:pPr>
            <w:r>
              <w:rPr>
                <w:rFonts w:ascii="宋体" w:hAnsi="宋体" w:cs="宋体"/>
                <w:color w:val="000000"/>
                <w:kern w:val="0"/>
                <w:sz w:val="20"/>
                <w:szCs w:val="20"/>
              </w:rPr>
              <w:t>收入</w:t>
            </w:r>
          </w:p>
        </w:tc>
        <w:tc>
          <w:tcPr>
            <w:tcW w:w="707"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宋体" w:hAnsi="宋体" w:cs="宋体"/>
                <w:color w:val="000000"/>
                <w:kern w:val="0"/>
                <w:sz w:val="20"/>
                <w:szCs w:val="20"/>
              </w:rPr>
            </w:pPr>
            <w:r>
              <w:rPr>
                <w:rFonts w:ascii="宋体" w:hAnsi="宋体" w:cs="宋体"/>
                <w:color w:val="000000"/>
                <w:kern w:val="0"/>
                <w:sz w:val="20"/>
                <w:szCs w:val="20"/>
              </w:rPr>
              <w:t>经营</w:t>
            </w:r>
          </w:p>
          <w:p>
            <w:pPr>
              <w:widowControl/>
              <w:jc w:val="center"/>
              <w:rPr>
                <w:rFonts w:eastAsia="Times New Roman"/>
                <w:color w:val="000000"/>
                <w:kern w:val="0"/>
                <w:sz w:val="20"/>
                <w:szCs w:val="20"/>
              </w:rPr>
            </w:pPr>
            <w:r>
              <w:rPr>
                <w:rFonts w:ascii="宋体" w:hAnsi="宋体" w:cs="宋体"/>
                <w:color w:val="000000"/>
                <w:kern w:val="0"/>
                <w:sz w:val="20"/>
                <w:szCs w:val="20"/>
              </w:rPr>
              <w:t>收入</w:t>
            </w:r>
          </w:p>
        </w:tc>
        <w:tc>
          <w:tcPr>
            <w:tcW w:w="898"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宋体" w:hAnsi="宋体" w:cs="宋体"/>
                <w:color w:val="000000"/>
                <w:kern w:val="0"/>
                <w:sz w:val="20"/>
                <w:szCs w:val="20"/>
              </w:rPr>
            </w:pPr>
            <w:r>
              <w:rPr>
                <w:rFonts w:ascii="宋体" w:hAnsi="宋体" w:cs="宋体"/>
                <w:color w:val="000000"/>
                <w:kern w:val="0"/>
                <w:sz w:val="20"/>
                <w:szCs w:val="20"/>
              </w:rPr>
              <w:t>附属单位</w:t>
            </w:r>
          </w:p>
          <w:p>
            <w:pPr>
              <w:widowControl/>
              <w:jc w:val="center"/>
              <w:rPr>
                <w:rFonts w:eastAsia="Times New Roman"/>
                <w:color w:val="000000"/>
                <w:kern w:val="0"/>
                <w:sz w:val="20"/>
                <w:szCs w:val="20"/>
              </w:rPr>
            </w:pPr>
            <w:r>
              <w:rPr>
                <w:rFonts w:ascii="宋体" w:hAnsi="宋体" w:cs="宋体"/>
                <w:color w:val="000000"/>
                <w:kern w:val="0"/>
                <w:sz w:val="20"/>
                <w:szCs w:val="20"/>
              </w:rPr>
              <w:t>上缴收入</w:t>
            </w:r>
          </w:p>
        </w:tc>
        <w:tc>
          <w:tcPr>
            <w:tcW w:w="1049"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宋体" w:hAnsi="宋体" w:cs="宋体"/>
                <w:color w:val="000000"/>
                <w:kern w:val="0"/>
                <w:sz w:val="20"/>
                <w:szCs w:val="20"/>
              </w:rPr>
            </w:pPr>
            <w:r>
              <w:rPr>
                <w:rFonts w:ascii="宋体" w:hAnsi="宋体" w:cs="宋体"/>
                <w:color w:val="000000"/>
                <w:kern w:val="0"/>
                <w:sz w:val="20"/>
                <w:szCs w:val="20"/>
              </w:rPr>
              <w:t>其他</w:t>
            </w:r>
          </w:p>
          <w:p>
            <w:pPr>
              <w:widowControl/>
              <w:jc w:val="center"/>
              <w:rPr>
                <w:rFonts w:eastAsia="Times New Roman"/>
                <w:color w:val="000000"/>
                <w:kern w:val="0"/>
                <w:sz w:val="20"/>
                <w:szCs w:val="20"/>
              </w:rPr>
            </w:pPr>
            <w:r>
              <w:rPr>
                <w:rFonts w:ascii="宋体" w:hAnsi="宋体" w:cs="宋体"/>
                <w:color w:val="000000"/>
                <w:kern w:val="0"/>
                <w:sz w:val="20"/>
                <w:szCs w:val="20"/>
              </w:rPr>
              <w:t>收入</w:t>
            </w:r>
          </w:p>
        </w:tc>
      </w:tr>
      <w:tr>
        <w:tblPrEx>
          <w:tblLayout w:type="fixed"/>
          <w:tblCellMar>
            <w:top w:w="15" w:type="dxa"/>
            <w:left w:w="15" w:type="dxa"/>
            <w:bottom w:w="15" w:type="dxa"/>
            <w:right w:w="15" w:type="dxa"/>
          </w:tblCellMar>
        </w:tblPrEx>
        <w:trPr>
          <w:trHeight w:val="312" w:hRule="atLeast"/>
          <w:tblHeader/>
        </w:trPr>
        <w:tc>
          <w:tcPr>
            <w:tcW w:w="993"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ascii="宋体" w:hAnsi="宋体" w:cs="宋体"/>
                <w:color w:val="000000"/>
                <w:kern w:val="0"/>
                <w:sz w:val="20"/>
                <w:szCs w:val="20"/>
              </w:rPr>
              <w:t>科目代码</w:t>
            </w:r>
          </w:p>
        </w:tc>
        <w:tc>
          <w:tcPr>
            <w:tcW w:w="2207"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ascii="宋体" w:hAnsi="宋体" w:cs="宋体"/>
                <w:color w:val="000000"/>
                <w:kern w:val="0"/>
                <w:sz w:val="20"/>
                <w:szCs w:val="20"/>
              </w:rPr>
              <w:t>科目名称</w:t>
            </w:r>
          </w:p>
        </w:tc>
        <w:tc>
          <w:tcPr>
            <w:tcW w:w="995"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0"/>
                <w:szCs w:val="20"/>
              </w:rPr>
            </w:pPr>
          </w:p>
        </w:tc>
        <w:tc>
          <w:tcPr>
            <w:tcW w:w="1104"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0"/>
                <w:szCs w:val="20"/>
              </w:rPr>
            </w:pPr>
          </w:p>
        </w:tc>
        <w:tc>
          <w:tcPr>
            <w:tcW w:w="984"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0"/>
                <w:szCs w:val="20"/>
              </w:rPr>
            </w:pPr>
          </w:p>
        </w:tc>
        <w:tc>
          <w:tcPr>
            <w:tcW w:w="744"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0"/>
                <w:szCs w:val="20"/>
              </w:rPr>
            </w:pPr>
          </w:p>
        </w:tc>
        <w:tc>
          <w:tcPr>
            <w:tcW w:w="707"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0"/>
                <w:szCs w:val="20"/>
              </w:rPr>
            </w:pPr>
          </w:p>
        </w:tc>
        <w:tc>
          <w:tcPr>
            <w:tcW w:w="898"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0"/>
                <w:szCs w:val="20"/>
              </w:rPr>
            </w:pPr>
          </w:p>
        </w:tc>
        <w:tc>
          <w:tcPr>
            <w:tcW w:w="1049"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0"/>
                <w:szCs w:val="20"/>
              </w:rPr>
            </w:pPr>
          </w:p>
        </w:tc>
      </w:tr>
      <w:tr>
        <w:tblPrEx>
          <w:tblLayout w:type="fixed"/>
          <w:tblCellMar>
            <w:top w:w="15" w:type="dxa"/>
            <w:left w:w="15" w:type="dxa"/>
            <w:bottom w:w="15" w:type="dxa"/>
            <w:right w:w="15" w:type="dxa"/>
          </w:tblCellMar>
        </w:tblPrEx>
        <w:trPr>
          <w:trHeight w:val="312" w:hRule="atLeast"/>
          <w:tblHeader/>
        </w:trPr>
        <w:tc>
          <w:tcPr>
            <w:tcW w:w="993"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0"/>
                <w:szCs w:val="20"/>
              </w:rPr>
            </w:pPr>
          </w:p>
        </w:tc>
        <w:tc>
          <w:tcPr>
            <w:tcW w:w="2207"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0"/>
                <w:szCs w:val="20"/>
              </w:rPr>
            </w:pPr>
          </w:p>
        </w:tc>
        <w:tc>
          <w:tcPr>
            <w:tcW w:w="995"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0"/>
                <w:szCs w:val="20"/>
              </w:rPr>
            </w:pPr>
          </w:p>
        </w:tc>
        <w:tc>
          <w:tcPr>
            <w:tcW w:w="1104"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0"/>
                <w:szCs w:val="20"/>
              </w:rPr>
            </w:pPr>
          </w:p>
        </w:tc>
        <w:tc>
          <w:tcPr>
            <w:tcW w:w="984"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0"/>
                <w:szCs w:val="20"/>
              </w:rPr>
            </w:pPr>
          </w:p>
        </w:tc>
        <w:tc>
          <w:tcPr>
            <w:tcW w:w="744"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0"/>
                <w:szCs w:val="20"/>
              </w:rPr>
            </w:pPr>
          </w:p>
        </w:tc>
        <w:tc>
          <w:tcPr>
            <w:tcW w:w="707"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0"/>
                <w:szCs w:val="20"/>
              </w:rPr>
            </w:pPr>
          </w:p>
        </w:tc>
        <w:tc>
          <w:tcPr>
            <w:tcW w:w="898"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0"/>
                <w:szCs w:val="20"/>
              </w:rPr>
            </w:pPr>
          </w:p>
        </w:tc>
        <w:tc>
          <w:tcPr>
            <w:tcW w:w="1049"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0"/>
                <w:szCs w:val="20"/>
              </w:rPr>
            </w:pPr>
          </w:p>
        </w:tc>
      </w:tr>
      <w:tr>
        <w:tblPrEx>
          <w:tblLayout w:type="fixed"/>
          <w:tblCellMar>
            <w:top w:w="15" w:type="dxa"/>
            <w:left w:w="15" w:type="dxa"/>
            <w:bottom w:w="15" w:type="dxa"/>
            <w:right w:w="15" w:type="dxa"/>
          </w:tblCellMar>
        </w:tblPrEx>
        <w:trPr>
          <w:trHeight w:val="397" w:hRule="atLeast"/>
        </w:trPr>
        <w:tc>
          <w:tcPr>
            <w:tcW w:w="3200"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ascii="宋体" w:hAnsi="宋体" w:cs="宋体"/>
                <w:color w:val="000000"/>
                <w:kern w:val="0"/>
                <w:sz w:val="20"/>
                <w:szCs w:val="20"/>
              </w:rPr>
              <w:t>栏次</w:t>
            </w:r>
          </w:p>
        </w:tc>
        <w:tc>
          <w:tcPr>
            <w:tcW w:w="9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1</w:t>
            </w:r>
          </w:p>
        </w:tc>
        <w:tc>
          <w:tcPr>
            <w:tcW w:w="11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2</w:t>
            </w:r>
          </w:p>
        </w:tc>
        <w:tc>
          <w:tcPr>
            <w:tcW w:w="9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3</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4</w:t>
            </w:r>
          </w:p>
        </w:tc>
        <w:tc>
          <w:tcPr>
            <w:tcW w:w="7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5</w:t>
            </w:r>
          </w:p>
        </w:tc>
        <w:tc>
          <w:tcPr>
            <w:tcW w:w="89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6</w:t>
            </w:r>
          </w:p>
        </w:tc>
        <w:tc>
          <w:tcPr>
            <w:tcW w:w="104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7</w:t>
            </w:r>
          </w:p>
        </w:tc>
      </w:tr>
      <w:tr>
        <w:tblPrEx>
          <w:tblLayout w:type="fixed"/>
          <w:tblCellMar>
            <w:top w:w="15" w:type="dxa"/>
            <w:left w:w="15" w:type="dxa"/>
            <w:bottom w:w="15" w:type="dxa"/>
            <w:right w:w="15" w:type="dxa"/>
          </w:tblCellMar>
        </w:tblPrEx>
        <w:trPr>
          <w:trHeight w:val="397" w:hRule="atLeast"/>
        </w:trPr>
        <w:tc>
          <w:tcPr>
            <w:tcW w:w="3200"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ascii="宋体" w:hAnsi="宋体" w:cs="宋体"/>
                <w:color w:val="000000"/>
                <w:kern w:val="0"/>
                <w:sz w:val="20"/>
                <w:szCs w:val="20"/>
              </w:rPr>
              <w:t>合计</w:t>
            </w:r>
          </w:p>
        </w:tc>
        <w:tc>
          <w:tcPr>
            <w:tcW w:w="9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5,191.27</w:t>
            </w:r>
          </w:p>
        </w:tc>
        <w:tc>
          <w:tcPr>
            <w:tcW w:w="11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5,191.27</w:t>
            </w:r>
          </w:p>
        </w:tc>
        <w:tc>
          <w:tcPr>
            <w:tcW w:w="9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7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89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104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rPr>
          <w:trHeight w:val="397" w:hRule="atLeast"/>
        </w:trPr>
        <w:tc>
          <w:tcPr>
            <w:tcW w:w="99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205</w:t>
            </w:r>
          </w:p>
        </w:tc>
        <w:tc>
          <w:tcPr>
            <w:tcW w:w="22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教育支出</w:t>
            </w:r>
          </w:p>
        </w:tc>
        <w:tc>
          <w:tcPr>
            <w:tcW w:w="9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4,489.59</w:t>
            </w:r>
          </w:p>
        </w:tc>
        <w:tc>
          <w:tcPr>
            <w:tcW w:w="11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4,489.59</w:t>
            </w:r>
          </w:p>
        </w:tc>
        <w:tc>
          <w:tcPr>
            <w:tcW w:w="9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7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89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104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rPr>
          <w:trHeight w:val="397" w:hRule="atLeast"/>
        </w:trPr>
        <w:tc>
          <w:tcPr>
            <w:tcW w:w="99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20502</w:t>
            </w:r>
          </w:p>
        </w:tc>
        <w:tc>
          <w:tcPr>
            <w:tcW w:w="22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普通教育</w:t>
            </w:r>
          </w:p>
        </w:tc>
        <w:tc>
          <w:tcPr>
            <w:tcW w:w="9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3,643.49</w:t>
            </w:r>
          </w:p>
        </w:tc>
        <w:tc>
          <w:tcPr>
            <w:tcW w:w="11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3,643.49</w:t>
            </w:r>
          </w:p>
        </w:tc>
        <w:tc>
          <w:tcPr>
            <w:tcW w:w="9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7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89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104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rPr>
          <w:trHeight w:val="397" w:hRule="atLeast"/>
        </w:trPr>
        <w:tc>
          <w:tcPr>
            <w:tcW w:w="99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2050203</w:t>
            </w:r>
          </w:p>
        </w:tc>
        <w:tc>
          <w:tcPr>
            <w:tcW w:w="22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初中教育</w:t>
            </w:r>
          </w:p>
        </w:tc>
        <w:tc>
          <w:tcPr>
            <w:tcW w:w="9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3,370.61</w:t>
            </w:r>
          </w:p>
        </w:tc>
        <w:tc>
          <w:tcPr>
            <w:tcW w:w="11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3,370.61</w:t>
            </w:r>
          </w:p>
        </w:tc>
        <w:tc>
          <w:tcPr>
            <w:tcW w:w="9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7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89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104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rPr>
          <w:trHeight w:val="397" w:hRule="atLeast"/>
        </w:trPr>
        <w:tc>
          <w:tcPr>
            <w:tcW w:w="99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2050299</w:t>
            </w:r>
          </w:p>
        </w:tc>
        <w:tc>
          <w:tcPr>
            <w:tcW w:w="22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其他普通教育支出</w:t>
            </w:r>
          </w:p>
        </w:tc>
        <w:tc>
          <w:tcPr>
            <w:tcW w:w="9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272.88</w:t>
            </w:r>
          </w:p>
        </w:tc>
        <w:tc>
          <w:tcPr>
            <w:tcW w:w="11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272.88</w:t>
            </w:r>
          </w:p>
        </w:tc>
        <w:tc>
          <w:tcPr>
            <w:tcW w:w="9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7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89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104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rPr>
          <w:trHeight w:val="397" w:hRule="atLeast"/>
        </w:trPr>
        <w:tc>
          <w:tcPr>
            <w:tcW w:w="99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20509</w:t>
            </w:r>
          </w:p>
        </w:tc>
        <w:tc>
          <w:tcPr>
            <w:tcW w:w="22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教育费附加安排的支出</w:t>
            </w:r>
          </w:p>
        </w:tc>
        <w:tc>
          <w:tcPr>
            <w:tcW w:w="9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844.3</w:t>
            </w:r>
          </w:p>
        </w:tc>
        <w:tc>
          <w:tcPr>
            <w:tcW w:w="11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844.3</w:t>
            </w:r>
          </w:p>
        </w:tc>
        <w:tc>
          <w:tcPr>
            <w:tcW w:w="9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7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89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104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rPr>
          <w:trHeight w:val="510" w:hRule="atLeast"/>
        </w:trPr>
        <w:tc>
          <w:tcPr>
            <w:tcW w:w="99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2050999</w:t>
            </w:r>
          </w:p>
        </w:tc>
        <w:tc>
          <w:tcPr>
            <w:tcW w:w="22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其他教育费附加安排的支出</w:t>
            </w:r>
          </w:p>
        </w:tc>
        <w:tc>
          <w:tcPr>
            <w:tcW w:w="9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844.3</w:t>
            </w:r>
          </w:p>
        </w:tc>
        <w:tc>
          <w:tcPr>
            <w:tcW w:w="11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844.3</w:t>
            </w:r>
          </w:p>
        </w:tc>
        <w:tc>
          <w:tcPr>
            <w:tcW w:w="9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7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89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104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rPr>
          <w:trHeight w:val="397" w:hRule="atLeast"/>
        </w:trPr>
        <w:tc>
          <w:tcPr>
            <w:tcW w:w="99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20599</w:t>
            </w:r>
          </w:p>
        </w:tc>
        <w:tc>
          <w:tcPr>
            <w:tcW w:w="22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其他教育支出</w:t>
            </w:r>
          </w:p>
        </w:tc>
        <w:tc>
          <w:tcPr>
            <w:tcW w:w="9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1.8</w:t>
            </w:r>
          </w:p>
        </w:tc>
        <w:tc>
          <w:tcPr>
            <w:tcW w:w="11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1.8</w:t>
            </w:r>
          </w:p>
        </w:tc>
        <w:tc>
          <w:tcPr>
            <w:tcW w:w="9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7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89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104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rPr>
          <w:trHeight w:val="397" w:hRule="atLeast"/>
        </w:trPr>
        <w:tc>
          <w:tcPr>
            <w:tcW w:w="99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2059999</w:t>
            </w:r>
          </w:p>
        </w:tc>
        <w:tc>
          <w:tcPr>
            <w:tcW w:w="22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其他教育支出</w:t>
            </w:r>
          </w:p>
        </w:tc>
        <w:tc>
          <w:tcPr>
            <w:tcW w:w="9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1.8</w:t>
            </w:r>
          </w:p>
        </w:tc>
        <w:tc>
          <w:tcPr>
            <w:tcW w:w="11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1.8</w:t>
            </w:r>
          </w:p>
        </w:tc>
        <w:tc>
          <w:tcPr>
            <w:tcW w:w="9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7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89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104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rPr>
          <w:trHeight w:val="397" w:hRule="atLeast"/>
        </w:trPr>
        <w:tc>
          <w:tcPr>
            <w:tcW w:w="99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208</w:t>
            </w:r>
          </w:p>
        </w:tc>
        <w:tc>
          <w:tcPr>
            <w:tcW w:w="22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社会保障和就业支出</w:t>
            </w:r>
          </w:p>
        </w:tc>
        <w:tc>
          <w:tcPr>
            <w:tcW w:w="9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469.12</w:t>
            </w:r>
          </w:p>
        </w:tc>
        <w:tc>
          <w:tcPr>
            <w:tcW w:w="11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469.12</w:t>
            </w:r>
          </w:p>
        </w:tc>
        <w:tc>
          <w:tcPr>
            <w:tcW w:w="9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7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89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104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rPr>
          <w:trHeight w:val="397" w:hRule="atLeast"/>
        </w:trPr>
        <w:tc>
          <w:tcPr>
            <w:tcW w:w="99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20805</w:t>
            </w:r>
          </w:p>
        </w:tc>
        <w:tc>
          <w:tcPr>
            <w:tcW w:w="22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行政事业单位养老支出</w:t>
            </w:r>
          </w:p>
        </w:tc>
        <w:tc>
          <w:tcPr>
            <w:tcW w:w="9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469.12</w:t>
            </w:r>
          </w:p>
        </w:tc>
        <w:tc>
          <w:tcPr>
            <w:tcW w:w="11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469.12</w:t>
            </w:r>
          </w:p>
        </w:tc>
        <w:tc>
          <w:tcPr>
            <w:tcW w:w="9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7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89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104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rPr>
          <w:trHeight w:val="397" w:hRule="atLeast"/>
        </w:trPr>
        <w:tc>
          <w:tcPr>
            <w:tcW w:w="99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2080502</w:t>
            </w:r>
          </w:p>
        </w:tc>
        <w:tc>
          <w:tcPr>
            <w:tcW w:w="22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事业单位离退休</w:t>
            </w:r>
          </w:p>
        </w:tc>
        <w:tc>
          <w:tcPr>
            <w:tcW w:w="9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47.48</w:t>
            </w:r>
          </w:p>
        </w:tc>
        <w:tc>
          <w:tcPr>
            <w:tcW w:w="11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47.48</w:t>
            </w:r>
          </w:p>
        </w:tc>
        <w:tc>
          <w:tcPr>
            <w:tcW w:w="9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7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89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104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rPr>
          <w:trHeight w:val="510" w:hRule="atLeast"/>
        </w:trPr>
        <w:tc>
          <w:tcPr>
            <w:tcW w:w="99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2080505</w:t>
            </w:r>
          </w:p>
        </w:tc>
        <w:tc>
          <w:tcPr>
            <w:tcW w:w="22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机关事业单位基本养老保险缴费支出</w:t>
            </w:r>
          </w:p>
        </w:tc>
        <w:tc>
          <w:tcPr>
            <w:tcW w:w="9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280.57</w:t>
            </w:r>
          </w:p>
        </w:tc>
        <w:tc>
          <w:tcPr>
            <w:tcW w:w="11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280.57</w:t>
            </w:r>
          </w:p>
        </w:tc>
        <w:tc>
          <w:tcPr>
            <w:tcW w:w="9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7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89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104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rPr>
          <w:trHeight w:val="510" w:hRule="atLeast"/>
        </w:trPr>
        <w:tc>
          <w:tcPr>
            <w:tcW w:w="99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2080506</w:t>
            </w:r>
          </w:p>
        </w:tc>
        <w:tc>
          <w:tcPr>
            <w:tcW w:w="22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机关事业单位职业年金缴费支出</w:t>
            </w:r>
          </w:p>
        </w:tc>
        <w:tc>
          <w:tcPr>
            <w:tcW w:w="9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141.08</w:t>
            </w:r>
          </w:p>
        </w:tc>
        <w:tc>
          <w:tcPr>
            <w:tcW w:w="11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141.08</w:t>
            </w:r>
          </w:p>
        </w:tc>
        <w:tc>
          <w:tcPr>
            <w:tcW w:w="9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7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89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104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rPr>
          <w:trHeight w:val="397" w:hRule="atLeast"/>
        </w:trPr>
        <w:tc>
          <w:tcPr>
            <w:tcW w:w="99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210</w:t>
            </w:r>
          </w:p>
        </w:tc>
        <w:tc>
          <w:tcPr>
            <w:tcW w:w="22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卫生健康支出</w:t>
            </w:r>
          </w:p>
        </w:tc>
        <w:tc>
          <w:tcPr>
            <w:tcW w:w="9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181.49</w:t>
            </w:r>
          </w:p>
        </w:tc>
        <w:tc>
          <w:tcPr>
            <w:tcW w:w="11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181.49</w:t>
            </w:r>
          </w:p>
        </w:tc>
        <w:tc>
          <w:tcPr>
            <w:tcW w:w="9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7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89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104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rPr>
          <w:trHeight w:val="397" w:hRule="atLeast"/>
        </w:trPr>
        <w:tc>
          <w:tcPr>
            <w:tcW w:w="99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21011</w:t>
            </w:r>
          </w:p>
        </w:tc>
        <w:tc>
          <w:tcPr>
            <w:tcW w:w="22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行政事业单位医疗</w:t>
            </w:r>
          </w:p>
        </w:tc>
        <w:tc>
          <w:tcPr>
            <w:tcW w:w="9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181.49</w:t>
            </w:r>
          </w:p>
        </w:tc>
        <w:tc>
          <w:tcPr>
            <w:tcW w:w="11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181.49</w:t>
            </w:r>
          </w:p>
        </w:tc>
        <w:tc>
          <w:tcPr>
            <w:tcW w:w="9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7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89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104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rPr>
          <w:trHeight w:val="397" w:hRule="atLeast"/>
        </w:trPr>
        <w:tc>
          <w:tcPr>
            <w:tcW w:w="99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2101102</w:t>
            </w:r>
          </w:p>
        </w:tc>
        <w:tc>
          <w:tcPr>
            <w:tcW w:w="22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事业单位医疗</w:t>
            </w:r>
          </w:p>
        </w:tc>
        <w:tc>
          <w:tcPr>
            <w:tcW w:w="9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120.12</w:t>
            </w:r>
          </w:p>
        </w:tc>
        <w:tc>
          <w:tcPr>
            <w:tcW w:w="11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120.12</w:t>
            </w:r>
          </w:p>
        </w:tc>
        <w:tc>
          <w:tcPr>
            <w:tcW w:w="9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7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89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104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rPr>
          <w:trHeight w:val="510" w:hRule="atLeast"/>
        </w:trPr>
        <w:tc>
          <w:tcPr>
            <w:tcW w:w="99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2101199</w:t>
            </w:r>
          </w:p>
        </w:tc>
        <w:tc>
          <w:tcPr>
            <w:tcW w:w="22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其他行政事业单位医疗支出</w:t>
            </w:r>
          </w:p>
        </w:tc>
        <w:tc>
          <w:tcPr>
            <w:tcW w:w="9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61.37</w:t>
            </w:r>
          </w:p>
        </w:tc>
        <w:tc>
          <w:tcPr>
            <w:tcW w:w="11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61.37</w:t>
            </w:r>
          </w:p>
        </w:tc>
        <w:tc>
          <w:tcPr>
            <w:tcW w:w="9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7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89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104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rPr>
          <w:trHeight w:val="454" w:hRule="atLeast"/>
        </w:trPr>
        <w:tc>
          <w:tcPr>
            <w:tcW w:w="99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221</w:t>
            </w:r>
          </w:p>
        </w:tc>
        <w:tc>
          <w:tcPr>
            <w:tcW w:w="22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住房保障支出</w:t>
            </w:r>
          </w:p>
        </w:tc>
        <w:tc>
          <w:tcPr>
            <w:tcW w:w="9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51.07</w:t>
            </w:r>
          </w:p>
        </w:tc>
        <w:tc>
          <w:tcPr>
            <w:tcW w:w="11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51.07</w:t>
            </w:r>
          </w:p>
        </w:tc>
        <w:tc>
          <w:tcPr>
            <w:tcW w:w="9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7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89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104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rPr>
          <w:trHeight w:val="454" w:hRule="atLeast"/>
        </w:trPr>
        <w:tc>
          <w:tcPr>
            <w:tcW w:w="99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22102</w:t>
            </w:r>
          </w:p>
        </w:tc>
        <w:tc>
          <w:tcPr>
            <w:tcW w:w="22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住房改革支出</w:t>
            </w:r>
          </w:p>
        </w:tc>
        <w:tc>
          <w:tcPr>
            <w:tcW w:w="9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51.07</w:t>
            </w:r>
          </w:p>
        </w:tc>
        <w:tc>
          <w:tcPr>
            <w:tcW w:w="11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51.07</w:t>
            </w:r>
          </w:p>
        </w:tc>
        <w:tc>
          <w:tcPr>
            <w:tcW w:w="9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7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89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104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rPr>
          <w:trHeight w:val="454" w:hRule="atLeast"/>
        </w:trPr>
        <w:tc>
          <w:tcPr>
            <w:tcW w:w="99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2210203</w:t>
            </w:r>
          </w:p>
        </w:tc>
        <w:tc>
          <w:tcPr>
            <w:tcW w:w="22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购房补贴</w:t>
            </w:r>
          </w:p>
        </w:tc>
        <w:tc>
          <w:tcPr>
            <w:tcW w:w="99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51.07</w:t>
            </w:r>
          </w:p>
        </w:tc>
        <w:tc>
          <w:tcPr>
            <w:tcW w:w="11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51.07</w:t>
            </w:r>
          </w:p>
        </w:tc>
        <w:tc>
          <w:tcPr>
            <w:tcW w:w="98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70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89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104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rPr>
          <w:trHeight w:val="510" w:hRule="atLeast"/>
        </w:trPr>
        <w:tc>
          <w:tcPr>
            <w:tcW w:w="9681" w:type="dxa"/>
            <w:gridSpan w:val="9"/>
            <w:tcMar>
              <w:top w:w="20" w:type="dxa"/>
              <w:left w:w="20" w:type="dxa"/>
              <w:bottom w:w="20" w:type="dxa"/>
              <w:right w:w="20" w:type="dxa"/>
            </w:tcMar>
            <w:vAlign w:val="center"/>
          </w:tcPr>
          <w:p>
            <w:pPr>
              <w:widowControl/>
              <w:spacing w:line="375" w:lineRule="atLeast"/>
              <w:jc w:val="left"/>
              <w:rPr>
                <w:rFonts w:eastAsia="Times New Roman"/>
                <w:color w:val="000000"/>
                <w:kern w:val="0"/>
                <w:sz w:val="20"/>
                <w:szCs w:val="20"/>
              </w:rPr>
            </w:pPr>
            <w:r>
              <w:rPr>
                <w:rFonts w:ascii="宋体" w:hAnsi="宋体" w:cs="宋体"/>
                <w:color w:val="000000"/>
                <w:kern w:val="0"/>
                <w:sz w:val="20"/>
                <w:szCs w:val="20"/>
              </w:rPr>
              <w:t>注：本表反映部门本年度取得的各项收入情况。</w:t>
            </w:r>
          </w:p>
        </w:tc>
      </w:tr>
    </w:tbl>
    <w:p>
      <w:pPr>
        <w:widowControl/>
        <w:jc w:val="left"/>
        <w:rPr>
          <w:rFonts w:eastAsia="Times New Roman"/>
          <w:kern w:val="0"/>
          <w:sz w:val="24"/>
        </w:rPr>
      </w:pPr>
    </w:p>
    <w:p>
      <w:pPr>
        <w:widowControl/>
        <w:jc w:val="left"/>
        <w:rPr>
          <w:rFonts w:ascii="黑体" w:hAnsi="黑体" w:eastAsia="黑体" w:cs="黑体"/>
          <w:b/>
          <w:bCs/>
          <w:kern w:val="0"/>
          <w:sz w:val="32"/>
          <w:szCs w:val="32"/>
        </w:rPr>
      </w:pPr>
      <w:r>
        <w:rPr>
          <w:rFonts w:eastAsia="Times New Roman"/>
          <w:kern w:val="0"/>
          <w:sz w:val="24"/>
        </w:rPr>
        <w:t> </w:t>
      </w:r>
      <w:bookmarkStart w:id="37" w:name="_Toc256000040"/>
      <w:bookmarkStart w:id="38" w:name="_Toc256000102"/>
      <w:bookmarkStart w:id="39" w:name="_Toc256000071"/>
      <w:bookmarkStart w:id="40" w:name="_Toc256000009"/>
      <w:r>
        <w:rPr>
          <w:rFonts w:ascii="黑体" w:hAnsi="黑体" w:eastAsia="黑体" w:cs="黑体"/>
          <w:b/>
          <w:bCs/>
          <w:kern w:val="0"/>
          <w:sz w:val="32"/>
          <w:szCs w:val="32"/>
        </w:rPr>
        <w:t>三、支出决算表</w:t>
      </w:r>
      <w:bookmarkEnd w:id="37"/>
      <w:bookmarkEnd w:id="38"/>
      <w:bookmarkEnd w:id="39"/>
      <w:bookmarkEnd w:id="40"/>
    </w:p>
    <w:p/>
    <w:tbl>
      <w:tblPr>
        <w:tblStyle w:val="22"/>
        <w:tblW w:w="9320" w:type="dxa"/>
        <w:tblInd w:w="0" w:type="dxa"/>
        <w:tblLayout w:type="fixed"/>
        <w:tblCellMar>
          <w:top w:w="15" w:type="dxa"/>
          <w:left w:w="15" w:type="dxa"/>
          <w:bottom w:w="15" w:type="dxa"/>
          <w:right w:w="15" w:type="dxa"/>
        </w:tblCellMar>
      </w:tblPr>
      <w:tblGrid>
        <w:gridCol w:w="501"/>
        <w:gridCol w:w="403"/>
        <w:gridCol w:w="244"/>
        <w:gridCol w:w="2492"/>
        <w:gridCol w:w="936"/>
        <w:gridCol w:w="997"/>
        <w:gridCol w:w="900"/>
        <w:gridCol w:w="911"/>
        <w:gridCol w:w="803"/>
        <w:gridCol w:w="1133"/>
      </w:tblGrid>
      <w:tr>
        <w:tblPrEx>
          <w:tblLayout w:type="fixed"/>
          <w:tblCellMar>
            <w:top w:w="15" w:type="dxa"/>
            <w:left w:w="15" w:type="dxa"/>
            <w:bottom w:w="15" w:type="dxa"/>
            <w:right w:w="15" w:type="dxa"/>
          </w:tblCellMar>
        </w:tblPrEx>
        <w:trPr>
          <w:tblHeader/>
        </w:trPr>
        <w:tc>
          <w:tcPr>
            <w:tcW w:w="9320" w:type="dxa"/>
            <w:gridSpan w:val="10"/>
            <w:tcMar>
              <w:top w:w="20" w:type="dxa"/>
              <w:left w:w="20" w:type="dxa"/>
              <w:bottom w:w="20" w:type="dxa"/>
              <w:right w:w="20" w:type="dxa"/>
            </w:tcMar>
            <w:vAlign w:val="center"/>
          </w:tcPr>
          <w:p>
            <w:pPr>
              <w:widowControl/>
              <w:spacing w:line="900" w:lineRule="atLeast"/>
              <w:jc w:val="center"/>
              <w:rPr>
                <w:rFonts w:eastAsia="Times New Roman"/>
                <w:color w:val="000000"/>
                <w:kern w:val="0"/>
                <w:sz w:val="20"/>
                <w:szCs w:val="20"/>
              </w:rPr>
            </w:pPr>
            <w:r>
              <w:rPr>
                <w:rFonts w:ascii="宋体" w:hAnsi="宋体" w:cs="宋体"/>
                <w:color w:val="000000"/>
                <w:kern w:val="0"/>
                <w:sz w:val="20"/>
                <w:szCs w:val="20"/>
              </w:rPr>
              <w:t>支出决算表</w:t>
            </w:r>
          </w:p>
        </w:tc>
      </w:tr>
      <w:tr>
        <w:tblPrEx>
          <w:tblLayout w:type="fixed"/>
          <w:tblCellMar>
            <w:top w:w="15" w:type="dxa"/>
            <w:left w:w="15" w:type="dxa"/>
            <w:bottom w:w="15" w:type="dxa"/>
            <w:right w:w="15" w:type="dxa"/>
          </w:tblCellMar>
        </w:tblPrEx>
        <w:trPr>
          <w:trHeight w:val="113" w:hRule="atLeast"/>
          <w:tblHeader/>
        </w:trPr>
        <w:tc>
          <w:tcPr>
            <w:tcW w:w="501"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0"/>
                <w:szCs w:val="20"/>
              </w:rPr>
            </w:pPr>
            <w:r>
              <w:rPr>
                <w:rFonts w:eastAsia="Times New Roman"/>
                <w:color w:val="000000"/>
                <w:kern w:val="0"/>
                <w:sz w:val="20"/>
                <w:szCs w:val="20"/>
              </w:rPr>
              <w:t> </w:t>
            </w:r>
          </w:p>
        </w:tc>
        <w:tc>
          <w:tcPr>
            <w:tcW w:w="403"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0"/>
                <w:szCs w:val="20"/>
              </w:rPr>
            </w:pPr>
            <w:r>
              <w:rPr>
                <w:rFonts w:eastAsia="Times New Roman"/>
                <w:color w:val="000000"/>
                <w:kern w:val="0"/>
                <w:sz w:val="20"/>
                <w:szCs w:val="20"/>
              </w:rPr>
              <w:t> </w:t>
            </w:r>
          </w:p>
        </w:tc>
        <w:tc>
          <w:tcPr>
            <w:tcW w:w="244"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0"/>
                <w:szCs w:val="20"/>
              </w:rPr>
            </w:pPr>
            <w:r>
              <w:rPr>
                <w:rFonts w:eastAsia="Times New Roman"/>
                <w:color w:val="000000"/>
                <w:kern w:val="0"/>
                <w:sz w:val="20"/>
                <w:szCs w:val="20"/>
              </w:rPr>
              <w:t> </w:t>
            </w:r>
          </w:p>
        </w:tc>
        <w:tc>
          <w:tcPr>
            <w:tcW w:w="2492"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0"/>
                <w:szCs w:val="20"/>
              </w:rPr>
            </w:pPr>
            <w:r>
              <w:rPr>
                <w:rFonts w:eastAsia="Times New Roman"/>
                <w:color w:val="000000"/>
                <w:kern w:val="0"/>
                <w:sz w:val="20"/>
                <w:szCs w:val="20"/>
              </w:rPr>
              <w:t> </w:t>
            </w:r>
          </w:p>
        </w:tc>
        <w:tc>
          <w:tcPr>
            <w:tcW w:w="936"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0"/>
                <w:szCs w:val="20"/>
              </w:rPr>
            </w:pPr>
            <w:r>
              <w:rPr>
                <w:rFonts w:eastAsia="Times New Roman"/>
                <w:color w:val="000000"/>
                <w:kern w:val="0"/>
                <w:sz w:val="20"/>
                <w:szCs w:val="20"/>
              </w:rPr>
              <w:t> </w:t>
            </w:r>
          </w:p>
        </w:tc>
        <w:tc>
          <w:tcPr>
            <w:tcW w:w="99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0"/>
                <w:szCs w:val="20"/>
              </w:rPr>
            </w:pPr>
            <w:r>
              <w:rPr>
                <w:rFonts w:eastAsia="Times New Roman"/>
                <w:color w:val="000000"/>
                <w:kern w:val="0"/>
                <w:sz w:val="20"/>
                <w:szCs w:val="20"/>
              </w:rPr>
              <w:t> </w:t>
            </w:r>
          </w:p>
        </w:tc>
        <w:tc>
          <w:tcPr>
            <w:tcW w:w="900"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0"/>
                <w:szCs w:val="20"/>
              </w:rPr>
            </w:pPr>
            <w:r>
              <w:rPr>
                <w:rFonts w:eastAsia="Times New Roman"/>
                <w:color w:val="000000"/>
                <w:kern w:val="0"/>
                <w:sz w:val="20"/>
                <w:szCs w:val="20"/>
              </w:rPr>
              <w:t> </w:t>
            </w:r>
          </w:p>
        </w:tc>
        <w:tc>
          <w:tcPr>
            <w:tcW w:w="911"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0"/>
                <w:szCs w:val="20"/>
              </w:rPr>
            </w:pPr>
            <w:r>
              <w:rPr>
                <w:rFonts w:eastAsia="Times New Roman"/>
                <w:color w:val="000000"/>
                <w:kern w:val="0"/>
                <w:sz w:val="20"/>
                <w:szCs w:val="20"/>
              </w:rPr>
              <w:t> </w:t>
            </w:r>
          </w:p>
        </w:tc>
        <w:tc>
          <w:tcPr>
            <w:tcW w:w="803"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0"/>
                <w:szCs w:val="20"/>
              </w:rPr>
            </w:pPr>
            <w:r>
              <w:rPr>
                <w:rFonts w:eastAsia="Times New Roman"/>
                <w:color w:val="000000"/>
                <w:kern w:val="0"/>
                <w:sz w:val="20"/>
                <w:szCs w:val="20"/>
              </w:rPr>
              <w:t> </w:t>
            </w:r>
          </w:p>
        </w:tc>
        <w:tc>
          <w:tcPr>
            <w:tcW w:w="1133"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c>
          <w:tcPr>
            <w:tcW w:w="4576" w:type="dxa"/>
            <w:gridSpan w:val="5"/>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部门</w:t>
            </w:r>
            <w:r>
              <w:rPr>
                <w:rFonts w:eastAsia="Times New Roman"/>
                <w:color w:val="000000"/>
                <w:kern w:val="0"/>
                <w:sz w:val="20"/>
                <w:szCs w:val="20"/>
              </w:rPr>
              <w:t>/</w:t>
            </w:r>
            <w:r>
              <w:rPr>
                <w:rFonts w:ascii="宋体" w:hAnsi="宋体" w:cs="宋体"/>
                <w:color w:val="000000"/>
                <w:kern w:val="0"/>
                <w:sz w:val="20"/>
                <w:szCs w:val="20"/>
              </w:rPr>
              <w:t>单位：厦门外国语学校湖里分校</w:t>
            </w:r>
          </w:p>
        </w:tc>
        <w:tc>
          <w:tcPr>
            <w:tcW w:w="99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2024</w:t>
            </w:r>
            <w:r>
              <w:rPr>
                <w:rFonts w:ascii="宋体" w:hAnsi="宋体" w:cs="宋体"/>
                <w:color w:val="000000"/>
                <w:kern w:val="0"/>
                <w:sz w:val="20"/>
                <w:szCs w:val="20"/>
              </w:rPr>
              <w:t>年度</w:t>
            </w:r>
          </w:p>
        </w:tc>
        <w:tc>
          <w:tcPr>
            <w:tcW w:w="900"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0"/>
                <w:szCs w:val="20"/>
              </w:rPr>
            </w:pPr>
            <w:r>
              <w:rPr>
                <w:rFonts w:eastAsia="Times New Roman"/>
                <w:color w:val="000000"/>
                <w:kern w:val="0"/>
                <w:sz w:val="20"/>
                <w:szCs w:val="20"/>
              </w:rPr>
              <w:t> </w:t>
            </w:r>
          </w:p>
        </w:tc>
        <w:tc>
          <w:tcPr>
            <w:tcW w:w="911"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0"/>
                <w:szCs w:val="20"/>
              </w:rPr>
            </w:pPr>
            <w:r>
              <w:rPr>
                <w:rFonts w:eastAsia="Times New Roman"/>
                <w:color w:val="000000"/>
                <w:kern w:val="0"/>
                <w:sz w:val="20"/>
                <w:szCs w:val="20"/>
              </w:rPr>
              <w:t> </w:t>
            </w:r>
          </w:p>
        </w:tc>
        <w:tc>
          <w:tcPr>
            <w:tcW w:w="803"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0"/>
                <w:szCs w:val="20"/>
              </w:rPr>
            </w:pPr>
            <w:r>
              <w:rPr>
                <w:rFonts w:eastAsia="Times New Roman"/>
                <w:color w:val="000000"/>
                <w:kern w:val="0"/>
                <w:sz w:val="20"/>
                <w:szCs w:val="20"/>
              </w:rPr>
              <w:t> </w:t>
            </w:r>
          </w:p>
        </w:tc>
        <w:tc>
          <w:tcPr>
            <w:tcW w:w="1133"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ascii="宋体" w:hAnsi="宋体" w:cs="宋体"/>
                <w:color w:val="000000"/>
                <w:kern w:val="0"/>
                <w:sz w:val="20"/>
                <w:szCs w:val="20"/>
              </w:rPr>
              <w:t>金额单位：万元</w:t>
            </w:r>
          </w:p>
        </w:tc>
      </w:tr>
      <w:tr>
        <w:tblPrEx>
          <w:tblLayout w:type="fixed"/>
          <w:tblCellMar>
            <w:top w:w="15" w:type="dxa"/>
            <w:left w:w="15" w:type="dxa"/>
            <w:bottom w:w="15" w:type="dxa"/>
            <w:right w:w="15" w:type="dxa"/>
          </w:tblCellMar>
        </w:tblPrEx>
        <w:trPr>
          <w:tblHeader/>
        </w:trPr>
        <w:tc>
          <w:tcPr>
            <w:tcW w:w="3640" w:type="dxa"/>
            <w:gridSpan w:val="4"/>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ascii="宋体" w:hAnsi="宋体" w:cs="宋体"/>
                <w:color w:val="000000"/>
                <w:kern w:val="0"/>
                <w:sz w:val="20"/>
                <w:szCs w:val="20"/>
              </w:rPr>
              <w:t>项目</w:t>
            </w:r>
          </w:p>
        </w:tc>
        <w:tc>
          <w:tcPr>
            <w:tcW w:w="936"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ascii="宋体" w:hAnsi="宋体" w:cs="宋体"/>
                <w:color w:val="000000"/>
                <w:kern w:val="0"/>
                <w:sz w:val="20"/>
                <w:szCs w:val="20"/>
              </w:rPr>
              <w:t>本年支出合计</w:t>
            </w:r>
          </w:p>
        </w:tc>
        <w:tc>
          <w:tcPr>
            <w:tcW w:w="997"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ascii="宋体" w:hAnsi="宋体" w:cs="宋体"/>
                <w:color w:val="000000"/>
                <w:kern w:val="0"/>
                <w:sz w:val="20"/>
                <w:szCs w:val="20"/>
              </w:rPr>
              <w:t>基本支出</w:t>
            </w:r>
          </w:p>
        </w:tc>
        <w:tc>
          <w:tcPr>
            <w:tcW w:w="900"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ascii="宋体" w:hAnsi="宋体" w:cs="宋体"/>
                <w:color w:val="000000"/>
                <w:kern w:val="0"/>
                <w:sz w:val="20"/>
                <w:szCs w:val="20"/>
              </w:rPr>
              <w:t>项目支出</w:t>
            </w:r>
          </w:p>
        </w:tc>
        <w:tc>
          <w:tcPr>
            <w:tcW w:w="911"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ascii="宋体" w:hAnsi="宋体" w:cs="宋体"/>
                <w:color w:val="000000"/>
                <w:kern w:val="0"/>
                <w:sz w:val="20"/>
                <w:szCs w:val="20"/>
              </w:rPr>
              <w:t>上缴上级支出</w:t>
            </w:r>
          </w:p>
        </w:tc>
        <w:tc>
          <w:tcPr>
            <w:tcW w:w="803"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宋体" w:hAnsi="宋体" w:cs="宋体"/>
                <w:color w:val="000000"/>
                <w:kern w:val="0"/>
                <w:sz w:val="20"/>
                <w:szCs w:val="20"/>
              </w:rPr>
            </w:pPr>
            <w:r>
              <w:rPr>
                <w:rFonts w:ascii="宋体" w:hAnsi="宋体" w:cs="宋体"/>
                <w:color w:val="000000"/>
                <w:kern w:val="0"/>
                <w:sz w:val="20"/>
                <w:szCs w:val="20"/>
              </w:rPr>
              <w:t>经营</w:t>
            </w:r>
          </w:p>
          <w:p>
            <w:pPr>
              <w:widowControl/>
              <w:jc w:val="center"/>
              <w:rPr>
                <w:rFonts w:eastAsia="Times New Roman"/>
                <w:color w:val="000000"/>
                <w:kern w:val="0"/>
                <w:sz w:val="20"/>
                <w:szCs w:val="20"/>
              </w:rPr>
            </w:pPr>
            <w:r>
              <w:rPr>
                <w:rFonts w:ascii="宋体" w:hAnsi="宋体" w:cs="宋体"/>
                <w:color w:val="000000"/>
                <w:kern w:val="0"/>
                <w:sz w:val="20"/>
                <w:szCs w:val="20"/>
              </w:rPr>
              <w:t>支出</w:t>
            </w:r>
          </w:p>
        </w:tc>
        <w:tc>
          <w:tcPr>
            <w:tcW w:w="1133"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ascii="宋体" w:hAnsi="宋体" w:cs="宋体"/>
                <w:color w:val="000000"/>
                <w:kern w:val="0"/>
                <w:sz w:val="20"/>
                <w:szCs w:val="20"/>
              </w:rPr>
              <w:t>对附属单位补助支出</w:t>
            </w:r>
          </w:p>
        </w:tc>
      </w:tr>
      <w:tr>
        <w:tblPrEx>
          <w:tblLayout w:type="fixed"/>
          <w:tblCellMar>
            <w:top w:w="15" w:type="dxa"/>
            <w:left w:w="15" w:type="dxa"/>
            <w:bottom w:w="15" w:type="dxa"/>
            <w:right w:w="15" w:type="dxa"/>
          </w:tblCellMar>
        </w:tblPrEx>
        <w:trPr>
          <w:trHeight w:val="230" w:hRule="atLeast"/>
          <w:tblHeader/>
        </w:trPr>
        <w:tc>
          <w:tcPr>
            <w:tcW w:w="1148" w:type="dxa"/>
            <w:gridSpan w:val="3"/>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ascii="宋体" w:hAnsi="宋体" w:cs="宋体"/>
                <w:color w:val="000000"/>
                <w:kern w:val="0"/>
                <w:sz w:val="20"/>
                <w:szCs w:val="20"/>
              </w:rPr>
              <w:t>科目代码</w:t>
            </w:r>
          </w:p>
        </w:tc>
        <w:tc>
          <w:tcPr>
            <w:tcW w:w="2492"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ascii="宋体" w:hAnsi="宋体" w:cs="宋体"/>
                <w:color w:val="000000"/>
                <w:kern w:val="0"/>
                <w:sz w:val="20"/>
                <w:szCs w:val="20"/>
              </w:rPr>
              <w:t>科目名称</w:t>
            </w:r>
          </w:p>
        </w:tc>
        <w:tc>
          <w:tcPr>
            <w:tcW w:w="936"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0"/>
                <w:szCs w:val="20"/>
              </w:rPr>
            </w:pPr>
          </w:p>
        </w:tc>
        <w:tc>
          <w:tcPr>
            <w:tcW w:w="997"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0"/>
                <w:szCs w:val="20"/>
              </w:rPr>
            </w:pPr>
          </w:p>
        </w:tc>
        <w:tc>
          <w:tcPr>
            <w:tcW w:w="900"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0"/>
                <w:szCs w:val="20"/>
              </w:rPr>
            </w:pPr>
          </w:p>
        </w:tc>
        <w:tc>
          <w:tcPr>
            <w:tcW w:w="911"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0"/>
                <w:szCs w:val="20"/>
              </w:rPr>
            </w:pPr>
          </w:p>
        </w:tc>
        <w:tc>
          <w:tcPr>
            <w:tcW w:w="803"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0"/>
                <w:szCs w:val="20"/>
              </w:rPr>
            </w:pPr>
          </w:p>
        </w:tc>
        <w:tc>
          <w:tcPr>
            <w:tcW w:w="1133"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0"/>
                <w:szCs w:val="20"/>
              </w:rPr>
            </w:pPr>
          </w:p>
        </w:tc>
      </w:tr>
      <w:tr>
        <w:tblPrEx>
          <w:tblLayout w:type="fixed"/>
          <w:tblCellMar>
            <w:top w:w="15" w:type="dxa"/>
            <w:left w:w="15" w:type="dxa"/>
            <w:bottom w:w="15" w:type="dxa"/>
            <w:right w:w="15" w:type="dxa"/>
          </w:tblCellMar>
        </w:tblPrEx>
        <w:trPr>
          <w:trHeight w:val="230" w:hRule="atLeast"/>
          <w:tblHeader/>
        </w:trPr>
        <w:tc>
          <w:tcPr>
            <w:tcW w:w="1148" w:type="dxa"/>
            <w:gridSpan w:val="3"/>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0"/>
                <w:szCs w:val="20"/>
              </w:rPr>
            </w:pPr>
          </w:p>
        </w:tc>
        <w:tc>
          <w:tcPr>
            <w:tcW w:w="2492"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0"/>
                <w:szCs w:val="20"/>
              </w:rPr>
            </w:pPr>
          </w:p>
        </w:tc>
        <w:tc>
          <w:tcPr>
            <w:tcW w:w="936"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0"/>
                <w:szCs w:val="20"/>
              </w:rPr>
            </w:pPr>
          </w:p>
        </w:tc>
        <w:tc>
          <w:tcPr>
            <w:tcW w:w="997"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0"/>
                <w:szCs w:val="20"/>
              </w:rPr>
            </w:pPr>
          </w:p>
        </w:tc>
        <w:tc>
          <w:tcPr>
            <w:tcW w:w="900"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0"/>
                <w:szCs w:val="20"/>
              </w:rPr>
            </w:pPr>
          </w:p>
        </w:tc>
        <w:tc>
          <w:tcPr>
            <w:tcW w:w="911"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0"/>
                <w:szCs w:val="20"/>
              </w:rPr>
            </w:pPr>
          </w:p>
        </w:tc>
        <w:tc>
          <w:tcPr>
            <w:tcW w:w="803"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0"/>
                <w:szCs w:val="20"/>
              </w:rPr>
            </w:pPr>
          </w:p>
        </w:tc>
        <w:tc>
          <w:tcPr>
            <w:tcW w:w="1133"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0"/>
                <w:szCs w:val="20"/>
              </w:rPr>
            </w:pPr>
          </w:p>
        </w:tc>
      </w:tr>
      <w:tr>
        <w:tblPrEx>
          <w:tblLayout w:type="fixed"/>
          <w:tblCellMar>
            <w:top w:w="15" w:type="dxa"/>
            <w:left w:w="15" w:type="dxa"/>
            <w:bottom w:w="15" w:type="dxa"/>
            <w:right w:w="15" w:type="dxa"/>
          </w:tblCellMar>
        </w:tblPrEx>
        <w:trPr>
          <w:trHeight w:val="397" w:hRule="atLeast"/>
        </w:trPr>
        <w:tc>
          <w:tcPr>
            <w:tcW w:w="3640" w:type="dxa"/>
            <w:gridSpan w:val="4"/>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ascii="宋体" w:hAnsi="宋体" w:cs="宋体"/>
                <w:color w:val="000000"/>
                <w:kern w:val="0"/>
                <w:sz w:val="20"/>
                <w:szCs w:val="20"/>
              </w:rPr>
              <w:t>栏次</w:t>
            </w:r>
          </w:p>
        </w:tc>
        <w:tc>
          <w:tcPr>
            <w:tcW w:w="9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1</w:t>
            </w:r>
          </w:p>
        </w:tc>
        <w:tc>
          <w:tcPr>
            <w:tcW w:w="99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2</w:t>
            </w:r>
          </w:p>
        </w:tc>
        <w:tc>
          <w:tcPr>
            <w:tcW w:w="9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3</w:t>
            </w:r>
          </w:p>
        </w:tc>
        <w:tc>
          <w:tcPr>
            <w:tcW w:w="9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4</w:t>
            </w:r>
          </w:p>
        </w:tc>
        <w:tc>
          <w:tcPr>
            <w:tcW w:w="80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5</w:t>
            </w:r>
          </w:p>
        </w:tc>
        <w:tc>
          <w:tcPr>
            <w:tcW w:w="11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6</w:t>
            </w:r>
          </w:p>
        </w:tc>
      </w:tr>
      <w:tr>
        <w:tblPrEx>
          <w:tblLayout w:type="fixed"/>
          <w:tblCellMar>
            <w:top w:w="15" w:type="dxa"/>
            <w:left w:w="15" w:type="dxa"/>
            <w:bottom w:w="15" w:type="dxa"/>
            <w:right w:w="15" w:type="dxa"/>
          </w:tblCellMar>
        </w:tblPrEx>
        <w:trPr>
          <w:trHeight w:val="397" w:hRule="atLeast"/>
        </w:trPr>
        <w:tc>
          <w:tcPr>
            <w:tcW w:w="3640" w:type="dxa"/>
            <w:gridSpan w:val="4"/>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ascii="宋体" w:hAnsi="宋体" w:cs="宋体"/>
                <w:color w:val="000000"/>
                <w:kern w:val="0"/>
                <w:sz w:val="20"/>
                <w:szCs w:val="20"/>
              </w:rPr>
              <w:t>合计</w:t>
            </w:r>
          </w:p>
        </w:tc>
        <w:tc>
          <w:tcPr>
            <w:tcW w:w="9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5,191.27</w:t>
            </w:r>
          </w:p>
        </w:tc>
        <w:tc>
          <w:tcPr>
            <w:tcW w:w="99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4,166.71</w:t>
            </w:r>
          </w:p>
        </w:tc>
        <w:tc>
          <w:tcPr>
            <w:tcW w:w="9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1,024.56</w:t>
            </w:r>
          </w:p>
        </w:tc>
        <w:tc>
          <w:tcPr>
            <w:tcW w:w="9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80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11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rPr>
          <w:trHeight w:val="397" w:hRule="atLeast"/>
        </w:trPr>
        <w:tc>
          <w:tcPr>
            <w:tcW w:w="1148"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205</w:t>
            </w:r>
          </w:p>
        </w:tc>
        <w:tc>
          <w:tcPr>
            <w:tcW w:w="24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教育支出</w:t>
            </w:r>
          </w:p>
        </w:tc>
        <w:tc>
          <w:tcPr>
            <w:tcW w:w="9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4,489.59</w:t>
            </w:r>
          </w:p>
        </w:tc>
        <w:tc>
          <w:tcPr>
            <w:tcW w:w="99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3,465.03</w:t>
            </w:r>
          </w:p>
        </w:tc>
        <w:tc>
          <w:tcPr>
            <w:tcW w:w="9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1,024.56</w:t>
            </w:r>
          </w:p>
        </w:tc>
        <w:tc>
          <w:tcPr>
            <w:tcW w:w="9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80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11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rPr>
          <w:trHeight w:val="397" w:hRule="atLeast"/>
        </w:trPr>
        <w:tc>
          <w:tcPr>
            <w:tcW w:w="1148"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20502</w:t>
            </w:r>
          </w:p>
        </w:tc>
        <w:tc>
          <w:tcPr>
            <w:tcW w:w="24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普通教育</w:t>
            </w:r>
          </w:p>
        </w:tc>
        <w:tc>
          <w:tcPr>
            <w:tcW w:w="9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3,643.49</w:t>
            </w:r>
          </w:p>
        </w:tc>
        <w:tc>
          <w:tcPr>
            <w:tcW w:w="99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3,465.03</w:t>
            </w:r>
          </w:p>
        </w:tc>
        <w:tc>
          <w:tcPr>
            <w:tcW w:w="9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178.46</w:t>
            </w:r>
          </w:p>
        </w:tc>
        <w:tc>
          <w:tcPr>
            <w:tcW w:w="9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80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11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rPr>
          <w:trHeight w:val="397" w:hRule="atLeast"/>
        </w:trPr>
        <w:tc>
          <w:tcPr>
            <w:tcW w:w="1148"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2050203</w:t>
            </w:r>
          </w:p>
        </w:tc>
        <w:tc>
          <w:tcPr>
            <w:tcW w:w="24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初中教育</w:t>
            </w:r>
          </w:p>
        </w:tc>
        <w:tc>
          <w:tcPr>
            <w:tcW w:w="9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3,370.61</w:t>
            </w:r>
          </w:p>
        </w:tc>
        <w:tc>
          <w:tcPr>
            <w:tcW w:w="99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3,370.61</w:t>
            </w:r>
          </w:p>
        </w:tc>
        <w:tc>
          <w:tcPr>
            <w:tcW w:w="9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9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80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11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rPr>
          <w:trHeight w:val="397" w:hRule="atLeast"/>
        </w:trPr>
        <w:tc>
          <w:tcPr>
            <w:tcW w:w="1148"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2050299</w:t>
            </w:r>
          </w:p>
        </w:tc>
        <w:tc>
          <w:tcPr>
            <w:tcW w:w="24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其他普通教育支出</w:t>
            </w:r>
          </w:p>
        </w:tc>
        <w:tc>
          <w:tcPr>
            <w:tcW w:w="9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272.88</w:t>
            </w:r>
          </w:p>
        </w:tc>
        <w:tc>
          <w:tcPr>
            <w:tcW w:w="99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94.42</w:t>
            </w:r>
          </w:p>
        </w:tc>
        <w:tc>
          <w:tcPr>
            <w:tcW w:w="9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178.46</w:t>
            </w:r>
          </w:p>
        </w:tc>
        <w:tc>
          <w:tcPr>
            <w:tcW w:w="9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80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11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rPr>
          <w:trHeight w:val="397" w:hRule="atLeast"/>
        </w:trPr>
        <w:tc>
          <w:tcPr>
            <w:tcW w:w="1148"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20509</w:t>
            </w:r>
          </w:p>
        </w:tc>
        <w:tc>
          <w:tcPr>
            <w:tcW w:w="24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教育费附加安排的支出</w:t>
            </w:r>
          </w:p>
        </w:tc>
        <w:tc>
          <w:tcPr>
            <w:tcW w:w="9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844.3</w:t>
            </w:r>
          </w:p>
        </w:tc>
        <w:tc>
          <w:tcPr>
            <w:tcW w:w="99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9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844.3</w:t>
            </w:r>
          </w:p>
        </w:tc>
        <w:tc>
          <w:tcPr>
            <w:tcW w:w="9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80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11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rPr>
          <w:trHeight w:val="397" w:hRule="atLeast"/>
        </w:trPr>
        <w:tc>
          <w:tcPr>
            <w:tcW w:w="1148"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2050999</w:t>
            </w:r>
          </w:p>
        </w:tc>
        <w:tc>
          <w:tcPr>
            <w:tcW w:w="24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其他教育费附加安排的支出</w:t>
            </w:r>
          </w:p>
        </w:tc>
        <w:tc>
          <w:tcPr>
            <w:tcW w:w="9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844.3</w:t>
            </w:r>
          </w:p>
        </w:tc>
        <w:tc>
          <w:tcPr>
            <w:tcW w:w="99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9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844.3</w:t>
            </w:r>
          </w:p>
        </w:tc>
        <w:tc>
          <w:tcPr>
            <w:tcW w:w="9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80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11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rPr>
          <w:trHeight w:val="397" w:hRule="atLeast"/>
        </w:trPr>
        <w:tc>
          <w:tcPr>
            <w:tcW w:w="1148"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20599</w:t>
            </w:r>
          </w:p>
        </w:tc>
        <w:tc>
          <w:tcPr>
            <w:tcW w:w="24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其他教育支出</w:t>
            </w:r>
          </w:p>
        </w:tc>
        <w:tc>
          <w:tcPr>
            <w:tcW w:w="9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1.8</w:t>
            </w:r>
          </w:p>
        </w:tc>
        <w:tc>
          <w:tcPr>
            <w:tcW w:w="99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9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1.8</w:t>
            </w:r>
          </w:p>
        </w:tc>
        <w:tc>
          <w:tcPr>
            <w:tcW w:w="9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80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11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rPr>
          <w:trHeight w:val="397" w:hRule="atLeast"/>
        </w:trPr>
        <w:tc>
          <w:tcPr>
            <w:tcW w:w="1148"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2059999</w:t>
            </w:r>
          </w:p>
        </w:tc>
        <w:tc>
          <w:tcPr>
            <w:tcW w:w="24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其他教育支出</w:t>
            </w:r>
          </w:p>
        </w:tc>
        <w:tc>
          <w:tcPr>
            <w:tcW w:w="9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1.8</w:t>
            </w:r>
          </w:p>
        </w:tc>
        <w:tc>
          <w:tcPr>
            <w:tcW w:w="99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9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1.8</w:t>
            </w:r>
          </w:p>
        </w:tc>
        <w:tc>
          <w:tcPr>
            <w:tcW w:w="9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80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11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rPr>
          <w:trHeight w:val="397" w:hRule="atLeast"/>
        </w:trPr>
        <w:tc>
          <w:tcPr>
            <w:tcW w:w="1148"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208</w:t>
            </w:r>
          </w:p>
        </w:tc>
        <w:tc>
          <w:tcPr>
            <w:tcW w:w="24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社会保障和就业支出</w:t>
            </w:r>
          </w:p>
        </w:tc>
        <w:tc>
          <w:tcPr>
            <w:tcW w:w="9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469.12</w:t>
            </w:r>
          </w:p>
        </w:tc>
        <w:tc>
          <w:tcPr>
            <w:tcW w:w="99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469.12</w:t>
            </w:r>
          </w:p>
        </w:tc>
        <w:tc>
          <w:tcPr>
            <w:tcW w:w="9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9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80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11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rPr>
          <w:trHeight w:val="397" w:hRule="atLeast"/>
        </w:trPr>
        <w:tc>
          <w:tcPr>
            <w:tcW w:w="1148"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20805</w:t>
            </w:r>
          </w:p>
        </w:tc>
        <w:tc>
          <w:tcPr>
            <w:tcW w:w="24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行政事业单位养老支出</w:t>
            </w:r>
          </w:p>
        </w:tc>
        <w:tc>
          <w:tcPr>
            <w:tcW w:w="9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469.12</w:t>
            </w:r>
          </w:p>
        </w:tc>
        <w:tc>
          <w:tcPr>
            <w:tcW w:w="99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469.12</w:t>
            </w:r>
          </w:p>
        </w:tc>
        <w:tc>
          <w:tcPr>
            <w:tcW w:w="9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9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80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11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rPr>
          <w:trHeight w:val="397" w:hRule="atLeast"/>
        </w:trPr>
        <w:tc>
          <w:tcPr>
            <w:tcW w:w="1148"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2080502</w:t>
            </w:r>
          </w:p>
        </w:tc>
        <w:tc>
          <w:tcPr>
            <w:tcW w:w="24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事业单位离退休</w:t>
            </w:r>
          </w:p>
        </w:tc>
        <w:tc>
          <w:tcPr>
            <w:tcW w:w="9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47.48</w:t>
            </w:r>
          </w:p>
        </w:tc>
        <w:tc>
          <w:tcPr>
            <w:tcW w:w="99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47.48</w:t>
            </w:r>
          </w:p>
        </w:tc>
        <w:tc>
          <w:tcPr>
            <w:tcW w:w="9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9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80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11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rPr>
          <w:trHeight w:val="397" w:hRule="atLeast"/>
        </w:trPr>
        <w:tc>
          <w:tcPr>
            <w:tcW w:w="1148"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2080505</w:t>
            </w:r>
          </w:p>
        </w:tc>
        <w:tc>
          <w:tcPr>
            <w:tcW w:w="24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机关事业单位基本养老保险缴费支出</w:t>
            </w:r>
          </w:p>
        </w:tc>
        <w:tc>
          <w:tcPr>
            <w:tcW w:w="9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280.57</w:t>
            </w:r>
          </w:p>
        </w:tc>
        <w:tc>
          <w:tcPr>
            <w:tcW w:w="99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280.57</w:t>
            </w:r>
          </w:p>
        </w:tc>
        <w:tc>
          <w:tcPr>
            <w:tcW w:w="9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9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80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11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rPr>
          <w:trHeight w:val="397" w:hRule="atLeast"/>
        </w:trPr>
        <w:tc>
          <w:tcPr>
            <w:tcW w:w="1148"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2080506</w:t>
            </w:r>
          </w:p>
        </w:tc>
        <w:tc>
          <w:tcPr>
            <w:tcW w:w="24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机关事业单位职业年金缴费支出</w:t>
            </w:r>
          </w:p>
        </w:tc>
        <w:tc>
          <w:tcPr>
            <w:tcW w:w="9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141.08</w:t>
            </w:r>
          </w:p>
        </w:tc>
        <w:tc>
          <w:tcPr>
            <w:tcW w:w="99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141.08</w:t>
            </w:r>
          </w:p>
        </w:tc>
        <w:tc>
          <w:tcPr>
            <w:tcW w:w="9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9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80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11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rPr>
          <w:trHeight w:val="397" w:hRule="atLeast"/>
        </w:trPr>
        <w:tc>
          <w:tcPr>
            <w:tcW w:w="1148"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210</w:t>
            </w:r>
          </w:p>
        </w:tc>
        <w:tc>
          <w:tcPr>
            <w:tcW w:w="24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卫生健康支出</w:t>
            </w:r>
          </w:p>
        </w:tc>
        <w:tc>
          <w:tcPr>
            <w:tcW w:w="9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181.49</w:t>
            </w:r>
          </w:p>
        </w:tc>
        <w:tc>
          <w:tcPr>
            <w:tcW w:w="99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181.49</w:t>
            </w:r>
          </w:p>
        </w:tc>
        <w:tc>
          <w:tcPr>
            <w:tcW w:w="9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9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80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11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rPr>
          <w:trHeight w:val="397" w:hRule="atLeast"/>
        </w:trPr>
        <w:tc>
          <w:tcPr>
            <w:tcW w:w="1148"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21011</w:t>
            </w:r>
          </w:p>
        </w:tc>
        <w:tc>
          <w:tcPr>
            <w:tcW w:w="24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行政事业单位医疗</w:t>
            </w:r>
          </w:p>
        </w:tc>
        <w:tc>
          <w:tcPr>
            <w:tcW w:w="9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181.49</w:t>
            </w:r>
          </w:p>
        </w:tc>
        <w:tc>
          <w:tcPr>
            <w:tcW w:w="99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181.49</w:t>
            </w:r>
          </w:p>
        </w:tc>
        <w:tc>
          <w:tcPr>
            <w:tcW w:w="9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9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80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11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rPr>
          <w:trHeight w:val="397" w:hRule="atLeast"/>
        </w:trPr>
        <w:tc>
          <w:tcPr>
            <w:tcW w:w="1148"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2101102</w:t>
            </w:r>
          </w:p>
        </w:tc>
        <w:tc>
          <w:tcPr>
            <w:tcW w:w="24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事业单位医疗</w:t>
            </w:r>
          </w:p>
        </w:tc>
        <w:tc>
          <w:tcPr>
            <w:tcW w:w="9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120.12</w:t>
            </w:r>
          </w:p>
        </w:tc>
        <w:tc>
          <w:tcPr>
            <w:tcW w:w="99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120.12</w:t>
            </w:r>
          </w:p>
        </w:tc>
        <w:tc>
          <w:tcPr>
            <w:tcW w:w="9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9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80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11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rPr>
          <w:trHeight w:val="397" w:hRule="atLeast"/>
        </w:trPr>
        <w:tc>
          <w:tcPr>
            <w:tcW w:w="1148"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2101199</w:t>
            </w:r>
          </w:p>
        </w:tc>
        <w:tc>
          <w:tcPr>
            <w:tcW w:w="24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其他行政事业单位医疗支出</w:t>
            </w:r>
          </w:p>
        </w:tc>
        <w:tc>
          <w:tcPr>
            <w:tcW w:w="9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61.37</w:t>
            </w:r>
          </w:p>
        </w:tc>
        <w:tc>
          <w:tcPr>
            <w:tcW w:w="99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61.37</w:t>
            </w:r>
          </w:p>
        </w:tc>
        <w:tc>
          <w:tcPr>
            <w:tcW w:w="9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9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80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11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rPr>
          <w:trHeight w:val="397" w:hRule="atLeast"/>
        </w:trPr>
        <w:tc>
          <w:tcPr>
            <w:tcW w:w="1148"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221</w:t>
            </w:r>
          </w:p>
        </w:tc>
        <w:tc>
          <w:tcPr>
            <w:tcW w:w="24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住房保障支出</w:t>
            </w:r>
          </w:p>
        </w:tc>
        <w:tc>
          <w:tcPr>
            <w:tcW w:w="9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51.07</w:t>
            </w:r>
          </w:p>
        </w:tc>
        <w:tc>
          <w:tcPr>
            <w:tcW w:w="99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51.07</w:t>
            </w:r>
          </w:p>
        </w:tc>
        <w:tc>
          <w:tcPr>
            <w:tcW w:w="9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9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80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11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rPr>
          <w:trHeight w:val="397" w:hRule="atLeast"/>
        </w:trPr>
        <w:tc>
          <w:tcPr>
            <w:tcW w:w="1148"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22102</w:t>
            </w:r>
          </w:p>
        </w:tc>
        <w:tc>
          <w:tcPr>
            <w:tcW w:w="24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住房改革支出</w:t>
            </w:r>
          </w:p>
        </w:tc>
        <w:tc>
          <w:tcPr>
            <w:tcW w:w="9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51.07</w:t>
            </w:r>
          </w:p>
        </w:tc>
        <w:tc>
          <w:tcPr>
            <w:tcW w:w="99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51.07</w:t>
            </w:r>
          </w:p>
        </w:tc>
        <w:tc>
          <w:tcPr>
            <w:tcW w:w="9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9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80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11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rPr>
          <w:trHeight w:val="397" w:hRule="atLeast"/>
        </w:trPr>
        <w:tc>
          <w:tcPr>
            <w:tcW w:w="1148"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2210203</w:t>
            </w:r>
          </w:p>
        </w:tc>
        <w:tc>
          <w:tcPr>
            <w:tcW w:w="24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购房补贴</w:t>
            </w:r>
          </w:p>
        </w:tc>
        <w:tc>
          <w:tcPr>
            <w:tcW w:w="93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51.07</w:t>
            </w:r>
          </w:p>
        </w:tc>
        <w:tc>
          <w:tcPr>
            <w:tcW w:w="99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51.07</w:t>
            </w:r>
          </w:p>
        </w:tc>
        <w:tc>
          <w:tcPr>
            <w:tcW w:w="9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9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80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113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c>
          <w:tcPr>
            <w:tcW w:w="9320" w:type="dxa"/>
            <w:gridSpan w:val="10"/>
            <w:tcMar>
              <w:top w:w="20" w:type="dxa"/>
              <w:left w:w="20" w:type="dxa"/>
              <w:bottom w:w="20" w:type="dxa"/>
              <w:right w:w="20" w:type="dxa"/>
            </w:tcMar>
            <w:vAlign w:val="center"/>
          </w:tcPr>
          <w:p>
            <w:pPr>
              <w:widowControl/>
              <w:spacing w:line="375" w:lineRule="atLeast"/>
              <w:jc w:val="left"/>
              <w:rPr>
                <w:rFonts w:eastAsia="Times New Roman"/>
                <w:color w:val="000000"/>
                <w:kern w:val="0"/>
                <w:sz w:val="20"/>
                <w:szCs w:val="20"/>
              </w:rPr>
            </w:pPr>
            <w:r>
              <w:rPr>
                <w:rFonts w:ascii="宋体" w:hAnsi="宋体" w:cs="宋体"/>
                <w:color w:val="000000"/>
                <w:kern w:val="0"/>
                <w:sz w:val="20"/>
                <w:szCs w:val="20"/>
              </w:rPr>
              <w:t>注：本表反映部门本年度各项支出情况。</w:t>
            </w:r>
          </w:p>
        </w:tc>
      </w:tr>
    </w:tbl>
    <w:p>
      <w:pPr>
        <w:pStyle w:val="5"/>
        <w:keepNext w:val="0"/>
        <w:keepLines w:val="0"/>
        <w:spacing w:before="100" w:after="100" w:line="240" w:lineRule="auto"/>
        <w:ind w:firstLine="0" w:firstLineChars="0"/>
      </w:pPr>
      <w:bookmarkStart w:id="41" w:name="_Toc256000103"/>
      <w:bookmarkStart w:id="42" w:name="_Toc256000072"/>
      <w:bookmarkStart w:id="43" w:name="_Toc256000010"/>
      <w:bookmarkStart w:id="44" w:name="_Toc256000041"/>
      <w:r>
        <w:rPr>
          <w:rFonts w:hint="eastAsia" w:ascii="黑体" w:hAnsi="黑体" w:eastAsia="黑体" w:cs="黑体"/>
          <w:b/>
        </w:rPr>
        <w:t>四、</w:t>
      </w:r>
      <w:r>
        <w:rPr>
          <w:rFonts w:ascii="黑体" w:hAnsi="黑体" w:eastAsia="黑体" w:cs="黑体"/>
          <w:b/>
        </w:rPr>
        <w:t>财政拨款收入支出决算总表</w:t>
      </w:r>
      <w:bookmarkEnd w:id="41"/>
      <w:bookmarkEnd w:id="42"/>
      <w:bookmarkEnd w:id="43"/>
      <w:bookmarkEnd w:id="44"/>
    </w:p>
    <w:p/>
    <w:tbl>
      <w:tblPr>
        <w:tblStyle w:val="22"/>
        <w:tblW w:w="9668" w:type="dxa"/>
        <w:tblInd w:w="0" w:type="dxa"/>
        <w:tblLayout w:type="fixed"/>
        <w:tblCellMar>
          <w:top w:w="15" w:type="dxa"/>
          <w:left w:w="15" w:type="dxa"/>
          <w:bottom w:w="15" w:type="dxa"/>
          <w:right w:w="15" w:type="dxa"/>
        </w:tblCellMar>
      </w:tblPr>
      <w:tblGrid>
        <w:gridCol w:w="2105"/>
        <w:gridCol w:w="506"/>
        <w:gridCol w:w="828"/>
        <w:gridCol w:w="1955"/>
        <w:gridCol w:w="623"/>
        <w:gridCol w:w="791"/>
        <w:gridCol w:w="899"/>
        <w:gridCol w:w="888"/>
        <w:gridCol w:w="1073"/>
      </w:tblGrid>
      <w:tr>
        <w:tblPrEx>
          <w:tblLayout w:type="fixed"/>
          <w:tblCellMar>
            <w:top w:w="15" w:type="dxa"/>
            <w:left w:w="15" w:type="dxa"/>
            <w:bottom w:w="15" w:type="dxa"/>
            <w:right w:w="15" w:type="dxa"/>
          </w:tblCellMar>
        </w:tblPrEx>
        <w:trPr>
          <w:tblHeader/>
        </w:trPr>
        <w:tc>
          <w:tcPr>
            <w:tcW w:w="9668" w:type="dxa"/>
            <w:gridSpan w:val="9"/>
            <w:tcMar>
              <w:top w:w="20" w:type="dxa"/>
              <w:left w:w="20" w:type="dxa"/>
              <w:bottom w:w="20" w:type="dxa"/>
              <w:right w:w="20" w:type="dxa"/>
            </w:tcMar>
            <w:vAlign w:val="center"/>
          </w:tcPr>
          <w:p>
            <w:pPr>
              <w:widowControl/>
              <w:spacing w:line="900" w:lineRule="atLeast"/>
              <w:jc w:val="center"/>
              <w:rPr>
                <w:rFonts w:eastAsia="Times New Roman"/>
                <w:color w:val="000000"/>
                <w:kern w:val="0"/>
                <w:sz w:val="20"/>
                <w:szCs w:val="20"/>
              </w:rPr>
            </w:pPr>
            <w:r>
              <w:rPr>
                <w:rFonts w:ascii="宋体" w:hAnsi="宋体" w:cs="宋体"/>
                <w:color w:val="000000"/>
                <w:kern w:val="0"/>
                <w:sz w:val="20"/>
                <w:szCs w:val="20"/>
              </w:rPr>
              <w:t>财政拨款收入支出决算总表</w:t>
            </w:r>
          </w:p>
        </w:tc>
      </w:tr>
      <w:tr>
        <w:tblPrEx>
          <w:tblLayout w:type="fixed"/>
          <w:tblCellMar>
            <w:top w:w="15" w:type="dxa"/>
            <w:left w:w="15" w:type="dxa"/>
            <w:bottom w:w="15" w:type="dxa"/>
            <w:right w:w="15" w:type="dxa"/>
          </w:tblCellMar>
        </w:tblPrEx>
        <w:trPr>
          <w:tblHeader/>
        </w:trPr>
        <w:tc>
          <w:tcPr>
            <w:tcW w:w="2611" w:type="dxa"/>
            <w:gridSpan w:val="2"/>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0"/>
                <w:szCs w:val="20"/>
              </w:rPr>
            </w:pPr>
            <w:r>
              <w:rPr>
                <w:rFonts w:eastAsia="Times New Roman"/>
                <w:color w:val="000000"/>
                <w:kern w:val="0"/>
                <w:sz w:val="20"/>
                <w:szCs w:val="20"/>
              </w:rPr>
              <w:t> </w:t>
            </w:r>
          </w:p>
        </w:tc>
        <w:tc>
          <w:tcPr>
            <w:tcW w:w="828"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0"/>
                <w:szCs w:val="20"/>
              </w:rPr>
            </w:pPr>
            <w:r>
              <w:rPr>
                <w:rFonts w:eastAsia="Times New Roman"/>
                <w:color w:val="000000"/>
                <w:kern w:val="0"/>
                <w:sz w:val="20"/>
                <w:szCs w:val="20"/>
              </w:rPr>
              <w:t> </w:t>
            </w:r>
          </w:p>
        </w:tc>
        <w:tc>
          <w:tcPr>
            <w:tcW w:w="1955"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0"/>
                <w:szCs w:val="20"/>
              </w:rPr>
            </w:pPr>
            <w:r>
              <w:rPr>
                <w:rFonts w:eastAsia="Times New Roman"/>
                <w:color w:val="000000"/>
                <w:kern w:val="0"/>
                <w:sz w:val="20"/>
                <w:szCs w:val="20"/>
              </w:rPr>
              <w:t> </w:t>
            </w:r>
          </w:p>
        </w:tc>
        <w:tc>
          <w:tcPr>
            <w:tcW w:w="623"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0"/>
                <w:szCs w:val="20"/>
              </w:rPr>
            </w:pPr>
            <w:r>
              <w:rPr>
                <w:rFonts w:eastAsia="Times New Roman"/>
                <w:color w:val="000000"/>
                <w:kern w:val="0"/>
                <w:sz w:val="20"/>
                <w:szCs w:val="20"/>
              </w:rPr>
              <w:t> </w:t>
            </w:r>
          </w:p>
        </w:tc>
        <w:tc>
          <w:tcPr>
            <w:tcW w:w="791"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0"/>
                <w:szCs w:val="20"/>
              </w:rPr>
            </w:pPr>
            <w:r>
              <w:rPr>
                <w:rFonts w:eastAsia="Times New Roman"/>
                <w:color w:val="000000"/>
                <w:kern w:val="0"/>
                <w:sz w:val="20"/>
                <w:szCs w:val="20"/>
              </w:rPr>
              <w:t> </w:t>
            </w:r>
          </w:p>
        </w:tc>
        <w:tc>
          <w:tcPr>
            <w:tcW w:w="899"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0"/>
                <w:szCs w:val="20"/>
              </w:rPr>
            </w:pPr>
            <w:r>
              <w:rPr>
                <w:rFonts w:eastAsia="Times New Roman"/>
                <w:color w:val="000000"/>
                <w:kern w:val="0"/>
                <w:sz w:val="20"/>
                <w:szCs w:val="20"/>
              </w:rPr>
              <w:t> </w:t>
            </w:r>
          </w:p>
        </w:tc>
        <w:tc>
          <w:tcPr>
            <w:tcW w:w="888"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0"/>
                <w:szCs w:val="20"/>
              </w:rPr>
            </w:pPr>
            <w:r>
              <w:rPr>
                <w:rFonts w:eastAsia="Times New Roman"/>
                <w:color w:val="000000"/>
                <w:kern w:val="0"/>
                <w:sz w:val="20"/>
                <w:szCs w:val="20"/>
              </w:rPr>
              <w:t> </w:t>
            </w:r>
          </w:p>
        </w:tc>
        <w:tc>
          <w:tcPr>
            <w:tcW w:w="1073"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rPr>
          <w:tblHeader/>
        </w:trPr>
        <w:tc>
          <w:tcPr>
            <w:tcW w:w="2105"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部门</w:t>
            </w:r>
            <w:r>
              <w:rPr>
                <w:rFonts w:eastAsia="Times New Roman"/>
                <w:color w:val="000000"/>
                <w:kern w:val="0"/>
                <w:sz w:val="20"/>
                <w:szCs w:val="20"/>
              </w:rPr>
              <w:t>/</w:t>
            </w:r>
            <w:r>
              <w:rPr>
                <w:rFonts w:ascii="宋体" w:hAnsi="宋体" w:cs="宋体"/>
                <w:color w:val="000000"/>
                <w:kern w:val="0"/>
                <w:sz w:val="20"/>
                <w:szCs w:val="20"/>
              </w:rPr>
              <w:t>单位：厦门外国语学校湖里分校</w:t>
            </w:r>
          </w:p>
        </w:tc>
        <w:tc>
          <w:tcPr>
            <w:tcW w:w="506"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0"/>
                <w:szCs w:val="20"/>
              </w:rPr>
            </w:pPr>
            <w:r>
              <w:rPr>
                <w:rFonts w:eastAsia="Times New Roman"/>
                <w:color w:val="000000"/>
                <w:kern w:val="0"/>
                <w:sz w:val="20"/>
                <w:szCs w:val="20"/>
              </w:rPr>
              <w:t> </w:t>
            </w:r>
          </w:p>
        </w:tc>
        <w:tc>
          <w:tcPr>
            <w:tcW w:w="828"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0"/>
                <w:szCs w:val="20"/>
              </w:rPr>
            </w:pPr>
            <w:r>
              <w:rPr>
                <w:rFonts w:eastAsia="Times New Roman"/>
                <w:color w:val="000000"/>
                <w:kern w:val="0"/>
                <w:sz w:val="20"/>
                <w:szCs w:val="20"/>
              </w:rPr>
              <w:t> </w:t>
            </w:r>
          </w:p>
        </w:tc>
        <w:tc>
          <w:tcPr>
            <w:tcW w:w="1955"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0"/>
                <w:szCs w:val="20"/>
              </w:rPr>
            </w:pPr>
            <w:r>
              <w:rPr>
                <w:rFonts w:eastAsia="Times New Roman"/>
                <w:color w:val="000000"/>
                <w:kern w:val="0"/>
                <w:sz w:val="20"/>
                <w:szCs w:val="20"/>
              </w:rPr>
              <w:t> </w:t>
            </w:r>
          </w:p>
        </w:tc>
        <w:tc>
          <w:tcPr>
            <w:tcW w:w="623"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2024</w:t>
            </w:r>
            <w:r>
              <w:rPr>
                <w:rFonts w:ascii="宋体" w:hAnsi="宋体" w:cs="宋体"/>
                <w:color w:val="000000"/>
                <w:kern w:val="0"/>
                <w:sz w:val="20"/>
                <w:szCs w:val="20"/>
              </w:rPr>
              <w:t>年度</w:t>
            </w:r>
          </w:p>
        </w:tc>
        <w:tc>
          <w:tcPr>
            <w:tcW w:w="791"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0"/>
                <w:szCs w:val="20"/>
              </w:rPr>
            </w:pPr>
            <w:r>
              <w:rPr>
                <w:rFonts w:eastAsia="Times New Roman"/>
                <w:color w:val="000000"/>
                <w:kern w:val="0"/>
                <w:sz w:val="20"/>
                <w:szCs w:val="20"/>
              </w:rPr>
              <w:t> </w:t>
            </w:r>
          </w:p>
        </w:tc>
        <w:tc>
          <w:tcPr>
            <w:tcW w:w="899"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0"/>
                <w:szCs w:val="20"/>
              </w:rPr>
            </w:pPr>
            <w:r>
              <w:rPr>
                <w:rFonts w:eastAsia="Times New Roman"/>
                <w:color w:val="000000"/>
                <w:kern w:val="0"/>
                <w:sz w:val="20"/>
                <w:szCs w:val="20"/>
              </w:rPr>
              <w:t> </w:t>
            </w:r>
          </w:p>
        </w:tc>
        <w:tc>
          <w:tcPr>
            <w:tcW w:w="888"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0"/>
                <w:szCs w:val="20"/>
              </w:rPr>
            </w:pPr>
            <w:r>
              <w:rPr>
                <w:rFonts w:eastAsia="Times New Roman"/>
                <w:color w:val="000000"/>
                <w:kern w:val="0"/>
                <w:sz w:val="20"/>
                <w:szCs w:val="20"/>
              </w:rPr>
              <w:t> </w:t>
            </w:r>
          </w:p>
        </w:tc>
        <w:tc>
          <w:tcPr>
            <w:tcW w:w="1073"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ascii="宋体" w:hAnsi="宋体" w:cs="宋体"/>
                <w:color w:val="000000"/>
                <w:kern w:val="0"/>
                <w:sz w:val="20"/>
                <w:szCs w:val="20"/>
              </w:rPr>
              <w:t>金额单位：万元</w:t>
            </w:r>
          </w:p>
        </w:tc>
      </w:tr>
      <w:tr>
        <w:tblPrEx>
          <w:tblLayout w:type="fixed"/>
          <w:tblCellMar>
            <w:top w:w="15" w:type="dxa"/>
            <w:left w:w="15" w:type="dxa"/>
            <w:bottom w:w="15" w:type="dxa"/>
            <w:right w:w="15" w:type="dxa"/>
          </w:tblCellMar>
        </w:tblPrEx>
        <w:tc>
          <w:tcPr>
            <w:tcW w:w="3439"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ascii="宋体" w:hAnsi="宋体" w:cs="宋体"/>
                <w:color w:val="000000"/>
                <w:kern w:val="0"/>
                <w:sz w:val="20"/>
                <w:szCs w:val="20"/>
              </w:rPr>
              <w:t>收入</w:t>
            </w:r>
          </w:p>
        </w:tc>
        <w:tc>
          <w:tcPr>
            <w:tcW w:w="6229" w:type="dxa"/>
            <w:gridSpan w:val="6"/>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ascii="宋体" w:hAnsi="宋体" w:cs="宋体"/>
                <w:color w:val="000000"/>
                <w:kern w:val="0"/>
                <w:sz w:val="20"/>
                <w:szCs w:val="20"/>
              </w:rPr>
              <w:t>支出</w:t>
            </w:r>
          </w:p>
        </w:tc>
      </w:tr>
      <w:tr>
        <w:tblPrEx>
          <w:tblLayout w:type="fixed"/>
          <w:tblCellMar>
            <w:top w:w="15" w:type="dxa"/>
            <w:left w:w="15" w:type="dxa"/>
            <w:bottom w:w="15" w:type="dxa"/>
            <w:right w:w="15" w:type="dxa"/>
          </w:tblCellMar>
        </w:tblPrEx>
        <w:tc>
          <w:tcPr>
            <w:tcW w:w="21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ascii="宋体" w:hAnsi="宋体" w:cs="宋体"/>
                <w:color w:val="000000"/>
                <w:kern w:val="0"/>
                <w:sz w:val="20"/>
                <w:szCs w:val="20"/>
              </w:rPr>
              <w:t>项目</w:t>
            </w:r>
            <w:r>
              <w:rPr>
                <w:rFonts w:eastAsia="Times New Roman"/>
                <w:color w:val="000000"/>
                <w:kern w:val="0"/>
                <w:sz w:val="20"/>
                <w:szCs w:val="20"/>
              </w:rPr>
              <w:t xml:space="preserve"> </w:t>
            </w:r>
          </w:p>
        </w:tc>
        <w:tc>
          <w:tcPr>
            <w:tcW w:w="5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ascii="宋体" w:hAnsi="宋体" w:cs="宋体"/>
                <w:color w:val="000000"/>
                <w:kern w:val="0"/>
                <w:sz w:val="20"/>
                <w:szCs w:val="20"/>
              </w:rPr>
              <w:t>行次</w:t>
            </w:r>
          </w:p>
        </w:tc>
        <w:tc>
          <w:tcPr>
            <w:tcW w:w="8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ascii="宋体" w:hAnsi="宋体" w:cs="宋体"/>
                <w:color w:val="000000"/>
                <w:kern w:val="0"/>
                <w:sz w:val="20"/>
                <w:szCs w:val="20"/>
              </w:rPr>
              <w:t>金额</w:t>
            </w:r>
          </w:p>
        </w:tc>
        <w:tc>
          <w:tcPr>
            <w:tcW w:w="19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ascii="宋体" w:hAnsi="宋体" w:cs="宋体"/>
                <w:color w:val="000000"/>
                <w:kern w:val="0"/>
                <w:sz w:val="20"/>
                <w:szCs w:val="20"/>
              </w:rPr>
              <w:t>项目</w:t>
            </w:r>
          </w:p>
        </w:tc>
        <w:tc>
          <w:tcPr>
            <w:tcW w:w="6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ascii="宋体" w:hAnsi="宋体" w:cs="宋体"/>
                <w:color w:val="000000"/>
                <w:kern w:val="0"/>
                <w:sz w:val="20"/>
                <w:szCs w:val="20"/>
              </w:rPr>
              <w:t>行次</w:t>
            </w:r>
          </w:p>
        </w:tc>
        <w:tc>
          <w:tcPr>
            <w:tcW w:w="79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ascii="宋体" w:hAnsi="宋体" w:cs="宋体"/>
                <w:color w:val="000000"/>
                <w:kern w:val="0"/>
                <w:sz w:val="20"/>
                <w:szCs w:val="20"/>
              </w:rPr>
              <w:t>合计</w:t>
            </w:r>
          </w:p>
        </w:tc>
        <w:tc>
          <w:tcPr>
            <w:tcW w:w="89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ascii="宋体" w:hAnsi="宋体" w:cs="宋体"/>
                <w:color w:val="000000"/>
                <w:kern w:val="0"/>
                <w:sz w:val="20"/>
                <w:szCs w:val="20"/>
              </w:rPr>
              <w:t>一般公共预算财政拨款</w:t>
            </w:r>
          </w:p>
        </w:tc>
        <w:tc>
          <w:tcPr>
            <w:tcW w:w="8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ascii="宋体" w:hAnsi="宋体" w:cs="宋体"/>
                <w:color w:val="000000"/>
                <w:kern w:val="0"/>
                <w:sz w:val="20"/>
                <w:szCs w:val="20"/>
              </w:rPr>
              <w:t>政府性基金预算财政拨款</w:t>
            </w:r>
          </w:p>
        </w:tc>
        <w:tc>
          <w:tcPr>
            <w:tcW w:w="10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ascii="宋体" w:hAnsi="宋体" w:cs="宋体"/>
                <w:color w:val="000000"/>
                <w:kern w:val="0"/>
                <w:sz w:val="20"/>
                <w:szCs w:val="20"/>
              </w:rPr>
              <w:t>国有资本经营预算财政拨款</w:t>
            </w:r>
          </w:p>
        </w:tc>
      </w:tr>
      <w:tr>
        <w:tblPrEx>
          <w:tblLayout w:type="fixed"/>
          <w:tblCellMar>
            <w:top w:w="15" w:type="dxa"/>
            <w:left w:w="15" w:type="dxa"/>
            <w:bottom w:w="15" w:type="dxa"/>
            <w:right w:w="15" w:type="dxa"/>
          </w:tblCellMar>
        </w:tblPrEx>
        <w:tc>
          <w:tcPr>
            <w:tcW w:w="21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ascii="宋体" w:hAnsi="宋体" w:cs="宋体"/>
                <w:color w:val="000000"/>
                <w:kern w:val="0"/>
                <w:sz w:val="20"/>
                <w:szCs w:val="20"/>
              </w:rPr>
              <w:t>栏次</w:t>
            </w:r>
          </w:p>
        </w:tc>
        <w:tc>
          <w:tcPr>
            <w:tcW w:w="5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 </w:t>
            </w:r>
          </w:p>
        </w:tc>
        <w:tc>
          <w:tcPr>
            <w:tcW w:w="8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1</w:t>
            </w:r>
          </w:p>
        </w:tc>
        <w:tc>
          <w:tcPr>
            <w:tcW w:w="19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ascii="宋体" w:hAnsi="宋体" w:cs="宋体"/>
                <w:color w:val="000000"/>
                <w:kern w:val="0"/>
                <w:sz w:val="20"/>
                <w:szCs w:val="20"/>
              </w:rPr>
              <w:t>栏次</w:t>
            </w:r>
          </w:p>
        </w:tc>
        <w:tc>
          <w:tcPr>
            <w:tcW w:w="6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 </w:t>
            </w:r>
          </w:p>
        </w:tc>
        <w:tc>
          <w:tcPr>
            <w:tcW w:w="79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2</w:t>
            </w:r>
          </w:p>
        </w:tc>
        <w:tc>
          <w:tcPr>
            <w:tcW w:w="89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3</w:t>
            </w:r>
          </w:p>
        </w:tc>
        <w:tc>
          <w:tcPr>
            <w:tcW w:w="8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4</w:t>
            </w:r>
          </w:p>
        </w:tc>
        <w:tc>
          <w:tcPr>
            <w:tcW w:w="10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5</w:t>
            </w:r>
          </w:p>
        </w:tc>
      </w:tr>
      <w:tr>
        <w:tblPrEx>
          <w:tblLayout w:type="fixed"/>
          <w:tblCellMar>
            <w:top w:w="15" w:type="dxa"/>
            <w:left w:w="15" w:type="dxa"/>
            <w:bottom w:w="15" w:type="dxa"/>
            <w:right w:w="15" w:type="dxa"/>
          </w:tblCellMar>
        </w:tblPrEx>
        <w:tc>
          <w:tcPr>
            <w:tcW w:w="21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宋体" w:hAnsi="宋体" w:cs="宋体"/>
                <w:color w:val="000000"/>
                <w:kern w:val="0"/>
                <w:sz w:val="20"/>
                <w:szCs w:val="20"/>
              </w:rPr>
            </w:pPr>
            <w:r>
              <w:rPr>
                <w:rFonts w:ascii="宋体" w:hAnsi="宋体" w:cs="宋体"/>
                <w:color w:val="000000"/>
                <w:kern w:val="0"/>
                <w:sz w:val="20"/>
                <w:szCs w:val="20"/>
              </w:rPr>
              <w:t>一、一般公共预算</w:t>
            </w:r>
          </w:p>
          <w:p>
            <w:pPr>
              <w:widowControl/>
              <w:jc w:val="left"/>
              <w:rPr>
                <w:rFonts w:eastAsia="Times New Roman"/>
                <w:color w:val="000000"/>
                <w:kern w:val="0"/>
                <w:sz w:val="20"/>
                <w:szCs w:val="20"/>
              </w:rPr>
            </w:pPr>
            <w:r>
              <w:rPr>
                <w:rFonts w:ascii="宋体" w:hAnsi="宋体" w:cs="宋体"/>
                <w:color w:val="000000"/>
                <w:kern w:val="0"/>
                <w:sz w:val="20"/>
                <w:szCs w:val="20"/>
              </w:rPr>
              <w:t>财政拨款</w:t>
            </w:r>
            <w:r>
              <w:rPr>
                <w:rFonts w:eastAsia="Times New Roman"/>
                <w:color w:val="000000"/>
                <w:kern w:val="0"/>
                <w:sz w:val="20"/>
                <w:szCs w:val="20"/>
              </w:rPr>
              <w:t xml:space="preserve"> </w:t>
            </w:r>
          </w:p>
        </w:tc>
        <w:tc>
          <w:tcPr>
            <w:tcW w:w="5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1</w:t>
            </w:r>
          </w:p>
        </w:tc>
        <w:tc>
          <w:tcPr>
            <w:tcW w:w="8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5,191.27</w:t>
            </w:r>
          </w:p>
        </w:tc>
        <w:tc>
          <w:tcPr>
            <w:tcW w:w="19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一、一般公共服务支出</w:t>
            </w:r>
          </w:p>
        </w:tc>
        <w:tc>
          <w:tcPr>
            <w:tcW w:w="6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33</w:t>
            </w:r>
          </w:p>
        </w:tc>
        <w:tc>
          <w:tcPr>
            <w:tcW w:w="79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89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8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10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c>
          <w:tcPr>
            <w:tcW w:w="21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二、政府性基金预算财政拨款</w:t>
            </w:r>
          </w:p>
        </w:tc>
        <w:tc>
          <w:tcPr>
            <w:tcW w:w="5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2</w:t>
            </w:r>
          </w:p>
        </w:tc>
        <w:tc>
          <w:tcPr>
            <w:tcW w:w="8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19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二、外交支出</w:t>
            </w:r>
          </w:p>
        </w:tc>
        <w:tc>
          <w:tcPr>
            <w:tcW w:w="6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34</w:t>
            </w:r>
          </w:p>
        </w:tc>
        <w:tc>
          <w:tcPr>
            <w:tcW w:w="79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89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8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10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c>
          <w:tcPr>
            <w:tcW w:w="21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三、国有资本经营预算财政拨款</w:t>
            </w:r>
          </w:p>
        </w:tc>
        <w:tc>
          <w:tcPr>
            <w:tcW w:w="5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3</w:t>
            </w:r>
          </w:p>
        </w:tc>
        <w:tc>
          <w:tcPr>
            <w:tcW w:w="8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19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三、国防支出</w:t>
            </w:r>
          </w:p>
        </w:tc>
        <w:tc>
          <w:tcPr>
            <w:tcW w:w="6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35</w:t>
            </w:r>
          </w:p>
        </w:tc>
        <w:tc>
          <w:tcPr>
            <w:tcW w:w="79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89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8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10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c>
          <w:tcPr>
            <w:tcW w:w="21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 </w:t>
            </w:r>
          </w:p>
        </w:tc>
        <w:tc>
          <w:tcPr>
            <w:tcW w:w="5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4</w:t>
            </w:r>
          </w:p>
        </w:tc>
        <w:tc>
          <w:tcPr>
            <w:tcW w:w="8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19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四、公共安全支出</w:t>
            </w:r>
          </w:p>
        </w:tc>
        <w:tc>
          <w:tcPr>
            <w:tcW w:w="6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36</w:t>
            </w:r>
          </w:p>
        </w:tc>
        <w:tc>
          <w:tcPr>
            <w:tcW w:w="79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89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8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10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c>
          <w:tcPr>
            <w:tcW w:w="21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 </w:t>
            </w:r>
          </w:p>
        </w:tc>
        <w:tc>
          <w:tcPr>
            <w:tcW w:w="5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5</w:t>
            </w:r>
          </w:p>
        </w:tc>
        <w:tc>
          <w:tcPr>
            <w:tcW w:w="8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19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五、教育支出</w:t>
            </w:r>
          </w:p>
        </w:tc>
        <w:tc>
          <w:tcPr>
            <w:tcW w:w="6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37</w:t>
            </w:r>
          </w:p>
        </w:tc>
        <w:tc>
          <w:tcPr>
            <w:tcW w:w="79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4,489.59</w:t>
            </w:r>
          </w:p>
        </w:tc>
        <w:tc>
          <w:tcPr>
            <w:tcW w:w="89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4,489.59</w:t>
            </w:r>
          </w:p>
        </w:tc>
        <w:tc>
          <w:tcPr>
            <w:tcW w:w="8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10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c>
          <w:tcPr>
            <w:tcW w:w="21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 </w:t>
            </w:r>
          </w:p>
        </w:tc>
        <w:tc>
          <w:tcPr>
            <w:tcW w:w="5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6</w:t>
            </w:r>
          </w:p>
        </w:tc>
        <w:tc>
          <w:tcPr>
            <w:tcW w:w="8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19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六、科学技术支出</w:t>
            </w:r>
          </w:p>
        </w:tc>
        <w:tc>
          <w:tcPr>
            <w:tcW w:w="6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38</w:t>
            </w:r>
          </w:p>
        </w:tc>
        <w:tc>
          <w:tcPr>
            <w:tcW w:w="79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89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8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10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c>
          <w:tcPr>
            <w:tcW w:w="21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 </w:t>
            </w:r>
          </w:p>
        </w:tc>
        <w:tc>
          <w:tcPr>
            <w:tcW w:w="5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7</w:t>
            </w:r>
          </w:p>
        </w:tc>
        <w:tc>
          <w:tcPr>
            <w:tcW w:w="8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19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七、文化旅游体育与传媒支出</w:t>
            </w:r>
          </w:p>
        </w:tc>
        <w:tc>
          <w:tcPr>
            <w:tcW w:w="6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39</w:t>
            </w:r>
          </w:p>
        </w:tc>
        <w:tc>
          <w:tcPr>
            <w:tcW w:w="79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89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8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10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c>
          <w:tcPr>
            <w:tcW w:w="21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 </w:t>
            </w:r>
          </w:p>
        </w:tc>
        <w:tc>
          <w:tcPr>
            <w:tcW w:w="5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8</w:t>
            </w:r>
          </w:p>
        </w:tc>
        <w:tc>
          <w:tcPr>
            <w:tcW w:w="8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19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八、社会保障和就业支出</w:t>
            </w:r>
          </w:p>
        </w:tc>
        <w:tc>
          <w:tcPr>
            <w:tcW w:w="6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40</w:t>
            </w:r>
          </w:p>
        </w:tc>
        <w:tc>
          <w:tcPr>
            <w:tcW w:w="79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469.12</w:t>
            </w:r>
          </w:p>
        </w:tc>
        <w:tc>
          <w:tcPr>
            <w:tcW w:w="89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469.12</w:t>
            </w:r>
          </w:p>
        </w:tc>
        <w:tc>
          <w:tcPr>
            <w:tcW w:w="8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10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c>
          <w:tcPr>
            <w:tcW w:w="21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 </w:t>
            </w:r>
          </w:p>
        </w:tc>
        <w:tc>
          <w:tcPr>
            <w:tcW w:w="5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9</w:t>
            </w:r>
          </w:p>
        </w:tc>
        <w:tc>
          <w:tcPr>
            <w:tcW w:w="8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19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九、卫生健康支出</w:t>
            </w:r>
          </w:p>
        </w:tc>
        <w:tc>
          <w:tcPr>
            <w:tcW w:w="6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41</w:t>
            </w:r>
          </w:p>
        </w:tc>
        <w:tc>
          <w:tcPr>
            <w:tcW w:w="79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181.49</w:t>
            </w:r>
          </w:p>
        </w:tc>
        <w:tc>
          <w:tcPr>
            <w:tcW w:w="89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181.49</w:t>
            </w:r>
          </w:p>
        </w:tc>
        <w:tc>
          <w:tcPr>
            <w:tcW w:w="8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10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c>
          <w:tcPr>
            <w:tcW w:w="21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 </w:t>
            </w:r>
          </w:p>
        </w:tc>
        <w:tc>
          <w:tcPr>
            <w:tcW w:w="5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10</w:t>
            </w:r>
          </w:p>
        </w:tc>
        <w:tc>
          <w:tcPr>
            <w:tcW w:w="8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 </w:t>
            </w:r>
          </w:p>
        </w:tc>
        <w:tc>
          <w:tcPr>
            <w:tcW w:w="19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十、节能环保支出</w:t>
            </w:r>
          </w:p>
        </w:tc>
        <w:tc>
          <w:tcPr>
            <w:tcW w:w="6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42</w:t>
            </w:r>
          </w:p>
        </w:tc>
        <w:tc>
          <w:tcPr>
            <w:tcW w:w="79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89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8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10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c>
          <w:tcPr>
            <w:tcW w:w="21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 </w:t>
            </w:r>
          </w:p>
        </w:tc>
        <w:tc>
          <w:tcPr>
            <w:tcW w:w="5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11</w:t>
            </w:r>
          </w:p>
        </w:tc>
        <w:tc>
          <w:tcPr>
            <w:tcW w:w="8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 </w:t>
            </w:r>
          </w:p>
        </w:tc>
        <w:tc>
          <w:tcPr>
            <w:tcW w:w="19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十一、城乡社区支出</w:t>
            </w:r>
          </w:p>
        </w:tc>
        <w:tc>
          <w:tcPr>
            <w:tcW w:w="6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43</w:t>
            </w:r>
          </w:p>
        </w:tc>
        <w:tc>
          <w:tcPr>
            <w:tcW w:w="79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89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8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10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c>
          <w:tcPr>
            <w:tcW w:w="21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 </w:t>
            </w:r>
          </w:p>
        </w:tc>
        <w:tc>
          <w:tcPr>
            <w:tcW w:w="5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12</w:t>
            </w:r>
          </w:p>
        </w:tc>
        <w:tc>
          <w:tcPr>
            <w:tcW w:w="8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 </w:t>
            </w:r>
          </w:p>
        </w:tc>
        <w:tc>
          <w:tcPr>
            <w:tcW w:w="19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十二、农林水支出</w:t>
            </w:r>
          </w:p>
        </w:tc>
        <w:tc>
          <w:tcPr>
            <w:tcW w:w="6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44</w:t>
            </w:r>
          </w:p>
        </w:tc>
        <w:tc>
          <w:tcPr>
            <w:tcW w:w="79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89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8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10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c>
          <w:tcPr>
            <w:tcW w:w="21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 </w:t>
            </w:r>
          </w:p>
        </w:tc>
        <w:tc>
          <w:tcPr>
            <w:tcW w:w="5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13</w:t>
            </w:r>
          </w:p>
        </w:tc>
        <w:tc>
          <w:tcPr>
            <w:tcW w:w="8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 </w:t>
            </w:r>
          </w:p>
        </w:tc>
        <w:tc>
          <w:tcPr>
            <w:tcW w:w="19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十三、交通运输支出</w:t>
            </w:r>
          </w:p>
        </w:tc>
        <w:tc>
          <w:tcPr>
            <w:tcW w:w="6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45</w:t>
            </w:r>
          </w:p>
        </w:tc>
        <w:tc>
          <w:tcPr>
            <w:tcW w:w="79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89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8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10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c>
          <w:tcPr>
            <w:tcW w:w="21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 </w:t>
            </w:r>
          </w:p>
        </w:tc>
        <w:tc>
          <w:tcPr>
            <w:tcW w:w="5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14</w:t>
            </w:r>
          </w:p>
        </w:tc>
        <w:tc>
          <w:tcPr>
            <w:tcW w:w="8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 </w:t>
            </w:r>
          </w:p>
        </w:tc>
        <w:tc>
          <w:tcPr>
            <w:tcW w:w="19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十四、资源勘探工业信息等支出</w:t>
            </w:r>
          </w:p>
        </w:tc>
        <w:tc>
          <w:tcPr>
            <w:tcW w:w="6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46</w:t>
            </w:r>
          </w:p>
        </w:tc>
        <w:tc>
          <w:tcPr>
            <w:tcW w:w="79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89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8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10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c>
          <w:tcPr>
            <w:tcW w:w="21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 </w:t>
            </w:r>
          </w:p>
        </w:tc>
        <w:tc>
          <w:tcPr>
            <w:tcW w:w="5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15</w:t>
            </w:r>
          </w:p>
        </w:tc>
        <w:tc>
          <w:tcPr>
            <w:tcW w:w="8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 </w:t>
            </w:r>
          </w:p>
        </w:tc>
        <w:tc>
          <w:tcPr>
            <w:tcW w:w="19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十五、商业服务业等支出</w:t>
            </w:r>
          </w:p>
        </w:tc>
        <w:tc>
          <w:tcPr>
            <w:tcW w:w="6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47</w:t>
            </w:r>
          </w:p>
        </w:tc>
        <w:tc>
          <w:tcPr>
            <w:tcW w:w="79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89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8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10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c>
          <w:tcPr>
            <w:tcW w:w="21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 </w:t>
            </w:r>
          </w:p>
        </w:tc>
        <w:tc>
          <w:tcPr>
            <w:tcW w:w="5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16</w:t>
            </w:r>
          </w:p>
        </w:tc>
        <w:tc>
          <w:tcPr>
            <w:tcW w:w="8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 </w:t>
            </w:r>
          </w:p>
        </w:tc>
        <w:tc>
          <w:tcPr>
            <w:tcW w:w="19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十六、金融支出</w:t>
            </w:r>
          </w:p>
        </w:tc>
        <w:tc>
          <w:tcPr>
            <w:tcW w:w="6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48</w:t>
            </w:r>
          </w:p>
        </w:tc>
        <w:tc>
          <w:tcPr>
            <w:tcW w:w="79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89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8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10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c>
          <w:tcPr>
            <w:tcW w:w="21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 </w:t>
            </w:r>
          </w:p>
        </w:tc>
        <w:tc>
          <w:tcPr>
            <w:tcW w:w="5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17</w:t>
            </w:r>
          </w:p>
        </w:tc>
        <w:tc>
          <w:tcPr>
            <w:tcW w:w="8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 </w:t>
            </w:r>
          </w:p>
        </w:tc>
        <w:tc>
          <w:tcPr>
            <w:tcW w:w="19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十七、援助其他地区支出</w:t>
            </w:r>
          </w:p>
        </w:tc>
        <w:tc>
          <w:tcPr>
            <w:tcW w:w="6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49</w:t>
            </w:r>
          </w:p>
        </w:tc>
        <w:tc>
          <w:tcPr>
            <w:tcW w:w="79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89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8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10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c>
          <w:tcPr>
            <w:tcW w:w="21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 </w:t>
            </w:r>
          </w:p>
        </w:tc>
        <w:tc>
          <w:tcPr>
            <w:tcW w:w="5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18</w:t>
            </w:r>
          </w:p>
        </w:tc>
        <w:tc>
          <w:tcPr>
            <w:tcW w:w="8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 </w:t>
            </w:r>
          </w:p>
        </w:tc>
        <w:tc>
          <w:tcPr>
            <w:tcW w:w="19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十八、自然资源海洋气象等支出</w:t>
            </w:r>
          </w:p>
        </w:tc>
        <w:tc>
          <w:tcPr>
            <w:tcW w:w="6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50</w:t>
            </w:r>
          </w:p>
        </w:tc>
        <w:tc>
          <w:tcPr>
            <w:tcW w:w="79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89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8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10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c>
          <w:tcPr>
            <w:tcW w:w="21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 </w:t>
            </w:r>
          </w:p>
        </w:tc>
        <w:tc>
          <w:tcPr>
            <w:tcW w:w="5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19</w:t>
            </w:r>
          </w:p>
        </w:tc>
        <w:tc>
          <w:tcPr>
            <w:tcW w:w="8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 </w:t>
            </w:r>
          </w:p>
        </w:tc>
        <w:tc>
          <w:tcPr>
            <w:tcW w:w="19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十九、住房保障支出</w:t>
            </w:r>
          </w:p>
        </w:tc>
        <w:tc>
          <w:tcPr>
            <w:tcW w:w="6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51</w:t>
            </w:r>
          </w:p>
        </w:tc>
        <w:tc>
          <w:tcPr>
            <w:tcW w:w="79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51.07</w:t>
            </w:r>
          </w:p>
        </w:tc>
        <w:tc>
          <w:tcPr>
            <w:tcW w:w="89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51.07</w:t>
            </w:r>
          </w:p>
        </w:tc>
        <w:tc>
          <w:tcPr>
            <w:tcW w:w="8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10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c>
          <w:tcPr>
            <w:tcW w:w="21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 </w:t>
            </w:r>
          </w:p>
        </w:tc>
        <w:tc>
          <w:tcPr>
            <w:tcW w:w="5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20</w:t>
            </w:r>
          </w:p>
        </w:tc>
        <w:tc>
          <w:tcPr>
            <w:tcW w:w="8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 </w:t>
            </w:r>
          </w:p>
        </w:tc>
        <w:tc>
          <w:tcPr>
            <w:tcW w:w="19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二十、粮油物资储备支出</w:t>
            </w:r>
          </w:p>
        </w:tc>
        <w:tc>
          <w:tcPr>
            <w:tcW w:w="6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52</w:t>
            </w:r>
          </w:p>
        </w:tc>
        <w:tc>
          <w:tcPr>
            <w:tcW w:w="79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89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8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10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c>
          <w:tcPr>
            <w:tcW w:w="21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 </w:t>
            </w:r>
          </w:p>
        </w:tc>
        <w:tc>
          <w:tcPr>
            <w:tcW w:w="5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21</w:t>
            </w:r>
          </w:p>
        </w:tc>
        <w:tc>
          <w:tcPr>
            <w:tcW w:w="8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 </w:t>
            </w:r>
          </w:p>
        </w:tc>
        <w:tc>
          <w:tcPr>
            <w:tcW w:w="19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二十一、国有资本经营预算支出</w:t>
            </w:r>
          </w:p>
        </w:tc>
        <w:tc>
          <w:tcPr>
            <w:tcW w:w="6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53</w:t>
            </w:r>
          </w:p>
        </w:tc>
        <w:tc>
          <w:tcPr>
            <w:tcW w:w="79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89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8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10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c>
          <w:tcPr>
            <w:tcW w:w="21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 </w:t>
            </w:r>
          </w:p>
        </w:tc>
        <w:tc>
          <w:tcPr>
            <w:tcW w:w="5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22</w:t>
            </w:r>
          </w:p>
        </w:tc>
        <w:tc>
          <w:tcPr>
            <w:tcW w:w="8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 </w:t>
            </w:r>
          </w:p>
        </w:tc>
        <w:tc>
          <w:tcPr>
            <w:tcW w:w="19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二十二、灾害防治及应急管理支出</w:t>
            </w:r>
          </w:p>
        </w:tc>
        <w:tc>
          <w:tcPr>
            <w:tcW w:w="6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54</w:t>
            </w:r>
          </w:p>
        </w:tc>
        <w:tc>
          <w:tcPr>
            <w:tcW w:w="79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89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8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10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c>
          <w:tcPr>
            <w:tcW w:w="21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 </w:t>
            </w:r>
          </w:p>
        </w:tc>
        <w:tc>
          <w:tcPr>
            <w:tcW w:w="5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23</w:t>
            </w:r>
          </w:p>
        </w:tc>
        <w:tc>
          <w:tcPr>
            <w:tcW w:w="8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 </w:t>
            </w:r>
          </w:p>
        </w:tc>
        <w:tc>
          <w:tcPr>
            <w:tcW w:w="19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二十三、其他支出</w:t>
            </w:r>
          </w:p>
        </w:tc>
        <w:tc>
          <w:tcPr>
            <w:tcW w:w="6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55</w:t>
            </w:r>
          </w:p>
        </w:tc>
        <w:tc>
          <w:tcPr>
            <w:tcW w:w="79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89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8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10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c>
          <w:tcPr>
            <w:tcW w:w="21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 </w:t>
            </w:r>
          </w:p>
        </w:tc>
        <w:tc>
          <w:tcPr>
            <w:tcW w:w="5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24</w:t>
            </w:r>
          </w:p>
        </w:tc>
        <w:tc>
          <w:tcPr>
            <w:tcW w:w="8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 </w:t>
            </w:r>
          </w:p>
        </w:tc>
        <w:tc>
          <w:tcPr>
            <w:tcW w:w="19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二十四、债务还本支出</w:t>
            </w:r>
          </w:p>
        </w:tc>
        <w:tc>
          <w:tcPr>
            <w:tcW w:w="6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56</w:t>
            </w:r>
          </w:p>
        </w:tc>
        <w:tc>
          <w:tcPr>
            <w:tcW w:w="79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89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8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10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c>
          <w:tcPr>
            <w:tcW w:w="21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 </w:t>
            </w:r>
          </w:p>
        </w:tc>
        <w:tc>
          <w:tcPr>
            <w:tcW w:w="5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25</w:t>
            </w:r>
          </w:p>
        </w:tc>
        <w:tc>
          <w:tcPr>
            <w:tcW w:w="8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 </w:t>
            </w:r>
          </w:p>
        </w:tc>
        <w:tc>
          <w:tcPr>
            <w:tcW w:w="19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二十五、债务付息支出</w:t>
            </w:r>
          </w:p>
        </w:tc>
        <w:tc>
          <w:tcPr>
            <w:tcW w:w="6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57</w:t>
            </w:r>
          </w:p>
        </w:tc>
        <w:tc>
          <w:tcPr>
            <w:tcW w:w="79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89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8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10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c>
          <w:tcPr>
            <w:tcW w:w="21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 </w:t>
            </w:r>
          </w:p>
        </w:tc>
        <w:tc>
          <w:tcPr>
            <w:tcW w:w="5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26</w:t>
            </w:r>
          </w:p>
        </w:tc>
        <w:tc>
          <w:tcPr>
            <w:tcW w:w="8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 </w:t>
            </w:r>
          </w:p>
        </w:tc>
        <w:tc>
          <w:tcPr>
            <w:tcW w:w="19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二十六、抗疫特别国债安排的支出</w:t>
            </w:r>
          </w:p>
        </w:tc>
        <w:tc>
          <w:tcPr>
            <w:tcW w:w="6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58</w:t>
            </w:r>
          </w:p>
        </w:tc>
        <w:tc>
          <w:tcPr>
            <w:tcW w:w="79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89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8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10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c>
          <w:tcPr>
            <w:tcW w:w="21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ascii="宋体" w:hAnsi="宋体" w:cs="宋体"/>
                <w:color w:val="000000"/>
                <w:kern w:val="0"/>
                <w:sz w:val="20"/>
                <w:szCs w:val="20"/>
              </w:rPr>
              <w:t>本年收入合计</w:t>
            </w:r>
          </w:p>
        </w:tc>
        <w:tc>
          <w:tcPr>
            <w:tcW w:w="5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27</w:t>
            </w:r>
          </w:p>
        </w:tc>
        <w:tc>
          <w:tcPr>
            <w:tcW w:w="8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5,191.27</w:t>
            </w:r>
          </w:p>
        </w:tc>
        <w:tc>
          <w:tcPr>
            <w:tcW w:w="19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ascii="宋体" w:hAnsi="宋体" w:cs="宋体"/>
                <w:color w:val="000000"/>
                <w:kern w:val="0"/>
                <w:sz w:val="20"/>
                <w:szCs w:val="20"/>
              </w:rPr>
              <w:t>本年支出合计</w:t>
            </w:r>
          </w:p>
        </w:tc>
        <w:tc>
          <w:tcPr>
            <w:tcW w:w="6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59</w:t>
            </w:r>
          </w:p>
        </w:tc>
        <w:tc>
          <w:tcPr>
            <w:tcW w:w="79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5,191.27</w:t>
            </w:r>
          </w:p>
        </w:tc>
        <w:tc>
          <w:tcPr>
            <w:tcW w:w="89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5,191.27</w:t>
            </w:r>
          </w:p>
        </w:tc>
        <w:tc>
          <w:tcPr>
            <w:tcW w:w="8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10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c>
          <w:tcPr>
            <w:tcW w:w="21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ascii="宋体" w:hAnsi="宋体" w:cs="宋体"/>
                <w:color w:val="000000"/>
                <w:kern w:val="0"/>
                <w:sz w:val="20"/>
                <w:szCs w:val="20"/>
              </w:rPr>
            </w:pPr>
            <w:r>
              <w:rPr>
                <w:rFonts w:ascii="宋体" w:hAnsi="宋体" w:cs="宋体"/>
                <w:color w:val="000000"/>
                <w:kern w:val="0"/>
                <w:sz w:val="20"/>
                <w:szCs w:val="20"/>
              </w:rPr>
              <w:t>年初财政拨款结转</w:t>
            </w:r>
          </w:p>
          <w:p>
            <w:pPr>
              <w:widowControl/>
              <w:jc w:val="left"/>
              <w:rPr>
                <w:rFonts w:eastAsia="Times New Roman"/>
                <w:color w:val="000000"/>
                <w:kern w:val="0"/>
                <w:sz w:val="20"/>
                <w:szCs w:val="20"/>
              </w:rPr>
            </w:pPr>
            <w:r>
              <w:rPr>
                <w:rFonts w:ascii="宋体" w:hAnsi="宋体" w:cs="宋体"/>
                <w:color w:val="000000"/>
                <w:kern w:val="0"/>
                <w:sz w:val="20"/>
                <w:szCs w:val="20"/>
              </w:rPr>
              <w:t>和结余</w:t>
            </w:r>
            <w:r>
              <w:rPr>
                <w:rFonts w:eastAsia="Times New Roman"/>
                <w:color w:val="000000"/>
                <w:kern w:val="0"/>
                <w:sz w:val="20"/>
                <w:szCs w:val="20"/>
              </w:rPr>
              <w:t xml:space="preserve"> </w:t>
            </w:r>
          </w:p>
        </w:tc>
        <w:tc>
          <w:tcPr>
            <w:tcW w:w="5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28</w:t>
            </w:r>
          </w:p>
        </w:tc>
        <w:tc>
          <w:tcPr>
            <w:tcW w:w="8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19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年末财政拨款结转和结余</w:t>
            </w:r>
            <w:r>
              <w:rPr>
                <w:rFonts w:eastAsia="Times New Roman"/>
                <w:color w:val="000000"/>
                <w:kern w:val="0"/>
                <w:sz w:val="20"/>
                <w:szCs w:val="20"/>
              </w:rPr>
              <w:t xml:space="preserve"> </w:t>
            </w:r>
          </w:p>
        </w:tc>
        <w:tc>
          <w:tcPr>
            <w:tcW w:w="6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60</w:t>
            </w:r>
          </w:p>
        </w:tc>
        <w:tc>
          <w:tcPr>
            <w:tcW w:w="79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89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8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10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c>
          <w:tcPr>
            <w:tcW w:w="21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一、一般公共预算财政拨款</w:t>
            </w:r>
          </w:p>
        </w:tc>
        <w:tc>
          <w:tcPr>
            <w:tcW w:w="5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29</w:t>
            </w:r>
          </w:p>
        </w:tc>
        <w:tc>
          <w:tcPr>
            <w:tcW w:w="8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19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 </w:t>
            </w:r>
          </w:p>
        </w:tc>
        <w:tc>
          <w:tcPr>
            <w:tcW w:w="6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61</w:t>
            </w:r>
          </w:p>
        </w:tc>
        <w:tc>
          <w:tcPr>
            <w:tcW w:w="79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89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8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10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c>
          <w:tcPr>
            <w:tcW w:w="21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二、政府性基金预算财政拨款</w:t>
            </w:r>
          </w:p>
        </w:tc>
        <w:tc>
          <w:tcPr>
            <w:tcW w:w="5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30</w:t>
            </w:r>
          </w:p>
        </w:tc>
        <w:tc>
          <w:tcPr>
            <w:tcW w:w="8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19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 </w:t>
            </w:r>
          </w:p>
        </w:tc>
        <w:tc>
          <w:tcPr>
            <w:tcW w:w="6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62</w:t>
            </w:r>
          </w:p>
        </w:tc>
        <w:tc>
          <w:tcPr>
            <w:tcW w:w="79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89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8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10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c>
          <w:tcPr>
            <w:tcW w:w="21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三、国有资本经营预算财政拨款</w:t>
            </w:r>
          </w:p>
        </w:tc>
        <w:tc>
          <w:tcPr>
            <w:tcW w:w="5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31</w:t>
            </w:r>
          </w:p>
        </w:tc>
        <w:tc>
          <w:tcPr>
            <w:tcW w:w="8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19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 </w:t>
            </w:r>
          </w:p>
        </w:tc>
        <w:tc>
          <w:tcPr>
            <w:tcW w:w="6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63</w:t>
            </w:r>
          </w:p>
        </w:tc>
        <w:tc>
          <w:tcPr>
            <w:tcW w:w="79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 </w:t>
            </w:r>
          </w:p>
        </w:tc>
        <w:tc>
          <w:tcPr>
            <w:tcW w:w="89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 </w:t>
            </w:r>
          </w:p>
        </w:tc>
        <w:tc>
          <w:tcPr>
            <w:tcW w:w="8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 </w:t>
            </w:r>
          </w:p>
        </w:tc>
        <w:tc>
          <w:tcPr>
            <w:tcW w:w="10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c>
          <w:tcPr>
            <w:tcW w:w="21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ascii="宋体" w:hAnsi="宋体" w:cs="宋体"/>
                <w:color w:val="000000"/>
                <w:kern w:val="0"/>
                <w:sz w:val="20"/>
                <w:szCs w:val="20"/>
              </w:rPr>
              <w:t>总计</w:t>
            </w:r>
            <w:r>
              <w:rPr>
                <w:rFonts w:eastAsia="Times New Roman"/>
                <w:color w:val="000000"/>
                <w:kern w:val="0"/>
                <w:sz w:val="20"/>
                <w:szCs w:val="20"/>
              </w:rPr>
              <w:t xml:space="preserve"> </w:t>
            </w:r>
          </w:p>
        </w:tc>
        <w:tc>
          <w:tcPr>
            <w:tcW w:w="5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32</w:t>
            </w:r>
          </w:p>
        </w:tc>
        <w:tc>
          <w:tcPr>
            <w:tcW w:w="82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5,191.27</w:t>
            </w:r>
          </w:p>
        </w:tc>
        <w:tc>
          <w:tcPr>
            <w:tcW w:w="195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ascii="宋体" w:hAnsi="宋体" w:cs="宋体"/>
                <w:color w:val="000000"/>
                <w:kern w:val="0"/>
                <w:sz w:val="20"/>
                <w:szCs w:val="20"/>
              </w:rPr>
              <w:t>总计</w:t>
            </w:r>
            <w:r>
              <w:rPr>
                <w:rFonts w:eastAsia="Times New Roman"/>
                <w:color w:val="000000"/>
                <w:kern w:val="0"/>
                <w:sz w:val="20"/>
                <w:szCs w:val="20"/>
              </w:rPr>
              <w:t xml:space="preserve"> </w:t>
            </w:r>
          </w:p>
        </w:tc>
        <w:tc>
          <w:tcPr>
            <w:tcW w:w="62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64</w:t>
            </w:r>
          </w:p>
        </w:tc>
        <w:tc>
          <w:tcPr>
            <w:tcW w:w="79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5,191.27</w:t>
            </w:r>
          </w:p>
        </w:tc>
        <w:tc>
          <w:tcPr>
            <w:tcW w:w="89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5,191.27</w:t>
            </w:r>
          </w:p>
        </w:tc>
        <w:tc>
          <w:tcPr>
            <w:tcW w:w="888"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10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c>
          <w:tcPr>
            <w:tcW w:w="9668" w:type="dxa"/>
            <w:gridSpan w:val="9"/>
            <w:tcMar>
              <w:top w:w="20" w:type="dxa"/>
              <w:left w:w="20" w:type="dxa"/>
              <w:bottom w:w="20" w:type="dxa"/>
              <w:right w:w="20" w:type="dxa"/>
            </w:tcMar>
            <w:vAlign w:val="center"/>
          </w:tcPr>
          <w:p>
            <w:pPr>
              <w:widowControl/>
              <w:spacing w:line="375" w:lineRule="atLeast"/>
              <w:jc w:val="left"/>
              <w:rPr>
                <w:rFonts w:eastAsia="Times New Roman"/>
                <w:color w:val="000000"/>
                <w:kern w:val="0"/>
                <w:sz w:val="20"/>
                <w:szCs w:val="20"/>
              </w:rPr>
            </w:pPr>
            <w:r>
              <w:rPr>
                <w:rFonts w:ascii="宋体" w:hAnsi="宋体" w:cs="宋体"/>
                <w:color w:val="000000"/>
                <w:kern w:val="0"/>
                <w:sz w:val="20"/>
                <w:szCs w:val="20"/>
              </w:rPr>
              <w:t>注：本表反映部门本年度一般公共预算财政拨款、政府性基金预算财政拨款和国有资本经营预算财政拨款的总收支和年末结转结余情况。</w:t>
            </w:r>
          </w:p>
        </w:tc>
      </w:tr>
    </w:tbl>
    <w:p>
      <w:pPr>
        <w:pStyle w:val="29"/>
        <w:widowControl/>
        <w:spacing w:before="100" w:after="100"/>
        <w:jc w:val="left"/>
        <w:rPr>
          <w:rFonts w:hint="default" w:eastAsia="宋体"/>
          <w:kern w:val="0"/>
          <w:sz w:val="27"/>
          <w:szCs w:val="27"/>
          <w:lang w:val="en-US" w:eastAsia="zh-CN"/>
        </w:rPr>
      </w:pPr>
      <w:bookmarkStart w:id="45" w:name="_Toc256000104"/>
      <w:bookmarkStart w:id="46" w:name="_Toc256000073"/>
      <w:bookmarkStart w:id="47" w:name="_Toc256000011"/>
      <w:bookmarkStart w:id="48" w:name="_Toc256000042"/>
    </w:p>
    <w:p>
      <w:pPr>
        <w:pStyle w:val="29"/>
        <w:widowControl/>
        <w:spacing w:before="100" w:after="100"/>
        <w:jc w:val="left"/>
        <w:rPr>
          <w:rFonts w:ascii="黑体" w:hAnsi="黑体" w:eastAsia="黑体" w:cs="黑体"/>
          <w:b/>
          <w:bCs/>
          <w:sz w:val="32"/>
          <w:szCs w:val="32"/>
        </w:rPr>
      </w:pPr>
      <w:r>
        <w:rPr>
          <w:rFonts w:hint="eastAsia" w:ascii="黑体" w:hAnsi="黑体" w:eastAsia="黑体" w:cs="黑体"/>
          <w:b/>
          <w:bCs/>
          <w:sz w:val="32"/>
          <w:szCs w:val="32"/>
        </w:rPr>
        <w:t>五、一般公共预算财政拨款支出决算表</w:t>
      </w:r>
      <w:bookmarkEnd w:id="45"/>
      <w:bookmarkEnd w:id="46"/>
      <w:bookmarkEnd w:id="47"/>
      <w:bookmarkEnd w:id="48"/>
    </w:p>
    <w:p/>
    <w:tbl>
      <w:tblPr>
        <w:tblStyle w:val="22"/>
        <w:tblW w:w="9066" w:type="dxa"/>
        <w:tblInd w:w="0" w:type="dxa"/>
        <w:tblLayout w:type="fixed"/>
        <w:tblCellMar>
          <w:top w:w="15" w:type="dxa"/>
          <w:left w:w="15" w:type="dxa"/>
          <w:bottom w:w="15" w:type="dxa"/>
          <w:right w:w="15" w:type="dxa"/>
        </w:tblCellMar>
      </w:tblPr>
      <w:tblGrid>
        <w:gridCol w:w="390"/>
        <w:gridCol w:w="791"/>
        <w:gridCol w:w="315"/>
        <w:gridCol w:w="3300"/>
        <w:gridCol w:w="1273"/>
        <w:gridCol w:w="1403"/>
        <w:gridCol w:w="1594"/>
      </w:tblGrid>
      <w:tr>
        <w:tblPrEx>
          <w:tblLayout w:type="fixed"/>
          <w:tblCellMar>
            <w:top w:w="15" w:type="dxa"/>
            <w:left w:w="15" w:type="dxa"/>
            <w:bottom w:w="15" w:type="dxa"/>
            <w:right w:w="15" w:type="dxa"/>
          </w:tblCellMar>
        </w:tblPrEx>
        <w:trPr>
          <w:tblHeader/>
        </w:trPr>
        <w:tc>
          <w:tcPr>
            <w:tcW w:w="9066" w:type="dxa"/>
            <w:gridSpan w:val="7"/>
            <w:tcMar>
              <w:top w:w="20" w:type="dxa"/>
              <w:left w:w="20" w:type="dxa"/>
              <w:bottom w:w="20" w:type="dxa"/>
              <w:right w:w="20" w:type="dxa"/>
            </w:tcMar>
            <w:vAlign w:val="center"/>
          </w:tcPr>
          <w:p>
            <w:pPr>
              <w:widowControl/>
              <w:spacing w:line="900" w:lineRule="atLeast"/>
              <w:jc w:val="center"/>
              <w:rPr>
                <w:rFonts w:eastAsia="Times New Roman"/>
                <w:color w:val="000000"/>
                <w:kern w:val="0"/>
                <w:sz w:val="20"/>
                <w:szCs w:val="20"/>
              </w:rPr>
            </w:pPr>
            <w:r>
              <w:rPr>
                <w:rFonts w:ascii="宋体" w:hAnsi="宋体" w:cs="宋体"/>
                <w:color w:val="000000"/>
                <w:kern w:val="0"/>
                <w:sz w:val="20"/>
                <w:szCs w:val="20"/>
              </w:rPr>
              <w:t>一般公共预算财政拨款支出决算表</w:t>
            </w:r>
          </w:p>
        </w:tc>
      </w:tr>
      <w:tr>
        <w:tblPrEx>
          <w:tblLayout w:type="fixed"/>
          <w:tblCellMar>
            <w:top w:w="15" w:type="dxa"/>
            <w:left w:w="15" w:type="dxa"/>
            <w:bottom w:w="15" w:type="dxa"/>
            <w:right w:w="15" w:type="dxa"/>
          </w:tblCellMar>
        </w:tblPrEx>
        <w:trPr>
          <w:tblHeader/>
        </w:trPr>
        <w:tc>
          <w:tcPr>
            <w:tcW w:w="390"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0"/>
                <w:szCs w:val="20"/>
              </w:rPr>
            </w:pPr>
            <w:r>
              <w:rPr>
                <w:rFonts w:eastAsia="Times New Roman"/>
                <w:color w:val="000000"/>
                <w:kern w:val="0"/>
                <w:sz w:val="20"/>
                <w:szCs w:val="20"/>
              </w:rPr>
              <w:t> </w:t>
            </w:r>
          </w:p>
        </w:tc>
        <w:tc>
          <w:tcPr>
            <w:tcW w:w="791"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0"/>
                <w:szCs w:val="20"/>
              </w:rPr>
            </w:pPr>
            <w:r>
              <w:rPr>
                <w:rFonts w:eastAsia="Times New Roman"/>
                <w:color w:val="000000"/>
                <w:kern w:val="0"/>
                <w:sz w:val="20"/>
                <w:szCs w:val="20"/>
              </w:rPr>
              <w:t> </w:t>
            </w:r>
          </w:p>
        </w:tc>
        <w:tc>
          <w:tcPr>
            <w:tcW w:w="315"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0"/>
                <w:szCs w:val="20"/>
              </w:rPr>
            </w:pPr>
            <w:r>
              <w:rPr>
                <w:rFonts w:eastAsia="Times New Roman"/>
                <w:color w:val="000000"/>
                <w:kern w:val="0"/>
                <w:sz w:val="20"/>
                <w:szCs w:val="20"/>
              </w:rPr>
              <w:t> </w:t>
            </w:r>
          </w:p>
        </w:tc>
        <w:tc>
          <w:tcPr>
            <w:tcW w:w="3300"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0"/>
                <w:szCs w:val="20"/>
              </w:rPr>
            </w:pPr>
            <w:r>
              <w:rPr>
                <w:rFonts w:eastAsia="Times New Roman"/>
                <w:color w:val="000000"/>
                <w:kern w:val="0"/>
                <w:sz w:val="20"/>
                <w:szCs w:val="20"/>
              </w:rPr>
              <w:t> </w:t>
            </w:r>
          </w:p>
        </w:tc>
        <w:tc>
          <w:tcPr>
            <w:tcW w:w="1273"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0"/>
                <w:szCs w:val="20"/>
              </w:rPr>
            </w:pPr>
            <w:r>
              <w:rPr>
                <w:rFonts w:eastAsia="Times New Roman"/>
                <w:color w:val="000000"/>
                <w:kern w:val="0"/>
                <w:sz w:val="20"/>
                <w:szCs w:val="20"/>
              </w:rPr>
              <w:t> </w:t>
            </w:r>
          </w:p>
        </w:tc>
        <w:tc>
          <w:tcPr>
            <w:tcW w:w="1403"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0"/>
                <w:szCs w:val="20"/>
              </w:rPr>
            </w:pPr>
            <w:r>
              <w:rPr>
                <w:rFonts w:eastAsia="Times New Roman"/>
                <w:color w:val="000000"/>
                <w:kern w:val="0"/>
                <w:sz w:val="20"/>
                <w:szCs w:val="20"/>
              </w:rPr>
              <w:t> </w:t>
            </w:r>
          </w:p>
        </w:tc>
        <w:tc>
          <w:tcPr>
            <w:tcW w:w="1594"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rPr>
          <w:trHeight w:val="408" w:hRule="atLeast"/>
        </w:trPr>
        <w:tc>
          <w:tcPr>
            <w:tcW w:w="6069" w:type="dxa"/>
            <w:gridSpan w:val="5"/>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部门</w:t>
            </w:r>
            <w:r>
              <w:rPr>
                <w:rFonts w:eastAsia="Times New Roman"/>
                <w:color w:val="000000"/>
                <w:kern w:val="0"/>
                <w:sz w:val="20"/>
                <w:szCs w:val="20"/>
              </w:rPr>
              <w:t>/</w:t>
            </w:r>
            <w:r>
              <w:rPr>
                <w:rFonts w:ascii="宋体" w:hAnsi="宋体" w:cs="宋体"/>
                <w:color w:val="000000"/>
                <w:kern w:val="0"/>
                <w:sz w:val="20"/>
                <w:szCs w:val="20"/>
              </w:rPr>
              <w:t>单位：厦门外国语学校湖里分校</w:t>
            </w:r>
          </w:p>
        </w:tc>
        <w:tc>
          <w:tcPr>
            <w:tcW w:w="1403"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2024</w:t>
            </w:r>
            <w:r>
              <w:rPr>
                <w:rFonts w:ascii="宋体" w:hAnsi="宋体" w:cs="宋体"/>
                <w:color w:val="000000"/>
                <w:kern w:val="0"/>
                <w:sz w:val="20"/>
                <w:szCs w:val="20"/>
              </w:rPr>
              <w:t>年度</w:t>
            </w:r>
          </w:p>
        </w:tc>
        <w:tc>
          <w:tcPr>
            <w:tcW w:w="1594"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ascii="宋体" w:hAnsi="宋体" w:cs="宋体"/>
                <w:color w:val="000000"/>
                <w:kern w:val="0"/>
                <w:sz w:val="20"/>
                <w:szCs w:val="20"/>
              </w:rPr>
              <w:t>金额单位：万元</w:t>
            </w:r>
          </w:p>
        </w:tc>
      </w:tr>
      <w:tr>
        <w:tblPrEx>
          <w:tblLayout w:type="fixed"/>
          <w:tblCellMar>
            <w:top w:w="15" w:type="dxa"/>
            <w:left w:w="15" w:type="dxa"/>
            <w:bottom w:w="15" w:type="dxa"/>
            <w:right w:w="15" w:type="dxa"/>
          </w:tblCellMar>
        </w:tblPrEx>
        <w:trPr>
          <w:trHeight w:val="420" w:hRule="atLeast"/>
        </w:trPr>
        <w:tc>
          <w:tcPr>
            <w:tcW w:w="4796" w:type="dxa"/>
            <w:gridSpan w:val="4"/>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ascii="宋体" w:hAnsi="宋体" w:cs="宋体"/>
                <w:color w:val="000000"/>
                <w:kern w:val="0"/>
                <w:sz w:val="20"/>
                <w:szCs w:val="20"/>
              </w:rPr>
              <w:t>项目</w:t>
            </w:r>
          </w:p>
        </w:tc>
        <w:tc>
          <w:tcPr>
            <w:tcW w:w="4270"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ascii="宋体" w:hAnsi="宋体" w:cs="宋体"/>
                <w:color w:val="000000"/>
                <w:kern w:val="0"/>
                <w:sz w:val="20"/>
                <w:szCs w:val="20"/>
              </w:rPr>
              <w:t>本年支出</w:t>
            </w:r>
          </w:p>
        </w:tc>
      </w:tr>
      <w:tr>
        <w:tblPrEx>
          <w:tblLayout w:type="fixed"/>
          <w:tblCellMar>
            <w:top w:w="15" w:type="dxa"/>
            <w:left w:w="15" w:type="dxa"/>
            <w:bottom w:w="15" w:type="dxa"/>
            <w:right w:w="15" w:type="dxa"/>
          </w:tblCellMar>
        </w:tblPrEx>
        <w:trPr>
          <w:trHeight w:val="230" w:hRule="atLeast"/>
          <w:tblHeader/>
        </w:trPr>
        <w:tc>
          <w:tcPr>
            <w:tcW w:w="1496" w:type="dxa"/>
            <w:gridSpan w:val="3"/>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ascii="宋体" w:hAnsi="宋体" w:cs="宋体"/>
                <w:color w:val="000000"/>
                <w:kern w:val="0"/>
                <w:sz w:val="20"/>
                <w:szCs w:val="20"/>
              </w:rPr>
              <w:t>科目代码</w:t>
            </w:r>
          </w:p>
        </w:tc>
        <w:tc>
          <w:tcPr>
            <w:tcW w:w="3300"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ascii="宋体" w:hAnsi="宋体" w:cs="宋体"/>
                <w:color w:val="000000"/>
                <w:kern w:val="0"/>
                <w:sz w:val="20"/>
                <w:szCs w:val="20"/>
              </w:rPr>
              <w:t>科目名称</w:t>
            </w:r>
          </w:p>
        </w:tc>
        <w:tc>
          <w:tcPr>
            <w:tcW w:w="1273"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ascii="宋体" w:hAnsi="宋体" w:cs="宋体"/>
                <w:color w:val="000000"/>
                <w:kern w:val="0"/>
                <w:sz w:val="20"/>
                <w:szCs w:val="20"/>
              </w:rPr>
              <w:t>小计</w:t>
            </w:r>
          </w:p>
        </w:tc>
        <w:tc>
          <w:tcPr>
            <w:tcW w:w="1403"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ascii="宋体" w:hAnsi="宋体" w:cs="宋体"/>
                <w:color w:val="000000"/>
                <w:kern w:val="0"/>
                <w:sz w:val="20"/>
                <w:szCs w:val="20"/>
              </w:rPr>
              <w:t>基本支出</w:t>
            </w:r>
          </w:p>
        </w:tc>
        <w:tc>
          <w:tcPr>
            <w:tcW w:w="1594"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ascii="宋体" w:hAnsi="宋体" w:cs="宋体"/>
                <w:color w:val="000000"/>
                <w:kern w:val="0"/>
                <w:sz w:val="20"/>
                <w:szCs w:val="20"/>
              </w:rPr>
              <w:t>项目支出</w:t>
            </w:r>
          </w:p>
        </w:tc>
      </w:tr>
      <w:tr>
        <w:tblPrEx>
          <w:tblLayout w:type="fixed"/>
          <w:tblCellMar>
            <w:top w:w="15" w:type="dxa"/>
            <w:left w:w="15" w:type="dxa"/>
            <w:bottom w:w="15" w:type="dxa"/>
            <w:right w:w="15" w:type="dxa"/>
          </w:tblCellMar>
        </w:tblPrEx>
        <w:trPr>
          <w:trHeight w:val="383" w:hRule="atLeast"/>
          <w:tblHeader/>
        </w:trPr>
        <w:tc>
          <w:tcPr>
            <w:tcW w:w="1496" w:type="dxa"/>
            <w:gridSpan w:val="3"/>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0"/>
                <w:szCs w:val="20"/>
              </w:rPr>
            </w:pPr>
          </w:p>
        </w:tc>
        <w:tc>
          <w:tcPr>
            <w:tcW w:w="3300"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0"/>
                <w:szCs w:val="20"/>
              </w:rPr>
            </w:pPr>
          </w:p>
        </w:tc>
        <w:tc>
          <w:tcPr>
            <w:tcW w:w="1273"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0"/>
                <w:szCs w:val="20"/>
              </w:rPr>
            </w:pPr>
          </w:p>
        </w:tc>
        <w:tc>
          <w:tcPr>
            <w:tcW w:w="1403"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0"/>
                <w:szCs w:val="20"/>
              </w:rPr>
            </w:pPr>
          </w:p>
        </w:tc>
        <w:tc>
          <w:tcPr>
            <w:tcW w:w="1594"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0"/>
                <w:szCs w:val="20"/>
              </w:rPr>
            </w:pPr>
          </w:p>
        </w:tc>
      </w:tr>
      <w:tr>
        <w:tblPrEx>
          <w:tblLayout w:type="fixed"/>
          <w:tblCellMar>
            <w:top w:w="15" w:type="dxa"/>
            <w:left w:w="15" w:type="dxa"/>
            <w:bottom w:w="15" w:type="dxa"/>
            <w:right w:w="15" w:type="dxa"/>
          </w:tblCellMar>
        </w:tblPrEx>
        <w:trPr>
          <w:trHeight w:val="366" w:hRule="atLeast"/>
          <w:tblHeader/>
        </w:trPr>
        <w:tc>
          <w:tcPr>
            <w:tcW w:w="1496" w:type="dxa"/>
            <w:gridSpan w:val="3"/>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0"/>
                <w:szCs w:val="20"/>
              </w:rPr>
            </w:pPr>
          </w:p>
        </w:tc>
        <w:tc>
          <w:tcPr>
            <w:tcW w:w="3300"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0"/>
                <w:szCs w:val="20"/>
              </w:rPr>
            </w:pPr>
          </w:p>
        </w:tc>
        <w:tc>
          <w:tcPr>
            <w:tcW w:w="12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1</w:t>
            </w:r>
          </w:p>
        </w:tc>
        <w:tc>
          <w:tcPr>
            <w:tcW w:w="140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2</w:t>
            </w:r>
          </w:p>
        </w:tc>
        <w:tc>
          <w:tcPr>
            <w:tcW w:w="159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3</w:t>
            </w:r>
          </w:p>
        </w:tc>
      </w:tr>
      <w:tr>
        <w:tblPrEx>
          <w:tblLayout w:type="fixed"/>
          <w:tblCellMar>
            <w:top w:w="15" w:type="dxa"/>
            <w:left w:w="15" w:type="dxa"/>
            <w:bottom w:w="15" w:type="dxa"/>
            <w:right w:w="15" w:type="dxa"/>
          </w:tblCellMar>
        </w:tblPrEx>
        <w:trPr>
          <w:trHeight w:val="340" w:hRule="atLeast"/>
        </w:trPr>
        <w:tc>
          <w:tcPr>
            <w:tcW w:w="4796" w:type="dxa"/>
            <w:gridSpan w:val="4"/>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ascii="宋体" w:hAnsi="宋体" w:cs="宋体"/>
                <w:color w:val="000000"/>
                <w:kern w:val="0"/>
                <w:sz w:val="20"/>
                <w:szCs w:val="20"/>
              </w:rPr>
              <w:t>合计</w:t>
            </w:r>
          </w:p>
        </w:tc>
        <w:tc>
          <w:tcPr>
            <w:tcW w:w="12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5,191.27</w:t>
            </w:r>
          </w:p>
        </w:tc>
        <w:tc>
          <w:tcPr>
            <w:tcW w:w="140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4,166.71</w:t>
            </w:r>
          </w:p>
        </w:tc>
        <w:tc>
          <w:tcPr>
            <w:tcW w:w="159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1,024.56</w:t>
            </w:r>
          </w:p>
        </w:tc>
      </w:tr>
      <w:tr>
        <w:tblPrEx>
          <w:tblLayout w:type="fixed"/>
          <w:tblCellMar>
            <w:top w:w="15" w:type="dxa"/>
            <w:left w:w="15" w:type="dxa"/>
            <w:bottom w:w="15" w:type="dxa"/>
            <w:right w:w="15" w:type="dxa"/>
          </w:tblCellMar>
        </w:tblPrEx>
        <w:trPr>
          <w:trHeight w:val="340" w:hRule="atLeast"/>
        </w:trPr>
        <w:tc>
          <w:tcPr>
            <w:tcW w:w="1496"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205</w:t>
            </w:r>
          </w:p>
        </w:tc>
        <w:tc>
          <w:tcPr>
            <w:tcW w:w="33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教育支出</w:t>
            </w:r>
          </w:p>
        </w:tc>
        <w:tc>
          <w:tcPr>
            <w:tcW w:w="12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4,489.59</w:t>
            </w:r>
          </w:p>
        </w:tc>
        <w:tc>
          <w:tcPr>
            <w:tcW w:w="140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3,465.03</w:t>
            </w:r>
          </w:p>
        </w:tc>
        <w:tc>
          <w:tcPr>
            <w:tcW w:w="159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1,024.56</w:t>
            </w:r>
          </w:p>
        </w:tc>
      </w:tr>
      <w:tr>
        <w:tblPrEx>
          <w:tblLayout w:type="fixed"/>
          <w:tblCellMar>
            <w:top w:w="15" w:type="dxa"/>
            <w:left w:w="15" w:type="dxa"/>
            <w:bottom w:w="15" w:type="dxa"/>
            <w:right w:w="15" w:type="dxa"/>
          </w:tblCellMar>
        </w:tblPrEx>
        <w:trPr>
          <w:trHeight w:val="340" w:hRule="atLeast"/>
        </w:trPr>
        <w:tc>
          <w:tcPr>
            <w:tcW w:w="1496"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20502</w:t>
            </w:r>
          </w:p>
        </w:tc>
        <w:tc>
          <w:tcPr>
            <w:tcW w:w="33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普通教育</w:t>
            </w:r>
          </w:p>
        </w:tc>
        <w:tc>
          <w:tcPr>
            <w:tcW w:w="12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3,643.49</w:t>
            </w:r>
          </w:p>
        </w:tc>
        <w:tc>
          <w:tcPr>
            <w:tcW w:w="140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3,465.03</w:t>
            </w:r>
          </w:p>
        </w:tc>
        <w:tc>
          <w:tcPr>
            <w:tcW w:w="159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178.46</w:t>
            </w:r>
          </w:p>
        </w:tc>
      </w:tr>
      <w:tr>
        <w:tblPrEx>
          <w:tblLayout w:type="fixed"/>
          <w:tblCellMar>
            <w:top w:w="15" w:type="dxa"/>
            <w:left w:w="15" w:type="dxa"/>
            <w:bottom w:w="15" w:type="dxa"/>
            <w:right w:w="15" w:type="dxa"/>
          </w:tblCellMar>
        </w:tblPrEx>
        <w:trPr>
          <w:trHeight w:val="340" w:hRule="atLeast"/>
        </w:trPr>
        <w:tc>
          <w:tcPr>
            <w:tcW w:w="1496"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2050203</w:t>
            </w:r>
          </w:p>
        </w:tc>
        <w:tc>
          <w:tcPr>
            <w:tcW w:w="33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初中教育</w:t>
            </w:r>
          </w:p>
        </w:tc>
        <w:tc>
          <w:tcPr>
            <w:tcW w:w="12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3,370.61</w:t>
            </w:r>
          </w:p>
        </w:tc>
        <w:tc>
          <w:tcPr>
            <w:tcW w:w="140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3,370.61</w:t>
            </w:r>
          </w:p>
        </w:tc>
        <w:tc>
          <w:tcPr>
            <w:tcW w:w="159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rPr>
          <w:trHeight w:val="340" w:hRule="atLeast"/>
        </w:trPr>
        <w:tc>
          <w:tcPr>
            <w:tcW w:w="1496"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2050299</w:t>
            </w:r>
          </w:p>
        </w:tc>
        <w:tc>
          <w:tcPr>
            <w:tcW w:w="33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其他普通教育支出</w:t>
            </w:r>
          </w:p>
        </w:tc>
        <w:tc>
          <w:tcPr>
            <w:tcW w:w="12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272.88</w:t>
            </w:r>
          </w:p>
        </w:tc>
        <w:tc>
          <w:tcPr>
            <w:tcW w:w="140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94.42</w:t>
            </w:r>
          </w:p>
        </w:tc>
        <w:tc>
          <w:tcPr>
            <w:tcW w:w="159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178.46</w:t>
            </w:r>
          </w:p>
        </w:tc>
      </w:tr>
      <w:tr>
        <w:tblPrEx>
          <w:tblLayout w:type="fixed"/>
          <w:tblCellMar>
            <w:top w:w="15" w:type="dxa"/>
            <w:left w:w="15" w:type="dxa"/>
            <w:bottom w:w="15" w:type="dxa"/>
            <w:right w:w="15" w:type="dxa"/>
          </w:tblCellMar>
        </w:tblPrEx>
        <w:trPr>
          <w:trHeight w:val="340" w:hRule="atLeast"/>
        </w:trPr>
        <w:tc>
          <w:tcPr>
            <w:tcW w:w="1496"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20509</w:t>
            </w:r>
          </w:p>
        </w:tc>
        <w:tc>
          <w:tcPr>
            <w:tcW w:w="33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教育费附加安排的支出</w:t>
            </w:r>
          </w:p>
        </w:tc>
        <w:tc>
          <w:tcPr>
            <w:tcW w:w="12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844.3</w:t>
            </w:r>
          </w:p>
        </w:tc>
        <w:tc>
          <w:tcPr>
            <w:tcW w:w="140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159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844.3</w:t>
            </w:r>
          </w:p>
        </w:tc>
      </w:tr>
      <w:tr>
        <w:tblPrEx>
          <w:tblLayout w:type="fixed"/>
          <w:tblCellMar>
            <w:top w:w="15" w:type="dxa"/>
            <w:left w:w="15" w:type="dxa"/>
            <w:bottom w:w="15" w:type="dxa"/>
            <w:right w:w="15" w:type="dxa"/>
          </w:tblCellMar>
        </w:tblPrEx>
        <w:trPr>
          <w:trHeight w:val="340" w:hRule="atLeast"/>
        </w:trPr>
        <w:tc>
          <w:tcPr>
            <w:tcW w:w="1496"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2050999</w:t>
            </w:r>
          </w:p>
        </w:tc>
        <w:tc>
          <w:tcPr>
            <w:tcW w:w="33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其他教育费附加安排的支出</w:t>
            </w:r>
          </w:p>
        </w:tc>
        <w:tc>
          <w:tcPr>
            <w:tcW w:w="12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844.3</w:t>
            </w:r>
          </w:p>
        </w:tc>
        <w:tc>
          <w:tcPr>
            <w:tcW w:w="140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159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844.3</w:t>
            </w:r>
          </w:p>
        </w:tc>
      </w:tr>
      <w:tr>
        <w:tblPrEx>
          <w:tblLayout w:type="fixed"/>
          <w:tblCellMar>
            <w:top w:w="15" w:type="dxa"/>
            <w:left w:w="15" w:type="dxa"/>
            <w:bottom w:w="15" w:type="dxa"/>
            <w:right w:w="15" w:type="dxa"/>
          </w:tblCellMar>
        </w:tblPrEx>
        <w:trPr>
          <w:trHeight w:val="340" w:hRule="atLeast"/>
        </w:trPr>
        <w:tc>
          <w:tcPr>
            <w:tcW w:w="1496"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20599</w:t>
            </w:r>
          </w:p>
        </w:tc>
        <w:tc>
          <w:tcPr>
            <w:tcW w:w="33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其他教育支出</w:t>
            </w:r>
          </w:p>
        </w:tc>
        <w:tc>
          <w:tcPr>
            <w:tcW w:w="12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1.8</w:t>
            </w:r>
          </w:p>
        </w:tc>
        <w:tc>
          <w:tcPr>
            <w:tcW w:w="140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159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1.8</w:t>
            </w:r>
          </w:p>
        </w:tc>
      </w:tr>
      <w:tr>
        <w:tblPrEx>
          <w:tblLayout w:type="fixed"/>
          <w:tblCellMar>
            <w:top w:w="15" w:type="dxa"/>
            <w:left w:w="15" w:type="dxa"/>
            <w:bottom w:w="15" w:type="dxa"/>
            <w:right w:w="15" w:type="dxa"/>
          </w:tblCellMar>
        </w:tblPrEx>
        <w:trPr>
          <w:trHeight w:val="340" w:hRule="atLeast"/>
        </w:trPr>
        <w:tc>
          <w:tcPr>
            <w:tcW w:w="1496"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2059999</w:t>
            </w:r>
          </w:p>
        </w:tc>
        <w:tc>
          <w:tcPr>
            <w:tcW w:w="33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其他教育支出</w:t>
            </w:r>
          </w:p>
        </w:tc>
        <w:tc>
          <w:tcPr>
            <w:tcW w:w="12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1.8</w:t>
            </w:r>
          </w:p>
        </w:tc>
        <w:tc>
          <w:tcPr>
            <w:tcW w:w="140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159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1.8</w:t>
            </w:r>
          </w:p>
        </w:tc>
      </w:tr>
      <w:tr>
        <w:tblPrEx>
          <w:tblLayout w:type="fixed"/>
          <w:tblCellMar>
            <w:top w:w="15" w:type="dxa"/>
            <w:left w:w="15" w:type="dxa"/>
            <w:bottom w:w="15" w:type="dxa"/>
            <w:right w:w="15" w:type="dxa"/>
          </w:tblCellMar>
        </w:tblPrEx>
        <w:trPr>
          <w:trHeight w:val="340" w:hRule="atLeast"/>
        </w:trPr>
        <w:tc>
          <w:tcPr>
            <w:tcW w:w="1496"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208</w:t>
            </w:r>
          </w:p>
        </w:tc>
        <w:tc>
          <w:tcPr>
            <w:tcW w:w="33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社会保障和就业支出</w:t>
            </w:r>
          </w:p>
        </w:tc>
        <w:tc>
          <w:tcPr>
            <w:tcW w:w="12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469.12</w:t>
            </w:r>
          </w:p>
        </w:tc>
        <w:tc>
          <w:tcPr>
            <w:tcW w:w="140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469.12</w:t>
            </w:r>
          </w:p>
        </w:tc>
        <w:tc>
          <w:tcPr>
            <w:tcW w:w="159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rPr>
          <w:trHeight w:val="340" w:hRule="atLeast"/>
        </w:trPr>
        <w:tc>
          <w:tcPr>
            <w:tcW w:w="1496"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20805</w:t>
            </w:r>
          </w:p>
        </w:tc>
        <w:tc>
          <w:tcPr>
            <w:tcW w:w="33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行政事业单位养老支出</w:t>
            </w:r>
          </w:p>
        </w:tc>
        <w:tc>
          <w:tcPr>
            <w:tcW w:w="12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469.12</w:t>
            </w:r>
          </w:p>
        </w:tc>
        <w:tc>
          <w:tcPr>
            <w:tcW w:w="140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469.12</w:t>
            </w:r>
          </w:p>
        </w:tc>
        <w:tc>
          <w:tcPr>
            <w:tcW w:w="159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rPr>
          <w:trHeight w:val="340" w:hRule="atLeast"/>
        </w:trPr>
        <w:tc>
          <w:tcPr>
            <w:tcW w:w="1496"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2080502</w:t>
            </w:r>
          </w:p>
        </w:tc>
        <w:tc>
          <w:tcPr>
            <w:tcW w:w="33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事业单位离退休</w:t>
            </w:r>
          </w:p>
        </w:tc>
        <w:tc>
          <w:tcPr>
            <w:tcW w:w="12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47.48</w:t>
            </w:r>
          </w:p>
        </w:tc>
        <w:tc>
          <w:tcPr>
            <w:tcW w:w="140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47.48</w:t>
            </w:r>
          </w:p>
        </w:tc>
        <w:tc>
          <w:tcPr>
            <w:tcW w:w="159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rPr>
          <w:trHeight w:val="340" w:hRule="atLeast"/>
        </w:trPr>
        <w:tc>
          <w:tcPr>
            <w:tcW w:w="1496"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2080505</w:t>
            </w:r>
          </w:p>
        </w:tc>
        <w:tc>
          <w:tcPr>
            <w:tcW w:w="33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机关事业单位基本养老保险缴费支出</w:t>
            </w:r>
          </w:p>
        </w:tc>
        <w:tc>
          <w:tcPr>
            <w:tcW w:w="12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280.57</w:t>
            </w:r>
          </w:p>
        </w:tc>
        <w:tc>
          <w:tcPr>
            <w:tcW w:w="140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280.57</w:t>
            </w:r>
          </w:p>
        </w:tc>
        <w:tc>
          <w:tcPr>
            <w:tcW w:w="159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rPr>
          <w:trHeight w:val="340" w:hRule="atLeast"/>
        </w:trPr>
        <w:tc>
          <w:tcPr>
            <w:tcW w:w="1496"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2080506</w:t>
            </w:r>
          </w:p>
        </w:tc>
        <w:tc>
          <w:tcPr>
            <w:tcW w:w="33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机关事业单位职业年金缴费支出</w:t>
            </w:r>
          </w:p>
        </w:tc>
        <w:tc>
          <w:tcPr>
            <w:tcW w:w="12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141.08</w:t>
            </w:r>
          </w:p>
        </w:tc>
        <w:tc>
          <w:tcPr>
            <w:tcW w:w="140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141.08</w:t>
            </w:r>
          </w:p>
        </w:tc>
        <w:tc>
          <w:tcPr>
            <w:tcW w:w="159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rPr>
          <w:trHeight w:val="340" w:hRule="atLeast"/>
        </w:trPr>
        <w:tc>
          <w:tcPr>
            <w:tcW w:w="1496"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210</w:t>
            </w:r>
          </w:p>
        </w:tc>
        <w:tc>
          <w:tcPr>
            <w:tcW w:w="33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卫生健康支出</w:t>
            </w:r>
          </w:p>
        </w:tc>
        <w:tc>
          <w:tcPr>
            <w:tcW w:w="12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181.49</w:t>
            </w:r>
          </w:p>
        </w:tc>
        <w:tc>
          <w:tcPr>
            <w:tcW w:w="140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181.49</w:t>
            </w:r>
          </w:p>
        </w:tc>
        <w:tc>
          <w:tcPr>
            <w:tcW w:w="159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rPr>
          <w:trHeight w:val="340" w:hRule="atLeast"/>
        </w:trPr>
        <w:tc>
          <w:tcPr>
            <w:tcW w:w="1496"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21011</w:t>
            </w:r>
          </w:p>
        </w:tc>
        <w:tc>
          <w:tcPr>
            <w:tcW w:w="33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行政事业单位医疗</w:t>
            </w:r>
          </w:p>
        </w:tc>
        <w:tc>
          <w:tcPr>
            <w:tcW w:w="12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181.49</w:t>
            </w:r>
          </w:p>
        </w:tc>
        <w:tc>
          <w:tcPr>
            <w:tcW w:w="140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181.49</w:t>
            </w:r>
          </w:p>
        </w:tc>
        <w:tc>
          <w:tcPr>
            <w:tcW w:w="159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rPr>
          <w:trHeight w:val="340" w:hRule="atLeast"/>
        </w:trPr>
        <w:tc>
          <w:tcPr>
            <w:tcW w:w="1496"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2101102</w:t>
            </w:r>
          </w:p>
        </w:tc>
        <w:tc>
          <w:tcPr>
            <w:tcW w:w="33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事业单位医疗</w:t>
            </w:r>
          </w:p>
        </w:tc>
        <w:tc>
          <w:tcPr>
            <w:tcW w:w="12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120.12</w:t>
            </w:r>
          </w:p>
        </w:tc>
        <w:tc>
          <w:tcPr>
            <w:tcW w:w="140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120.12</w:t>
            </w:r>
          </w:p>
        </w:tc>
        <w:tc>
          <w:tcPr>
            <w:tcW w:w="159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rPr>
          <w:trHeight w:val="340" w:hRule="atLeast"/>
        </w:trPr>
        <w:tc>
          <w:tcPr>
            <w:tcW w:w="1496"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2101199</w:t>
            </w:r>
          </w:p>
        </w:tc>
        <w:tc>
          <w:tcPr>
            <w:tcW w:w="33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其他行政事业单位医疗支出</w:t>
            </w:r>
          </w:p>
        </w:tc>
        <w:tc>
          <w:tcPr>
            <w:tcW w:w="12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61.37</w:t>
            </w:r>
          </w:p>
        </w:tc>
        <w:tc>
          <w:tcPr>
            <w:tcW w:w="140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61.37</w:t>
            </w:r>
          </w:p>
        </w:tc>
        <w:tc>
          <w:tcPr>
            <w:tcW w:w="159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rPr>
          <w:trHeight w:val="340" w:hRule="atLeast"/>
        </w:trPr>
        <w:tc>
          <w:tcPr>
            <w:tcW w:w="1496"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221</w:t>
            </w:r>
          </w:p>
        </w:tc>
        <w:tc>
          <w:tcPr>
            <w:tcW w:w="33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住房保障支出</w:t>
            </w:r>
          </w:p>
        </w:tc>
        <w:tc>
          <w:tcPr>
            <w:tcW w:w="12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51.07</w:t>
            </w:r>
          </w:p>
        </w:tc>
        <w:tc>
          <w:tcPr>
            <w:tcW w:w="140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51.07</w:t>
            </w:r>
          </w:p>
        </w:tc>
        <w:tc>
          <w:tcPr>
            <w:tcW w:w="159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rPr>
          <w:trHeight w:val="340" w:hRule="atLeast"/>
        </w:trPr>
        <w:tc>
          <w:tcPr>
            <w:tcW w:w="1496"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22102</w:t>
            </w:r>
          </w:p>
        </w:tc>
        <w:tc>
          <w:tcPr>
            <w:tcW w:w="33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住房改革支出</w:t>
            </w:r>
          </w:p>
        </w:tc>
        <w:tc>
          <w:tcPr>
            <w:tcW w:w="12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51.07</w:t>
            </w:r>
          </w:p>
        </w:tc>
        <w:tc>
          <w:tcPr>
            <w:tcW w:w="140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51.07</w:t>
            </w:r>
          </w:p>
        </w:tc>
        <w:tc>
          <w:tcPr>
            <w:tcW w:w="159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rPr>
          <w:trHeight w:val="340" w:hRule="atLeast"/>
        </w:trPr>
        <w:tc>
          <w:tcPr>
            <w:tcW w:w="1496"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2210203</w:t>
            </w:r>
          </w:p>
        </w:tc>
        <w:tc>
          <w:tcPr>
            <w:tcW w:w="330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购房补贴</w:t>
            </w:r>
          </w:p>
        </w:tc>
        <w:tc>
          <w:tcPr>
            <w:tcW w:w="12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51.07</w:t>
            </w:r>
          </w:p>
        </w:tc>
        <w:tc>
          <w:tcPr>
            <w:tcW w:w="140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51.07</w:t>
            </w:r>
          </w:p>
        </w:tc>
        <w:tc>
          <w:tcPr>
            <w:tcW w:w="159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c>
          <w:tcPr>
            <w:tcW w:w="9066" w:type="dxa"/>
            <w:gridSpan w:val="7"/>
            <w:tcMar>
              <w:top w:w="20" w:type="dxa"/>
              <w:left w:w="20" w:type="dxa"/>
              <w:bottom w:w="20" w:type="dxa"/>
              <w:right w:w="20" w:type="dxa"/>
            </w:tcMar>
            <w:vAlign w:val="center"/>
          </w:tcPr>
          <w:p>
            <w:pPr>
              <w:widowControl/>
              <w:spacing w:line="375" w:lineRule="atLeast"/>
              <w:jc w:val="left"/>
              <w:rPr>
                <w:rFonts w:eastAsia="Times New Roman"/>
                <w:color w:val="000000"/>
                <w:kern w:val="0"/>
                <w:sz w:val="20"/>
                <w:szCs w:val="20"/>
              </w:rPr>
            </w:pPr>
            <w:r>
              <w:rPr>
                <w:rFonts w:ascii="宋体" w:hAnsi="宋体" w:cs="宋体"/>
                <w:color w:val="000000"/>
                <w:kern w:val="0"/>
                <w:sz w:val="20"/>
                <w:szCs w:val="20"/>
              </w:rPr>
              <w:t>注：本表反映部门本年度一般公共预算财政拨款支出情况。</w:t>
            </w:r>
          </w:p>
        </w:tc>
      </w:tr>
    </w:tbl>
    <w:p>
      <w:pPr>
        <w:pStyle w:val="29"/>
        <w:widowControl/>
        <w:spacing w:before="100" w:after="100"/>
        <w:jc w:val="left"/>
        <w:rPr>
          <w:rFonts w:eastAsia="Times New Roman"/>
          <w:kern w:val="0"/>
          <w:sz w:val="24"/>
        </w:rPr>
      </w:pPr>
      <w:bookmarkStart w:id="49" w:name="_Toc256000012"/>
      <w:bookmarkStart w:id="50" w:name="_Toc256000105"/>
      <w:bookmarkStart w:id="51" w:name="_Toc256000043"/>
      <w:bookmarkStart w:id="52" w:name="_Toc256000074"/>
    </w:p>
    <w:p>
      <w:pPr>
        <w:pStyle w:val="29"/>
        <w:widowControl/>
        <w:spacing w:before="100" w:after="100"/>
        <w:jc w:val="left"/>
        <w:rPr>
          <w:rFonts w:eastAsia="Times New Roman"/>
          <w:kern w:val="0"/>
          <w:sz w:val="24"/>
        </w:rPr>
      </w:pPr>
    </w:p>
    <w:p>
      <w:pPr>
        <w:pStyle w:val="29"/>
        <w:widowControl/>
        <w:numPr>
          <w:ilvl w:val="0"/>
          <w:numId w:val="2"/>
        </w:numPr>
        <w:spacing w:before="100" w:after="100"/>
        <w:jc w:val="left"/>
        <w:rPr>
          <w:rFonts w:ascii="黑体" w:hAnsi="黑体" w:eastAsia="黑体" w:cs="黑体"/>
          <w:b/>
          <w:bCs/>
          <w:sz w:val="32"/>
          <w:szCs w:val="32"/>
        </w:rPr>
      </w:pPr>
      <w:r>
        <w:rPr>
          <w:rFonts w:ascii="黑体" w:hAnsi="黑体" w:eastAsia="黑体" w:cs="黑体"/>
          <w:b/>
          <w:bCs/>
          <w:sz w:val="32"/>
          <w:szCs w:val="32"/>
        </w:rPr>
        <w:t>一般公共预算财政拨款基本支出决算表</w:t>
      </w:r>
      <w:bookmarkEnd w:id="49"/>
      <w:bookmarkEnd w:id="50"/>
      <w:bookmarkEnd w:id="51"/>
      <w:bookmarkEnd w:id="52"/>
    </w:p>
    <w:p>
      <w:pPr>
        <w:rPr>
          <w:rFonts w:ascii="黑体" w:hAnsi="黑体" w:eastAsia="黑体" w:cs="黑体"/>
          <w:b/>
          <w:bCs/>
          <w:sz w:val="32"/>
          <w:szCs w:val="32"/>
        </w:rPr>
      </w:pPr>
    </w:p>
    <w:tbl>
      <w:tblPr>
        <w:tblStyle w:val="22"/>
        <w:tblW w:w="9140" w:type="dxa"/>
        <w:tblInd w:w="0" w:type="dxa"/>
        <w:tblLayout w:type="fixed"/>
        <w:tblCellMar>
          <w:top w:w="15" w:type="dxa"/>
          <w:left w:w="15" w:type="dxa"/>
          <w:bottom w:w="15" w:type="dxa"/>
          <w:right w:w="15" w:type="dxa"/>
        </w:tblCellMar>
      </w:tblPr>
      <w:tblGrid>
        <w:gridCol w:w="1004"/>
        <w:gridCol w:w="1005"/>
        <w:gridCol w:w="1005"/>
        <w:gridCol w:w="1009"/>
        <w:gridCol w:w="1005"/>
        <w:gridCol w:w="1005"/>
        <w:gridCol w:w="1005"/>
        <w:gridCol w:w="1006"/>
        <w:gridCol w:w="1096"/>
      </w:tblGrid>
      <w:tr>
        <w:tblPrEx>
          <w:tblLayout w:type="fixed"/>
          <w:tblCellMar>
            <w:top w:w="15" w:type="dxa"/>
            <w:left w:w="15" w:type="dxa"/>
            <w:bottom w:w="15" w:type="dxa"/>
            <w:right w:w="15" w:type="dxa"/>
          </w:tblCellMar>
        </w:tblPrEx>
        <w:trPr>
          <w:tblHeader/>
        </w:trPr>
        <w:tc>
          <w:tcPr>
            <w:tcW w:w="9140" w:type="dxa"/>
            <w:gridSpan w:val="9"/>
            <w:tcMar>
              <w:top w:w="20" w:type="dxa"/>
              <w:left w:w="20" w:type="dxa"/>
              <w:bottom w:w="20" w:type="dxa"/>
              <w:right w:w="20" w:type="dxa"/>
            </w:tcMar>
            <w:vAlign w:val="center"/>
          </w:tcPr>
          <w:p>
            <w:pPr>
              <w:widowControl/>
              <w:spacing w:line="900" w:lineRule="atLeast"/>
              <w:jc w:val="center"/>
              <w:rPr>
                <w:rFonts w:eastAsia="Times New Roman"/>
                <w:color w:val="000000"/>
                <w:kern w:val="0"/>
                <w:sz w:val="20"/>
                <w:szCs w:val="20"/>
              </w:rPr>
            </w:pPr>
            <w:r>
              <w:rPr>
                <w:rFonts w:ascii="宋体" w:hAnsi="宋体" w:cs="宋体"/>
                <w:color w:val="000000"/>
                <w:kern w:val="0"/>
                <w:sz w:val="20"/>
                <w:szCs w:val="20"/>
              </w:rPr>
              <w:t>一般公共预算财政拨款基本支出决算表</w:t>
            </w:r>
          </w:p>
        </w:tc>
      </w:tr>
      <w:tr>
        <w:tblPrEx>
          <w:tblLayout w:type="fixed"/>
          <w:tblCellMar>
            <w:top w:w="15" w:type="dxa"/>
            <w:left w:w="15" w:type="dxa"/>
            <w:bottom w:w="15" w:type="dxa"/>
            <w:right w:w="15" w:type="dxa"/>
          </w:tblCellMar>
        </w:tblPrEx>
        <w:trPr>
          <w:tblHeader/>
        </w:trPr>
        <w:tc>
          <w:tcPr>
            <w:tcW w:w="1004"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0"/>
                <w:szCs w:val="20"/>
              </w:rPr>
            </w:pPr>
            <w:r>
              <w:rPr>
                <w:rFonts w:eastAsia="Times New Roman"/>
                <w:color w:val="000000"/>
                <w:kern w:val="0"/>
                <w:sz w:val="20"/>
                <w:szCs w:val="20"/>
              </w:rPr>
              <w:t> </w:t>
            </w:r>
          </w:p>
        </w:tc>
        <w:tc>
          <w:tcPr>
            <w:tcW w:w="1005"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0"/>
                <w:szCs w:val="20"/>
              </w:rPr>
            </w:pPr>
            <w:r>
              <w:rPr>
                <w:rFonts w:eastAsia="Times New Roman"/>
                <w:color w:val="000000"/>
                <w:kern w:val="0"/>
                <w:sz w:val="20"/>
                <w:szCs w:val="20"/>
              </w:rPr>
              <w:t> </w:t>
            </w:r>
          </w:p>
        </w:tc>
        <w:tc>
          <w:tcPr>
            <w:tcW w:w="1005"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0"/>
                <w:szCs w:val="20"/>
              </w:rPr>
            </w:pPr>
            <w:r>
              <w:rPr>
                <w:rFonts w:eastAsia="Times New Roman"/>
                <w:color w:val="000000"/>
                <w:kern w:val="0"/>
                <w:sz w:val="20"/>
                <w:szCs w:val="20"/>
              </w:rPr>
              <w:t> </w:t>
            </w:r>
          </w:p>
        </w:tc>
        <w:tc>
          <w:tcPr>
            <w:tcW w:w="1009"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0"/>
                <w:szCs w:val="20"/>
              </w:rPr>
            </w:pPr>
            <w:r>
              <w:rPr>
                <w:rFonts w:eastAsia="Times New Roman"/>
                <w:color w:val="000000"/>
                <w:kern w:val="0"/>
                <w:sz w:val="20"/>
                <w:szCs w:val="20"/>
              </w:rPr>
              <w:t> </w:t>
            </w:r>
          </w:p>
        </w:tc>
        <w:tc>
          <w:tcPr>
            <w:tcW w:w="1005"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0"/>
                <w:szCs w:val="20"/>
              </w:rPr>
            </w:pPr>
            <w:r>
              <w:rPr>
                <w:rFonts w:eastAsia="Times New Roman"/>
                <w:color w:val="000000"/>
                <w:kern w:val="0"/>
                <w:sz w:val="20"/>
                <w:szCs w:val="20"/>
              </w:rPr>
              <w:t> </w:t>
            </w:r>
          </w:p>
        </w:tc>
        <w:tc>
          <w:tcPr>
            <w:tcW w:w="1005"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0"/>
                <w:szCs w:val="20"/>
              </w:rPr>
            </w:pPr>
            <w:r>
              <w:rPr>
                <w:rFonts w:eastAsia="Times New Roman"/>
                <w:color w:val="000000"/>
                <w:kern w:val="0"/>
                <w:sz w:val="20"/>
                <w:szCs w:val="20"/>
              </w:rPr>
              <w:t> </w:t>
            </w:r>
          </w:p>
        </w:tc>
        <w:tc>
          <w:tcPr>
            <w:tcW w:w="1005"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0"/>
                <w:szCs w:val="20"/>
              </w:rPr>
            </w:pPr>
            <w:r>
              <w:rPr>
                <w:rFonts w:eastAsia="Times New Roman"/>
                <w:color w:val="000000"/>
                <w:kern w:val="0"/>
                <w:sz w:val="20"/>
                <w:szCs w:val="20"/>
              </w:rPr>
              <w:t> </w:t>
            </w:r>
          </w:p>
        </w:tc>
        <w:tc>
          <w:tcPr>
            <w:tcW w:w="1006"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0"/>
                <w:szCs w:val="20"/>
              </w:rPr>
            </w:pPr>
            <w:r>
              <w:rPr>
                <w:rFonts w:eastAsia="Times New Roman"/>
                <w:color w:val="000000"/>
                <w:kern w:val="0"/>
                <w:sz w:val="20"/>
                <w:szCs w:val="20"/>
              </w:rPr>
              <w:t> </w:t>
            </w:r>
          </w:p>
        </w:tc>
        <w:tc>
          <w:tcPr>
            <w:tcW w:w="1096"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rPr>
          <w:tblHeader/>
        </w:trPr>
        <w:tc>
          <w:tcPr>
            <w:tcW w:w="4023" w:type="dxa"/>
            <w:gridSpan w:val="4"/>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部门</w:t>
            </w:r>
            <w:r>
              <w:rPr>
                <w:rFonts w:eastAsia="Times New Roman"/>
                <w:color w:val="000000"/>
                <w:kern w:val="0"/>
                <w:sz w:val="20"/>
                <w:szCs w:val="20"/>
              </w:rPr>
              <w:t>/</w:t>
            </w:r>
            <w:r>
              <w:rPr>
                <w:rFonts w:ascii="宋体" w:hAnsi="宋体" w:cs="宋体"/>
                <w:color w:val="000000"/>
                <w:kern w:val="0"/>
                <w:sz w:val="20"/>
                <w:szCs w:val="20"/>
              </w:rPr>
              <w:t>单位：厦门外国语学校湖里分校</w:t>
            </w:r>
          </w:p>
        </w:tc>
        <w:tc>
          <w:tcPr>
            <w:tcW w:w="1005"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2024</w:t>
            </w:r>
            <w:r>
              <w:rPr>
                <w:rFonts w:ascii="宋体" w:hAnsi="宋体" w:cs="宋体"/>
                <w:color w:val="000000"/>
                <w:kern w:val="0"/>
                <w:sz w:val="20"/>
                <w:szCs w:val="20"/>
              </w:rPr>
              <w:t>年度</w:t>
            </w:r>
          </w:p>
        </w:tc>
        <w:tc>
          <w:tcPr>
            <w:tcW w:w="1005"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0"/>
                <w:szCs w:val="20"/>
              </w:rPr>
            </w:pPr>
            <w:r>
              <w:rPr>
                <w:rFonts w:eastAsia="Times New Roman"/>
                <w:color w:val="000000"/>
                <w:kern w:val="0"/>
                <w:sz w:val="20"/>
                <w:szCs w:val="20"/>
              </w:rPr>
              <w:t> </w:t>
            </w:r>
          </w:p>
        </w:tc>
        <w:tc>
          <w:tcPr>
            <w:tcW w:w="1005"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0"/>
                <w:szCs w:val="20"/>
              </w:rPr>
            </w:pPr>
            <w:r>
              <w:rPr>
                <w:rFonts w:eastAsia="Times New Roman"/>
                <w:color w:val="000000"/>
                <w:kern w:val="0"/>
                <w:sz w:val="20"/>
                <w:szCs w:val="20"/>
              </w:rPr>
              <w:t> </w:t>
            </w:r>
          </w:p>
        </w:tc>
        <w:tc>
          <w:tcPr>
            <w:tcW w:w="1006"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0"/>
                <w:szCs w:val="20"/>
              </w:rPr>
            </w:pPr>
            <w:r>
              <w:rPr>
                <w:rFonts w:eastAsia="Times New Roman"/>
                <w:color w:val="000000"/>
                <w:kern w:val="0"/>
                <w:sz w:val="20"/>
                <w:szCs w:val="20"/>
              </w:rPr>
              <w:t> </w:t>
            </w:r>
          </w:p>
        </w:tc>
        <w:tc>
          <w:tcPr>
            <w:tcW w:w="1096"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ascii="宋体" w:hAnsi="宋体" w:cs="宋体"/>
                <w:color w:val="000000"/>
                <w:kern w:val="0"/>
                <w:sz w:val="20"/>
                <w:szCs w:val="20"/>
              </w:rPr>
              <w:t>金额单位：万元</w:t>
            </w:r>
          </w:p>
        </w:tc>
      </w:tr>
      <w:tr>
        <w:tblPrEx>
          <w:tblLayout w:type="fixed"/>
          <w:tblCellMar>
            <w:top w:w="15" w:type="dxa"/>
            <w:left w:w="15" w:type="dxa"/>
            <w:bottom w:w="15" w:type="dxa"/>
            <w:right w:w="15" w:type="dxa"/>
          </w:tblCellMar>
        </w:tblPrEx>
        <w:trPr>
          <w:trHeight w:val="230" w:hRule="atLeast"/>
          <w:tblHeader/>
        </w:trPr>
        <w:tc>
          <w:tcPr>
            <w:tcW w:w="1004"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ascii="宋体" w:hAnsi="宋体" w:cs="宋体"/>
                <w:color w:val="000000"/>
                <w:kern w:val="0"/>
                <w:sz w:val="20"/>
                <w:szCs w:val="20"/>
              </w:rPr>
              <w:t>经济分类科目编码</w:t>
            </w:r>
          </w:p>
        </w:tc>
        <w:tc>
          <w:tcPr>
            <w:tcW w:w="1005"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ascii="宋体" w:hAnsi="宋体" w:cs="宋体"/>
                <w:color w:val="000000"/>
                <w:kern w:val="0"/>
                <w:sz w:val="20"/>
                <w:szCs w:val="20"/>
              </w:rPr>
              <w:t>科目名称</w:t>
            </w:r>
          </w:p>
        </w:tc>
        <w:tc>
          <w:tcPr>
            <w:tcW w:w="1005"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ascii="宋体" w:hAnsi="宋体" w:cs="宋体"/>
                <w:color w:val="000000"/>
                <w:kern w:val="0"/>
                <w:sz w:val="20"/>
                <w:szCs w:val="20"/>
              </w:rPr>
              <w:t>金额</w:t>
            </w:r>
          </w:p>
        </w:tc>
        <w:tc>
          <w:tcPr>
            <w:tcW w:w="1009"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ascii="宋体" w:hAnsi="宋体" w:cs="宋体"/>
                <w:color w:val="000000"/>
                <w:kern w:val="0"/>
                <w:sz w:val="20"/>
                <w:szCs w:val="20"/>
              </w:rPr>
              <w:t>经济分类科目编码</w:t>
            </w:r>
          </w:p>
        </w:tc>
        <w:tc>
          <w:tcPr>
            <w:tcW w:w="1005"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ascii="宋体" w:hAnsi="宋体" w:cs="宋体"/>
                <w:color w:val="000000"/>
                <w:kern w:val="0"/>
                <w:sz w:val="20"/>
                <w:szCs w:val="20"/>
              </w:rPr>
              <w:t>科目名称</w:t>
            </w:r>
          </w:p>
        </w:tc>
        <w:tc>
          <w:tcPr>
            <w:tcW w:w="1005"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ascii="宋体" w:hAnsi="宋体" w:cs="宋体"/>
                <w:color w:val="000000"/>
                <w:kern w:val="0"/>
                <w:sz w:val="20"/>
                <w:szCs w:val="20"/>
              </w:rPr>
              <w:t>金额</w:t>
            </w:r>
          </w:p>
        </w:tc>
        <w:tc>
          <w:tcPr>
            <w:tcW w:w="1005"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ascii="宋体" w:hAnsi="宋体" w:cs="宋体"/>
                <w:color w:val="000000"/>
                <w:kern w:val="0"/>
                <w:sz w:val="20"/>
                <w:szCs w:val="20"/>
              </w:rPr>
              <w:t>经济分类科目编码</w:t>
            </w:r>
          </w:p>
        </w:tc>
        <w:tc>
          <w:tcPr>
            <w:tcW w:w="1006"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ascii="宋体" w:hAnsi="宋体" w:cs="宋体"/>
                <w:color w:val="000000"/>
                <w:kern w:val="0"/>
                <w:sz w:val="20"/>
                <w:szCs w:val="20"/>
              </w:rPr>
              <w:t>科目名称</w:t>
            </w:r>
          </w:p>
        </w:tc>
        <w:tc>
          <w:tcPr>
            <w:tcW w:w="1096"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ascii="宋体" w:hAnsi="宋体" w:cs="宋体"/>
                <w:color w:val="000000"/>
                <w:kern w:val="0"/>
                <w:sz w:val="20"/>
                <w:szCs w:val="20"/>
              </w:rPr>
              <w:t>金额</w:t>
            </w:r>
          </w:p>
        </w:tc>
      </w:tr>
      <w:tr>
        <w:tblPrEx>
          <w:tblLayout w:type="fixed"/>
          <w:tblCellMar>
            <w:top w:w="15" w:type="dxa"/>
            <w:left w:w="15" w:type="dxa"/>
            <w:bottom w:w="15" w:type="dxa"/>
            <w:right w:w="15" w:type="dxa"/>
          </w:tblCellMar>
        </w:tblPrEx>
        <w:trPr>
          <w:trHeight w:val="230" w:hRule="atLeast"/>
          <w:tblHeader/>
        </w:trPr>
        <w:tc>
          <w:tcPr>
            <w:tcW w:w="1004"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0"/>
                <w:szCs w:val="20"/>
              </w:rPr>
            </w:pPr>
          </w:p>
        </w:tc>
        <w:tc>
          <w:tcPr>
            <w:tcW w:w="1005"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0"/>
                <w:szCs w:val="20"/>
              </w:rPr>
            </w:pPr>
          </w:p>
        </w:tc>
        <w:tc>
          <w:tcPr>
            <w:tcW w:w="1005"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0"/>
                <w:szCs w:val="20"/>
              </w:rPr>
            </w:pPr>
          </w:p>
        </w:tc>
        <w:tc>
          <w:tcPr>
            <w:tcW w:w="1009"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0"/>
                <w:szCs w:val="20"/>
              </w:rPr>
            </w:pPr>
          </w:p>
        </w:tc>
        <w:tc>
          <w:tcPr>
            <w:tcW w:w="1005"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0"/>
                <w:szCs w:val="20"/>
              </w:rPr>
            </w:pPr>
          </w:p>
        </w:tc>
        <w:tc>
          <w:tcPr>
            <w:tcW w:w="1005"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0"/>
                <w:szCs w:val="20"/>
              </w:rPr>
            </w:pPr>
          </w:p>
        </w:tc>
        <w:tc>
          <w:tcPr>
            <w:tcW w:w="1005"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0"/>
                <w:szCs w:val="20"/>
              </w:rPr>
            </w:pPr>
          </w:p>
        </w:tc>
        <w:tc>
          <w:tcPr>
            <w:tcW w:w="1006"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0"/>
                <w:szCs w:val="20"/>
              </w:rPr>
            </w:pPr>
          </w:p>
        </w:tc>
        <w:tc>
          <w:tcPr>
            <w:tcW w:w="1096"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0"/>
                <w:szCs w:val="20"/>
              </w:rPr>
            </w:pPr>
          </w:p>
        </w:tc>
      </w:tr>
      <w:tr>
        <w:tblPrEx>
          <w:tblLayout w:type="fixed"/>
          <w:tblCellMar>
            <w:top w:w="15" w:type="dxa"/>
            <w:left w:w="15" w:type="dxa"/>
            <w:bottom w:w="15" w:type="dxa"/>
            <w:right w:w="15" w:type="dxa"/>
          </w:tblCellMar>
        </w:tblPrEx>
        <w:trPr>
          <w:tblHeader/>
        </w:trPr>
        <w:tc>
          <w:tcPr>
            <w:tcW w:w="10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301</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工资福利支出</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3,705.55</w:t>
            </w:r>
          </w:p>
        </w:tc>
        <w:tc>
          <w:tcPr>
            <w:tcW w:w="100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302</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商品和服务支出</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396.62</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30703</w:t>
            </w:r>
          </w:p>
        </w:tc>
        <w:tc>
          <w:tcPr>
            <w:tcW w:w="10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国内债务发行费用</w:t>
            </w:r>
          </w:p>
        </w:tc>
        <w:tc>
          <w:tcPr>
            <w:tcW w:w="109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rPr>
          <w:tblHeader/>
        </w:trPr>
        <w:tc>
          <w:tcPr>
            <w:tcW w:w="10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30101</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基本工资</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486.33</w:t>
            </w:r>
          </w:p>
        </w:tc>
        <w:tc>
          <w:tcPr>
            <w:tcW w:w="100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30201</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办公费</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137.43</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30704</w:t>
            </w:r>
          </w:p>
        </w:tc>
        <w:tc>
          <w:tcPr>
            <w:tcW w:w="10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国外债务发行费用</w:t>
            </w:r>
          </w:p>
        </w:tc>
        <w:tc>
          <w:tcPr>
            <w:tcW w:w="109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rPr>
          <w:tblHeader/>
        </w:trPr>
        <w:tc>
          <w:tcPr>
            <w:tcW w:w="10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30102</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津贴补贴</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752.09</w:t>
            </w:r>
          </w:p>
        </w:tc>
        <w:tc>
          <w:tcPr>
            <w:tcW w:w="100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30202</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印刷费</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310</w:t>
            </w:r>
          </w:p>
        </w:tc>
        <w:tc>
          <w:tcPr>
            <w:tcW w:w="10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资本性支出</w:t>
            </w:r>
          </w:p>
        </w:tc>
        <w:tc>
          <w:tcPr>
            <w:tcW w:w="109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4.22</w:t>
            </w:r>
          </w:p>
        </w:tc>
      </w:tr>
      <w:tr>
        <w:tblPrEx>
          <w:tblLayout w:type="fixed"/>
          <w:tblCellMar>
            <w:top w:w="15" w:type="dxa"/>
            <w:left w:w="15" w:type="dxa"/>
            <w:bottom w:w="15" w:type="dxa"/>
            <w:right w:w="15" w:type="dxa"/>
          </w:tblCellMar>
        </w:tblPrEx>
        <w:trPr>
          <w:tblHeader/>
        </w:trPr>
        <w:tc>
          <w:tcPr>
            <w:tcW w:w="10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30103</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奖金</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1,194.76</w:t>
            </w:r>
          </w:p>
        </w:tc>
        <w:tc>
          <w:tcPr>
            <w:tcW w:w="100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30203</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咨询费</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31001</w:t>
            </w:r>
          </w:p>
        </w:tc>
        <w:tc>
          <w:tcPr>
            <w:tcW w:w="10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房屋建筑物购建</w:t>
            </w:r>
          </w:p>
        </w:tc>
        <w:tc>
          <w:tcPr>
            <w:tcW w:w="109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rPr>
          <w:tblHeader/>
        </w:trPr>
        <w:tc>
          <w:tcPr>
            <w:tcW w:w="10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30106</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伙食补助费</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100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30204</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手续费</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31002</w:t>
            </w:r>
          </w:p>
        </w:tc>
        <w:tc>
          <w:tcPr>
            <w:tcW w:w="10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办公设备购置</w:t>
            </w:r>
          </w:p>
        </w:tc>
        <w:tc>
          <w:tcPr>
            <w:tcW w:w="109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4.22</w:t>
            </w:r>
          </w:p>
        </w:tc>
      </w:tr>
      <w:tr>
        <w:tblPrEx>
          <w:tblLayout w:type="fixed"/>
          <w:tblCellMar>
            <w:top w:w="15" w:type="dxa"/>
            <w:left w:w="15" w:type="dxa"/>
            <w:bottom w:w="15" w:type="dxa"/>
            <w:right w:w="15" w:type="dxa"/>
          </w:tblCellMar>
        </w:tblPrEx>
        <w:trPr>
          <w:tblHeader/>
        </w:trPr>
        <w:tc>
          <w:tcPr>
            <w:tcW w:w="10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30107</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绩效工资</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224.3</w:t>
            </w:r>
          </w:p>
        </w:tc>
        <w:tc>
          <w:tcPr>
            <w:tcW w:w="100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30205</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水费</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3.25</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31003</w:t>
            </w:r>
          </w:p>
        </w:tc>
        <w:tc>
          <w:tcPr>
            <w:tcW w:w="10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专用设备购置</w:t>
            </w:r>
          </w:p>
        </w:tc>
        <w:tc>
          <w:tcPr>
            <w:tcW w:w="109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rPr>
          <w:tblHeader/>
        </w:trPr>
        <w:tc>
          <w:tcPr>
            <w:tcW w:w="10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30108</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机关事业单位基本养老保险缴费</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280.9</w:t>
            </w:r>
          </w:p>
        </w:tc>
        <w:tc>
          <w:tcPr>
            <w:tcW w:w="100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30206</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电费</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32.8</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31005</w:t>
            </w:r>
          </w:p>
        </w:tc>
        <w:tc>
          <w:tcPr>
            <w:tcW w:w="10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基础设施建设</w:t>
            </w:r>
          </w:p>
        </w:tc>
        <w:tc>
          <w:tcPr>
            <w:tcW w:w="109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rPr>
          <w:tblHeader/>
        </w:trPr>
        <w:tc>
          <w:tcPr>
            <w:tcW w:w="10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30109</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职业年金缴费</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141.24</w:t>
            </w:r>
          </w:p>
        </w:tc>
        <w:tc>
          <w:tcPr>
            <w:tcW w:w="100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30207</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邮电费</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0.61</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31006</w:t>
            </w:r>
          </w:p>
        </w:tc>
        <w:tc>
          <w:tcPr>
            <w:tcW w:w="10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大型修缮</w:t>
            </w:r>
          </w:p>
        </w:tc>
        <w:tc>
          <w:tcPr>
            <w:tcW w:w="109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rPr>
          <w:tblHeader/>
        </w:trPr>
        <w:tc>
          <w:tcPr>
            <w:tcW w:w="10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30110</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职工基本医疗保险缴费</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120.25</w:t>
            </w:r>
          </w:p>
        </w:tc>
        <w:tc>
          <w:tcPr>
            <w:tcW w:w="100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30208</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取暖费</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31007</w:t>
            </w:r>
          </w:p>
        </w:tc>
        <w:tc>
          <w:tcPr>
            <w:tcW w:w="10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信息网络及软件购置更新</w:t>
            </w:r>
          </w:p>
        </w:tc>
        <w:tc>
          <w:tcPr>
            <w:tcW w:w="109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rPr>
          <w:tblHeader/>
        </w:trPr>
        <w:tc>
          <w:tcPr>
            <w:tcW w:w="10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30111</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公务员医疗补助缴费</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0.07</w:t>
            </w:r>
          </w:p>
        </w:tc>
        <w:tc>
          <w:tcPr>
            <w:tcW w:w="100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30209</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物业管理费</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31008</w:t>
            </w:r>
          </w:p>
        </w:tc>
        <w:tc>
          <w:tcPr>
            <w:tcW w:w="10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物资储备</w:t>
            </w:r>
          </w:p>
        </w:tc>
        <w:tc>
          <w:tcPr>
            <w:tcW w:w="109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rPr>
          <w:tblHeader/>
        </w:trPr>
        <w:tc>
          <w:tcPr>
            <w:tcW w:w="10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30112</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其他社会保障缴费</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82.98</w:t>
            </w:r>
          </w:p>
        </w:tc>
        <w:tc>
          <w:tcPr>
            <w:tcW w:w="100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30211</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差旅费</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2.31</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31009</w:t>
            </w:r>
          </w:p>
        </w:tc>
        <w:tc>
          <w:tcPr>
            <w:tcW w:w="10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土地补偿</w:t>
            </w:r>
          </w:p>
        </w:tc>
        <w:tc>
          <w:tcPr>
            <w:tcW w:w="109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rPr>
          <w:tblHeader/>
        </w:trPr>
        <w:tc>
          <w:tcPr>
            <w:tcW w:w="10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30113</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住房公积金</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304.02</w:t>
            </w:r>
          </w:p>
        </w:tc>
        <w:tc>
          <w:tcPr>
            <w:tcW w:w="100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30212</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因公出国（境）费用</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31010</w:t>
            </w:r>
          </w:p>
        </w:tc>
        <w:tc>
          <w:tcPr>
            <w:tcW w:w="10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安置补助</w:t>
            </w:r>
          </w:p>
        </w:tc>
        <w:tc>
          <w:tcPr>
            <w:tcW w:w="109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rPr>
          <w:tblHeader/>
        </w:trPr>
        <w:tc>
          <w:tcPr>
            <w:tcW w:w="10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30114</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医疗费</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100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30213</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维修（护）费</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43.71</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31011</w:t>
            </w:r>
          </w:p>
        </w:tc>
        <w:tc>
          <w:tcPr>
            <w:tcW w:w="10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地上附着物和青苗补偿</w:t>
            </w:r>
          </w:p>
        </w:tc>
        <w:tc>
          <w:tcPr>
            <w:tcW w:w="109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rPr>
          <w:tblHeader/>
        </w:trPr>
        <w:tc>
          <w:tcPr>
            <w:tcW w:w="10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30199</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其他工资福利支出</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118.6</w:t>
            </w:r>
          </w:p>
        </w:tc>
        <w:tc>
          <w:tcPr>
            <w:tcW w:w="100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30214</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租赁费</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1.44</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31012</w:t>
            </w:r>
          </w:p>
        </w:tc>
        <w:tc>
          <w:tcPr>
            <w:tcW w:w="10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拆迁补偿</w:t>
            </w:r>
          </w:p>
        </w:tc>
        <w:tc>
          <w:tcPr>
            <w:tcW w:w="109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rPr>
          <w:tblHeader/>
        </w:trPr>
        <w:tc>
          <w:tcPr>
            <w:tcW w:w="10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303</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对个人和家庭的补助</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60.32</w:t>
            </w:r>
          </w:p>
        </w:tc>
        <w:tc>
          <w:tcPr>
            <w:tcW w:w="100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30215</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会议费</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31013</w:t>
            </w:r>
          </w:p>
        </w:tc>
        <w:tc>
          <w:tcPr>
            <w:tcW w:w="10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公务用车购置</w:t>
            </w:r>
          </w:p>
        </w:tc>
        <w:tc>
          <w:tcPr>
            <w:tcW w:w="109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rPr>
          <w:tblHeader/>
        </w:trPr>
        <w:tc>
          <w:tcPr>
            <w:tcW w:w="10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30301</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离休费</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100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30216</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培训费</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25.86</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31019</w:t>
            </w:r>
          </w:p>
        </w:tc>
        <w:tc>
          <w:tcPr>
            <w:tcW w:w="10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其他交通工具购置</w:t>
            </w:r>
          </w:p>
        </w:tc>
        <w:tc>
          <w:tcPr>
            <w:tcW w:w="109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rPr>
          <w:tblHeader/>
        </w:trPr>
        <w:tc>
          <w:tcPr>
            <w:tcW w:w="10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30302</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退休费</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100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30217</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公务接待费</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31021</w:t>
            </w:r>
          </w:p>
        </w:tc>
        <w:tc>
          <w:tcPr>
            <w:tcW w:w="10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文物和陈列品购置</w:t>
            </w:r>
          </w:p>
        </w:tc>
        <w:tc>
          <w:tcPr>
            <w:tcW w:w="109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rPr>
          <w:tblHeader/>
        </w:trPr>
        <w:tc>
          <w:tcPr>
            <w:tcW w:w="10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30303</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退职（役）费</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100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30218</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专用材料费</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7.06</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31022</w:t>
            </w:r>
          </w:p>
        </w:tc>
        <w:tc>
          <w:tcPr>
            <w:tcW w:w="10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无形资产购置</w:t>
            </w:r>
          </w:p>
        </w:tc>
        <w:tc>
          <w:tcPr>
            <w:tcW w:w="109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rPr>
          <w:tblHeader/>
        </w:trPr>
        <w:tc>
          <w:tcPr>
            <w:tcW w:w="10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30304</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抚恤金</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100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30224</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被装购置费</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31099</w:t>
            </w:r>
          </w:p>
        </w:tc>
        <w:tc>
          <w:tcPr>
            <w:tcW w:w="10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其他资本性支出</w:t>
            </w:r>
          </w:p>
        </w:tc>
        <w:tc>
          <w:tcPr>
            <w:tcW w:w="109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rPr>
          <w:tblHeader/>
        </w:trPr>
        <w:tc>
          <w:tcPr>
            <w:tcW w:w="10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30305</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生活补助</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4.54</w:t>
            </w:r>
          </w:p>
        </w:tc>
        <w:tc>
          <w:tcPr>
            <w:tcW w:w="100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30225</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专用燃料费</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312</w:t>
            </w:r>
          </w:p>
        </w:tc>
        <w:tc>
          <w:tcPr>
            <w:tcW w:w="10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对企业补助</w:t>
            </w:r>
          </w:p>
        </w:tc>
        <w:tc>
          <w:tcPr>
            <w:tcW w:w="109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rPr>
          <w:tblHeader/>
        </w:trPr>
        <w:tc>
          <w:tcPr>
            <w:tcW w:w="10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30306</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救济费</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100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30226</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劳务费</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6.64</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31201</w:t>
            </w:r>
          </w:p>
        </w:tc>
        <w:tc>
          <w:tcPr>
            <w:tcW w:w="10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资本金注入</w:t>
            </w:r>
          </w:p>
        </w:tc>
        <w:tc>
          <w:tcPr>
            <w:tcW w:w="109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rPr>
          <w:tblHeader/>
        </w:trPr>
        <w:tc>
          <w:tcPr>
            <w:tcW w:w="10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30307</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医疗费补助</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100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30227</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委托业务费</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31203</w:t>
            </w:r>
          </w:p>
        </w:tc>
        <w:tc>
          <w:tcPr>
            <w:tcW w:w="10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政府投资基金股权投资</w:t>
            </w:r>
          </w:p>
        </w:tc>
        <w:tc>
          <w:tcPr>
            <w:tcW w:w="109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rPr>
          <w:tblHeader/>
        </w:trPr>
        <w:tc>
          <w:tcPr>
            <w:tcW w:w="10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30308</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助学金</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100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30228</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工会经费</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69.16</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31204</w:t>
            </w:r>
          </w:p>
        </w:tc>
        <w:tc>
          <w:tcPr>
            <w:tcW w:w="10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费用补贴</w:t>
            </w:r>
          </w:p>
        </w:tc>
        <w:tc>
          <w:tcPr>
            <w:tcW w:w="109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rPr>
          <w:tblHeader/>
        </w:trPr>
        <w:tc>
          <w:tcPr>
            <w:tcW w:w="10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30309</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奖励金</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7.34</w:t>
            </w:r>
          </w:p>
        </w:tc>
        <w:tc>
          <w:tcPr>
            <w:tcW w:w="100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30229</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福利费</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5.38</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31205</w:t>
            </w:r>
          </w:p>
        </w:tc>
        <w:tc>
          <w:tcPr>
            <w:tcW w:w="10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利息补贴</w:t>
            </w:r>
          </w:p>
        </w:tc>
        <w:tc>
          <w:tcPr>
            <w:tcW w:w="109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rPr>
          <w:tblHeader/>
        </w:trPr>
        <w:tc>
          <w:tcPr>
            <w:tcW w:w="10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30310</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个人农业生产补贴</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100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30231</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公务用车运行维护费</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31206</w:t>
            </w:r>
          </w:p>
        </w:tc>
        <w:tc>
          <w:tcPr>
            <w:tcW w:w="10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其他资本性补助</w:t>
            </w:r>
          </w:p>
        </w:tc>
        <w:tc>
          <w:tcPr>
            <w:tcW w:w="109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rPr>
          <w:tblHeader/>
        </w:trPr>
        <w:tc>
          <w:tcPr>
            <w:tcW w:w="10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30311</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代缴社会保险费</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100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30239</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其他交通费用</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2.16</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31299</w:t>
            </w:r>
          </w:p>
        </w:tc>
        <w:tc>
          <w:tcPr>
            <w:tcW w:w="10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其他对企业补助</w:t>
            </w:r>
          </w:p>
        </w:tc>
        <w:tc>
          <w:tcPr>
            <w:tcW w:w="109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rPr>
          <w:tblHeader/>
        </w:trPr>
        <w:tc>
          <w:tcPr>
            <w:tcW w:w="10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30399</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其他对个人和家庭的补助</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48.44</w:t>
            </w:r>
          </w:p>
        </w:tc>
        <w:tc>
          <w:tcPr>
            <w:tcW w:w="100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30240</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税金及附加费用</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399</w:t>
            </w:r>
          </w:p>
        </w:tc>
        <w:tc>
          <w:tcPr>
            <w:tcW w:w="10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其他支出</w:t>
            </w:r>
          </w:p>
        </w:tc>
        <w:tc>
          <w:tcPr>
            <w:tcW w:w="109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rPr>
          <w:tblHeader/>
        </w:trPr>
        <w:tc>
          <w:tcPr>
            <w:tcW w:w="10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 </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 </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100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30299</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其他商品和服务支出</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58.81</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39907</w:t>
            </w:r>
          </w:p>
        </w:tc>
        <w:tc>
          <w:tcPr>
            <w:tcW w:w="10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国家赔偿费用支出</w:t>
            </w:r>
          </w:p>
        </w:tc>
        <w:tc>
          <w:tcPr>
            <w:tcW w:w="109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rPr>
          <w:tblHeader/>
        </w:trPr>
        <w:tc>
          <w:tcPr>
            <w:tcW w:w="10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100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307</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债务利息及费用支出</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39908</w:t>
            </w:r>
          </w:p>
        </w:tc>
        <w:tc>
          <w:tcPr>
            <w:tcW w:w="10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对民间非营利组织和群众性自治组织补贴</w:t>
            </w:r>
          </w:p>
        </w:tc>
        <w:tc>
          <w:tcPr>
            <w:tcW w:w="109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rPr>
          <w:tblHeader/>
        </w:trPr>
        <w:tc>
          <w:tcPr>
            <w:tcW w:w="10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 </w:t>
            </w:r>
          </w:p>
        </w:tc>
        <w:tc>
          <w:tcPr>
            <w:tcW w:w="100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30701</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国内债务付息</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 </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39909</w:t>
            </w:r>
          </w:p>
        </w:tc>
        <w:tc>
          <w:tcPr>
            <w:tcW w:w="10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经常性赠与</w:t>
            </w:r>
          </w:p>
        </w:tc>
        <w:tc>
          <w:tcPr>
            <w:tcW w:w="109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rPr>
          <w:tblHeader/>
        </w:trPr>
        <w:tc>
          <w:tcPr>
            <w:tcW w:w="10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 </w:t>
            </w:r>
          </w:p>
        </w:tc>
        <w:tc>
          <w:tcPr>
            <w:tcW w:w="100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30702</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国外债务付息</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 </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39910</w:t>
            </w:r>
          </w:p>
        </w:tc>
        <w:tc>
          <w:tcPr>
            <w:tcW w:w="10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资本性赠与</w:t>
            </w:r>
          </w:p>
        </w:tc>
        <w:tc>
          <w:tcPr>
            <w:tcW w:w="109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rPr>
          <w:trHeight w:val="444" w:hRule="atLeast"/>
          <w:tblHeader/>
        </w:trPr>
        <w:tc>
          <w:tcPr>
            <w:tcW w:w="100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 </w:t>
            </w:r>
          </w:p>
        </w:tc>
        <w:tc>
          <w:tcPr>
            <w:tcW w:w="100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 </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 </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 </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39999</w:t>
            </w:r>
          </w:p>
        </w:tc>
        <w:tc>
          <w:tcPr>
            <w:tcW w:w="100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其他支出</w:t>
            </w:r>
          </w:p>
        </w:tc>
        <w:tc>
          <w:tcPr>
            <w:tcW w:w="109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rPr>
          <w:trHeight w:val="480" w:hRule="atLeast"/>
          <w:tblHeader/>
        </w:trPr>
        <w:tc>
          <w:tcPr>
            <w:tcW w:w="2009"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ascii="宋体" w:hAnsi="宋体" w:cs="宋体"/>
                <w:color w:val="000000"/>
                <w:kern w:val="0"/>
                <w:sz w:val="20"/>
                <w:szCs w:val="20"/>
              </w:rPr>
              <w:t>人员经费合计</w:t>
            </w:r>
            <w:r>
              <w:rPr>
                <w:rFonts w:eastAsia="Times New Roman"/>
                <w:color w:val="000000"/>
                <w:kern w:val="0"/>
                <w:sz w:val="20"/>
                <w:szCs w:val="20"/>
              </w:rPr>
              <w:t xml:space="preserve"> </w:t>
            </w:r>
          </w:p>
        </w:tc>
        <w:tc>
          <w:tcPr>
            <w:tcW w:w="10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3,765.87</w:t>
            </w:r>
          </w:p>
        </w:tc>
        <w:tc>
          <w:tcPr>
            <w:tcW w:w="4024" w:type="dxa"/>
            <w:gridSpan w:val="4"/>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ascii="宋体" w:hAnsi="宋体" w:cs="宋体"/>
                <w:color w:val="000000"/>
                <w:kern w:val="0"/>
                <w:sz w:val="20"/>
                <w:szCs w:val="20"/>
              </w:rPr>
              <w:t>公用经费合计</w:t>
            </w:r>
          </w:p>
        </w:tc>
        <w:tc>
          <w:tcPr>
            <w:tcW w:w="2102"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400.84</w:t>
            </w:r>
          </w:p>
        </w:tc>
      </w:tr>
      <w:tr>
        <w:tblPrEx>
          <w:tblLayout w:type="fixed"/>
          <w:tblCellMar>
            <w:top w:w="15" w:type="dxa"/>
            <w:left w:w="15" w:type="dxa"/>
            <w:bottom w:w="15" w:type="dxa"/>
            <w:right w:w="15" w:type="dxa"/>
          </w:tblCellMar>
        </w:tblPrEx>
        <w:trPr>
          <w:tblHeader/>
        </w:trPr>
        <w:tc>
          <w:tcPr>
            <w:tcW w:w="9140" w:type="dxa"/>
            <w:gridSpan w:val="9"/>
            <w:tcMar>
              <w:top w:w="20" w:type="dxa"/>
              <w:left w:w="20" w:type="dxa"/>
              <w:bottom w:w="20" w:type="dxa"/>
              <w:right w:w="20" w:type="dxa"/>
            </w:tcMar>
            <w:vAlign w:val="center"/>
          </w:tcPr>
          <w:p>
            <w:pPr>
              <w:widowControl/>
              <w:spacing w:line="375" w:lineRule="atLeast"/>
              <w:jc w:val="left"/>
              <w:rPr>
                <w:rFonts w:eastAsia="Times New Roman"/>
                <w:color w:val="000000"/>
                <w:kern w:val="0"/>
                <w:sz w:val="20"/>
                <w:szCs w:val="20"/>
              </w:rPr>
            </w:pPr>
            <w:r>
              <w:rPr>
                <w:rFonts w:ascii="宋体" w:hAnsi="宋体" w:cs="宋体"/>
                <w:color w:val="000000"/>
                <w:kern w:val="0"/>
                <w:sz w:val="20"/>
                <w:szCs w:val="20"/>
              </w:rPr>
              <w:t>注：本表反映部门本年度一般公共预算财政拨款基本支出明细情况。</w:t>
            </w:r>
          </w:p>
        </w:tc>
      </w:tr>
    </w:tbl>
    <w:p>
      <w:pPr>
        <w:widowControl/>
        <w:jc w:val="left"/>
        <w:rPr>
          <w:rFonts w:ascii="黑体" w:hAnsi="黑体" w:eastAsia="黑体" w:cs="黑体"/>
          <w:b/>
          <w:sz w:val="32"/>
          <w:szCs w:val="32"/>
        </w:rPr>
      </w:pPr>
      <w:bookmarkStart w:id="53" w:name="_Toc256000106"/>
      <w:bookmarkStart w:id="54" w:name="_Toc256000075"/>
      <w:bookmarkStart w:id="55" w:name="_Toc256000044"/>
      <w:bookmarkStart w:id="56" w:name="_Toc256000013"/>
    </w:p>
    <w:p>
      <w:pPr>
        <w:widowControl/>
        <w:jc w:val="left"/>
        <w:rPr>
          <w:rFonts w:ascii="黑体" w:hAnsi="黑体" w:eastAsia="黑体" w:cs="黑体"/>
          <w:b/>
          <w:sz w:val="32"/>
          <w:szCs w:val="32"/>
        </w:rPr>
      </w:pPr>
    </w:p>
    <w:p>
      <w:pPr>
        <w:widowControl/>
        <w:jc w:val="left"/>
        <w:rPr>
          <w:rFonts w:ascii="黑体" w:hAnsi="黑体" w:eastAsia="黑体" w:cs="黑体"/>
          <w:b/>
          <w:sz w:val="32"/>
          <w:szCs w:val="32"/>
        </w:rPr>
      </w:pPr>
      <w:r>
        <w:rPr>
          <w:rFonts w:hint="eastAsia" w:ascii="黑体" w:hAnsi="黑体" w:eastAsia="黑体" w:cs="黑体"/>
          <w:b/>
          <w:sz w:val="32"/>
          <w:szCs w:val="32"/>
        </w:rPr>
        <w:t>七、</w:t>
      </w:r>
      <w:r>
        <w:rPr>
          <w:rFonts w:ascii="黑体" w:hAnsi="黑体" w:eastAsia="黑体" w:cs="黑体"/>
          <w:b/>
          <w:sz w:val="32"/>
          <w:szCs w:val="32"/>
        </w:rPr>
        <w:t>一般公共预算财政拨款“三公”经费支出决算表</w:t>
      </w:r>
      <w:bookmarkEnd w:id="53"/>
      <w:bookmarkEnd w:id="54"/>
      <w:bookmarkEnd w:id="55"/>
      <w:bookmarkEnd w:id="56"/>
    </w:p>
    <w:p/>
    <w:tbl>
      <w:tblPr>
        <w:tblStyle w:val="22"/>
        <w:tblW w:w="9632" w:type="dxa"/>
        <w:tblInd w:w="0" w:type="dxa"/>
        <w:tblLayout w:type="fixed"/>
        <w:tblCellMar>
          <w:top w:w="15" w:type="dxa"/>
          <w:left w:w="15" w:type="dxa"/>
          <w:bottom w:w="15" w:type="dxa"/>
          <w:right w:w="15" w:type="dxa"/>
        </w:tblCellMar>
      </w:tblPr>
      <w:tblGrid>
        <w:gridCol w:w="751"/>
        <w:gridCol w:w="925"/>
        <w:gridCol w:w="719"/>
        <w:gridCol w:w="826"/>
        <w:gridCol w:w="805"/>
        <w:gridCol w:w="649"/>
        <w:gridCol w:w="886"/>
        <w:gridCol w:w="863"/>
        <w:gridCol w:w="599"/>
        <w:gridCol w:w="792"/>
        <w:gridCol w:w="744"/>
        <w:gridCol w:w="1073"/>
      </w:tblGrid>
      <w:tr>
        <w:tblPrEx>
          <w:tblLayout w:type="fixed"/>
          <w:tblCellMar>
            <w:top w:w="15" w:type="dxa"/>
            <w:left w:w="15" w:type="dxa"/>
            <w:bottom w:w="15" w:type="dxa"/>
            <w:right w:w="15" w:type="dxa"/>
          </w:tblCellMar>
        </w:tblPrEx>
        <w:trPr>
          <w:tblHeader/>
        </w:trPr>
        <w:tc>
          <w:tcPr>
            <w:tcW w:w="9632" w:type="dxa"/>
            <w:gridSpan w:val="12"/>
            <w:tcMar>
              <w:top w:w="20" w:type="dxa"/>
              <w:left w:w="20" w:type="dxa"/>
              <w:bottom w:w="20" w:type="dxa"/>
              <w:right w:w="20" w:type="dxa"/>
            </w:tcMar>
            <w:vAlign w:val="center"/>
          </w:tcPr>
          <w:p>
            <w:pPr>
              <w:widowControl/>
              <w:spacing w:line="900" w:lineRule="atLeast"/>
              <w:jc w:val="center"/>
              <w:rPr>
                <w:rFonts w:eastAsia="Times New Roman"/>
                <w:color w:val="000000"/>
                <w:kern w:val="0"/>
                <w:sz w:val="20"/>
                <w:szCs w:val="20"/>
              </w:rPr>
            </w:pPr>
            <w:r>
              <w:rPr>
                <w:rFonts w:ascii="宋体" w:hAnsi="宋体" w:cs="宋体"/>
                <w:color w:val="000000"/>
                <w:kern w:val="0"/>
                <w:sz w:val="20"/>
                <w:szCs w:val="20"/>
              </w:rPr>
              <w:t>一般公共预算财政拨款</w:t>
            </w:r>
            <w:r>
              <w:rPr>
                <w:rFonts w:eastAsia="Times New Roman"/>
                <w:color w:val="000000"/>
                <w:kern w:val="0"/>
                <w:sz w:val="20"/>
                <w:szCs w:val="20"/>
              </w:rPr>
              <w:t>“</w:t>
            </w:r>
            <w:r>
              <w:rPr>
                <w:rFonts w:ascii="宋体" w:hAnsi="宋体" w:cs="宋体"/>
                <w:color w:val="000000"/>
                <w:kern w:val="0"/>
                <w:sz w:val="20"/>
                <w:szCs w:val="20"/>
              </w:rPr>
              <w:t>三公</w:t>
            </w:r>
            <w:r>
              <w:rPr>
                <w:rFonts w:eastAsia="Times New Roman"/>
                <w:color w:val="000000"/>
                <w:kern w:val="0"/>
                <w:sz w:val="20"/>
                <w:szCs w:val="20"/>
              </w:rPr>
              <w:t>”</w:t>
            </w:r>
            <w:r>
              <w:rPr>
                <w:rFonts w:ascii="宋体" w:hAnsi="宋体" w:cs="宋体"/>
                <w:color w:val="000000"/>
                <w:kern w:val="0"/>
                <w:sz w:val="20"/>
                <w:szCs w:val="20"/>
              </w:rPr>
              <w:t>经费支出决算</w:t>
            </w:r>
          </w:p>
        </w:tc>
      </w:tr>
      <w:tr>
        <w:tblPrEx>
          <w:tblLayout w:type="fixed"/>
          <w:tblCellMar>
            <w:top w:w="15" w:type="dxa"/>
            <w:left w:w="15" w:type="dxa"/>
            <w:bottom w:w="15" w:type="dxa"/>
            <w:right w:w="15" w:type="dxa"/>
          </w:tblCellMar>
        </w:tblPrEx>
        <w:trPr>
          <w:tblHeader/>
        </w:trPr>
        <w:tc>
          <w:tcPr>
            <w:tcW w:w="751"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0"/>
                <w:szCs w:val="20"/>
              </w:rPr>
            </w:pPr>
            <w:r>
              <w:rPr>
                <w:rFonts w:eastAsia="Times New Roman"/>
                <w:color w:val="000000"/>
                <w:kern w:val="0"/>
                <w:sz w:val="20"/>
                <w:szCs w:val="20"/>
              </w:rPr>
              <w:t> </w:t>
            </w:r>
          </w:p>
        </w:tc>
        <w:tc>
          <w:tcPr>
            <w:tcW w:w="925"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0"/>
                <w:szCs w:val="20"/>
              </w:rPr>
            </w:pPr>
            <w:r>
              <w:rPr>
                <w:rFonts w:eastAsia="Times New Roman"/>
                <w:color w:val="000000"/>
                <w:kern w:val="0"/>
                <w:sz w:val="20"/>
                <w:szCs w:val="20"/>
              </w:rPr>
              <w:t> </w:t>
            </w:r>
          </w:p>
        </w:tc>
        <w:tc>
          <w:tcPr>
            <w:tcW w:w="719"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0"/>
                <w:szCs w:val="20"/>
              </w:rPr>
            </w:pPr>
            <w:r>
              <w:rPr>
                <w:rFonts w:eastAsia="Times New Roman"/>
                <w:color w:val="000000"/>
                <w:kern w:val="0"/>
                <w:sz w:val="20"/>
                <w:szCs w:val="20"/>
              </w:rPr>
              <w:t> </w:t>
            </w:r>
          </w:p>
        </w:tc>
        <w:tc>
          <w:tcPr>
            <w:tcW w:w="826"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0"/>
                <w:szCs w:val="20"/>
              </w:rPr>
            </w:pPr>
            <w:r>
              <w:rPr>
                <w:rFonts w:eastAsia="Times New Roman"/>
                <w:color w:val="000000"/>
                <w:kern w:val="0"/>
                <w:sz w:val="20"/>
                <w:szCs w:val="20"/>
              </w:rPr>
              <w:t> </w:t>
            </w:r>
          </w:p>
        </w:tc>
        <w:tc>
          <w:tcPr>
            <w:tcW w:w="805"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0"/>
                <w:szCs w:val="20"/>
              </w:rPr>
            </w:pPr>
            <w:r>
              <w:rPr>
                <w:rFonts w:eastAsia="Times New Roman"/>
                <w:color w:val="000000"/>
                <w:kern w:val="0"/>
                <w:sz w:val="20"/>
                <w:szCs w:val="20"/>
              </w:rPr>
              <w:t> </w:t>
            </w:r>
          </w:p>
        </w:tc>
        <w:tc>
          <w:tcPr>
            <w:tcW w:w="649"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0"/>
                <w:szCs w:val="20"/>
              </w:rPr>
            </w:pPr>
            <w:r>
              <w:rPr>
                <w:rFonts w:eastAsia="Times New Roman"/>
                <w:color w:val="000000"/>
                <w:kern w:val="0"/>
                <w:sz w:val="20"/>
                <w:szCs w:val="20"/>
              </w:rPr>
              <w:t> </w:t>
            </w:r>
          </w:p>
        </w:tc>
        <w:tc>
          <w:tcPr>
            <w:tcW w:w="886"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0"/>
                <w:szCs w:val="20"/>
              </w:rPr>
            </w:pPr>
            <w:r>
              <w:rPr>
                <w:rFonts w:eastAsia="Times New Roman"/>
                <w:color w:val="000000"/>
                <w:kern w:val="0"/>
                <w:sz w:val="20"/>
                <w:szCs w:val="20"/>
              </w:rPr>
              <w:t> </w:t>
            </w:r>
          </w:p>
        </w:tc>
        <w:tc>
          <w:tcPr>
            <w:tcW w:w="863"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0"/>
                <w:szCs w:val="20"/>
              </w:rPr>
            </w:pPr>
            <w:r>
              <w:rPr>
                <w:rFonts w:eastAsia="Times New Roman"/>
                <w:color w:val="000000"/>
                <w:kern w:val="0"/>
                <w:sz w:val="20"/>
                <w:szCs w:val="20"/>
              </w:rPr>
              <w:t> </w:t>
            </w:r>
          </w:p>
        </w:tc>
        <w:tc>
          <w:tcPr>
            <w:tcW w:w="599"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0"/>
                <w:szCs w:val="20"/>
              </w:rPr>
            </w:pPr>
            <w:r>
              <w:rPr>
                <w:rFonts w:eastAsia="Times New Roman"/>
                <w:color w:val="000000"/>
                <w:kern w:val="0"/>
                <w:sz w:val="20"/>
                <w:szCs w:val="20"/>
              </w:rPr>
              <w:t> </w:t>
            </w:r>
          </w:p>
        </w:tc>
        <w:tc>
          <w:tcPr>
            <w:tcW w:w="792"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0"/>
                <w:szCs w:val="20"/>
              </w:rPr>
            </w:pPr>
            <w:r>
              <w:rPr>
                <w:rFonts w:eastAsia="Times New Roman"/>
                <w:color w:val="000000"/>
                <w:kern w:val="0"/>
                <w:sz w:val="20"/>
                <w:szCs w:val="20"/>
              </w:rPr>
              <w:t> </w:t>
            </w:r>
          </w:p>
        </w:tc>
        <w:tc>
          <w:tcPr>
            <w:tcW w:w="744"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0"/>
                <w:szCs w:val="20"/>
              </w:rPr>
            </w:pPr>
            <w:r>
              <w:rPr>
                <w:rFonts w:eastAsia="Times New Roman"/>
                <w:color w:val="000000"/>
                <w:kern w:val="0"/>
                <w:sz w:val="20"/>
                <w:szCs w:val="20"/>
              </w:rPr>
              <w:t> </w:t>
            </w:r>
          </w:p>
        </w:tc>
        <w:tc>
          <w:tcPr>
            <w:tcW w:w="1073"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c>
          <w:tcPr>
            <w:tcW w:w="4675" w:type="dxa"/>
            <w:gridSpan w:val="6"/>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部门</w:t>
            </w:r>
            <w:r>
              <w:rPr>
                <w:rFonts w:eastAsia="Times New Roman"/>
                <w:color w:val="000000"/>
                <w:kern w:val="0"/>
                <w:sz w:val="20"/>
                <w:szCs w:val="20"/>
              </w:rPr>
              <w:t>/</w:t>
            </w:r>
            <w:r>
              <w:rPr>
                <w:rFonts w:ascii="宋体" w:hAnsi="宋体" w:cs="宋体"/>
                <w:color w:val="000000"/>
                <w:kern w:val="0"/>
                <w:sz w:val="20"/>
                <w:szCs w:val="20"/>
              </w:rPr>
              <w:t>单位：厦门外国语学校湖里分校</w:t>
            </w:r>
          </w:p>
        </w:tc>
        <w:tc>
          <w:tcPr>
            <w:tcW w:w="886"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2024</w:t>
            </w:r>
            <w:r>
              <w:rPr>
                <w:rFonts w:ascii="宋体" w:hAnsi="宋体" w:cs="宋体"/>
                <w:color w:val="000000"/>
                <w:kern w:val="0"/>
                <w:sz w:val="20"/>
                <w:szCs w:val="20"/>
              </w:rPr>
              <w:t>年度</w:t>
            </w:r>
          </w:p>
        </w:tc>
        <w:tc>
          <w:tcPr>
            <w:tcW w:w="863"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0"/>
                <w:szCs w:val="20"/>
              </w:rPr>
            </w:pPr>
            <w:r>
              <w:rPr>
                <w:rFonts w:eastAsia="Times New Roman"/>
                <w:color w:val="000000"/>
                <w:kern w:val="0"/>
                <w:sz w:val="20"/>
                <w:szCs w:val="20"/>
              </w:rPr>
              <w:t> </w:t>
            </w:r>
          </w:p>
        </w:tc>
        <w:tc>
          <w:tcPr>
            <w:tcW w:w="599"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0"/>
                <w:szCs w:val="20"/>
              </w:rPr>
            </w:pPr>
            <w:r>
              <w:rPr>
                <w:rFonts w:eastAsia="Times New Roman"/>
                <w:color w:val="000000"/>
                <w:kern w:val="0"/>
                <w:sz w:val="20"/>
                <w:szCs w:val="20"/>
              </w:rPr>
              <w:t> </w:t>
            </w:r>
          </w:p>
        </w:tc>
        <w:tc>
          <w:tcPr>
            <w:tcW w:w="792"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0"/>
                <w:szCs w:val="20"/>
              </w:rPr>
            </w:pPr>
            <w:r>
              <w:rPr>
                <w:rFonts w:eastAsia="Times New Roman"/>
                <w:color w:val="000000"/>
                <w:kern w:val="0"/>
                <w:sz w:val="20"/>
                <w:szCs w:val="20"/>
              </w:rPr>
              <w:t> </w:t>
            </w:r>
          </w:p>
        </w:tc>
        <w:tc>
          <w:tcPr>
            <w:tcW w:w="744"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0"/>
                <w:szCs w:val="20"/>
              </w:rPr>
            </w:pPr>
            <w:r>
              <w:rPr>
                <w:rFonts w:eastAsia="Times New Roman"/>
                <w:color w:val="000000"/>
                <w:kern w:val="0"/>
                <w:sz w:val="20"/>
                <w:szCs w:val="20"/>
              </w:rPr>
              <w:t> </w:t>
            </w:r>
          </w:p>
        </w:tc>
        <w:tc>
          <w:tcPr>
            <w:tcW w:w="1073"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ascii="宋体" w:hAnsi="宋体" w:cs="宋体"/>
                <w:color w:val="000000"/>
                <w:kern w:val="0"/>
                <w:sz w:val="20"/>
                <w:szCs w:val="20"/>
              </w:rPr>
              <w:t>金额单位：万元</w:t>
            </w:r>
          </w:p>
        </w:tc>
      </w:tr>
      <w:tr>
        <w:tblPrEx>
          <w:tblLayout w:type="fixed"/>
          <w:tblCellMar>
            <w:top w:w="15" w:type="dxa"/>
            <w:left w:w="15" w:type="dxa"/>
            <w:bottom w:w="15" w:type="dxa"/>
            <w:right w:w="15" w:type="dxa"/>
          </w:tblCellMar>
        </w:tblPrEx>
        <w:trPr>
          <w:trHeight w:val="492" w:hRule="atLeast"/>
        </w:trPr>
        <w:tc>
          <w:tcPr>
            <w:tcW w:w="4675" w:type="dxa"/>
            <w:gridSpan w:val="6"/>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ascii="宋体" w:hAnsi="宋体" w:cs="宋体"/>
                <w:color w:val="000000"/>
                <w:kern w:val="0"/>
                <w:sz w:val="20"/>
                <w:szCs w:val="20"/>
              </w:rPr>
              <w:t>预算数</w:t>
            </w:r>
          </w:p>
        </w:tc>
        <w:tc>
          <w:tcPr>
            <w:tcW w:w="4957" w:type="dxa"/>
            <w:gridSpan w:val="6"/>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ascii="宋体" w:hAnsi="宋体" w:cs="宋体"/>
                <w:color w:val="000000"/>
                <w:kern w:val="0"/>
                <w:sz w:val="20"/>
                <w:szCs w:val="20"/>
              </w:rPr>
              <w:t>决算数</w:t>
            </w:r>
          </w:p>
        </w:tc>
      </w:tr>
      <w:tr>
        <w:tblPrEx>
          <w:tblLayout w:type="fixed"/>
          <w:tblCellMar>
            <w:top w:w="15" w:type="dxa"/>
            <w:left w:w="15" w:type="dxa"/>
            <w:bottom w:w="15" w:type="dxa"/>
            <w:right w:w="15" w:type="dxa"/>
          </w:tblCellMar>
        </w:tblPrEx>
        <w:trPr>
          <w:trHeight w:val="727" w:hRule="atLeast"/>
          <w:tblHeader/>
        </w:trPr>
        <w:tc>
          <w:tcPr>
            <w:tcW w:w="751"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ascii="宋体" w:hAnsi="宋体" w:cs="宋体"/>
                <w:color w:val="000000"/>
                <w:kern w:val="0"/>
                <w:sz w:val="20"/>
                <w:szCs w:val="20"/>
              </w:rPr>
              <w:t>合计</w:t>
            </w:r>
          </w:p>
        </w:tc>
        <w:tc>
          <w:tcPr>
            <w:tcW w:w="925"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宋体" w:hAnsi="宋体" w:cs="宋体"/>
                <w:color w:val="000000"/>
                <w:kern w:val="0"/>
                <w:sz w:val="20"/>
                <w:szCs w:val="20"/>
              </w:rPr>
            </w:pPr>
            <w:r>
              <w:rPr>
                <w:rFonts w:ascii="宋体" w:hAnsi="宋体" w:cs="宋体"/>
                <w:color w:val="000000"/>
                <w:kern w:val="0"/>
                <w:sz w:val="20"/>
                <w:szCs w:val="20"/>
              </w:rPr>
              <w:t>因公</w:t>
            </w:r>
          </w:p>
          <w:p>
            <w:pPr>
              <w:widowControl/>
              <w:jc w:val="center"/>
              <w:rPr>
                <w:rFonts w:eastAsia="Times New Roman"/>
                <w:color w:val="000000"/>
                <w:kern w:val="0"/>
                <w:sz w:val="20"/>
                <w:szCs w:val="20"/>
              </w:rPr>
            </w:pPr>
            <w:r>
              <w:rPr>
                <w:rFonts w:ascii="宋体" w:hAnsi="宋体" w:cs="宋体"/>
                <w:color w:val="000000"/>
                <w:kern w:val="0"/>
                <w:sz w:val="20"/>
                <w:szCs w:val="20"/>
              </w:rPr>
              <w:t>出国</w:t>
            </w:r>
            <w:r>
              <w:rPr>
                <w:rFonts w:eastAsia="Times New Roman"/>
                <w:color w:val="000000"/>
                <w:kern w:val="0"/>
                <w:sz w:val="20"/>
                <w:szCs w:val="20"/>
              </w:rPr>
              <w:t xml:space="preserve"> </w:t>
            </w:r>
            <w:r>
              <w:rPr>
                <w:rFonts w:ascii="宋体" w:hAnsi="宋体" w:cs="宋体"/>
                <w:color w:val="000000"/>
                <w:kern w:val="0"/>
                <w:sz w:val="20"/>
                <w:szCs w:val="20"/>
              </w:rPr>
              <w:t>（境）费</w:t>
            </w:r>
          </w:p>
        </w:tc>
        <w:tc>
          <w:tcPr>
            <w:tcW w:w="2350"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宋体" w:hAnsi="宋体" w:cs="宋体"/>
                <w:color w:val="000000"/>
                <w:kern w:val="0"/>
                <w:sz w:val="20"/>
                <w:szCs w:val="20"/>
              </w:rPr>
            </w:pPr>
            <w:r>
              <w:rPr>
                <w:rFonts w:ascii="宋体" w:hAnsi="宋体" w:cs="宋体"/>
                <w:color w:val="000000"/>
                <w:kern w:val="0"/>
                <w:sz w:val="20"/>
                <w:szCs w:val="20"/>
              </w:rPr>
              <w:t>公务用车购置</w:t>
            </w:r>
          </w:p>
          <w:p>
            <w:pPr>
              <w:widowControl/>
              <w:jc w:val="center"/>
              <w:rPr>
                <w:rFonts w:eastAsia="Times New Roman"/>
                <w:color w:val="000000"/>
                <w:kern w:val="0"/>
                <w:sz w:val="20"/>
                <w:szCs w:val="20"/>
              </w:rPr>
            </w:pPr>
            <w:r>
              <w:rPr>
                <w:rFonts w:ascii="宋体" w:hAnsi="宋体" w:cs="宋体"/>
                <w:color w:val="000000"/>
                <w:kern w:val="0"/>
                <w:sz w:val="20"/>
                <w:szCs w:val="20"/>
              </w:rPr>
              <w:t>及运行维护费</w:t>
            </w:r>
          </w:p>
        </w:tc>
        <w:tc>
          <w:tcPr>
            <w:tcW w:w="649"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ascii="宋体" w:hAnsi="宋体" w:cs="宋体"/>
                <w:color w:val="000000"/>
                <w:kern w:val="0"/>
                <w:sz w:val="20"/>
                <w:szCs w:val="20"/>
              </w:rPr>
              <w:t>公务接待费</w:t>
            </w:r>
          </w:p>
        </w:tc>
        <w:tc>
          <w:tcPr>
            <w:tcW w:w="886"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ascii="宋体" w:hAnsi="宋体" w:cs="宋体"/>
                <w:color w:val="000000"/>
                <w:kern w:val="0"/>
                <w:sz w:val="20"/>
                <w:szCs w:val="20"/>
              </w:rPr>
              <w:t>合计</w:t>
            </w:r>
          </w:p>
        </w:tc>
        <w:tc>
          <w:tcPr>
            <w:tcW w:w="863"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宋体" w:hAnsi="宋体" w:cs="宋体"/>
                <w:color w:val="000000"/>
                <w:kern w:val="0"/>
                <w:sz w:val="20"/>
                <w:szCs w:val="20"/>
              </w:rPr>
            </w:pPr>
            <w:r>
              <w:rPr>
                <w:rFonts w:ascii="宋体" w:hAnsi="宋体" w:cs="宋体"/>
                <w:color w:val="000000"/>
                <w:kern w:val="0"/>
                <w:sz w:val="20"/>
                <w:szCs w:val="20"/>
              </w:rPr>
              <w:t>因公</w:t>
            </w:r>
          </w:p>
          <w:p>
            <w:pPr>
              <w:widowControl/>
              <w:jc w:val="center"/>
              <w:rPr>
                <w:rFonts w:eastAsia="Times New Roman"/>
                <w:color w:val="000000"/>
                <w:kern w:val="0"/>
                <w:sz w:val="20"/>
                <w:szCs w:val="20"/>
              </w:rPr>
            </w:pPr>
            <w:r>
              <w:rPr>
                <w:rFonts w:ascii="宋体" w:hAnsi="宋体" w:cs="宋体"/>
                <w:color w:val="000000"/>
                <w:kern w:val="0"/>
                <w:sz w:val="20"/>
                <w:szCs w:val="20"/>
              </w:rPr>
              <w:t>出国</w:t>
            </w:r>
            <w:r>
              <w:rPr>
                <w:rFonts w:eastAsia="Times New Roman"/>
                <w:color w:val="000000"/>
                <w:kern w:val="0"/>
                <w:sz w:val="20"/>
                <w:szCs w:val="20"/>
              </w:rPr>
              <w:t xml:space="preserve"> </w:t>
            </w:r>
            <w:r>
              <w:rPr>
                <w:rFonts w:ascii="宋体" w:hAnsi="宋体" w:cs="宋体"/>
                <w:color w:val="000000"/>
                <w:kern w:val="0"/>
                <w:sz w:val="20"/>
                <w:szCs w:val="20"/>
              </w:rPr>
              <w:t>（境）费</w:t>
            </w:r>
          </w:p>
        </w:tc>
        <w:tc>
          <w:tcPr>
            <w:tcW w:w="2135"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ascii="宋体" w:hAnsi="宋体" w:cs="宋体"/>
                <w:color w:val="000000"/>
                <w:kern w:val="0"/>
                <w:sz w:val="20"/>
                <w:szCs w:val="20"/>
              </w:rPr>
            </w:pPr>
            <w:r>
              <w:rPr>
                <w:rFonts w:ascii="宋体" w:hAnsi="宋体" w:cs="宋体"/>
                <w:color w:val="000000"/>
                <w:kern w:val="0"/>
                <w:sz w:val="20"/>
                <w:szCs w:val="20"/>
              </w:rPr>
              <w:t>公务用车购置</w:t>
            </w:r>
          </w:p>
          <w:p>
            <w:pPr>
              <w:widowControl/>
              <w:jc w:val="center"/>
              <w:rPr>
                <w:rFonts w:eastAsia="Times New Roman"/>
                <w:color w:val="000000"/>
                <w:kern w:val="0"/>
                <w:sz w:val="20"/>
                <w:szCs w:val="20"/>
              </w:rPr>
            </w:pPr>
            <w:r>
              <w:rPr>
                <w:rFonts w:ascii="宋体" w:hAnsi="宋体" w:cs="宋体"/>
                <w:color w:val="000000"/>
                <w:kern w:val="0"/>
                <w:sz w:val="20"/>
                <w:szCs w:val="20"/>
              </w:rPr>
              <w:t>及运行维护费</w:t>
            </w:r>
          </w:p>
        </w:tc>
        <w:tc>
          <w:tcPr>
            <w:tcW w:w="1073"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ascii="宋体" w:hAnsi="宋体" w:cs="宋体"/>
                <w:color w:val="000000"/>
                <w:kern w:val="0"/>
                <w:sz w:val="20"/>
                <w:szCs w:val="20"/>
              </w:rPr>
              <w:t>公务接待费</w:t>
            </w:r>
          </w:p>
        </w:tc>
      </w:tr>
      <w:tr>
        <w:tblPrEx>
          <w:tblLayout w:type="fixed"/>
          <w:tblCellMar>
            <w:top w:w="15" w:type="dxa"/>
            <w:left w:w="15" w:type="dxa"/>
            <w:bottom w:w="15" w:type="dxa"/>
            <w:right w:w="15" w:type="dxa"/>
          </w:tblCellMar>
        </w:tblPrEx>
        <w:trPr>
          <w:trHeight w:val="230" w:hRule="atLeast"/>
          <w:tblHeader/>
        </w:trPr>
        <w:tc>
          <w:tcPr>
            <w:tcW w:w="751"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0"/>
                <w:szCs w:val="20"/>
              </w:rPr>
            </w:pPr>
          </w:p>
        </w:tc>
        <w:tc>
          <w:tcPr>
            <w:tcW w:w="925"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0"/>
                <w:szCs w:val="20"/>
              </w:rPr>
            </w:pPr>
          </w:p>
        </w:tc>
        <w:tc>
          <w:tcPr>
            <w:tcW w:w="719"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ascii="宋体" w:hAnsi="宋体" w:cs="宋体"/>
                <w:color w:val="000000"/>
                <w:kern w:val="0"/>
                <w:sz w:val="20"/>
                <w:szCs w:val="20"/>
              </w:rPr>
              <w:t>小计</w:t>
            </w:r>
            <w:r>
              <w:rPr>
                <w:rFonts w:eastAsia="Times New Roman"/>
                <w:color w:val="000000"/>
                <w:kern w:val="0"/>
                <w:sz w:val="20"/>
                <w:szCs w:val="20"/>
              </w:rPr>
              <w:t xml:space="preserve"> </w:t>
            </w:r>
          </w:p>
        </w:tc>
        <w:tc>
          <w:tcPr>
            <w:tcW w:w="826"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ascii="宋体" w:hAnsi="宋体" w:cs="宋体"/>
                <w:color w:val="000000"/>
                <w:kern w:val="0"/>
                <w:sz w:val="20"/>
                <w:szCs w:val="20"/>
              </w:rPr>
              <w:t>公务用车购置费</w:t>
            </w:r>
          </w:p>
        </w:tc>
        <w:tc>
          <w:tcPr>
            <w:tcW w:w="805"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ascii="宋体" w:hAnsi="宋体" w:cs="宋体"/>
                <w:color w:val="000000"/>
                <w:kern w:val="0"/>
                <w:sz w:val="20"/>
                <w:szCs w:val="20"/>
              </w:rPr>
              <w:t>公务用车运行维护费</w:t>
            </w:r>
          </w:p>
        </w:tc>
        <w:tc>
          <w:tcPr>
            <w:tcW w:w="649"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0"/>
                <w:szCs w:val="20"/>
              </w:rPr>
            </w:pPr>
          </w:p>
        </w:tc>
        <w:tc>
          <w:tcPr>
            <w:tcW w:w="886"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0"/>
                <w:szCs w:val="20"/>
              </w:rPr>
            </w:pPr>
          </w:p>
        </w:tc>
        <w:tc>
          <w:tcPr>
            <w:tcW w:w="863"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0"/>
                <w:szCs w:val="20"/>
              </w:rPr>
            </w:pPr>
          </w:p>
        </w:tc>
        <w:tc>
          <w:tcPr>
            <w:tcW w:w="599"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ascii="宋体" w:hAnsi="宋体" w:cs="宋体"/>
                <w:color w:val="000000"/>
                <w:kern w:val="0"/>
                <w:sz w:val="20"/>
                <w:szCs w:val="20"/>
              </w:rPr>
              <w:t>小计</w:t>
            </w:r>
            <w:r>
              <w:rPr>
                <w:rFonts w:eastAsia="Times New Roman"/>
                <w:color w:val="000000"/>
                <w:kern w:val="0"/>
                <w:sz w:val="20"/>
                <w:szCs w:val="20"/>
              </w:rPr>
              <w:t xml:space="preserve"> </w:t>
            </w:r>
          </w:p>
        </w:tc>
        <w:tc>
          <w:tcPr>
            <w:tcW w:w="792"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ascii="宋体" w:hAnsi="宋体" w:cs="宋体"/>
                <w:color w:val="000000"/>
                <w:kern w:val="0"/>
                <w:sz w:val="20"/>
                <w:szCs w:val="20"/>
              </w:rPr>
              <w:t>公务用车购置费</w:t>
            </w:r>
          </w:p>
        </w:tc>
        <w:tc>
          <w:tcPr>
            <w:tcW w:w="744"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ascii="宋体" w:hAnsi="宋体" w:cs="宋体"/>
                <w:color w:val="000000"/>
                <w:kern w:val="0"/>
                <w:sz w:val="20"/>
                <w:szCs w:val="20"/>
              </w:rPr>
              <w:t>公务用车运行维护费</w:t>
            </w:r>
          </w:p>
        </w:tc>
        <w:tc>
          <w:tcPr>
            <w:tcW w:w="1073"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0"/>
                <w:szCs w:val="20"/>
              </w:rPr>
            </w:pPr>
          </w:p>
        </w:tc>
      </w:tr>
      <w:tr>
        <w:tblPrEx>
          <w:tblLayout w:type="fixed"/>
          <w:tblCellMar>
            <w:top w:w="15" w:type="dxa"/>
            <w:left w:w="15" w:type="dxa"/>
            <w:bottom w:w="15" w:type="dxa"/>
            <w:right w:w="15" w:type="dxa"/>
          </w:tblCellMar>
        </w:tblPrEx>
        <w:trPr>
          <w:trHeight w:val="679" w:hRule="atLeast"/>
          <w:tblHeader/>
        </w:trPr>
        <w:tc>
          <w:tcPr>
            <w:tcW w:w="751"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0"/>
                <w:szCs w:val="20"/>
              </w:rPr>
            </w:pPr>
          </w:p>
        </w:tc>
        <w:tc>
          <w:tcPr>
            <w:tcW w:w="925"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0"/>
                <w:szCs w:val="20"/>
              </w:rPr>
            </w:pPr>
          </w:p>
        </w:tc>
        <w:tc>
          <w:tcPr>
            <w:tcW w:w="719"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0"/>
                <w:szCs w:val="20"/>
              </w:rPr>
            </w:pPr>
          </w:p>
        </w:tc>
        <w:tc>
          <w:tcPr>
            <w:tcW w:w="826"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0"/>
                <w:szCs w:val="20"/>
              </w:rPr>
            </w:pPr>
          </w:p>
        </w:tc>
        <w:tc>
          <w:tcPr>
            <w:tcW w:w="805"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0"/>
                <w:szCs w:val="20"/>
              </w:rPr>
            </w:pPr>
          </w:p>
        </w:tc>
        <w:tc>
          <w:tcPr>
            <w:tcW w:w="649"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0"/>
                <w:szCs w:val="20"/>
              </w:rPr>
            </w:pPr>
          </w:p>
        </w:tc>
        <w:tc>
          <w:tcPr>
            <w:tcW w:w="886"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0"/>
                <w:szCs w:val="20"/>
              </w:rPr>
            </w:pPr>
          </w:p>
        </w:tc>
        <w:tc>
          <w:tcPr>
            <w:tcW w:w="863"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0"/>
                <w:szCs w:val="20"/>
              </w:rPr>
            </w:pPr>
          </w:p>
        </w:tc>
        <w:tc>
          <w:tcPr>
            <w:tcW w:w="599"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0"/>
                <w:szCs w:val="20"/>
              </w:rPr>
            </w:pPr>
          </w:p>
        </w:tc>
        <w:tc>
          <w:tcPr>
            <w:tcW w:w="792"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0"/>
                <w:szCs w:val="20"/>
              </w:rPr>
            </w:pPr>
          </w:p>
        </w:tc>
        <w:tc>
          <w:tcPr>
            <w:tcW w:w="744"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0"/>
                <w:szCs w:val="20"/>
              </w:rPr>
            </w:pPr>
          </w:p>
        </w:tc>
        <w:tc>
          <w:tcPr>
            <w:tcW w:w="1073"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0"/>
                <w:szCs w:val="20"/>
              </w:rPr>
            </w:pPr>
          </w:p>
        </w:tc>
      </w:tr>
      <w:tr>
        <w:tblPrEx>
          <w:tblLayout w:type="fixed"/>
          <w:tblCellMar>
            <w:top w:w="15" w:type="dxa"/>
            <w:left w:w="15" w:type="dxa"/>
            <w:bottom w:w="15" w:type="dxa"/>
            <w:right w:w="15" w:type="dxa"/>
          </w:tblCellMar>
        </w:tblPrEx>
        <w:trPr>
          <w:trHeight w:val="414" w:hRule="atLeast"/>
        </w:trPr>
        <w:tc>
          <w:tcPr>
            <w:tcW w:w="7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1</w:t>
            </w:r>
          </w:p>
        </w:tc>
        <w:tc>
          <w:tcPr>
            <w:tcW w:w="92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2</w:t>
            </w:r>
          </w:p>
        </w:tc>
        <w:tc>
          <w:tcPr>
            <w:tcW w:w="71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3</w:t>
            </w:r>
          </w:p>
        </w:tc>
        <w:tc>
          <w:tcPr>
            <w:tcW w:w="82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4</w:t>
            </w:r>
          </w:p>
        </w:tc>
        <w:tc>
          <w:tcPr>
            <w:tcW w:w="8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5</w:t>
            </w:r>
          </w:p>
        </w:tc>
        <w:tc>
          <w:tcPr>
            <w:tcW w:w="64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6</w:t>
            </w:r>
          </w:p>
        </w:tc>
        <w:tc>
          <w:tcPr>
            <w:tcW w:w="88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7</w:t>
            </w:r>
          </w:p>
        </w:tc>
        <w:tc>
          <w:tcPr>
            <w:tcW w:w="86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8</w:t>
            </w:r>
          </w:p>
        </w:tc>
        <w:tc>
          <w:tcPr>
            <w:tcW w:w="59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9</w:t>
            </w:r>
          </w:p>
        </w:tc>
        <w:tc>
          <w:tcPr>
            <w:tcW w:w="7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10</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11</w:t>
            </w:r>
          </w:p>
        </w:tc>
        <w:tc>
          <w:tcPr>
            <w:tcW w:w="10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12</w:t>
            </w:r>
          </w:p>
        </w:tc>
      </w:tr>
      <w:tr>
        <w:tblPrEx>
          <w:tblLayout w:type="fixed"/>
          <w:tblCellMar>
            <w:top w:w="15" w:type="dxa"/>
            <w:left w:w="15" w:type="dxa"/>
            <w:bottom w:w="15" w:type="dxa"/>
            <w:right w:w="15" w:type="dxa"/>
          </w:tblCellMar>
        </w:tblPrEx>
        <w:trPr>
          <w:trHeight w:val="486" w:hRule="atLeast"/>
        </w:trPr>
        <w:tc>
          <w:tcPr>
            <w:tcW w:w="75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bookmarkStart w:id="121" w:name="_GoBack" w:colFirst="1" w:colLast="11"/>
            <w:r>
              <w:rPr>
                <w:rFonts w:hint="eastAsia"/>
                <w:color w:val="000000"/>
                <w:kern w:val="0"/>
                <w:sz w:val="20"/>
                <w:szCs w:val="20"/>
                <w:lang w:val="en-US" w:eastAsia="zh-CN"/>
              </w:rPr>
              <w:t>0</w:t>
            </w:r>
            <w:r>
              <w:rPr>
                <w:rFonts w:eastAsia="Times New Roman"/>
                <w:color w:val="000000"/>
                <w:kern w:val="0"/>
                <w:sz w:val="20"/>
                <w:szCs w:val="20"/>
              </w:rPr>
              <w:t> </w:t>
            </w:r>
          </w:p>
        </w:tc>
        <w:tc>
          <w:tcPr>
            <w:tcW w:w="92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hint="eastAsia"/>
                <w:color w:val="000000"/>
                <w:kern w:val="0"/>
                <w:sz w:val="20"/>
                <w:szCs w:val="20"/>
                <w:lang w:val="en-US" w:eastAsia="zh-CN"/>
              </w:rPr>
              <w:t>0</w:t>
            </w:r>
          </w:p>
        </w:tc>
        <w:tc>
          <w:tcPr>
            <w:tcW w:w="71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hint="eastAsia"/>
                <w:color w:val="000000"/>
                <w:kern w:val="0"/>
                <w:sz w:val="20"/>
                <w:szCs w:val="20"/>
                <w:lang w:val="en-US" w:eastAsia="zh-CN"/>
              </w:rPr>
              <w:t>0</w:t>
            </w:r>
          </w:p>
        </w:tc>
        <w:tc>
          <w:tcPr>
            <w:tcW w:w="82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hint="eastAsia"/>
                <w:color w:val="000000"/>
                <w:kern w:val="0"/>
                <w:sz w:val="20"/>
                <w:szCs w:val="20"/>
                <w:lang w:val="en-US" w:eastAsia="zh-CN"/>
              </w:rPr>
              <w:t>0</w:t>
            </w:r>
          </w:p>
        </w:tc>
        <w:tc>
          <w:tcPr>
            <w:tcW w:w="805"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hint="eastAsia"/>
                <w:color w:val="000000"/>
                <w:kern w:val="0"/>
                <w:sz w:val="20"/>
                <w:szCs w:val="20"/>
                <w:lang w:val="en-US" w:eastAsia="zh-CN"/>
              </w:rPr>
              <w:t>0</w:t>
            </w:r>
          </w:p>
        </w:tc>
        <w:tc>
          <w:tcPr>
            <w:tcW w:w="64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hint="eastAsia"/>
                <w:color w:val="000000"/>
                <w:kern w:val="0"/>
                <w:sz w:val="20"/>
                <w:szCs w:val="20"/>
                <w:lang w:val="en-US" w:eastAsia="zh-CN"/>
              </w:rPr>
              <w:t>0</w:t>
            </w:r>
          </w:p>
        </w:tc>
        <w:tc>
          <w:tcPr>
            <w:tcW w:w="88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hint="eastAsia"/>
                <w:color w:val="000000"/>
                <w:kern w:val="0"/>
                <w:sz w:val="20"/>
                <w:szCs w:val="20"/>
                <w:lang w:val="en-US" w:eastAsia="zh-CN"/>
              </w:rPr>
              <w:t>0</w:t>
            </w:r>
          </w:p>
        </w:tc>
        <w:tc>
          <w:tcPr>
            <w:tcW w:w="86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hint="eastAsia"/>
                <w:color w:val="000000"/>
                <w:kern w:val="0"/>
                <w:sz w:val="20"/>
                <w:szCs w:val="20"/>
                <w:lang w:val="en-US" w:eastAsia="zh-CN"/>
              </w:rPr>
              <w:t>0</w:t>
            </w:r>
          </w:p>
        </w:tc>
        <w:tc>
          <w:tcPr>
            <w:tcW w:w="59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hint="eastAsia"/>
                <w:color w:val="000000"/>
                <w:kern w:val="0"/>
                <w:sz w:val="20"/>
                <w:szCs w:val="20"/>
                <w:lang w:val="en-US" w:eastAsia="zh-CN"/>
              </w:rPr>
              <w:t>0</w:t>
            </w:r>
          </w:p>
        </w:tc>
        <w:tc>
          <w:tcPr>
            <w:tcW w:w="7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hint="eastAsia"/>
                <w:color w:val="000000"/>
                <w:kern w:val="0"/>
                <w:sz w:val="20"/>
                <w:szCs w:val="20"/>
                <w:lang w:val="en-US" w:eastAsia="zh-CN"/>
              </w:rPr>
              <w:t>0</w:t>
            </w:r>
          </w:p>
        </w:tc>
        <w:tc>
          <w:tcPr>
            <w:tcW w:w="744"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hint="eastAsia"/>
                <w:color w:val="000000"/>
                <w:kern w:val="0"/>
                <w:sz w:val="20"/>
                <w:szCs w:val="20"/>
                <w:lang w:val="en-US" w:eastAsia="zh-CN"/>
              </w:rPr>
              <w:t>0</w:t>
            </w:r>
          </w:p>
        </w:tc>
        <w:tc>
          <w:tcPr>
            <w:tcW w:w="1073"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hint="eastAsia"/>
                <w:color w:val="000000"/>
                <w:kern w:val="0"/>
                <w:sz w:val="20"/>
                <w:szCs w:val="20"/>
                <w:lang w:val="en-US" w:eastAsia="zh-CN"/>
              </w:rPr>
              <w:t>0</w:t>
            </w:r>
          </w:p>
        </w:tc>
      </w:tr>
      <w:bookmarkEnd w:id="121"/>
      <w:tr>
        <w:tblPrEx>
          <w:tblLayout w:type="fixed"/>
          <w:tblCellMar>
            <w:top w:w="15" w:type="dxa"/>
            <w:left w:w="15" w:type="dxa"/>
            <w:bottom w:w="15" w:type="dxa"/>
            <w:right w:w="15" w:type="dxa"/>
          </w:tblCellMar>
        </w:tblPrEx>
        <w:tc>
          <w:tcPr>
            <w:tcW w:w="9632" w:type="dxa"/>
            <w:gridSpan w:val="12"/>
            <w:tcMar>
              <w:top w:w="20" w:type="dxa"/>
              <w:left w:w="20" w:type="dxa"/>
              <w:bottom w:w="20" w:type="dxa"/>
              <w:right w:w="20" w:type="dxa"/>
            </w:tcMar>
            <w:vAlign w:val="center"/>
          </w:tcPr>
          <w:p>
            <w:pPr>
              <w:widowControl/>
              <w:spacing w:line="375" w:lineRule="atLeast"/>
              <w:jc w:val="left"/>
              <w:rPr>
                <w:rFonts w:eastAsia="Times New Roman"/>
                <w:color w:val="000000"/>
                <w:kern w:val="0"/>
                <w:sz w:val="20"/>
                <w:szCs w:val="20"/>
              </w:rPr>
            </w:pPr>
            <w:r>
              <w:rPr>
                <w:rFonts w:ascii="宋体" w:hAnsi="宋体" w:cs="宋体"/>
                <w:color w:val="000000"/>
                <w:kern w:val="0"/>
                <w:sz w:val="20"/>
                <w:szCs w:val="20"/>
              </w:rPr>
              <w:t>注：本表反映部门本年度财政拨款</w:t>
            </w:r>
            <w:r>
              <w:rPr>
                <w:rFonts w:eastAsia="Times New Roman"/>
                <w:color w:val="000000"/>
                <w:kern w:val="0"/>
                <w:sz w:val="20"/>
                <w:szCs w:val="20"/>
              </w:rPr>
              <w:t>“</w:t>
            </w:r>
            <w:r>
              <w:rPr>
                <w:rFonts w:ascii="宋体" w:hAnsi="宋体" w:cs="宋体"/>
                <w:color w:val="000000"/>
                <w:kern w:val="0"/>
                <w:sz w:val="20"/>
                <w:szCs w:val="20"/>
              </w:rPr>
              <w:t>三公</w:t>
            </w:r>
            <w:r>
              <w:rPr>
                <w:rFonts w:eastAsia="Times New Roman"/>
                <w:color w:val="000000"/>
                <w:kern w:val="0"/>
                <w:sz w:val="20"/>
                <w:szCs w:val="20"/>
              </w:rPr>
              <w:t>”</w:t>
            </w:r>
            <w:r>
              <w:rPr>
                <w:rFonts w:ascii="宋体" w:hAnsi="宋体" w:cs="宋体"/>
                <w:color w:val="000000"/>
                <w:kern w:val="0"/>
                <w:sz w:val="20"/>
                <w:szCs w:val="20"/>
              </w:rPr>
              <w:t>经费支出预决算情况。其中，预算数为</w:t>
            </w:r>
            <w:r>
              <w:rPr>
                <w:rFonts w:eastAsia="Times New Roman"/>
                <w:color w:val="000000"/>
                <w:kern w:val="0"/>
                <w:sz w:val="20"/>
                <w:szCs w:val="20"/>
              </w:rPr>
              <w:t>“</w:t>
            </w:r>
            <w:r>
              <w:rPr>
                <w:rFonts w:ascii="宋体" w:hAnsi="宋体" w:cs="宋体"/>
                <w:color w:val="000000"/>
                <w:kern w:val="0"/>
                <w:sz w:val="20"/>
                <w:szCs w:val="20"/>
              </w:rPr>
              <w:t>三公</w:t>
            </w:r>
            <w:r>
              <w:rPr>
                <w:rFonts w:eastAsia="Times New Roman"/>
                <w:color w:val="000000"/>
                <w:kern w:val="0"/>
                <w:sz w:val="20"/>
                <w:szCs w:val="20"/>
              </w:rPr>
              <w:t>”</w:t>
            </w:r>
            <w:r>
              <w:rPr>
                <w:rFonts w:ascii="宋体" w:hAnsi="宋体" w:cs="宋体"/>
                <w:color w:val="000000"/>
                <w:kern w:val="0"/>
                <w:sz w:val="20"/>
                <w:szCs w:val="20"/>
              </w:rPr>
              <w:t>经费全年预算数，反映按规定程序调整后的预算数；决算数是包括当年财政拨款和以前年度结转资金安排的实际支出。</w:t>
            </w:r>
          </w:p>
        </w:tc>
      </w:tr>
    </w:tbl>
    <w:p>
      <w:pPr>
        <w:widowControl/>
        <w:ind w:firstLine="640" w:firstLineChars="200"/>
        <w:jc w:val="left"/>
        <w:rPr>
          <w:rFonts w:ascii="宋体" w:hAnsi="宋体" w:cs="宋体"/>
          <w:kern w:val="0"/>
          <w:sz w:val="32"/>
          <w:szCs w:val="32"/>
        </w:rPr>
      </w:pPr>
    </w:p>
    <w:p>
      <w:pPr>
        <w:widowControl/>
        <w:ind w:firstLine="640" w:firstLineChars="200"/>
        <w:jc w:val="left"/>
        <w:rPr>
          <w:rFonts w:ascii="宋体" w:hAnsi="宋体" w:cs="宋体"/>
          <w:kern w:val="0"/>
          <w:sz w:val="32"/>
          <w:szCs w:val="32"/>
        </w:rPr>
      </w:pPr>
      <w:r>
        <w:rPr>
          <w:rFonts w:hint="eastAsia" w:ascii="宋体" w:hAnsi="宋体" w:cs="宋体"/>
          <w:kern w:val="0"/>
          <w:sz w:val="32"/>
          <w:szCs w:val="32"/>
        </w:rPr>
        <w:t>本单位 2024 年度没有使用一般公共预算财政拨款安排的“三公”经费支出。</w:t>
      </w:r>
    </w:p>
    <w:p>
      <w:pPr>
        <w:widowControl/>
        <w:jc w:val="left"/>
        <w:rPr>
          <w:rFonts w:eastAsia="Times New Roman"/>
          <w:kern w:val="0"/>
          <w:sz w:val="24"/>
        </w:rPr>
      </w:pPr>
    </w:p>
    <w:p>
      <w:pPr>
        <w:pStyle w:val="5"/>
        <w:keepNext w:val="0"/>
        <w:keepLines w:val="0"/>
        <w:spacing w:before="100" w:after="100" w:line="240" w:lineRule="auto"/>
        <w:ind w:firstLine="0" w:firstLineChars="0"/>
        <w:rPr>
          <w:rFonts w:eastAsia="Times New Roman"/>
          <w:b/>
          <w:sz w:val="28"/>
          <w:szCs w:val="28"/>
        </w:rPr>
      </w:pPr>
      <w:bookmarkStart w:id="57" w:name="_Toc256000107"/>
      <w:bookmarkStart w:id="58" w:name="_Toc256000076"/>
      <w:bookmarkStart w:id="59" w:name="_Toc256000045"/>
      <w:bookmarkStart w:id="60" w:name="_Toc256000014"/>
      <w:r>
        <w:rPr>
          <w:rFonts w:ascii="黑体" w:hAnsi="黑体" w:eastAsia="黑体" w:cs="黑体"/>
          <w:b/>
        </w:rPr>
        <w:t>八、政府性基金预算财政拨款收入支出决算表</w:t>
      </w:r>
      <w:bookmarkEnd w:id="57"/>
      <w:bookmarkEnd w:id="58"/>
      <w:bookmarkEnd w:id="59"/>
      <w:bookmarkEnd w:id="60"/>
    </w:p>
    <w:p/>
    <w:tbl>
      <w:tblPr>
        <w:tblStyle w:val="22"/>
        <w:tblW w:w="9066" w:type="dxa"/>
        <w:tblInd w:w="0" w:type="dxa"/>
        <w:tblLayout w:type="fixed"/>
        <w:tblCellMar>
          <w:top w:w="15" w:type="dxa"/>
          <w:left w:w="15" w:type="dxa"/>
          <w:bottom w:w="15" w:type="dxa"/>
          <w:right w:w="15" w:type="dxa"/>
        </w:tblCellMar>
      </w:tblPr>
      <w:tblGrid>
        <w:gridCol w:w="1292"/>
        <w:gridCol w:w="966"/>
        <w:gridCol w:w="1130"/>
        <w:gridCol w:w="1137"/>
        <w:gridCol w:w="1130"/>
        <w:gridCol w:w="1130"/>
        <w:gridCol w:w="1139"/>
        <w:gridCol w:w="1142"/>
      </w:tblGrid>
      <w:tr>
        <w:tblPrEx>
          <w:tblLayout w:type="fixed"/>
          <w:tblCellMar>
            <w:top w:w="15" w:type="dxa"/>
            <w:left w:w="15" w:type="dxa"/>
            <w:bottom w:w="15" w:type="dxa"/>
            <w:right w:w="15" w:type="dxa"/>
          </w:tblCellMar>
        </w:tblPrEx>
        <w:trPr>
          <w:tblHeader/>
        </w:trPr>
        <w:tc>
          <w:tcPr>
            <w:tcW w:w="9066" w:type="dxa"/>
            <w:gridSpan w:val="8"/>
            <w:tcMar>
              <w:top w:w="20" w:type="dxa"/>
              <w:left w:w="20" w:type="dxa"/>
              <w:bottom w:w="20" w:type="dxa"/>
              <w:right w:w="20" w:type="dxa"/>
            </w:tcMar>
            <w:vAlign w:val="center"/>
          </w:tcPr>
          <w:p>
            <w:pPr>
              <w:widowControl/>
              <w:spacing w:line="900" w:lineRule="atLeast"/>
              <w:jc w:val="center"/>
              <w:rPr>
                <w:rFonts w:eastAsia="Times New Roman"/>
                <w:color w:val="000000"/>
                <w:kern w:val="0"/>
                <w:sz w:val="20"/>
                <w:szCs w:val="20"/>
              </w:rPr>
            </w:pPr>
            <w:r>
              <w:rPr>
                <w:rFonts w:ascii="宋体" w:hAnsi="宋体" w:cs="宋体"/>
                <w:color w:val="000000"/>
                <w:kern w:val="0"/>
                <w:sz w:val="20"/>
                <w:szCs w:val="20"/>
              </w:rPr>
              <w:t>政府性基金预算财政拨款收入支出决算表</w:t>
            </w:r>
          </w:p>
        </w:tc>
      </w:tr>
      <w:tr>
        <w:tblPrEx>
          <w:tblLayout w:type="fixed"/>
          <w:tblCellMar>
            <w:top w:w="15" w:type="dxa"/>
            <w:left w:w="15" w:type="dxa"/>
            <w:bottom w:w="15" w:type="dxa"/>
            <w:right w:w="15" w:type="dxa"/>
          </w:tblCellMar>
        </w:tblPrEx>
        <w:trPr>
          <w:tblHeader/>
        </w:trPr>
        <w:tc>
          <w:tcPr>
            <w:tcW w:w="1292"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0"/>
                <w:szCs w:val="20"/>
              </w:rPr>
            </w:pPr>
            <w:r>
              <w:rPr>
                <w:rFonts w:eastAsia="Times New Roman"/>
                <w:color w:val="000000"/>
                <w:kern w:val="0"/>
                <w:sz w:val="20"/>
                <w:szCs w:val="20"/>
              </w:rPr>
              <w:t> </w:t>
            </w:r>
          </w:p>
        </w:tc>
        <w:tc>
          <w:tcPr>
            <w:tcW w:w="966"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0"/>
                <w:szCs w:val="20"/>
              </w:rPr>
            </w:pPr>
            <w:r>
              <w:rPr>
                <w:rFonts w:eastAsia="Times New Roman"/>
                <w:color w:val="000000"/>
                <w:kern w:val="0"/>
                <w:sz w:val="20"/>
                <w:szCs w:val="20"/>
              </w:rPr>
              <w:t> </w:t>
            </w:r>
          </w:p>
        </w:tc>
        <w:tc>
          <w:tcPr>
            <w:tcW w:w="1130"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0"/>
                <w:szCs w:val="20"/>
              </w:rPr>
            </w:pPr>
            <w:r>
              <w:rPr>
                <w:rFonts w:eastAsia="Times New Roman"/>
                <w:color w:val="000000"/>
                <w:kern w:val="0"/>
                <w:sz w:val="20"/>
                <w:szCs w:val="20"/>
              </w:rPr>
              <w:t> </w:t>
            </w:r>
          </w:p>
        </w:tc>
        <w:tc>
          <w:tcPr>
            <w:tcW w:w="1137"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0"/>
                <w:szCs w:val="20"/>
              </w:rPr>
            </w:pPr>
            <w:r>
              <w:rPr>
                <w:rFonts w:eastAsia="Times New Roman"/>
                <w:color w:val="000000"/>
                <w:kern w:val="0"/>
                <w:sz w:val="20"/>
                <w:szCs w:val="20"/>
              </w:rPr>
              <w:t> </w:t>
            </w:r>
          </w:p>
        </w:tc>
        <w:tc>
          <w:tcPr>
            <w:tcW w:w="1130"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0"/>
                <w:szCs w:val="20"/>
              </w:rPr>
            </w:pPr>
            <w:r>
              <w:rPr>
                <w:rFonts w:eastAsia="Times New Roman"/>
                <w:color w:val="000000"/>
                <w:kern w:val="0"/>
                <w:sz w:val="20"/>
                <w:szCs w:val="20"/>
              </w:rPr>
              <w:t> </w:t>
            </w:r>
          </w:p>
        </w:tc>
        <w:tc>
          <w:tcPr>
            <w:tcW w:w="1130"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0"/>
                <w:szCs w:val="20"/>
              </w:rPr>
            </w:pPr>
            <w:r>
              <w:rPr>
                <w:rFonts w:eastAsia="Times New Roman"/>
                <w:color w:val="000000"/>
                <w:kern w:val="0"/>
                <w:sz w:val="20"/>
                <w:szCs w:val="20"/>
              </w:rPr>
              <w:t> </w:t>
            </w:r>
          </w:p>
        </w:tc>
        <w:tc>
          <w:tcPr>
            <w:tcW w:w="1139"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0"/>
                <w:szCs w:val="20"/>
              </w:rPr>
            </w:pPr>
            <w:r>
              <w:rPr>
                <w:rFonts w:eastAsia="Times New Roman"/>
                <w:color w:val="000000"/>
                <w:kern w:val="0"/>
                <w:sz w:val="20"/>
                <w:szCs w:val="20"/>
              </w:rPr>
              <w:t> </w:t>
            </w:r>
          </w:p>
        </w:tc>
        <w:tc>
          <w:tcPr>
            <w:tcW w:w="1142"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c>
          <w:tcPr>
            <w:tcW w:w="4525" w:type="dxa"/>
            <w:gridSpan w:val="4"/>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部门</w:t>
            </w:r>
            <w:r>
              <w:rPr>
                <w:rFonts w:eastAsia="Times New Roman"/>
                <w:color w:val="000000"/>
                <w:kern w:val="0"/>
                <w:sz w:val="20"/>
                <w:szCs w:val="20"/>
              </w:rPr>
              <w:t>/</w:t>
            </w:r>
            <w:r>
              <w:rPr>
                <w:rFonts w:ascii="宋体" w:hAnsi="宋体" w:cs="宋体"/>
                <w:color w:val="000000"/>
                <w:kern w:val="0"/>
                <w:sz w:val="20"/>
                <w:szCs w:val="20"/>
              </w:rPr>
              <w:t>单位：厦门外国语学校湖里分校</w:t>
            </w:r>
          </w:p>
        </w:tc>
        <w:tc>
          <w:tcPr>
            <w:tcW w:w="1130"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2024</w:t>
            </w:r>
            <w:r>
              <w:rPr>
                <w:rFonts w:ascii="宋体" w:hAnsi="宋体" w:cs="宋体"/>
                <w:color w:val="000000"/>
                <w:kern w:val="0"/>
                <w:sz w:val="20"/>
                <w:szCs w:val="20"/>
              </w:rPr>
              <w:t>年度</w:t>
            </w:r>
          </w:p>
        </w:tc>
        <w:tc>
          <w:tcPr>
            <w:tcW w:w="1130"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0"/>
                <w:szCs w:val="20"/>
              </w:rPr>
            </w:pPr>
            <w:r>
              <w:rPr>
                <w:rFonts w:eastAsia="Times New Roman"/>
                <w:color w:val="000000"/>
                <w:kern w:val="0"/>
                <w:sz w:val="20"/>
                <w:szCs w:val="20"/>
              </w:rPr>
              <w:t> </w:t>
            </w:r>
          </w:p>
        </w:tc>
        <w:tc>
          <w:tcPr>
            <w:tcW w:w="1139"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0"/>
                <w:szCs w:val="20"/>
              </w:rPr>
            </w:pPr>
            <w:r>
              <w:rPr>
                <w:rFonts w:eastAsia="Times New Roman"/>
                <w:color w:val="000000"/>
                <w:kern w:val="0"/>
                <w:sz w:val="20"/>
                <w:szCs w:val="20"/>
              </w:rPr>
              <w:t> </w:t>
            </w:r>
          </w:p>
        </w:tc>
        <w:tc>
          <w:tcPr>
            <w:tcW w:w="1142"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ascii="宋体" w:hAnsi="宋体" w:cs="宋体"/>
                <w:color w:val="000000"/>
                <w:kern w:val="0"/>
                <w:sz w:val="20"/>
                <w:szCs w:val="20"/>
              </w:rPr>
              <w:t>金额单位：万元</w:t>
            </w:r>
          </w:p>
        </w:tc>
      </w:tr>
      <w:tr>
        <w:tblPrEx>
          <w:tblLayout w:type="fixed"/>
          <w:tblCellMar>
            <w:top w:w="15" w:type="dxa"/>
            <w:left w:w="15" w:type="dxa"/>
            <w:bottom w:w="15" w:type="dxa"/>
            <w:right w:w="15" w:type="dxa"/>
          </w:tblCellMar>
        </w:tblPrEx>
        <w:trPr>
          <w:tblHeader/>
        </w:trPr>
        <w:tc>
          <w:tcPr>
            <w:tcW w:w="225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ascii="宋体" w:hAnsi="宋体" w:cs="宋体"/>
                <w:color w:val="000000"/>
                <w:kern w:val="0"/>
                <w:sz w:val="20"/>
                <w:szCs w:val="20"/>
              </w:rPr>
              <w:t>项目</w:t>
            </w:r>
          </w:p>
        </w:tc>
        <w:tc>
          <w:tcPr>
            <w:tcW w:w="1130"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ascii="宋体" w:hAnsi="宋体" w:cs="宋体"/>
                <w:color w:val="000000"/>
                <w:kern w:val="0"/>
                <w:sz w:val="20"/>
                <w:szCs w:val="20"/>
              </w:rPr>
              <w:t>年初结转和结余</w:t>
            </w:r>
            <w:r>
              <w:rPr>
                <w:rFonts w:eastAsia="Times New Roman"/>
                <w:color w:val="000000"/>
                <w:kern w:val="0"/>
                <w:sz w:val="20"/>
                <w:szCs w:val="20"/>
              </w:rPr>
              <w:t xml:space="preserve"> </w:t>
            </w:r>
          </w:p>
        </w:tc>
        <w:tc>
          <w:tcPr>
            <w:tcW w:w="1137"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ascii="宋体" w:hAnsi="宋体" w:cs="宋体"/>
                <w:color w:val="000000"/>
                <w:kern w:val="0"/>
                <w:sz w:val="20"/>
                <w:szCs w:val="20"/>
              </w:rPr>
              <w:t>本年收入</w:t>
            </w:r>
          </w:p>
        </w:tc>
        <w:tc>
          <w:tcPr>
            <w:tcW w:w="3399"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ascii="宋体" w:hAnsi="宋体" w:cs="宋体"/>
                <w:color w:val="000000"/>
                <w:kern w:val="0"/>
                <w:sz w:val="20"/>
                <w:szCs w:val="20"/>
              </w:rPr>
              <w:t>本年支出</w:t>
            </w:r>
          </w:p>
        </w:tc>
        <w:tc>
          <w:tcPr>
            <w:tcW w:w="1142"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ascii="宋体" w:hAnsi="宋体" w:cs="宋体"/>
                <w:color w:val="000000"/>
                <w:kern w:val="0"/>
                <w:sz w:val="20"/>
                <w:szCs w:val="20"/>
              </w:rPr>
              <w:t>年末结转和结余</w:t>
            </w:r>
          </w:p>
        </w:tc>
      </w:tr>
      <w:tr>
        <w:tblPrEx>
          <w:tblLayout w:type="fixed"/>
          <w:tblCellMar>
            <w:top w:w="15" w:type="dxa"/>
            <w:left w:w="15" w:type="dxa"/>
            <w:bottom w:w="15" w:type="dxa"/>
            <w:right w:w="15" w:type="dxa"/>
          </w:tblCellMar>
        </w:tblPrEx>
        <w:trPr>
          <w:trHeight w:val="230" w:hRule="atLeast"/>
          <w:tblHeader/>
        </w:trPr>
        <w:tc>
          <w:tcPr>
            <w:tcW w:w="1292"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ascii="宋体" w:hAnsi="宋体" w:cs="宋体"/>
                <w:color w:val="000000"/>
                <w:kern w:val="0"/>
                <w:sz w:val="20"/>
                <w:szCs w:val="20"/>
              </w:rPr>
              <w:t>支出功能分类科目编码</w:t>
            </w:r>
          </w:p>
        </w:tc>
        <w:tc>
          <w:tcPr>
            <w:tcW w:w="966"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ascii="宋体" w:hAnsi="宋体" w:cs="宋体"/>
                <w:color w:val="000000"/>
                <w:kern w:val="0"/>
                <w:sz w:val="20"/>
                <w:szCs w:val="20"/>
              </w:rPr>
              <w:t>科目名称</w:t>
            </w:r>
          </w:p>
        </w:tc>
        <w:tc>
          <w:tcPr>
            <w:tcW w:w="1130"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0"/>
                <w:szCs w:val="20"/>
              </w:rPr>
            </w:pPr>
          </w:p>
        </w:tc>
        <w:tc>
          <w:tcPr>
            <w:tcW w:w="1137"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0"/>
                <w:szCs w:val="20"/>
              </w:rPr>
            </w:pPr>
          </w:p>
        </w:tc>
        <w:tc>
          <w:tcPr>
            <w:tcW w:w="1130"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ascii="宋体" w:hAnsi="宋体" w:cs="宋体"/>
                <w:color w:val="000000"/>
                <w:kern w:val="0"/>
                <w:sz w:val="20"/>
                <w:szCs w:val="20"/>
              </w:rPr>
              <w:t>小计</w:t>
            </w:r>
          </w:p>
        </w:tc>
        <w:tc>
          <w:tcPr>
            <w:tcW w:w="1130"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ascii="宋体" w:hAnsi="宋体" w:cs="宋体"/>
                <w:color w:val="000000"/>
                <w:kern w:val="0"/>
                <w:sz w:val="20"/>
                <w:szCs w:val="20"/>
              </w:rPr>
              <w:t>基本支出</w:t>
            </w:r>
            <w:r>
              <w:rPr>
                <w:rFonts w:eastAsia="Times New Roman"/>
                <w:color w:val="000000"/>
                <w:kern w:val="0"/>
                <w:sz w:val="20"/>
                <w:szCs w:val="20"/>
              </w:rPr>
              <w:t xml:space="preserve"> </w:t>
            </w:r>
          </w:p>
        </w:tc>
        <w:tc>
          <w:tcPr>
            <w:tcW w:w="1139"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ascii="宋体" w:hAnsi="宋体" w:cs="宋体"/>
                <w:color w:val="000000"/>
                <w:kern w:val="0"/>
                <w:sz w:val="20"/>
                <w:szCs w:val="20"/>
              </w:rPr>
              <w:t>项目支出</w:t>
            </w:r>
          </w:p>
        </w:tc>
        <w:tc>
          <w:tcPr>
            <w:tcW w:w="1142"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0"/>
                <w:szCs w:val="20"/>
              </w:rPr>
            </w:pPr>
          </w:p>
        </w:tc>
      </w:tr>
      <w:tr>
        <w:tblPrEx>
          <w:tblLayout w:type="fixed"/>
          <w:tblCellMar>
            <w:top w:w="15" w:type="dxa"/>
            <w:left w:w="15" w:type="dxa"/>
            <w:bottom w:w="15" w:type="dxa"/>
            <w:right w:w="15" w:type="dxa"/>
          </w:tblCellMar>
        </w:tblPrEx>
        <w:trPr>
          <w:trHeight w:val="230" w:hRule="atLeast"/>
          <w:tblHeader/>
        </w:trPr>
        <w:tc>
          <w:tcPr>
            <w:tcW w:w="1292"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0"/>
                <w:szCs w:val="20"/>
              </w:rPr>
            </w:pPr>
          </w:p>
        </w:tc>
        <w:tc>
          <w:tcPr>
            <w:tcW w:w="966"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0"/>
                <w:szCs w:val="20"/>
              </w:rPr>
            </w:pPr>
          </w:p>
        </w:tc>
        <w:tc>
          <w:tcPr>
            <w:tcW w:w="1130"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0"/>
                <w:szCs w:val="20"/>
              </w:rPr>
            </w:pPr>
          </w:p>
        </w:tc>
        <w:tc>
          <w:tcPr>
            <w:tcW w:w="1137"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0"/>
                <w:szCs w:val="20"/>
              </w:rPr>
            </w:pPr>
          </w:p>
        </w:tc>
        <w:tc>
          <w:tcPr>
            <w:tcW w:w="1130"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0"/>
                <w:szCs w:val="20"/>
              </w:rPr>
            </w:pPr>
          </w:p>
        </w:tc>
        <w:tc>
          <w:tcPr>
            <w:tcW w:w="1130"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0"/>
                <w:szCs w:val="20"/>
              </w:rPr>
            </w:pPr>
          </w:p>
        </w:tc>
        <w:tc>
          <w:tcPr>
            <w:tcW w:w="1139"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0"/>
                <w:szCs w:val="20"/>
              </w:rPr>
            </w:pPr>
          </w:p>
        </w:tc>
        <w:tc>
          <w:tcPr>
            <w:tcW w:w="1142"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0"/>
                <w:szCs w:val="20"/>
              </w:rPr>
            </w:pPr>
          </w:p>
        </w:tc>
      </w:tr>
      <w:tr>
        <w:tblPrEx>
          <w:tblLayout w:type="fixed"/>
          <w:tblCellMar>
            <w:top w:w="15" w:type="dxa"/>
            <w:left w:w="15" w:type="dxa"/>
            <w:bottom w:w="15" w:type="dxa"/>
            <w:right w:w="15" w:type="dxa"/>
          </w:tblCellMar>
        </w:tblPrEx>
        <w:tc>
          <w:tcPr>
            <w:tcW w:w="225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ascii="宋体" w:hAnsi="宋体" w:cs="宋体"/>
                <w:color w:val="000000"/>
                <w:kern w:val="0"/>
                <w:sz w:val="20"/>
                <w:szCs w:val="20"/>
              </w:rPr>
              <w:t>栏次</w:t>
            </w:r>
          </w:p>
        </w:tc>
        <w:tc>
          <w:tcPr>
            <w:tcW w:w="11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1</w:t>
            </w:r>
          </w:p>
        </w:tc>
        <w:tc>
          <w:tcPr>
            <w:tcW w:w="113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2</w:t>
            </w:r>
          </w:p>
        </w:tc>
        <w:tc>
          <w:tcPr>
            <w:tcW w:w="11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3</w:t>
            </w:r>
          </w:p>
        </w:tc>
        <w:tc>
          <w:tcPr>
            <w:tcW w:w="11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4</w:t>
            </w:r>
          </w:p>
        </w:tc>
        <w:tc>
          <w:tcPr>
            <w:tcW w:w="113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5</w:t>
            </w:r>
          </w:p>
        </w:tc>
        <w:tc>
          <w:tcPr>
            <w:tcW w:w="114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6</w:t>
            </w:r>
          </w:p>
        </w:tc>
      </w:tr>
      <w:tr>
        <w:tblPrEx>
          <w:tblLayout w:type="fixed"/>
          <w:tblCellMar>
            <w:top w:w="15" w:type="dxa"/>
            <w:left w:w="15" w:type="dxa"/>
            <w:bottom w:w="15" w:type="dxa"/>
            <w:right w:w="15" w:type="dxa"/>
          </w:tblCellMar>
        </w:tblPrEx>
        <w:tc>
          <w:tcPr>
            <w:tcW w:w="2258"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ascii="宋体" w:hAnsi="宋体" w:cs="宋体"/>
                <w:color w:val="000000"/>
                <w:kern w:val="0"/>
                <w:sz w:val="20"/>
                <w:szCs w:val="20"/>
              </w:rPr>
              <w:t>合计</w:t>
            </w:r>
          </w:p>
        </w:tc>
        <w:tc>
          <w:tcPr>
            <w:tcW w:w="11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113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11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11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113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114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c>
          <w:tcPr>
            <w:tcW w:w="129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 </w:t>
            </w:r>
          </w:p>
        </w:tc>
        <w:tc>
          <w:tcPr>
            <w:tcW w:w="966"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 </w:t>
            </w:r>
          </w:p>
        </w:tc>
        <w:tc>
          <w:tcPr>
            <w:tcW w:w="11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1137"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11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1130"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1139"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114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c>
          <w:tcPr>
            <w:tcW w:w="9066" w:type="dxa"/>
            <w:gridSpan w:val="8"/>
            <w:tcMar>
              <w:top w:w="20" w:type="dxa"/>
              <w:left w:w="20" w:type="dxa"/>
              <w:bottom w:w="20" w:type="dxa"/>
              <w:right w:w="20" w:type="dxa"/>
            </w:tcMar>
            <w:vAlign w:val="center"/>
          </w:tcPr>
          <w:p>
            <w:pPr>
              <w:widowControl/>
              <w:spacing w:line="375" w:lineRule="atLeast"/>
              <w:jc w:val="left"/>
              <w:rPr>
                <w:rFonts w:eastAsia="Times New Roman"/>
                <w:color w:val="000000"/>
                <w:kern w:val="0"/>
                <w:sz w:val="20"/>
                <w:szCs w:val="20"/>
              </w:rPr>
            </w:pPr>
            <w:r>
              <w:rPr>
                <w:rFonts w:ascii="宋体" w:hAnsi="宋体" w:cs="宋体"/>
                <w:color w:val="000000"/>
                <w:kern w:val="0"/>
                <w:sz w:val="20"/>
                <w:szCs w:val="20"/>
              </w:rPr>
              <w:t>注：本表反映部门本年度政府性基金预算财政拨款收入、支出及结转和结余情况。</w:t>
            </w:r>
          </w:p>
        </w:tc>
      </w:tr>
    </w:tbl>
    <w:p/>
    <w:p/>
    <w:p>
      <w:pPr>
        <w:rPr>
          <w:rFonts w:ascii="宋体" w:hAnsi="宋体" w:cs="宋体"/>
          <w:kern w:val="0"/>
          <w:sz w:val="32"/>
          <w:szCs w:val="32"/>
        </w:rPr>
      </w:pPr>
      <w:r>
        <w:rPr>
          <w:rFonts w:hint="eastAsia" w:ascii="宋体" w:hAnsi="宋体" w:cs="宋体"/>
          <w:kern w:val="0"/>
          <w:sz w:val="32"/>
          <w:szCs w:val="32"/>
        </w:rPr>
        <w:t>本单位 2024 年度没有使用政府性基金预算财政拨款收入支出。</w:t>
      </w:r>
    </w:p>
    <w:p>
      <w:pPr>
        <w:widowControl/>
        <w:jc w:val="left"/>
        <w:rPr>
          <w:rFonts w:eastAsia="Times New Roman"/>
          <w:kern w:val="0"/>
          <w:sz w:val="24"/>
        </w:rPr>
      </w:pPr>
    </w:p>
    <w:p>
      <w:pPr>
        <w:widowControl/>
        <w:jc w:val="left"/>
        <w:rPr>
          <w:rFonts w:eastAsia="Times New Roman"/>
          <w:kern w:val="0"/>
          <w:sz w:val="24"/>
        </w:rPr>
      </w:pPr>
    </w:p>
    <w:p>
      <w:pPr>
        <w:pStyle w:val="5"/>
        <w:keepNext w:val="0"/>
        <w:keepLines w:val="0"/>
        <w:spacing w:before="100" w:after="100" w:line="240" w:lineRule="auto"/>
        <w:ind w:firstLine="0" w:firstLineChars="0"/>
        <w:rPr>
          <w:rFonts w:eastAsia="Times New Roman"/>
          <w:b/>
          <w:sz w:val="28"/>
          <w:szCs w:val="28"/>
        </w:rPr>
      </w:pPr>
      <w:bookmarkStart w:id="61" w:name="_Toc256000108"/>
      <w:bookmarkStart w:id="62" w:name="_Toc256000015"/>
      <w:bookmarkStart w:id="63" w:name="_Toc256000077"/>
      <w:bookmarkStart w:id="64" w:name="_Toc256000046"/>
      <w:r>
        <w:rPr>
          <w:rFonts w:ascii="黑体" w:hAnsi="黑体" w:eastAsia="黑体" w:cs="黑体"/>
          <w:b/>
        </w:rPr>
        <w:t>九、国有资本经营预算财政拨款支出决算表</w:t>
      </w:r>
      <w:bookmarkEnd w:id="61"/>
      <w:bookmarkEnd w:id="62"/>
      <w:bookmarkEnd w:id="63"/>
      <w:bookmarkEnd w:id="64"/>
    </w:p>
    <w:p/>
    <w:tbl>
      <w:tblPr>
        <w:tblStyle w:val="22"/>
        <w:tblW w:w="9066" w:type="dxa"/>
        <w:tblInd w:w="0" w:type="dxa"/>
        <w:tblLayout w:type="fixed"/>
        <w:tblCellMar>
          <w:top w:w="15" w:type="dxa"/>
          <w:left w:w="15" w:type="dxa"/>
          <w:bottom w:w="15" w:type="dxa"/>
          <w:right w:w="15" w:type="dxa"/>
        </w:tblCellMar>
      </w:tblPr>
      <w:tblGrid>
        <w:gridCol w:w="1811"/>
        <w:gridCol w:w="1811"/>
        <w:gridCol w:w="1811"/>
        <w:gridCol w:w="1812"/>
        <w:gridCol w:w="1821"/>
      </w:tblGrid>
      <w:tr>
        <w:tblPrEx>
          <w:tblLayout w:type="fixed"/>
          <w:tblCellMar>
            <w:top w:w="15" w:type="dxa"/>
            <w:left w:w="15" w:type="dxa"/>
            <w:bottom w:w="15" w:type="dxa"/>
            <w:right w:w="15" w:type="dxa"/>
          </w:tblCellMar>
        </w:tblPrEx>
        <w:trPr>
          <w:tblHeader/>
        </w:trPr>
        <w:tc>
          <w:tcPr>
            <w:tcW w:w="9066" w:type="dxa"/>
            <w:gridSpan w:val="5"/>
            <w:tcMar>
              <w:top w:w="20" w:type="dxa"/>
              <w:left w:w="20" w:type="dxa"/>
              <w:bottom w:w="20" w:type="dxa"/>
              <w:right w:w="20" w:type="dxa"/>
            </w:tcMar>
            <w:vAlign w:val="center"/>
          </w:tcPr>
          <w:p>
            <w:pPr>
              <w:widowControl/>
              <w:spacing w:line="900" w:lineRule="atLeast"/>
              <w:jc w:val="center"/>
              <w:rPr>
                <w:rFonts w:eastAsia="Times New Roman"/>
                <w:color w:val="000000"/>
                <w:kern w:val="0"/>
                <w:sz w:val="20"/>
                <w:szCs w:val="20"/>
              </w:rPr>
            </w:pPr>
            <w:r>
              <w:rPr>
                <w:rFonts w:ascii="宋体" w:hAnsi="宋体" w:cs="宋体"/>
                <w:color w:val="000000"/>
                <w:kern w:val="0"/>
                <w:sz w:val="20"/>
                <w:szCs w:val="20"/>
              </w:rPr>
              <w:t>国有资本经营预算财政拨款支出决算表</w:t>
            </w:r>
          </w:p>
        </w:tc>
      </w:tr>
      <w:tr>
        <w:tblPrEx>
          <w:tblLayout w:type="fixed"/>
          <w:tblCellMar>
            <w:top w:w="15" w:type="dxa"/>
            <w:left w:w="15" w:type="dxa"/>
            <w:bottom w:w="15" w:type="dxa"/>
            <w:right w:w="15" w:type="dxa"/>
          </w:tblCellMar>
        </w:tblPrEx>
        <w:trPr>
          <w:tblHeader/>
        </w:trPr>
        <w:tc>
          <w:tcPr>
            <w:tcW w:w="1811"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0"/>
                <w:szCs w:val="20"/>
              </w:rPr>
            </w:pPr>
            <w:r>
              <w:rPr>
                <w:rFonts w:eastAsia="Times New Roman"/>
                <w:color w:val="000000"/>
                <w:kern w:val="0"/>
                <w:sz w:val="20"/>
                <w:szCs w:val="20"/>
              </w:rPr>
              <w:t> </w:t>
            </w:r>
          </w:p>
        </w:tc>
        <w:tc>
          <w:tcPr>
            <w:tcW w:w="1811"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0"/>
                <w:szCs w:val="20"/>
              </w:rPr>
            </w:pPr>
            <w:r>
              <w:rPr>
                <w:rFonts w:eastAsia="Times New Roman"/>
                <w:color w:val="000000"/>
                <w:kern w:val="0"/>
                <w:sz w:val="20"/>
                <w:szCs w:val="20"/>
              </w:rPr>
              <w:t> </w:t>
            </w:r>
          </w:p>
        </w:tc>
        <w:tc>
          <w:tcPr>
            <w:tcW w:w="1811"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0"/>
                <w:szCs w:val="20"/>
              </w:rPr>
            </w:pPr>
            <w:r>
              <w:rPr>
                <w:rFonts w:eastAsia="Times New Roman"/>
                <w:color w:val="000000"/>
                <w:kern w:val="0"/>
                <w:sz w:val="20"/>
                <w:szCs w:val="20"/>
              </w:rPr>
              <w:t> </w:t>
            </w:r>
          </w:p>
        </w:tc>
        <w:tc>
          <w:tcPr>
            <w:tcW w:w="1812"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0"/>
                <w:szCs w:val="20"/>
              </w:rPr>
            </w:pPr>
            <w:r>
              <w:rPr>
                <w:rFonts w:eastAsia="Times New Roman"/>
                <w:color w:val="000000"/>
                <w:kern w:val="0"/>
                <w:sz w:val="20"/>
                <w:szCs w:val="20"/>
              </w:rPr>
              <w:t> </w:t>
            </w:r>
          </w:p>
        </w:tc>
        <w:tc>
          <w:tcPr>
            <w:tcW w:w="1821"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c>
          <w:tcPr>
            <w:tcW w:w="3622" w:type="dxa"/>
            <w:gridSpan w:val="2"/>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ascii="宋体" w:hAnsi="宋体" w:cs="宋体"/>
                <w:color w:val="000000"/>
                <w:kern w:val="0"/>
                <w:sz w:val="20"/>
                <w:szCs w:val="20"/>
              </w:rPr>
              <w:t>部门</w:t>
            </w:r>
            <w:r>
              <w:rPr>
                <w:rFonts w:eastAsia="Times New Roman"/>
                <w:color w:val="000000"/>
                <w:kern w:val="0"/>
                <w:sz w:val="20"/>
                <w:szCs w:val="20"/>
              </w:rPr>
              <w:t>/</w:t>
            </w:r>
            <w:r>
              <w:rPr>
                <w:rFonts w:ascii="宋体" w:hAnsi="宋体" w:cs="宋体"/>
                <w:color w:val="000000"/>
                <w:kern w:val="0"/>
                <w:sz w:val="20"/>
                <w:szCs w:val="20"/>
              </w:rPr>
              <w:t>单位：厦门外国语学校湖里分校</w:t>
            </w:r>
          </w:p>
        </w:tc>
        <w:tc>
          <w:tcPr>
            <w:tcW w:w="1811"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2024</w:t>
            </w:r>
            <w:r>
              <w:rPr>
                <w:rFonts w:ascii="宋体" w:hAnsi="宋体" w:cs="宋体"/>
                <w:color w:val="000000"/>
                <w:kern w:val="0"/>
                <w:sz w:val="20"/>
                <w:szCs w:val="20"/>
              </w:rPr>
              <w:t>年度</w:t>
            </w:r>
          </w:p>
        </w:tc>
        <w:tc>
          <w:tcPr>
            <w:tcW w:w="1812"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bottom"/>
          </w:tcPr>
          <w:p>
            <w:pPr>
              <w:widowControl/>
              <w:jc w:val="left"/>
              <w:rPr>
                <w:rFonts w:eastAsia="Times New Roman"/>
                <w:color w:val="000000"/>
                <w:kern w:val="0"/>
                <w:sz w:val="20"/>
                <w:szCs w:val="20"/>
              </w:rPr>
            </w:pPr>
            <w:r>
              <w:rPr>
                <w:rFonts w:eastAsia="Times New Roman"/>
                <w:color w:val="000000"/>
                <w:kern w:val="0"/>
                <w:sz w:val="20"/>
                <w:szCs w:val="20"/>
              </w:rPr>
              <w:t> </w:t>
            </w:r>
          </w:p>
        </w:tc>
        <w:tc>
          <w:tcPr>
            <w:tcW w:w="1821" w:type="dxa"/>
            <w:tcBorders>
              <w:top w:val="single" w:color="D0D7E5" w:sz="6" w:space="0"/>
              <w:left w:val="single" w:color="D0D7E5" w:sz="6" w:space="0"/>
              <w:bottom w:val="single" w:color="D0D7E5" w:sz="6" w:space="0"/>
              <w:right w:val="single" w:color="D0D7E5"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ascii="宋体" w:hAnsi="宋体" w:cs="宋体"/>
                <w:color w:val="000000"/>
                <w:kern w:val="0"/>
                <w:sz w:val="20"/>
                <w:szCs w:val="20"/>
              </w:rPr>
              <w:t>金额单位：万元</w:t>
            </w:r>
          </w:p>
        </w:tc>
      </w:tr>
      <w:tr>
        <w:tblPrEx>
          <w:tblLayout w:type="fixed"/>
          <w:tblCellMar>
            <w:top w:w="15" w:type="dxa"/>
            <w:left w:w="15" w:type="dxa"/>
            <w:bottom w:w="15" w:type="dxa"/>
            <w:right w:w="15" w:type="dxa"/>
          </w:tblCellMar>
        </w:tblPrEx>
        <w:tc>
          <w:tcPr>
            <w:tcW w:w="3622"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ascii="宋体" w:hAnsi="宋体" w:cs="宋体"/>
                <w:color w:val="000000"/>
                <w:kern w:val="0"/>
                <w:sz w:val="20"/>
                <w:szCs w:val="20"/>
              </w:rPr>
              <w:t>项目</w:t>
            </w:r>
          </w:p>
        </w:tc>
        <w:tc>
          <w:tcPr>
            <w:tcW w:w="5444" w:type="dxa"/>
            <w:gridSpan w:val="3"/>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ascii="宋体" w:hAnsi="宋体" w:cs="宋体"/>
                <w:color w:val="000000"/>
                <w:kern w:val="0"/>
                <w:sz w:val="20"/>
                <w:szCs w:val="20"/>
              </w:rPr>
              <w:t>本年支出</w:t>
            </w:r>
          </w:p>
        </w:tc>
      </w:tr>
      <w:tr>
        <w:tblPrEx>
          <w:tblLayout w:type="fixed"/>
          <w:tblCellMar>
            <w:top w:w="15" w:type="dxa"/>
            <w:left w:w="15" w:type="dxa"/>
            <w:bottom w:w="15" w:type="dxa"/>
            <w:right w:w="15" w:type="dxa"/>
          </w:tblCellMar>
        </w:tblPrEx>
        <w:trPr>
          <w:trHeight w:val="230" w:hRule="atLeast"/>
          <w:tblHeader/>
        </w:trPr>
        <w:tc>
          <w:tcPr>
            <w:tcW w:w="1811"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ascii="宋体" w:hAnsi="宋体" w:cs="宋体"/>
                <w:color w:val="000000"/>
                <w:kern w:val="0"/>
                <w:sz w:val="20"/>
                <w:szCs w:val="20"/>
              </w:rPr>
              <w:t>科目代码</w:t>
            </w:r>
          </w:p>
        </w:tc>
        <w:tc>
          <w:tcPr>
            <w:tcW w:w="1811"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ascii="宋体" w:hAnsi="宋体" w:cs="宋体"/>
                <w:color w:val="000000"/>
                <w:kern w:val="0"/>
                <w:sz w:val="20"/>
                <w:szCs w:val="20"/>
              </w:rPr>
              <w:t>科目名称</w:t>
            </w:r>
          </w:p>
        </w:tc>
        <w:tc>
          <w:tcPr>
            <w:tcW w:w="1811"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ascii="宋体" w:hAnsi="宋体" w:cs="宋体"/>
                <w:color w:val="000000"/>
                <w:kern w:val="0"/>
                <w:sz w:val="20"/>
                <w:szCs w:val="20"/>
              </w:rPr>
              <w:t>合计</w:t>
            </w:r>
          </w:p>
        </w:tc>
        <w:tc>
          <w:tcPr>
            <w:tcW w:w="1812"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ascii="宋体" w:hAnsi="宋体" w:cs="宋体"/>
                <w:color w:val="000000"/>
                <w:kern w:val="0"/>
                <w:sz w:val="20"/>
                <w:szCs w:val="20"/>
              </w:rPr>
              <w:t>基本支出</w:t>
            </w:r>
          </w:p>
        </w:tc>
        <w:tc>
          <w:tcPr>
            <w:tcW w:w="1821" w:type="dxa"/>
            <w:vMerge w:val="restar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ascii="宋体" w:hAnsi="宋体" w:cs="宋体"/>
                <w:color w:val="000000"/>
                <w:kern w:val="0"/>
                <w:sz w:val="20"/>
                <w:szCs w:val="20"/>
              </w:rPr>
              <w:t>项目支出</w:t>
            </w:r>
          </w:p>
        </w:tc>
      </w:tr>
      <w:tr>
        <w:tblPrEx>
          <w:tblLayout w:type="fixed"/>
          <w:tblCellMar>
            <w:top w:w="15" w:type="dxa"/>
            <w:left w:w="15" w:type="dxa"/>
            <w:bottom w:w="15" w:type="dxa"/>
            <w:right w:w="15" w:type="dxa"/>
          </w:tblCellMar>
        </w:tblPrEx>
        <w:trPr>
          <w:trHeight w:val="230" w:hRule="atLeast"/>
          <w:tblHeader/>
        </w:trPr>
        <w:tc>
          <w:tcPr>
            <w:tcW w:w="1811"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0"/>
                <w:szCs w:val="20"/>
              </w:rPr>
            </w:pPr>
          </w:p>
        </w:tc>
        <w:tc>
          <w:tcPr>
            <w:tcW w:w="1811"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0"/>
                <w:szCs w:val="20"/>
              </w:rPr>
            </w:pPr>
          </w:p>
        </w:tc>
        <w:tc>
          <w:tcPr>
            <w:tcW w:w="1811"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0"/>
                <w:szCs w:val="20"/>
              </w:rPr>
            </w:pPr>
          </w:p>
        </w:tc>
        <w:tc>
          <w:tcPr>
            <w:tcW w:w="1812"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0"/>
                <w:szCs w:val="20"/>
              </w:rPr>
            </w:pPr>
          </w:p>
        </w:tc>
        <w:tc>
          <w:tcPr>
            <w:tcW w:w="1821"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0"/>
                <w:szCs w:val="20"/>
              </w:rPr>
            </w:pPr>
          </w:p>
        </w:tc>
      </w:tr>
      <w:tr>
        <w:tblPrEx>
          <w:tblLayout w:type="fixed"/>
          <w:tblCellMar>
            <w:top w:w="15" w:type="dxa"/>
            <w:left w:w="15" w:type="dxa"/>
            <w:bottom w:w="15" w:type="dxa"/>
            <w:right w:w="15" w:type="dxa"/>
          </w:tblCellMar>
        </w:tblPrEx>
        <w:trPr>
          <w:trHeight w:val="230" w:hRule="atLeast"/>
          <w:tblHeader/>
        </w:trPr>
        <w:tc>
          <w:tcPr>
            <w:tcW w:w="1811"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0"/>
                <w:szCs w:val="20"/>
              </w:rPr>
            </w:pPr>
          </w:p>
        </w:tc>
        <w:tc>
          <w:tcPr>
            <w:tcW w:w="1811"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0"/>
                <w:szCs w:val="20"/>
              </w:rPr>
            </w:pPr>
          </w:p>
        </w:tc>
        <w:tc>
          <w:tcPr>
            <w:tcW w:w="1811"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0"/>
                <w:szCs w:val="20"/>
              </w:rPr>
            </w:pPr>
          </w:p>
        </w:tc>
        <w:tc>
          <w:tcPr>
            <w:tcW w:w="1812"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0"/>
                <w:szCs w:val="20"/>
              </w:rPr>
            </w:pPr>
          </w:p>
        </w:tc>
        <w:tc>
          <w:tcPr>
            <w:tcW w:w="1821" w:type="dxa"/>
            <w:vMerge w:val="continue"/>
            <w:tcBorders>
              <w:top w:val="single" w:color="000000" w:sz="6" w:space="0"/>
              <w:left w:val="single" w:color="000000" w:sz="6" w:space="0"/>
              <w:bottom w:val="single" w:color="000000" w:sz="6" w:space="0"/>
              <w:right w:val="single" w:color="000000" w:sz="6" w:space="0"/>
            </w:tcBorders>
            <w:vAlign w:val="center"/>
          </w:tcPr>
          <w:p>
            <w:pPr>
              <w:rPr>
                <w:rFonts w:eastAsia="Times New Roman"/>
                <w:color w:val="000000"/>
                <w:kern w:val="0"/>
                <w:sz w:val="20"/>
                <w:szCs w:val="20"/>
              </w:rPr>
            </w:pPr>
          </w:p>
        </w:tc>
      </w:tr>
      <w:tr>
        <w:tblPrEx>
          <w:tblLayout w:type="fixed"/>
          <w:tblCellMar>
            <w:top w:w="15" w:type="dxa"/>
            <w:left w:w="15" w:type="dxa"/>
            <w:bottom w:w="15" w:type="dxa"/>
            <w:right w:w="15" w:type="dxa"/>
          </w:tblCellMar>
        </w:tblPrEx>
        <w:tc>
          <w:tcPr>
            <w:tcW w:w="3622"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ascii="宋体" w:hAnsi="宋体" w:cs="宋体"/>
                <w:color w:val="000000"/>
                <w:kern w:val="0"/>
                <w:sz w:val="20"/>
                <w:szCs w:val="20"/>
              </w:rPr>
              <w:t>栏次</w:t>
            </w:r>
          </w:p>
        </w:tc>
        <w:tc>
          <w:tcPr>
            <w:tcW w:w="18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1</w:t>
            </w:r>
          </w:p>
        </w:tc>
        <w:tc>
          <w:tcPr>
            <w:tcW w:w="18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2</w:t>
            </w:r>
          </w:p>
        </w:tc>
        <w:tc>
          <w:tcPr>
            <w:tcW w:w="182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eastAsia="Times New Roman"/>
                <w:color w:val="000000"/>
                <w:kern w:val="0"/>
                <w:sz w:val="20"/>
                <w:szCs w:val="20"/>
              </w:rPr>
              <w:t>3</w:t>
            </w:r>
          </w:p>
        </w:tc>
      </w:tr>
      <w:tr>
        <w:tblPrEx>
          <w:tblLayout w:type="fixed"/>
          <w:tblCellMar>
            <w:top w:w="15" w:type="dxa"/>
            <w:left w:w="15" w:type="dxa"/>
            <w:bottom w:w="15" w:type="dxa"/>
            <w:right w:w="15" w:type="dxa"/>
          </w:tblCellMar>
        </w:tblPrEx>
        <w:tc>
          <w:tcPr>
            <w:tcW w:w="3622" w:type="dxa"/>
            <w:gridSpan w:val="2"/>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center"/>
              <w:rPr>
                <w:rFonts w:eastAsia="Times New Roman"/>
                <w:color w:val="000000"/>
                <w:kern w:val="0"/>
                <w:sz w:val="20"/>
                <w:szCs w:val="20"/>
              </w:rPr>
            </w:pPr>
            <w:r>
              <w:rPr>
                <w:rFonts w:ascii="宋体" w:hAnsi="宋体" w:cs="宋体"/>
                <w:color w:val="000000"/>
                <w:kern w:val="0"/>
                <w:sz w:val="20"/>
                <w:szCs w:val="20"/>
              </w:rPr>
              <w:t>合计</w:t>
            </w:r>
          </w:p>
        </w:tc>
        <w:tc>
          <w:tcPr>
            <w:tcW w:w="18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18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182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c>
          <w:tcPr>
            <w:tcW w:w="18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 </w:t>
            </w:r>
          </w:p>
        </w:tc>
        <w:tc>
          <w:tcPr>
            <w:tcW w:w="18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left"/>
              <w:rPr>
                <w:rFonts w:eastAsia="Times New Roman"/>
                <w:color w:val="000000"/>
                <w:kern w:val="0"/>
                <w:sz w:val="20"/>
                <w:szCs w:val="20"/>
              </w:rPr>
            </w:pPr>
            <w:r>
              <w:rPr>
                <w:rFonts w:eastAsia="Times New Roman"/>
                <w:color w:val="000000"/>
                <w:kern w:val="0"/>
                <w:sz w:val="20"/>
                <w:szCs w:val="20"/>
              </w:rPr>
              <w:t> </w:t>
            </w:r>
          </w:p>
        </w:tc>
        <w:tc>
          <w:tcPr>
            <w:tcW w:w="181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1812"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c>
          <w:tcPr>
            <w:tcW w:w="1821" w:type="dxa"/>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pPr>
              <w:widowControl/>
              <w:jc w:val="right"/>
              <w:rPr>
                <w:rFonts w:eastAsia="Times New Roman"/>
                <w:color w:val="000000"/>
                <w:kern w:val="0"/>
                <w:sz w:val="20"/>
                <w:szCs w:val="20"/>
              </w:rPr>
            </w:pPr>
            <w:r>
              <w:rPr>
                <w:rFonts w:eastAsia="Times New Roman"/>
                <w:color w:val="000000"/>
                <w:kern w:val="0"/>
                <w:sz w:val="20"/>
                <w:szCs w:val="20"/>
              </w:rPr>
              <w:t> </w:t>
            </w:r>
          </w:p>
        </w:tc>
      </w:tr>
      <w:tr>
        <w:tblPrEx>
          <w:tblLayout w:type="fixed"/>
          <w:tblCellMar>
            <w:top w:w="15" w:type="dxa"/>
            <w:left w:w="15" w:type="dxa"/>
            <w:bottom w:w="15" w:type="dxa"/>
            <w:right w:w="15" w:type="dxa"/>
          </w:tblCellMar>
        </w:tblPrEx>
        <w:tc>
          <w:tcPr>
            <w:tcW w:w="9066" w:type="dxa"/>
            <w:gridSpan w:val="5"/>
            <w:tcMar>
              <w:top w:w="20" w:type="dxa"/>
              <w:left w:w="20" w:type="dxa"/>
              <w:bottom w:w="20" w:type="dxa"/>
              <w:right w:w="20" w:type="dxa"/>
            </w:tcMar>
            <w:vAlign w:val="center"/>
          </w:tcPr>
          <w:p>
            <w:pPr>
              <w:widowControl/>
              <w:spacing w:line="375" w:lineRule="atLeast"/>
              <w:jc w:val="left"/>
              <w:rPr>
                <w:rFonts w:eastAsia="Times New Roman"/>
                <w:color w:val="000000"/>
                <w:kern w:val="0"/>
                <w:sz w:val="20"/>
                <w:szCs w:val="20"/>
              </w:rPr>
            </w:pPr>
            <w:r>
              <w:rPr>
                <w:rFonts w:ascii="宋体" w:hAnsi="宋体" w:cs="宋体"/>
                <w:color w:val="000000"/>
                <w:kern w:val="0"/>
                <w:sz w:val="20"/>
                <w:szCs w:val="20"/>
              </w:rPr>
              <w:t>注：本表反映部门本年度国有资本经营预算财政拨款支出情况。</w:t>
            </w:r>
          </w:p>
        </w:tc>
      </w:tr>
    </w:tbl>
    <w:p/>
    <w:p/>
    <w:p>
      <w:pPr>
        <w:widowControl/>
        <w:ind w:firstLine="640" w:firstLineChars="200"/>
        <w:jc w:val="left"/>
        <w:rPr>
          <w:rFonts w:ascii="宋体" w:hAnsi="宋体" w:cs="宋体"/>
          <w:kern w:val="0"/>
          <w:sz w:val="32"/>
          <w:szCs w:val="32"/>
        </w:rPr>
      </w:pPr>
      <w:r>
        <w:rPr>
          <w:rFonts w:hint="eastAsia" w:ascii="宋体" w:hAnsi="宋体" w:cs="宋体"/>
          <w:kern w:val="0"/>
          <w:sz w:val="32"/>
          <w:szCs w:val="32"/>
        </w:rPr>
        <w:t>本单位 2024 年度没有使用国有资本经营预算财政拨款支出。</w:t>
      </w:r>
    </w:p>
    <w:p>
      <w:pPr>
        <w:widowControl/>
        <w:ind w:firstLine="640" w:firstLineChars="200"/>
        <w:jc w:val="left"/>
        <w:rPr>
          <w:rFonts w:ascii="宋体" w:hAnsi="宋体" w:cs="宋体"/>
          <w:kern w:val="0"/>
          <w:sz w:val="32"/>
          <w:szCs w:val="32"/>
        </w:rPr>
      </w:pPr>
    </w:p>
    <w:p>
      <w:pPr>
        <w:widowControl/>
        <w:ind w:firstLine="640" w:firstLineChars="200"/>
        <w:jc w:val="left"/>
        <w:rPr>
          <w:rFonts w:ascii="宋体" w:hAnsi="宋体" w:cs="宋体"/>
          <w:kern w:val="0"/>
          <w:sz w:val="32"/>
          <w:szCs w:val="32"/>
        </w:rPr>
        <w:sectPr>
          <w:footerReference r:id="rId6" w:type="default"/>
          <w:pgSz w:w="11906" w:h="16383"/>
          <w:pgMar w:top="720" w:right="1440" w:bottom="720" w:left="1440" w:header="720" w:footer="720" w:gutter="0"/>
          <w:cols w:space="720" w:num="1"/>
        </w:sectPr>
      </w:pPr>
    </w:p>
    <w:p>
      <w:pPr>
        <w:pStyle w:val="3"/>
        <w:keepNext w:val="0"/>
        <w:keepLines w:val="0"/>
        <w:spacing w:before="100" w:after="100" w:line="240" w:lineRule="auto"/>
        <w:ind w:firstLine="0" w:firstLineChars="0"/>
        <w:jc w:val="center"/>
        <w:rPr>
          <w:rFonts w:hint="eastAsia" w:ascii="黑体" w:hAnsi="黑体" w:eastAsia="黑体" w:cs="黑体"/>
          <w:b/>
          <w:sz w:val="56"/>
          <w:szCs w:val="56"/>
        </w:rPr>
      </w:pPr>
      <w:bookmarkStart w:id="65" w:name="_Toc256000109"/>
      <w:bookmarkStart w:id="66" w:name="_Toc256000016"/>
      <w:bookmarkStart w:id="67" w:name="_Toc256000078"/>
      <w:bookmarkStart w:id="68" w:name="_Toc256000047"/>
    </w:p>
    <w:p>
      <w:pPr>
        <w:pStyle w:val="3"/>
        <w:keepNext w:val="0"/>
        <w:keepLines w:val="0"/>
        <w:spacing w:before="100" w:after="100" w:line="240" w:lineRule="auto"/>
        <w:ind w:firstLine="0" w:firstLineChars="0"/>
        <w:jc w:val="center"/>
        <w:rPr>
          <w:rFonts w:hint="eastAsia" w:ascii="黑体" w:hAnsi="黑体" w:eastAsia="黑体" w:cs="黑体"/>
          <w:b/>
          <w:sz w:val="56"/>
          <w:szCs w:val="56"/>
        </w:rPr>
      </w:pPr>
    </w:p>
    <w:p>
      <w:pPr>
        <w:pStyle w:val="3"/>
        <w:keepNext w:val="0"/>
        <w:keepLines w:val="0"/>
        <w:spacing w:before="100" w:after="100" w:line="240" w:lineRule="auto"/>
        <w:ind w:firstLine="0" w:firstLineChars="0"/>
        <w:jc w:val="center"/>
        <w:rPr>
          <w:rFonts w:hint="eastAsia" w:ascii="黑体" w:hAnsi="黑体" w:eastAsia="黑体" w:cs="黑体"/>
          <w:b/>
          <w:sz w:val="56"/>
          <w:szCs w:val="56"/>
        </w:rPr>
      </w:pPr>
    </w:p>
    <w:p>
      <w:pPr>
        <w:pStyle w:val="3"/>
        <w:keepNext w:val="0"/>
        <w:keepLines w:val="0"/>
        <w:spacing w:before="100" w:after="100" w:line="240" w:lineRule="auto"/>
        <w:ind w:firstLine="0" w:firstLineChars="0"/>
        <w:jc w:val="center"/>
        <w:rPr>
          <w:rFonts w:hint="eastAsia" w:ascii="黑体" w:hAnsi="黑体" w:eastAsia="黑体" w:cs="黑体"/>
          <w:b/>
          <w:sz w:val="56"/>
          <w:szCs w:val="56"/>
        </w:rPr>
      </w:pPr>
    </w:p>
    <w:p>
      <w:pPr>
        <w:pStyle w:val="3"/>
        <w:keepNext w:val="0"/>
        <w:keepLines w:val="0"/>
        <w:spacing w:before="100" w:after="100" w:line="240" w:lineRule="auto"/>
        <w:ind w:firstLine="0" w:firstLineChars="0"/>
        <w:jc w:val="center"/>
        <w:rPr>
          <w:rFonts w:hint="eastAsia" w:ascii="黑体" w:hAnsi="黑体" w:eastAsia="黑体" w:cs="黑体"/>
          <w:b/>
          <w:sz w:val="56"/>
          <w:szCs w:val="56"/>
        </w:rPr>
      </w:pPr>
    </w:p>
    <w:p>
      <w:pPr>
        <w:pStyle w:val="3"/>
        <w:keepNext w:val="0"/>
        <w:keepLines w:val="0"/>
        <w:spacing w:before="100" w:after="100" w:line="240" w:lineRule="auto"/>
        <w:ind w:firstLine="0" w:firstLineChars="0"/>
        <w:jc w:val="center"/>
        <w:rPr>
          <w:rFonts w:hint="eastAsia" w:ascii="黑体" w:hAnsi="黑体" w:eastAsia="黑体" w:cs="黑体"/>
          <w:b/>
          <w:sz w:val="56"/>
          <w:szCs w:val="56"/>
        </w:rPr>
      </w:pPr>
      <w:r>
        <w:rPr>
          <w:rFonts w:ascii="黑体" w:hAnsi="黑体" w:eastAsia="黑体" w:cs="黑体"/>
          <w:b/>
          <w:sz w:val="56"/>
          <w:szCs w:val="56"/>
        </w:rPr>
        <w:t>第三部分</w:t>
      </w:r>
      <w:bookmarkEnd w:id="65"/>
      <w:bookmarkEnd w:id="66"/>
      <w:bookmarkEnd w:id="67"/>
      <w:bookmarkEnd w:id="68"/>
      <w:bookmarkStart w:id="69" w:name="_Toc256000110"/>
      <w:bookmarkStart w:id="70" w:name="_Toc256000017"/>
      <w:bookmarkStart w:id="71" w:name="_Toc256000048"/>
      <w:bookmarkStart w:id="72" w:name="_Toc256000079"/>
      <w:r>
        <w:rPr>
          <w:rFonts w:hint="eastAsia" w:ascii="黑体" w:hAnsi="黑体" w:eastAsia="黑体" w:cs="黑体"/>
          <w:b/>
          <w:sz w:val="56"/>
          <w:szCs w:val="56"/>
        </w:rPr>
        <w:t xml:space="preserve"> </w:t>
      </w:r>
    </w:p>
    <w:p>
      <w:pPr>
        <w:pStyle w:val="3"/>
        <w:keepNext w:val="0"/>
        <w:keepLines w:val="0"/>
        <w:spacing w:before="100" w:after="100" w:line="240" w:lineRule="auto"/>
        <w:ind w:firstLine="0" w:firstLineChars="0"/>
        <w:jc w:val="center"/>
        <w:rPr>
          <w:rFonts w:ascii="Times New Roman" w:hAnsi="Times New Roman" w:eastAsia="Times New Roman"/>
          <w:b/>
          <w:sz w:val="36"/>
          <w:szCs w:val="36"/>
        </w:rPr>
      </w:pPr>
      <w:r>
        <w:rPr>
          <w:rFonts w:ascii="黑体" w:hAnsi="黑体" w:eastAsia="黑体" w:cs="黑体"/>
          <w:b/>
          <w:sz w:val="56"/>
          <w:szCs w:val="56"/>
        </w:rPr>
        <w:t>2024年度决算情况说明</w:t>
      </w:r>
      <w:bookmarkEnd w:id="69"/>
      <w:bookmarkEnd w:id="70"/>
      <w:bookmarkEnd w:id="71"/>
      <w:bookmarkEnd w:id="72"/>
    </w:p>
    <w:p>
      <w:pPr>
        <w:widowControl/>
        <w:jc w:val="left"/>
        <w:rPr>
          <w:rFonts w:ascii="黑体" w:hAnsi="黑体" w:eastAsia="黑体" w:cs="黑体"/>
          <w:b/>
          <w:bCs/>
          <w:kern w:val="0"/>
          <w:sz w:val="32"/>
          <w:szCs w:val="32"/>
        </w:rPr>
      </w:pPr>
      <w:bookmarkStart w:id="73" w:name="_Toc256000018"/>
      <w:bookmarkStart w:id="74" w:name="_Toc256000080"/>
      <w:bookmarkStart w:id="75" w:name="_Toc256000049"/>
      <w:bookmarkStart w:id="76" w:name="_Toc256000111"/>
      <w:r>
        <w:rPr>
          <w:rFonts w:ascii="黑体" w:hAnsi="黑体" w:eastAsia="黑体" w:cs="黑体"/>
          <w:b/>
        </w:rPr>
        <w:br w:type="page"/>
      </w:r>
    </w:p>
    <w:p>
      <w:pPr>
        <w:pStyle w:val="5"/>
        <w:keepNext w:val="0"/>
        <w:keepLines w:val="0"/>
        <w:spacing w:before="100" w:after="100" w:line="600" w:lineRule="atLeast"/>
        <w:ind w:firstLine="640"/>
        <w:rPr>
          <w:rFonts w:eastAsia="Times New Roman"/>
          <w:b/>
          <w:sz w:val="28"/>
          <w:szCs w:val="28"/>
        </w:rPr>
      </w:pPr>
      <w:r>
        <w:rPr>
          <w:rFonts w:ascii="黑体" w:hAnsi="黑体" w:eastAsia="黑体" w:cs="黑体"/>
          <w:b/>
        </w:rPr>
        <w:t>一、收入支出决算总体情况说明</w:t>
      </w:r>
      <w:bookmarkEnd w:id="73"/>
      <w:bookmarkEnd w:id="74"/>
      <w:bookmarkEnd w:id="75"/>
      <w:bookmarkEnd w:id="76"/>
    </w:p>
    <w:p>
      <w:pPr>
        <w:pStyle w:val="28"/>
        <w:widowControl/>
        <w:spacing w:before="100" w:after="100" w:line="600" w:lineRule="atLeast"/>
        <w:ind w:firstLine="640"/>
        <w:jc w:val="left"/>
        <w:rPr>
          <w:rFonts w:eastAsia="Times New Roman"/>
          <w:kern w:val="0"/>
          <w:sz w:val="24"/>
        </w:rPr>
      </w:pPr>
      <w:r>
        <w:rPr>
          <w:rFonts w:ascii="楷体_GB2312" w:hAnsi="楷体_GB2312" w:eastAsia="楷体_GB2312" w:cs="楷体_GB2312"/>
          <w:kern w:val="0"/>
          <w:sz w:val="32"/>
          <w:szCs w:val="32"/>
        </w:rPr>
        <w:t>（一）收入支出决算总体情况说明</w:t>
      </w:r>
    </w:p>
    <w:p>
      <w:pPr>
        <w:pStyle w:val="28"/>
        <w:widowControl/>
        <w:spacing w:before="100" w:after="100" w:line="600" w:lineRule="atLeast"/>
        <w:ind w:firstLine="640"/>
        <w:jc w:val="left"/>
        <w:rPr>
          <w:rFonts w:ascii="仿宋" w:hAnsi="仿宋" w:eastAsia="仿宋" w:cs="仿宋"/>
          <w:kern w:val="0"/>
          <w:sz w:val="32"/>
          <w:szCs w:val="32"/>
        </w:rPr>
      </w:pPr>
      <w:r>
        <w:rPr>
          <w:rFonts w:hint="eastAsia" w:ascii="仿宋" w:hAnsi="仿宋" w:eastAsia="仿宋" w:cs="仿宋"/>
          <w:kern w:val="0"/>
          <w:sz w:val="32"/>
          <w:szCs w:val="32"/>
        </w:rPr>
        <w:t>2024年度本单位收入总计5191.27万元，支出总计5191.27万元，与上年决算数相比，各增加199.71万元，各增长4.00%。主要是2024 年大型修缮项目比2023年更多。</w:t>
      </w:r>
    </w:p>
    <w:p>
      <w:pPr>
        <w:pStyle w:val="28"/>
        <w:widowControl/>
        <w:spacing w:before="100" w:after="100" w:line="600" w:lineRule="atLeast"/>
        <w:ind w:firstLine="640"/>
        <w:jc w:val="left"/>
        <w:rPr>
          <w:rFonts w:eastAsia="Times New Roman"/>
          <w:kern w:val="0"/>
          <w:sz w:val="24"/>
        </w:rPr>
      </w:pPr>
      <w:r>
        <w:rPr>
          <w:rFonts w:ascii="楷体_GB2312" w:hAnsi="楷体_GB2312" w:eastAsia="楷体_GB2312" w:cs="楷体_GB2312"/>
          <w:kern w:val="0"/>
          <w:sz w:val="32"/>
          <w:szCs w:val="32"/>
        </w:rPr>
        <w:t>（二）收入决算情况说明</w:t>
      </w:r>
    </w:p>
    <w:p>
      <w:pPr>
        <w:pStyle w:val="28"/>
        <w:widowControl/>
        <w:spacing w:before="100" w:after="100" w:line="600" w:lineRule="atLeast"/>
        <w:ind w:firstLine="640"/>
        <w:jc w:val="left"/>
        <w:rPr>
          <w:rFonts w:ascii="仿宋" w:hAnsi="仿宋" w:eastAsia="仿宋" w:cs="仿宋"/>
          <w:kern w:val="0"/>
          <w:sz w:val="32"/>
          <w:szCs w:val="32"/>
        </w:rPr>
      </w:pPr>
      <w:r>
        <w:rPr>
          <w:rFonts w:hint="eastAsia" w:ascii="仿宋" w:hAnsi="仿宋" w:eastAsia="仿宋" w:cs="仿宋"/>
          <w:kern w:val="0"/>
          <w:sz w:val="32"/>
          <w:szCs w:val="32"/>
        </w:rPr>
        <w:t>2024年度收入5191.27万元，比上年决算数增加199.71万元，增长4.00%，具体情况如下：</w:t>
      </w:r>
    </w:p>
    <w:p>
      <w:pPr>
        <w:pStyle w:val="28"/>
        <w:widowControl/>
        <w:spacing w:before="100" w:after="100" w:line="600" w:lineRule="atLeast"/>
        <w:ind w:left="160" w:firstLine="480"/>
        <w:jc w:val="left"/>
        <w:rPr>
          <w:rFonts w:ascii="仿宋" w:hAnsi="仿宋" w:eastAsia="仿宋" w:cs="仿宋"/>
          <w:kern w:val="0"/>
          <w:sz w:val="32"/>
          <w:szCs w:val="32"/>
        </w:rPr>
      </w:pPr>
      <w:r>
        <w:rPr>
          <w:rFonts w:hint="eastAsia" w:ascii="仿宋" w:hAnsi="仿宋" w:eastAsia="仿宋" w:cs="仿宋"/>
          <w:kern w:val="0"/>
          <w:sz w:val="32"/>
          <w:szCs w:val="32"/>
        </w:rPr>
        <w:t>1.一般公共预算财政拨款收入5191.27万元。</w:t>
      </w:r>
    </w:p>
    <w:p>
      <w:pPr>
        <w:pStyle w:val="28"/>
        <w:widowControl/>
        <w:spacing w:before="100" w:after="100" w:line="600" w:lineRule="atLeast"/>
        <w:ind w:left="160" w:firstLine="480"/>
        <w:jc w:val="left"/>
        <w:rPr>
          <w:rFonts w:ascii="仿宋" w:hAnsi="仿宋" w:eastAsia="仿宋" w:cs="仿宋"/>
          <w:kern w:val="0"/>
          <w:sz w:val="32"/>
          <w:szCs w:val="32"/>
        </w:rPr>
      </w:pPr>
      <w:r>
        <w:rPr>
          <w:rFonts w:hint="eastAsia" w:ascii="仿宋" w:hAnsi="仿宋" w:eastAsia="仿宋" w:cs="仿宋"/>
          <w:kern w:val="0"/>
          <w:sz w:val="32"/>
          <w:szCs w:val="32"/>
        </w:rPr>
        <w:t>2.政府性基金预算财政拨款收入0万元。</w:t>
      </w:r>
    </w:p>
    <w:p>
      <w:pPr>
        <w:pStyle w:val="28"/>
        <w:widowControl/>
        <w:spacing w:before="100" w:after="100" w:line="600" w:lineRule="atLeast"/>
        <w:ind w:left="160" w:firstLine="480"/>
        <w:jc w:val="left"/>
        <w:rPr>
          <w:rFonts w:ascii="仿宋" w:hAnsi="仿宋" w:eastAsia="仿宋" w:cs="仿宋"/>
          <w:kern w:val="0"/>
          <w:sz w:val="32"/>
          <w:szCs w:val="32"/>
        </w:rPr>
      </w:pPr>
      <w:r>
        <w:rPr>
          <w:rFonts w:hint="eastAsia" w:ascii="仿宋" w:hAnsi="仿宋" w:eastAsia="仿宋" w:cs="仿宋"/>
          <w:kern w:val="0"/>
          <w:sz w:val="32"/>
          <w:szCs w:val="32"/>
        </w:rPr>
        <w:t>3.国有资本经营预算财政拨款收入0万元。</w:t>
      </w:r>
    </w:p>
    <w:p>
      <w:pPr>
        <w:pStyle w:val="28"/>
        <w:widowControl/>
        <w:spacing w:before="100" w:after="100" w:line="600" w:lineRule="atLeast"/>
        <w:ind w:firstLine="640"/>
        <w:jc w:val="left"/>
        <w:rPr>
          <w:rFonts w:ascii="仿宋" w:hAnsi="仿宋" w:eastAsia="仿宋" w:cs="仿宋"/>
          <w:kern w:val="0"/>
          <w:sz w:val="32"/>
          <w:szCs w:val="32"/>
        </w:rPr>
      </w:pPr>
      <w:r>
        <w:rPr>
          <w:rFonts w:hint="eastAsia" w:ascii="仿宋" w:hAnsi="仿宋" w:eastAsia="仿宋" w:cs="仿宋"/>
          <w:kern w:val="0"/>
          <w:sz w:val="32"/>
          <w:szCs w:val="32"/>
        </w:rPr>
        <w:t>4.上级补助收入0万元。</w:t>
      </w:r>
    </w:p>
    <w:p>
      <w:pPr>
        <w:pStyle w:val="28"/>
        <w:widowControl/>
        <w:spacing w:before="100" w:after="100" w:line="600" w:lineRule="atLeast"/>
        <w:ind w:firstLine="640"/>
        <w:jc w:val="left"/>
        <w:rPr>
          <w:rFonts w:ascii="仿宋" w:hAnsi="仿宋" w:eastAsia="仿宋" w:cs="仿宋"/>
          <w:kern w:val="0"/>
          <w:sz w:val="32"/>
          <w:szCs w:val="32"/>
        </w:rPr>
      </w:pPr>
      <w:r>
        <w:rPr>
          <w:rFonts w:hint="eastAsia" w:ascii="仿宋" w:hAnsi="仿宋" w:eastAsia="仿宋" w:cs="仿宋"/>
          <w:kern w:val="0"/>
          <w:sz w:val="32"/>
          <w:szCs w:val="32"/>
        </w:rPr>
        <w:t>5.事业收入0万元。</w:t>
      </w:r>
    </w:p>
    <w:p>
      <w:pPr>
        <w:pStyle w:val="28"/>
        <w:widowControl/>
        <w:spacing w:before="100" w:after="100" w:line="600" w:lineRule="atLeast"/>
        <w:ind w:firstLine="640"/>
        <w:jc w:val="left"/>
        <w:rPr>
          <w:rFonts w:ascii="仿宋" w:hAnsi="仿宋" w:eastAsia="仿宋" w:cs="仿宋"/>
          <w:kern w:val="0"/>
          <w:sz w:val="32"/>
          <w:szCs w:val="32"/>
        </w:rPr>
      </w:pPr>
      <w:r>
        <w:rPr>
          <w:rFonts w:hint="eastAsia" w:ascii="仿宋" w:hAnsi="仿宋" w:eastAsia="仿宋" w:cs="仿宋"/>
          <w:kern w:val="0"/>
          <w:sz w:val="32"/>
          <w:szCs w:val="32"/>
        </w:rPr>
        <w:t>6.经营收入0万元。</w:t>
      </w:r>
    </w:p>
    <w:p>
      <w:pPr>
        <w:pStyle w:val="28"/>
        <w:widowControl/>
        <w:spacing w:before="100" w:after="100" w:line="600" w:lineRule="atLeast"/>
        <w:ind w:firstLine="640"/>
        <w:jc w:val="left"/>
        <w:rPr>
          <w:rFonts w:ascii="仿宋" w:hAnsi="仿宋" w:eastAsia="仿宋" w:cs="仿宋"/>
          <w:kern w:val="0"/>
          <w:sz w:val="32"/>
          <w:szCs w:val="32"/>
        </w:rPr>
      </w:pPr>
      <w:r>
        <w:rPr>
          <w:rFonts w:hint="eastAsia" w:ascii="仿宋" w:hAnsi="仿宋" w:eastAsia="仿宋" w:cs="仿宋"/>
          <w:kern w:val="0"/>
          <w:sz w:val="32"/>
          <w:szCs w:val="32"/>
        </w:rPr>
        <w:t>7.附属单位上缴收入0万元。</w:t>
      </w:r>
    </w:p>
    <w:p>
      <w:pPr>
        <w:pStyle w:val="28"/>
        <w:widowControl/>
        <w:spacing w:before="100" w:after="100" w:line="600" w:lineRule="atLeast"/>
        <w:ind w:firstLine="640"/>
        <w:jc w:val="left"/>
        <w:rPr>
          <w:rFonts w:ascii="仿宋" w:hAnsi="仿宋" w:eastAsia="仿宋" w:cs="仿宋"/>
          <w:kern w:val="0"/>
          <w:sz w:val="32"/>
          <w:szCs w:val="32"/>
        </w:rPr>
      </w:pPr>
      <w:r>
        <w:rPr>
          <w:rFonts w:hint="eastAsia" w:ascii="仿宋" w:hAnsi="仿宋" w:eastAsia="仿宋" w:cs="仿宋"/>
          <w:kern w:val="0"/>
          <w:sz w:val="32"/>
          <w:szCs w:val="32"/>
        </w:rPr>
        <w:t>8.其他收入0万元。</w:t>
      </w:r>
    </w:p>
    <w:p>
      <w:pPr>
        <w:pStyle w:val="28"/>
        <w:widowControl/>
        <w:spacing w:before="100" w:after="100" w:line="600" w:lineRule="atLeast"/>
        <w:ind w:firstLine="640"/>
        <w:jc w:val="left"/>
        <w:rPr>
          <w:rFonts w:eastAsia="Times New Roman"/>
          <w:kern w:val="0"/>
          <w:sz w:val="24"/>
        </w:rPr>
      </w:pPr>
      <w:r>
        <w:rPr>
          <w:rFonts w:ascii="楷体_GB2312" w:hAnsi="楷体_GB2312" w:eastAsia="楷体_GB2312" w:cs="楷体_GB2312"/>
          <w:kern w:val="0"/>
          <w:sz w:val="32"/>
          <w:szCs w:val="32"/>
        </w:rPr>
        <w:t>（三）支出决算情况说明</w:t>
      </w:r>
    </w:p>
    <w:p>
      <w:pPr>
        <w:pStyle w:val="28"/>
        <w:widowControl/>
        <w:spacing w:before="100" w:after="100" w:line="600" w:lineRule="atLeast"/>
        <w:ind w:firstLine="640"/>
        <w:jc w:val="left"/>
        <w:rPr>
          <w:rFonts w:ascii="仿宋" w:hAnsi="仿宋" w:eastAsia="仿宋" w:cs="仿宋"/>
          <w:kern w:val="0"/>
          <w:sz w:val="32"/>
          <w:szCs w:val="32"/>
        </w:rPr>
      </w:pPr>
      <w:bookmarkStart w:id="77" w:name="_Toc256000081"/>
      <w:bookmarkStart w:id="78" w:name="_Toc256000112"/>
      <w:bookmarkStart w:id="79" w:name="_Toc256000050"/>
      <w:bookmarkStart w:id="80" w:name="_Toc256000019"/>
      <w:r>
        <w:rPr>
          <w:rFonts w:hint="eastAsia" w:ascii="仿宋" w:hAnsi="仿宋" w:eastAsia="仿宋" w:cs="仿宋"/>
          <w:kern w:val="0"/>
          <w:sz w:val="32"/>
          <w:szCs w:val="32"/>
        </w:rPr>
        <w:t>2024年度支出5191.27万元，比上年决算数增加199.71万元，增长4.00%，具体情况如下：</w:t>
      </w:r>
    </w:p>
    <w:p>
      <w:pPr>
        <w:pStyle w:val="28"/>
        <w:widowControl/>
        <w:spacing w:before="100" w:after="100" w:line="600" w:lineRule="atLeast"/>
        <w:ind w:firstLine="640"/>
        <w:jc w:val="left"/>
        <w:rPr>
          <w:rFonts w:ascii="仿宋" w:hAnsi="仿宋" w:eastAsia="仿宋" w:cs="仿宋"/>
          <w:kern w:val="0"/>
          <w:sz w:val="32"/>
          <w:szCs w:val="32"/>
        </w:rPr>
      </w:pPr>
      <w:r>
        <w:rPr>
          <w:rFonts w:hint="eastAsia" w:ascii="仿宋" w:hAnsi="仿宋" w:eastAsia="仿宋" w:cs="仿宋"/>
          <w:kern w:val="0"/>
          <w:sz w:val="32"/>
          <w:szCs w:val="32"/>
        </w:rPr>
        <w:t>1.基本支出4166.71万元。其中，人员支出3765.87万元，公用支出400.84万元。</w:t>
      </w:r>
    </w:p>
    <w:p>
      <w:pPr>
        <w:pStyle w:val="28"/>
        <w:widowControl/>
        <w:spacing w:before="240" w:after="240"/>
        <w:ind w:firstLine="640"/>
        <w:jc w:val="left"/>
        <w:rPr>
          <w:rFonts w:ascii="仿宋" w:hAnsi="仿宋" w:eastAsia="仿宋" w:cs="仿宋"/>
          <w:kern w:val="0"/>
          <w:sz w:val="32"/>
          <w:szCs w:val="32"/>
        </w:rPr>
      </w:pPr>
      <w:r>
        <w:rPr>
          <w:rFonts w:hint="eastAsia" w:ascii="仿宋" w:hAnsi="仿宋" w:eastAsia="仿宋" w:cs="仿宋"/>
          <w:kern w:val="0"/>
          <w:sz w:val="32"/>
          <w:szCs w:val="32"/>
        </w:rPr>
        <w:t>2.项目支出1024.56万元。</w:t>
      </w:r>
    </w:p>
    <w:p>
      <w:pPr>
        <w:pStyle w:val="28"/>
        <w:widowControl/>
        <w:spacing w:before="100" w:after="100" w:line="600" w:lineRule="atLeast"/>
        <w:ind w:firstLine="640"/>
        <w:jc w:val="left"/>
        <w:rPr>
          <w:rFonts w:ascii="仿宋" w:hAnsi="仿宋" w:eastAsia="仿宋" w:cs="仿宋"/>
          <w:kern w:val="0"/>
          <w:sz w:val="32"/>
          <w:szCs w:val="32"/>
        </w:rPr>
      </w:pPr>
      <w:r>
        <w:rPr>
          <w:rFonts w:hint="eastAsia" w:ascii="仿宋" w:hAnsi="仿宋" w:eastAsia="仿宋" w:cs="仿宋"/>
          <w:kern w:val="0"/>
          <w:sz w:val="32"/>
          <w:szCs w:val="32"/>
        </w:rPr>
        <w:t>3.上缴上级支出0万元。</w:t>
      </w:r>
    </w:p>
    <w:p>
      <w:pPr>
        <w:pStyle w:val="28"/>
        <w:widowControl/>
        <w:spacing w:before="100" w:after="100" w:line="600" w:lineRule="atLeast"/>
        <w:ind w:firstLine="640"/>
        <w:jc w:val="left"/>
        <w:rPr>
          <w:rFonts w:ascii="仿宋" w:hAnsi="仿宋" w:eastAsia="仿宋" w:cs="仿宋"/>
          <w:kern w:val="0"/>
          <w:sz w:val="32"/>
          <w:szCs w:val="32"/>
        </w:rPr>
      </w:pPr>
      <w:r>
        <w:rPr>
          <w:rFonts w:hint="eastAsia" w:ascii="仿宋" w:hAnsi="仿宋" w:eastAsia="仿宋" w:cs="仿宋"/>
          <w:kern w:val="0"/>
          <w:sz w:val="32"/>
          <w:szCs w:val="32"/>
        </w:rPr>
        <w:t>4.经营支出0万元。</w:t>
      </w:r>
    </w:p>
    <w:p>
      <w:pPr>
        <w:pStyle w:val="28"/>
        <w:widowControl/>
        <w:spacing w:before="100" w:after="100" w:line="600" w:lineRule="atLeast"/>
        <w:ind w:firstLine="640"/>
        <w:jc w:val="left"/>
        <w:rPr>
          <w:rFonts w:hint="eastAsia" w:ascii="仿宋" w:hAnsi="仿宋" w:eastAsia="仿宋" w:cs="仿宋"/>
          <w:kern w:val="0"/>
          <w:sz w:val="32"/>
          <w:szCs w:val="32"/>
        </w:rPr>
      </w:pPr>
      <w:r>
        <w:rPr>
          <w:rFonts w:hint="eastAsia" w:ascii="仿宋" w:hAnsi="仿宋" w:eastAsia="仿宋" w:cs="仿宋"/>
          <w:kern w:val="0"/>
          <w:sz w:val="32"/>
          <w:szCs w:val="32"/>
        </w:rPr>
        <w:t>5.对附属单位补助支出0万元。</w:t>
      </w:r>
    </w:p>
    <w:p>
      <w:pPr>
        <w:pStyle w:val="5"/>
        <w:keepNext w:val="0"/>
        <w:keepLines w:val="0"/>
        <w:spacing w:before="100" w:after="100" w:line="240" w:lineRule="auto"/>
        <w:rPr>
          <w:rFonts w:eastAsia="Times New Roman"/>
          <w:b/>
          <w:sz w:val="28"/>
          <w:szCs w:val="28"/>
        </w:rPr>
      </w:pPr>
      <w:r>
        <w:rPr>
          <w:rFonts w:ascii="黑体" w:hAnsi="黑体" w:eastAsia="黑体" w:cs="黑体"/>
          <w:b/>
        </w:rPr>
        <w:t>二、财政拨款收入支出决算总体情况说明</w:t>
      </w:r>
      <w:bookmarkEnd w:id="77"/>
      <w:bookmarkEnd w:id="78"/>
      <w:bookmarkEnd w:id="79"/>
      <w:bookmarkEnd w:id="80"/>
    </w:p>
    <w:p>
      <w:pPr>
        <w:pStyle w:val="28"/>
        <w:widowControl/>
        <w:spacing w:before="100" w:after="100" w:line="600" w:lineRule="atLeast"/>
        <w:ind w:firstLine="640"/>
        <w:jc w:val="left"/>
        <w:rPr>
          <w:rFonts w:ascii="仿宋" w:hAnsi="仿宋" w:eastAsia="仿宋" w:cs="仿宋"/>
          <w:kern w:val="0"/>
          <w:sz w:val="32"/>
          <w:szCs w:val="32"/>
        </w:rPr>
      </w:pPr>
      <w:bookmarkStart w:id="81" w:name="_Toc256000020"/>
      <w:bookmarkStart w:id="82" w:name="_Toc256000113"/>
      <w:bookmarkStart w:id="83" w:name="_Toc256000082"/>
      <w:bookmarkStart w:id="84" w:name="_Toc256000051"/>
      <w:r>
        <w:rPr>
          <w:rFonts w:hint="eastAsia" w:ascii="仿宋" w:hAnsi="仿宋" w:eastAsia="仿宋" w:cs="仿宋"/>
          <w:kern w:val="0"/>
          <w:sz w:val="32"/>
          <w:szCs w:val="32"/>
        </w:rPr>
        <w:t>2024年度财政拨款收入总计5191.27万元，支出总计5191.27万元，与上年决算数相比，各增加199.71万元，增长4.00%，主要是2024 年大型修缮项目比2023年更多。</w:t>
      </w:r>
    </w:p>
    <w:p>
      <w:pPr>
        <w:pStyle w:val="5"/>
        <w:keepNext w:val="0"/>
        <w:keepLines w:val="0"/>
        <w:spacing w:before="100" w:after="100" w:line="600" w:lineRule="atLeast"/>
        <w:ind w:left="0" w:leftChars="0" w:firstLine="643" w:firstLineChars="200"/>
        <w:rPr>
          <w:rFonts w:eastAsia="Times New Roman"/>
          <w:b/>
          <w:sz w:val="28"/>
          <w:szCs w:val="28"/>
        </w:rPr>
      </w:pPr>
      <w:r>
        <w:rPr>
          <w:rFonts w:ascii="黑体" w:hAnsi="黑体" w:eastAsia="黑体" w:cs="黑体"/>
          <w:b/>
        </w:rPr>
        <w:t>三、一般公共预算拨款支出决算情况说明</w:t>
      </w:r>
      <w:bookmarkEnd w:id="81"/>
      <w:bookmarkEnd w:id="82"/>
      <w:bookmarkEnd w:id="83"/>
      <w:bookmarkEnd w:id="84"/>
    </w:p>
    <w:p>
      <w:pPr>
        <w:pStyle w:val="28"/>
        <w:widowControl/>
        <w:spacing w:before="100" w:after="100" w:line="600" w:lineRule="atLeast"/>
        <w:ind w:firstLine="640"/>
        <w:jc w:val="left"/>
        <w:rPr>
          <w:rFonts w:ascii="仿宋" w:hAnsi="仿宋" w:eastAsia="仿宋" w:cs="仿宋"/>
          <w:kern w:val="0"/>
          <w:sz w:val="32"/>
          <w:szCs w:val="32"/>
        </w:rPr>
      </w:pPr>
      <w:bookmarkStart w:id="85" w:name="_Toc256000021"/>
      <w:bookmarkStart w:id="86" w:name="_Toc256000083"/>
      <w:bookmarkStart w:id="87" w:name="_Toc256000114"/>
      <w:bookmarkStart w:id="88" w:name="_Toc256000052"/>
      <w:r>
        <w:rPr>
          <w:rFonts w:hint="eastAsia" w:ascii="仿宋" w:hAnsi="仿宋" w:eastAsia="仿宋" w:cs="仿宋"/>
          <w:kern w:val="0"/>
          <w:sz w:val="32"/>
          <w:szCs w:val="32"/>
        </w:rPr>
        <w:t>2024年一般公共预算支出5191.27万元，比上年决算数增加199.71万元，增长4.00%，具体情况如下：</w:t>
      </w:r>
    </w:p>
    <w:p>
      <w:pPr>
        <w:pStyle w:val="28"/>
        <w:widowControl/>
        <w:spacing w:before="100" w:after="100" w:line="600" w:lineRule="atLeast"/>
        <w:ind w:firstLine="640" w:firstLineChars="200"/>
        <w:jc w:val="left"/>
        <w:rPr>
          <w:rFonts w:ascii="仿宋" w:hAnsi="仿宋" w:eastAsia="仿宋" w:cs="仿宋"/>
          <w:kern w:val="0"/>
          <w:sz w:val="32"/>
          <w:szCs w:val="32"/>
        </w:rPr>
      </w:pPr>
      <w:r>
        <w:rPr>
          <w:rFonts w:hint="eastAsia" w:ascii="仿宋" w:hAnsi="仿宋" w:eastAsia="仿宋" w:cs="仿宋"/>
          <w:kern w:val="0"/>
          <w:sz w:val="32"/>
          <w:szCs w:val="32"/>
        </w:rPr>
        <w:t xml:space="preserve">（一）2050203 初中教育3,370.61万元，较上年决算数减少37.50万元，下降1.10%。主要原因是2024年学生人数减少。 </w:t>
      </w:r>
    </w:p>
    <w:p>
      <w:pPr>
        <w:pStyle w:val="28"/>
        <w:widowControl/>
        <w:spacing w:before="100" w:after="100" w:line="600" w:lineRule="atLeast"/>
        <w:ind w:firstLine="640" w:firstLineChars="200"/>
        <w:jc w:val="left"/>
        <w:rPr>
          <w:rFonts w:ascii="仿宋" w:hAnsi="仿宋" w:eastAsia="仿宋" w:cs="仿宋"/>
          <w:kern w:val="0"/>
          <w:sz w:val="32"/>
          <w:szCs w:val="32"/>
        </w:rPr>
      </w:pPr>
      <w:r>
        <w:rPr>
          <w:rFonts w:hint="eastAsia" w:ascii="仿宋" w:hAnsi="仿宋" w:eastAsia="仿宋" w:cs="仿宋"/>
          <w:kern w:val="0"/>
          <w:sz w:val="32"/>
          <w:szCs w:val="32"/>
        </w:rPr>
        <w:t>（二）2050299 其他普通教育支出272.88万元，较上年决算数增加1.15万元，增长0.42%。与去年相比，变化不大。</w:t>
      </w:r>
    </w:p>
    <w:p>
      <w:pPr>
        <w:pStyle w:val="28"/>
        <w:widowControl/>
        <w:spacing w:before="100" w:after="100" w:line="600" w:lineRule="atLeast"/>
        <w:ind w:firstLine="640" w:firstLineChars="200"/>
        <w:jc w:val="left"/>
        <w:rPr>
          <w:rFonts w:ascii="仿宋" w:hAnsi="仿宋" w:eastAsia="仿宋" w:cs="仿宋"/>
          <w:kern w:val="0"/>
          <w:sz w:val="32"/>
          <w:szCs w:val="32"/>
        </w:rPr>
      </w:pPr>
      <w:r>
        <w:rPr>
          <w:rFonts w:hint="eastAsia" w:ascii="仿宋" w:hAnsi="仿宋" w:eastAsia="仿宋" w:cs="仿宋"/>
          <w:kern w:val="0"/>
          <w:sz w:val="32"/>
          <w:szCs w:val="32"/>
        </w:rPr>
        <w:t>（三）2050999 其他教育费附加安排的支出844.30万元，较上年决算数增加187.70万元，增长28.59%。主要原因是2024 年大型修缮项目比2023年更多。</w:t>
      </w:r>
    </w:p>
    <w:p>
      <w:pPr>
        <w:pStyle w:val="28"/>
        <w:widowControl/>
        <w:spacing w:before="100" w:after="100" w:line="600" w:lineRule="atLeast"/>
        <w:ind w:firstLine="640" w:firstLineChars="200"/>
        <w:jc w:val="left"/>
        <w:rPr>
          <w:rFonts w:ascii="仿宋" w:hAnsi="仿宋" w:eastAsia="仿宋" w:cs="仿宋"/>
          <w:kern w:val="0"/>
          <w:sz w:val="32"/>
          <w:szCs w:val="32"/>
        </w:rPr>
      </w:pPr>
      <w:r>
        <w:rPr>
          <w:rFonts w:hint="eastAsia" w:ascii="仿宋" w:hAnsi="仿宋" w:eastAsia="仿宋" w:cs="仿宋"/>
          <w:kern w:val="0"/>
          <w:sz w:val="32"/>
          <w:szCs w:val="32"/>
        </w:rPr>
        <w:t>（四）2059999 其他教育支出1.80万元，较上年决算数减少10.20万元，下降85.00%。主要原因是2024年没有特殊资源教室建设补助经费。</w:t>
      </w:r>
    </w:p>
    <w:p>
      <w:pPr>
        <w:pStyle w:val="28"/>
        <w:widowControl/>
        <w:spacing w:before="100" w:after="100" w:line="600" w:lineRule="atLeast"/>
        <w:ind w:firstLine="640" w:firstLineChars="200"/>
        <w:jc w:val="left"/>
        <w:rPr>
          <w:rFonts w:ascii="仿宋" w:hAnsi="仿宋" w:eastAsia="仿宋" w:cs="仿宋"/>
          <w:kern w:val="0"/>
          <w:sz w:val="32"/>
          <w:szCs w:val="32"/>
        </w:rPr>
      </w:pPr>
      <w:r>
        <w:rPr>
          <w:rFonts w:hint="eastAsia" w:ascii="仿宋" w:hAnsi="仿宋" w:eastAsia="仿宋" w:cs="仿宋"/>
          <w:kern w:val="0"/>
          <w:sz w:val="32"/>
          <w:szCs w:val="32"/>
        </w:rPr>
        <w:t>（五）2080502 事业单位离退休47.48万元，较上年决算数减少3.58万元，下降7.01%。主要原因是2024年没有新增退休教师。</w:t>
      </w:r>
    </w:p>
    <w:p>
      <w:pPr>
        <w:pStyle w:val="28"/>
        <w:widowControl/>
        <w:spacing w:before="100" w:after="100" w:line="600" w:lineRule="atLeast"/>
        <w:ind w:firstLine="640" w:firstLineChars="200"/>
        <w:jc w:val="left"/>
        <w:rPr>
          <w:rFonts w:ascii="仿宋" w:hAnsi="仿宋" w:eastAsia="仿宋" w:cs="仿宋"/>
          <w:kern w:val="0"/>
          <w:sz w:val="32"/>
          <w:szCs w:val="32"/>
        </w:rPr>
      </w:pPr>
      <w:r>
        <w:rPr>
          <w:rFonts w:hint="eastAsia" w:ascii="仿宋" w:hAnsi="仿宋" w:eastAsia="仿宋" w:cs="仿宋"/>
          <w:kern w:val="0"/>
          <w:sz w:val="32"/>
          <w:szCs w:val="32"/>
        </w:rPr>
        <w:t>（六）2080505 机关事业单位基本养老保险缴费支出280.57万元，较上年决算数增加14.81万元，增长5.57%。主要原因是2024 年养老及社保基数提高。</w:t>
      </w:r>
    </w:p>
    <w:p>
      <w:pPr>
        <w:pStyle w:val="28"/>
        <w:widowControl/>
        <w:spacing w:before="100" w:after="100" w:line="600" w:lineRule="atLeast"/>
        <w:ind w:firstLine="640" w:firstLineChars="200"/>
        <w:jc w:val="left"/>
        <w:rPr>
          <w:rFonts w:ascii="仿宋" w:hAnsi="仿宋" w:eastAsia="仿宋" w:cs="仿宋"/>
          <w:kern w:val="0"/>
          <w:sz w:val="32"/>
          <w:szCs w:val="32"/>
        </w:rPr>
      </w:pPr>
      <w:r>
        <w:rPr>
          <w:rFonts w:hint="eastAsia" w:ascii="仿宋" w:hAnsi="仿宋" w:eastAsia="仿宋" w:cs="仿宋"/>
          <w:kern w:val="0"/>
          <w:sz w:val="32"/>
          <w:szCs w:val="32"/>
        </w:rPr>
        <w:t>（七）2080506 机关事业单位职业年金缴费支出141.08万元，较上年决算数减少13.31万元，下降8.62%。主要原因是2024年没有退休人员职业年金。</w:t>
      </w:r>
    </w:p>
    <w:p>
      <w:pPr>
        <w:pStyle w:val="28"/>
        <w:widowControl/>
        <w:spacing w:before="100" w:after="100" w:line="600" w:lineRule="atLeast"/>
        <w:ind w:firstLine="640" w:firstLineChars="200"/>
        <w:jc w:val="left"/>
        <w:rPr>
          <w:rFonts w:ascii="仿宋" w:hAnsi="仿宋" w:eastAsia="仿宋" w:cs="仿宋"/>
          <w:kern w:val="0"/>
          <w:sz w:val="32"/>
          <w:szCs w:val="32"/>
        </w:rPr>
      </w:pPr>
      <w:r>
        <w:rPr>
          <w:rFonts w:hint="eastAsia" w:ascii="仿宋" w:hAnsi="仿宋" w:eastAsia="仿宋" w:cs="仿宋"/>
          <w:kern w:val="0"/>
          <w:sz w:val="32"/>
          <w:szCs w:val="32"/>
        </w:rPr>
        <w:t xml:space="preserve">（八）2101102 事业单位医疗120.12万元，较上年决算数增加6.34万元，增长5.57%。主要原因是2024年医保基数提高。    </w:t>
      </w:r>
    </w:p>
    <w:p>
      <w:pPr>
        <w:pStyle w:val="28"/>
        <w:widowControl/>
        <w:spacing w:before="100" w:after="100" w:line="600" w:lineRule="atLeast"/>
        <w:ind w:firstLine="640" w:firstLineChars="200"/>
        <w:jc w:val="left"/>
        <w:rPr>
          <w:rFonts w:ascii="仿宋" w:hAnsi="仿宋" w:eastAsia="仿宋" w:cs="仿宋"/>
          <w:kern w:val="0"/>
          <w:sz w:val="32"/>
          <w:szCs w:val="32"/>
          <w:shd w:val="clear" w:color="auto" w:fill="FFFFFF"/>
        </w:rPr>
      </w:pPr>
      <w:r>
        <w:rPr>
          <w:rFonts w:hint="eastAsia" w:ascii="仿宋" w:hAnsi="仿宋" w:eastAsia="仿宋" w:cs="仿宋"/>
          <w:kern w:val="0"/>
          <w:sz w:val="32"/>
          <w:szCs w:val="32"/>
        </w:rPr>
        <w:t>（九）2101199 其他行政事业单位医疗支出61.37万元，较上年决算数增加3.24万元，增长5.57%。主要原因是2024年医保基数提高。</w:t>
      </w:r>
      <w:r>
        <w:rPr>
          <w:rFonts w:hint="eastAsia" w:ascii="仿宋" w:hAnsi="仿宋" w:eastAsia="仿宋" w:cs="仿宋"/>
          <w:kern w:val="0"/>
          <w:sz w:val="32"/>
          <w:szCs w:val="32"/>
        </w:rPr>
        <w:br w:type="textWrapping"/>
      </w:r>
      <w:r>
        <w:rPr>
          <w:rFonts w:hint="eastAsia" w:ascii="仿宋" w:hAnsi="仿宋" w:eastAsia="仿宋" w:cs="仿宋"/>
          <w:kern w:val="0"/>
          <w:sz w:val="32"/>
          <w:szCs w:val="32"/>
        </w:rPr>
        <w:t xml:space="preserve">    （十）2210203 购房补贴51.07万元，较上年决算数增加51.07万元，增长100%。主要原因是</w:t>
      </w:r>
      <w:r>
        <w:rPr>
          <w:rFonts w:hint="eastAsia" w:ascii="仿宋" w:hAnsi="仿宋" w:eastAsia="仿宋" w:cs="仿宋"/>
          <w:kern w:val="0"/>
          <w:sz w:val="32"/>
          <w:szCs w:val="32"/>
          <w:shd w:val="clear" w:color="auto" w:fill="FFFFFF"/>
        </w:rPr>
        <w:t>2024年申请购房补贴的人员增加。</w:t>
      </w:r>
    </w:p>
    <w:p>
      <w:pPr>
        <w:pStyle w:val="5"/>
        <w:keepNext w:val="0"/>
        <w:keepLines w:val="0"/>
        <w:spacing w:before="100" w:after="100" w:line="600" w:lineRule="atLeast"/>
        <w:ind w:firstLine="640" w:firstLineChars="0"/>
        <w:rPr>
          <w:rFonts w:eastAsia="Times New Roman"/>
          <w:b/>
          <w:sz w:val="28"/>
          <w:szCs w:val="28"/>
        </w:rPr>
      </w:pPr>
      <w:r>
        <w:rPr>
          <w:rFonts w:ascii="黑体" w:hAnsi="黑体" w:eastAsia="黑体" w:cs="黑体"/>
          <w:b/>
        </w:rPr>
        <w:t>四、政府性基金预算财政拨款支出决算情况说明</w:t>
      </w:r>
      <w:bookmarkEnd w:id="85"/>
      <w:bookmarkEnd w:id="86"/>
      <w:bookmarkEnd w:id="87"/>
      <w:bookmarkEnd w:id="88"/>
    </w:p>
    <w:p>
      <w:pPr>
        <w:pStyle w:val="28"/>
        <w:widowControl/>
        <w:spacing w:before="100" w:after="100" w:line="600" w:lineRule="atLeast"/>
        <w:ind w:firstLine="640"/>
        <w:jc w:val="left"/>
        <w:rPr>
          <w:rFonts w:ascii="仿宋" w:hAnsi="仿宋" w:eastAsia="仿宋" w:cs="仿宋"/>
          <w:kern w:val="0"/>
          <w:sz w:val="32"/>
          <w:szCs w:val="32"/>
        </w:rPr>
      </w:pPr>
      <w:bookmarkStart w:id="89" w:name="_Toc256000022"/>
      <w:bookmarkStart w:id="90" w:name="_Toc256000115"/>
      <w:bookmarkStart w:id="91" w:name="_Toc256000084"/>
      <w:bookmarkStart w:id="92" w:name="_Toc256000053"/>
      <w:r>
        <w:rPr>
          <w:rFonts w:hint="eastAsia" w:ascii="仿宋" w:hAnsi="仿宋" w:eastAsia="仿宋" w:cs="仿宋"/>
          <w:kern w:val="0"/>
          <w:sz w:val="32"/>
          <w:szCs w:val="32"/>
        </w:rPr>
        <w:t>2024年度政府性基金支出0万元，比上年决算数增加0万元，增长0%。</w:t>
      </w:r>
    </w:p>
    <w:p>
      <w:pPr>
        <w:pStyle w:val="28"/>
        <w:widowControl/>
        <w:spacing w:before="100" w:after="100" w:line="600" w:lineRule="atLeast"/>
        <w:ind w:firstLine="640"/>
        <w:jc w:val="left"/>
        <w:rPr>
          <w:rFonts w:ascii="仿宋" w:hAnsi="仿宋" w:eastAsia="仿宋" w:cs="仿宋"/>
          <w:kern w:val="0"/>
          <w:sz w:val="32"/>
          <w:szCs w:val="32"/>
        </w:rPr>
      </w:pPr>
      <w:r>
        <w:rPr>
          <w:rFonts w:hint="eastAsia" w:ascii="仿宋" w:hAnsi="仿宋" w:eastAsia="仿宋" w:cs="仿宋"/>
          <w:kern w:val="0"/>
          <w:sz w:val="32"/>
          <w:szCs w:val="32"/>
        </w:rPr>
        <w:t>本单位2024年度没有使用政府性基金预算拨款安排的支出。</w:t>
      </w:r>
    </w:p>
    <w:p>
      <w:pPr>
        <w:pStyle w:val="5"/>
        <w:keepNext w:val="0"/>
        <w:keepLines w:val="0"/>
        <w:spacing w:before="100" w:after="100" w:line="600" w:lineRule="atLeast"/>
        <w:ind w:left="0" w:leftChars="0" w:firstLine="643" w:firstLineChars="200"/>
        <w:rPr>
          <w:rFonts w:eastAsia="Times New Roman"/>
          <w:b/>
          <w:sz w:val="28"/>
          <w:szCs w:val="28"/>
        </w:rPr>
      </w:pPr>
      <w:r>
        <w:rPr>
          <w:rFonts w:ascii="黑体" w:hAnsi="黑体" w:eastAsia="黑体" w:cs="黑体"/>
          <w:b/>
        </w:rPr>
        <w:t>五、国有资本经营预算财政拨款支出决算情况说明</w:t>
      </w:r>
      <w:bookmarkEnd w:id="89"/>
      <w:bookmarkEnd w:id="90"/>
      <w:bookmarkEnd w:id="91"/>
      <w:bookmarkEnd w:id="92"/>
    </w:p>
    <w:p>
      <w:pPr>
        <w:pStyle w:val="28"/>
        <w:widowControl/>
        <w:spacing w:before="100" w:after="100" w:line="600" w:lineRule="atLeast"/>
        <w:ind w:firstLine="640"/>
        <w:jc w:val="left"/>
        <w:rPr>
          <w:rFonts w:ascii="仿宋" w:hAnsi="仿宋" w:eastAsia="仿宋" w:cs="仿宋"/>
          <w:kern w:val="0"/>
          <w:sz w:val="32"/>
          <w:szCs w:val="32"/>
        </w:rPr>
      </w:pPr>
      <w:r>
        <w:rPr>
          <w:rFonts w:hint="eastAsia" w:ascii="仿宋" w:hAnsi="仿宋" w:eastAsia="仿宋" w:cs="仿宋"/>
          <w:kern w:val="0"/>
          <w:sz w:val="32"/>
          <w:szCs w:val="32"/>
        </w:rPr>
        <w:t>2024年度国有资本经营预算支出0万元，比上年决算数增加0万元，增长0%。</w:t>
      </w:r>
    </w:p>
    <w:p>
      <w:pPr>
        <w:pStyle w:val="28"/>
        <w:widowControl/>
        <w:spacing w:before="100" w:after="100" w:line="600" w:lineRule="atLeast"/>
        <w:ind w:firstLine="640"/>
        <w:jc w:val="left"/>
        <w:rPr>
          <w:rFonts w:eastAsia="Times New Roman"/>
          <w:kern w:val="0"/>
          <w:sz w:val="24"/>
        </w:rPr>
      </w:pPr>
      <w:r>
        <w:rPr>
          <w:rFonts w:hint="eastAsia" w:ascii="仿宋" w:hAnsi="仿宋" w:eastAsia="仿宋" w:cs="仿宋"/>
          <w:kern w:val="0"/>
          <w:sz w:val="32"/>
          <w:szCs w:val="32"/>
        </w:rPr>
        <w:t>本单位2024年度没有使用国有资本经营预算财政拨款安排的支出。</w:t>
      </w:r>
    </w:p>
    <w:p>
      <w:pPr>
        <w:pStyle w:val="5"/>
        <w:keepNext w:val="0"/>
        <w:keepLines w:val="0"/>
        <w:spacing w:before="100" w:after="100" w:line="600" w:lineRule="atLeast"/>
        <w:ind w:firstLine="640" w:firstLineChars="0"/>
        <w:rPr>
          <w:rFonts w:eastAsia="Times New Roman"/>
          <w:b/>
          <w:sz w:val="28"/>
          <w:szCs w:val="28"/>
        </w:rPr>
      </w:pPr>
      <w:bookmarkStart w:id="93" w:name="_Toc256000085"/>
      <w:bookmarkStart w:id="94" w:name="_Toc256000116"/>
      <w:bookmarkStart w:id="95" w:name="_Toc256000054"/>
      <w:bookmarkStart w:id="96" w:name="_Toc256000023"/>
      <w:r>
        <w:rPr>
          <w:rFonts w:ascii="黑体" w:hAnsi="黑体" w:eastAsia="黑体" w:cs="黑体"/>
          <w:b/>
        </w:rPr>
        <w:t>六、一般公共预算财政拨款基本支出决算情况说明</w:t>
      </w:r>
      <w:bookmarkEnd w:id="93"/>
      <w:bookmarkEnd w:id="94"/>
      <w:bookmarkEnd w:id="95"/>
      <w:bookmarkEnd w:id="96"/>
    </w:p>
    <w:p>
      <w:pPr>
        <w:pStyle w:val="28"/>
        <w:widowControl/>
        <w:spacing w:before="100" w:after="100" w:line="600" w:lineRule="atLeast"/>
        <w:ind w:firstLine="640"/>
        <w:jc w:val="left"/>
        <w:rPr>
          <w:rFonts w:ascii="仿宋" w:hAnsi="仿宋" w:eastAsia="仿宋" w:cs="仿宋"/>
          <w:kern w:val="0"/>
          <w:sz w:val="32"/>
          <w:szCs w:val="32"/>
        </w:rPr>
      </w:pPr>
      <w:bookmarkStart w:id="97" w:name="_Toc256000086"/>
      <w:bookmarkStart w:id="98" w:name="_Toc256000024"/>
      <w:bookmarkStart w:id="99" w:name="_Toc256000055"/>
      <w:bookmarkStart w:id="100" w:name="_Toc256000117"/>
      <w:r>
        <w:rPr>
          <w:rFonts w:hint="eastAsia" w:ascii="仿宋" w:hAnsi="仿宋" w:eastAsia="仿宋" w:cs="仿宋"/>
          <w:kern w:val="0"/>
          <w:sz w:val="32"/>
          <w:szCs w:val="32"/>
        </w:rPr>
        <w:t>2024年度一般公共预算财政拨款基本支出4166.71万元，其中：</w:t>
      </w:r>
    </w:p>
    <w:p>
      <w:pPr>
        <w:pStyle w:val="28"/>
        <w:widowControl/>
        <w:spacing w:before="100" w:after="100" w:line="600" w:lineRule="atLeast"/>
        <w:ind w:firstLine="640"/>
        <w:jc w:val="left"/>
        <w:rPr>
          <w:rFonts w:ascii="仿宋" w:hAnsi="仿宋" w:eastAsia="仿宋" w:cs="仿宋"/>
          <w:kern w:val="0"/>
          <w:sz w:val="32"/>
          <w:szCs w:val="32"/>
        </w:rPr>
      </w:pPr>
      <w:r>
        <w:rPr>
          <w:rFonts w:hint="eastAsia" w:ascii="仿宋" w:hAnsi="仿宋" w:eastAsia="仿宋" w:cs="仿宋"/>
          <w:kern w:val="0"/>
          <w:sz w:val="32"/>
          <w:szCs w:val="32"/>
        </w:rPr>
        <w:t>（一）人员经费3765.87万元，主要包括：基本工资、津贴补贴、奖金、绩效工资、机关事业单位基本养老保险缴费、职业年金缴费、职工基本医疗保险缴费、公务员医疗补助缴费、其他社会保障缴费、住房公积金、医疗费、其他工资福利支出、离休费、退休费、抚恤金、生活补助、医疗费补助、奖励金、其他对个人和家庭的补助。</w:t>
      </w:r>
    </w:p>
    <w:p>
      <w:pPr>
        <w:pStyle w:val="28"/>
        <w:widowControl/>
        <w:spacing w:before="100" w:after="100" w:line="600" w:lineRule="atLeast"/>
        <w:ind w:firstLine="640"/>
        <w:jc w:val="left"/>
        <w:rPr>
          <w:rFonts w:ascii="仿宋" w:hAnsi="仿宋" w:eastAsia="仿宋" w:cs="仿宋"/>
          <w:kern w:val="0"/>
          <w:sz w:val="32"/>
          <w:szCs w:val="32"/>
        </w:rPr>
      </w:pPr>
      <w:r>
        <w:rPr>
          <w:rFonts w:hint="eastAsia" w:ascii="仿宋" w:hAnsi="仿宋" w:eastAsia="仿宋" w:cs="仿宋"/>
          <w:kern w:val="0"/>
          <w:sz w:val="32"/>
          <w:szCs w:val="32"/>
        </w:rPr>
        <w:t>（二）公用经费400.84万元，主要包括：办公费、印刷费、咨询费、手续费、水费、电费、邮电费、取暖费、物业管理费、差旅费、维修（护）费、租赁费、会议费、培训费、公务接待费、专用材料费、劳务费、委托业务费、工会经费、福利费、公务用车运行维护费、其他交通费用、税金及附加费用、其他商品和服务支出、办公设备购置、专用设备购置、信息网络及软件购置更新、公务用车购置、其他交通工具购置、文物和陈列品购置、无形资产购置、其他资本性支出、赠与。</w:t>
      </w:r>
    </w:p>
    <w:p>
      <w:pPr>
        <w:pStyle w:val="5"/>
        <w:keepNext w:val="0"/>
        <w:keepLines w:val="0"/>
        <w:spacing w:before="100" w:after="100" w:line="600" w:lineRule="atLeast"/>
        <w:ind w:left="0" w:leftChars="0" w:firstLine="643" w:firstLineChars="200"/>
        <w:rPr>
          <w:rFonts w:ascii="黑体" w:hAnsi="黑体" w:eastAsia="黑体" w:cs="黑体"/>
          <w:b/>
        </w:rPr>
      </w:pPr>
      <w:r>
        <w:rPr>
          <w:rFonts w:ascii="黑体" w:hAnsi="黑体" w:eastAsia="黑体" w:cs="黑体"/>
          <w:b/>
        </w:rPr>
        <w:t>七、一般公共预算拨款“三公”经费支出决算情况说明</w:t>
      </w:r>
      <w:bookmarkEnd w:id="97"/>
      <w:bookmarkEnd w:id="98"/>
      <w:bookmarkEnd w:id="99"/>
      <w:bookmarkEnd w:id="100"/>
      <w:bookmarkStart w:id="101" w:name="_Toc256000118"/>
      <w:bookmarkStart w:id="102" w:name="_Toc256000056"/>
      <w:bookmarkStart w:id="103" w:name="_Toc256000087"/>
      <w:bookmarkStart w:id="104" w:name="_Toc256000025"/>
    </w:p>
    <w:p>
      <w:pPr>
        <w:pStyle w:val="5"/>
        <w:keepNext w:val="0"/>
        <w:keepLines w:val="0"/>
        <w:spacing w:before="100" w:after="100" w:line="600" w:lineRule="atLeast"/>
        <w:ind w:left="0" w:leftChars="0" w:firstLine="640" w:firstLineChars="200"/>
        <w:rPr>
          <w:rFonts w:ascii="仿宋" w:hAnsi="仿宋" w:eastAsia="仿宋" w:cs="仿宋"/>
          <w:kern w:val="0"/>
          <w:sz w:val="32"/>
          <w:szCs w:val="32"/>
        </w:rPr>
      </w:pPr>
      <w:r>
        <w:rPr>
          <w:rFonts w:hint="eastAsia" w:ascii="仿宋" w:hAnsi="仿宋" w:eastAsia="仿宋" w:cs="仿宋"/>
          <w:kern w:val="0"/>
          <w:sz w:val="32"/>
          <w:szCs w:val="32"/>
        </w:rPr>
        <w:t>2024年度一般公共预算拨款“三公”经费支出0万元，完成全年预算的 0%；较上年增加0万元，增长0%。主要原因是本单位没有使用“三公”经费支出。具体情况如下：</w:t>
      </w:r>
    </w:p>
    <w:p>
      <w:pPr>
        <w:pStyle w:val="28"/>
        <w:widowControl/>
        <w:spacing w:before="100" w:after="100" w:line="600" w:lineRule="atLeast"/>
        <w:ind w:firstLine="704"/>
        <w:jc w:val="left"/>
        <w:rPr>
          <w:rFonts w:ascii="仿宋" w:hAnsi="仿宋" w:eastAsia="仿宋" w:cs="仿宋"/>
          <w:kern w:val="0"/>
          <w:sz w:val="32"/>
          <w:szCs w:val="32"/>
        </w:rPr>
      </w:pPr>
      <w:r>
        <w:rPr>
          <w:rFonts w:hint="eastAsia" w:ascii="仿宋" w:hAnsi="仿宋" w:eastAsia="仿宋" w:cs="仿宋"/>
          <w:kern w:val="0"/>
          <w:sz w:val="32"/>
          <w:szCs w:val="32"/>
        </w:rPr>
        <w:t>（一）因公出国（境）费支出0万元，完成全年预算的 0%；较上年增加0万元，增长0%。全年安排本单位组织的出国团组0 个，参加其他单位出国团组个；全年因公出国（境）累计0人次。主要是本部门没有安排出国团组及参加其他单位出国团组。</w:t>
      </w:r>
    </w:p>
    <w:p>
      <w:pPr>
        <w:pStyle w:val="28"/>
        <w:widowControl/>
        <w:spacing w:before="100" w:after="100" w:line="600" w:lineRule="atLeast"/>
        <w:ind w:firstLine="645"/>
        <w:jc w:val="left"/>
        <w:rPr>
          <w:rFonts w:ascii="仿宋" w:hAnsi="仿宋" w:eastAsia="仿宋" w:cs="仿宋"/>
          <w:kern w:val="0"/>
          <w:sz w:val="32"/>
          <w:szCs w:val="32"/>
        </w:rPr>
      </w:pPr>
      <w:r>
        <w:rPr>
          <w:rFonts w:hint="eastAsia" w:ascii="仿宋" w:hAnsi="仿宋" w:eastAsia="仿宋" w:cs="仿宋"/>
          <w:kern w:val="0"/>
          <w:sz w:val="32"/>
          <w:szCs w:val="32"/>
        </w:rPr>
        <w:t>（二）公务用车购置及运行费支出0万元，完成全年预算的0%；较上年增加0万元，增长0%。主要是本单位没有购置公务用车及运行费支出。其中：</w:t>
      </w:r>
    </w:p>
    <w:p>
      <w:pPr>
        <w:pStyle w:val="28"/>
        <w:widowControl/>
        <w:spacing w:before="100" w:after="100" w:line="600" w:lineRule="atLeast"/>
        <w:ind w:firstLine="645"/>
        <w:jc w:val="left"/>
        <w:rPr>
          <w:rFonts w:ascii="仿宋" w:hAnsi="仿宋" w:eastAsia="仿宋" w:cs="仿宋"/>
          <w:kern w:val="0"/>
          <w:sz w:val="32"/>
          <w:szCs w:val="32"/>
        </w:rPr>
      </w:pPr>
      <w:r>
        <w:rPr>
          <w:rFonts w:hint="eastAsia" w:ascii="仿宋" w:hAnsi="仿宋" w:eastAsia="仿宋" w:cs="仿宋"/>
          <w:kern w:val="0"/>
          <w:sz w:val="32"/>
          <w:szCs w:val="32"/>
        </w:rPr>
        <w:t>公务用车购置费支出0万元，完成全年预算的0%；较上年增加0万元，增长0%，主要是本年无公务用车购置费支出。2024年公务用车购置0辆，主要是本单位没有购置公务用车。</w:t>
      </w:r>
    </w:p>
    <w:p>
      <w:pPr>
        <w:pStyle w:val="28"/>
        <w:widowControl/>
        <w:spacing w:before="100" w:after="100" w:line="600" w:lineRule="atLeast"/>
        <w:ind w:firstLine="645"/>
        <w:jc w:val="left"/>
        <w:rPr>
          <w:rFonts w:ascii="仿宋" w:hAnsi="仿宋" w:eastAsia="仿宋" w:cs="仿宋"/>
          <w:kern w:val="0"/>
          <w:sz w:val="32"/>
          <w:szCs w:val="32"/>
        </w:rPr>
      </w:pPr>
      <w:r>
        <w:rPr>
          <w:rFonts w:hint="eastAsia" w:ascii="仿宋" w:hAnsi="仿宋" w:eastAsia="仿宋" w:cs="仿宋"/>
          <w:kern w:val="0"/>
          <w:sz w:val="32"/>
          <w:szCs w:val="32"/>
        </w:rPr>
        <w:t>公务用车运行费支出0万元，完成全年预算的0%；较上年增加0万元，增长0%。主要是本单位无公务用车运行费用支出。截至2024年12月31日，本单位公务用车保有量为0 辆。</w:t>
      </w:r>
    </w:p>
    <w:p>
      <w:pPr>
        <w:pStyle w:val="28"/>
        <w:widowControl/>
        <w:numPr>
          <w:ilvl w:val="0"/>
          <w:numId w:val="3"/>
        </w:numPr>
        <w:spacing w:before="100" w:after="100" w:line="600" w:lineRule="atLeast"/>
        <w:ind w:firstLine="645"/>
        <w:jc w:val="left"/>
        <w:rPr>
          <w:rFonts w:ascii="仿宋" w:hAnsi="仿宋" w:eastAsia="仿宋" w:cs="仿宋"/>
          <w:kern w:val="0"/>
          <w:sz w:val="32"/>
          <w:szCs w:val="32"/>
        </w:rPr>
      </w:pPr>
      <w:r>
        <w:rPr>
          <w:rFonts w:hint="eastAsia" w:ascii="仿宋" w:hAnsi="仿宋" w:eastAsia="仿宋" w:cs="仿宋"/>
          <w:kern w:val="0"/>
          <w:sz w:val="32"/>
          <w:szCs w:val="32"/>
        </w:rPr>
        <w:t>公务接待费支出0万元，完成全年预算的 0%；较上年增加0万元，增长0%。主要是本部门没有公务接待活动。累计接待0批次、0人次。</w:t>
      </w:r>
    </w:p>
    <w:p>
      <w:pPr>
        <w:pStyle w:val="5"/>
        <w:keepNext w:val="0"/>
        <w:keepLines w:val="0"/>
        <w:spacing w:before="100" w:after="100" w:line="600" w:lineRule="atLeast"/>
        <w:ind w:left="0" w:leftChars="0" w:firstLine="643" w:firstLineChars="200"/>
        <w:rPr>
          <w:rFonts w:ascii="黑体" w:hAnsi="黑体" w:eastAsia="黑体" w:cs="黑体"/>
          <w:b/>
        </w:rPr>
      </w:pPr>
      <w:r>
        <w:rPr>
          <w:rFonts w:ascii="黑体" w:hAnsi="黑体" w:eastAsia="黑体" w:cs="黑体"/>
          <w:b/>
        </w:rPr>
        <w:t>八、预算绩效情况说明</w:t>
      </w:r>
      <w:bookmarkEnd w:id="101"/>
      <w:bookmarkEnd w:id="102"/>
      <w:bookmarkEnd w:id="103"/>
      <w:bookmarkEnd w:id="104"/>
    </w:p>
    <w:p>
      <w:pPr>
        <w:pStyle w:val="5"/>
        <w:keepNext w:val="0"/>
        <w:keepLines w:val="0"/>
        <w:spacing w:before="100" w:after="100" w:line="600" w:lineRule="atLeast"/>
        <w:ind w:left="0" w:leftChars="0" w:firstLine="640" w:firstLineChars="200"/>
        <w:rPr>
          <w:rFonts w:eastAsia="Times New Roman"/>
          <w:kern w:val="0"/>
          <w:sz w:val="24"/>
        </w:rPr>
      </w:pPr>
      <w:r>
        <w:rPr>
          <w:rFonts w:hint="eastAsia" w:ascii="仿宋" w:hAnsi="仿宋" w:eastAsia="仿宋" w:cs="仿宋"/>
          <w:kern w:val="0"/>
          <w:sz w:val="32"/>
          <w:szCs w:val="32"/>
        </w:rPr>
        <w:t>根据预算绩效管理要求，本单位组织对2024年度1个项目实施单位自评，是义务教育困难学生营养餐补助项目，涉及财政拨款资金共计5.4万元。(《项目支出绩效自评表》详见附件)</w:t>
      </w:r>
    </w:p>
    <w:p>
      <w:pPr>
        <w:pStyle w:val="5"/>
        <w:keepNext w:val="0"/>
        <w:keepLines w:val="0"/>
        <w:spacing w:before="100" w:after="100" w:line="600" w:lineRule="atLeast"/>
        <w:ind w:firstLine="640" w:firstLineChars="0"/>
        <w:rPr>
          <w:rFonts w:ascii="黑体" w:hAnsi="黑体" w:eastAsia="黑体" w:cs="黑体"/>
          <w:b/>
        </w:rPr>
      </w:pPr>
      <w:bookmarkStart w:id="105" w:name="_Toc256000057"/>
      <w:bookmarkStart w:id="106" w:name="_Toc256000088"/>
      <w:bookmarkStart w:id="107" w:name="_Toc256000026"/>
      <w:bookmarkStart w:id="108" w:name="_Toc256000119"/>
    </w:p>
    <w:p>
      <w:pPr>
        <w:pStyle w:val="5"/>
        <w:keepNext w:val="0"/>
        <w:keepLines w:val="0"/>
        <w:spacing w:before="100" w:after="100" w:line="600" w:lineRule="atLeast"/>
        <w:ind w:firstLine="640" w:firstLineChars="0"/>
        <w:rPr>
          <w:rFonts w:eastAsia="Times New Roman"/>
          <w:b/>
          <w:sz w:val="28"/>
          <w:szCs w:val="28"/>
        </w:rPr>
      </w:pPr>
      <w:r>
        <w:rPr>
          <w:rFonts w:ascii="黑体" w:hAnsi="黑体" w:eastAsia="黑体" w:cs="黑体"/>
          <w:b/>
        </w:rPr>
        <w:t>九、其他重要事项说明</w:t>
      </w:r>
      <w:bookmarkEnd w:id="105"/>
      <w:bookmarkEnd w:id="106"/>
      <w:bookmarkEnd w:id="107"/>
      <w:bookmarkEnd w:id="108"/>
    </w:p>
    <w:p>
      <w:pPr>
        <w:pStyle w:val="28"/>
        <w:widowControl/>
        <w:spacing w:before="100" w:after="100" w:line="600" w:lineRule="atLeast"/>
        <w:ind w:firstLine="643"/>
        <w:jc w:val="left"/>
        <w:rPr>
          <w:rStyle w:val="30"/>
          <w:rFonts w:ascii="楷体" w:hAnsi="楷体" w:eastAsia="楷体" w:cs="楷体"/>
          <w:b/>
          <w:bCs/>
          <w:kern w:val="0"/>
          <w:sz w:val="32"/>
          <w:szCs w:val="32"/>
        </w:rPr>
      </w:pPr>
      <w:r>
        <w:rPr>
          <w:rStyle w:val="30"/>
          <w:rFonts w:ascii="楷体" w:hAnsi="楷体" w:eastAsia="楷体" w:cs="楷体"/>
          <w:b/>
          <w:bCs/>
          <w:kern w:val="0"/>
          <w:sz w:val="32"/>
          <w:szCs w:val="32"/>
        </w:rPr>
        <w:t>（一）机关运行经费 </w:t>
      </w:r>
    </w:p>
    <w:p>
      <w:pPr>
        <w:pStyle w:val="28"/>
        <w:widowControl/>
        <w:spacing w:before="100" w:after="100" w:line="600" w:lineRule="atLeast"/>
        <w:ind w:firstLine="640"/>
        <w:jc w:val="left"/>
        <w:rPr>
          <w:rFonts w:ascii="仿宋" w:hAnsi="仿宋" w:eastAsia="仿宋" w:cs="仿宋"/>
          <w:kern w:val="0"/>
          <w:sz w:val="32"/>
          <w:szCs w:val="32"/>
        </w:rPr>
      </w:pPr>
      <w:r>
        <w:rPr>
          <w:rFonts w:hint="eastAsia" w:ascii="仿宋" w:hAnsi="仿宋" w:eastAsia="仿宋" w:cs="仿宋"/>
          <w:kern w:val="0"/>
          <w:sz w:val="32"/>
          <w:szCs w:val="32"/>
        </w:rPr>
        <w:t>2024年度机关运行经费支出0万元，比上年决算数增加0万元，增长0%。</w:t>
      </w:r>
    </w:p>
    <w:p>
      <w:pPr>
        <w:pStyle w:val="28"/>
        <w:widowControl/>
        <w:spacing w:before="100" w:after="100" w:line="600" w:lineRule="atLeast"/>
        <w:ind w:firstLine="640"/>
        <w:jc w:val="left"/>
        <w:rPr>
          <w:rFonts w:ascii="仿宋" w:hAnsi="仿宋" w:eastAsia="仿宋" w:cs="仿宋"/>
          <w:kern w:val="0"/>
          <w:sz w:val="32"/>
          <w:szCs w:val="32"/>
        </w:rPr>
      </w:pPr>
      <w:r>
        <w:rPr>
          <w:rFonts w:hint="eastAsia" w:ascii="仿宋" w:hAnsi="仿宋" w:eastAsia="仿宋" w:cs="仿宋"/>
          <w:kern w:val="0"/>
          <w:sz w:val="32"/>
          <w:szCs w:val="32"/>
        </w:rPr>
        <w:t>本单位为事业单位，没有机关运行经费。</w:t>
      </w:r>
    </w:p>
    <w:p>
      <w:pPr>
        <w:pStyle w:val="28"/>
        <w:widowControl/>
        <w:spacing w:before="100" w:after="100" w:line="600" w:lineRule="atLeast"/>
        <w:ind w:firstLine="643"/>
        <w:jc w:val="left"/>
        <w:rPr>
          <w:rFonts w:eastAsia="Times New Roman"/>
          <w:kern w:val="0"/>
          <w:sz w:val="24"/>
        </w:rPr>
      </w:pPr>
      <w:r>
        <w:rPr>
          <w:rStyle w:val="30"/>
          <w:rFonts w:ascii="楷体" w:hAnsi="楷体" w:eastAsia="楷体" w:cs="楷体"/>
          <w:b/>
          <w:bCs/>
          <w:kern w:val="0"/>
          <w:sz w:val="32"/>
          <w:szCs w:val="32"/>
        </w:rPr>
        <w:t>（二）政府采购情况</w:t>
      </w:r>
    </w:p>
    <w:p>
      <w:pPr>
        <w:pStyle w:val="28"/>
        <w:widowControl/>
        <w:spacing w:before="100" w:after="100" w:line="600" w:lineRule="atLeast"/>
        <w:ind w:firstLine="640"/>
        <w:jc w:val="left"/>
        <w:rPr>
          <w:rFonts w:eastAsia="仿宋"/>
          <w:kern w:val="0"/>
          <w:sz w:val="24"/>
        </w:rPr>
      </w:pPr>
      <w:r>
        <w:rPr>
          <w:rFonts w:ascii="仿宋" w:hAnsi="仿宋" w:eastAsia="仿宋" w:cs="仿宋"/>
          <w:kern w:val="0"/>
          <w:sz w:val="32"/>
          <w:szCs w:val="32"/>
        </w:rPr>
        <w:t>本单位2024年度政府采购支出总额</w:t>
      </w:r>
      <w:r>
        <w:rPr>
          <w:rFonts w:hint="eastAsia" w:ascii="仿宋" w:hAnsi="仿宋" w:eastAsia="仿宋" w:cs="仿宋"/>
          <w:kern w:val="0"/>
          <w:sz w:val="32"/>
          <w:szCs w:val="32"/>
        </w:rPr>
        <w:t>153.69</w:t>
      </w:r>
      <w:r>
        <w:rPr>
          <w:rFonts w:ascii="仿宋" w:hAnsi="仿宋" w:eastAsia="仿宋" w:cs="仿宋"/>
          <w:kern w:val="0"/>
          <w:sz w:val="32"/>
          <w:szCs w:val="32"/>
        </w:rPr>
        <w:t>万元，其中：政府采购货物支出</w:t>
      </w:r>
      <w:r>
        <w:rPr>
          <w:rFonts w:hint="eastAsia" w:ascii="仿宋" w:hAnsi="仿宋" w:eastAsia="仿宋" w:cs="仿宋"/>
          <w:kern w:val="0"/>
          <w:sz w:val="32"/>
          <w:szCs w:val="32"/>
        </w:rPr>
        <w:t>153.69</w:t>
      </w:r>
      <w:r>
        <w:rPr>
          <w:rFonts w:ascii="仿宋" w:hAnsi="仿宋" w:eastAsia="仿宋" w:cs="仿宋"/>
          <w:kern w:val="0"/>
          <w:sz w:val="32"/>
          <w:szCs w:val="32"/>
        </w:rPr>
        <w:t>万元、政府采购工程支出0万元、政府采购服务支出0万元。授予中小企业合同金额</w:t>
      </w:r>
      <w:r>
        <w:rPr>
          <w:rFonts w:hint="eastAsia" w:ascii="仿宋" w:hAnsi="仿宋" w:eastAsia="仿宋" w:cs="仿宋"/>
          <w:kern w:val="0"/>
          <w:sz w:val="32"/>
          <w:szCs w:val="32"/>
        </w:rPr>
        <w:t>153.69</w:t>
      </w:r>
      <w:r>
        <w:rPr>
          <w:rFonts w:ascii="仿宋" w:hAnsi="仿宋" w:eastAsia="仿宋" w:cs="仿宋"/>
          <w:kern w:val="0"/>
          <w:sz w:val="32"/>
          <w:szCs w:val="32"/>
        </w:rPr>
        <w:t>万元，占政府采购支出总额的</w:t>
      </w:r>
      <w:r>
        <w:rPr>
          <w:rFonts w:hint="eastAsia" w:ascii="仿宋" w:hAnsi="仿宋" w:eastAsia="仿宋" w:cs="仿宋"/>
          <w:kern w:val="0"/>
          <w:sz w:val="32"/>
          <w:szCs w:val="32"/>
        </w:rPr>
        <w:t>100</w:t>
      </w:r>
      <w:r>
        <w:rPr>
          <w:rFonts w:ascii="仿宋" w:hAnsi="仿宋" w:eastAsia="仿宋" w:cs="仿宋"/>
          <w:kern w:val="0"/>
          <w:sz w:val="32"/>
          <w:szCs w:val="32"/>
        </w:rPr>
        <w:t>%，其中：授予小微企业合同金额</w:t>
      </w:r>
      <w:r>
        <w:rPr>
          <w:rFonts w:hint="eastAsia" w:ascii="仿宋" w:hAnsi="仿宋" w:eastAsia="仿宋" w:cs="仿宋"/>
          <w:kern w:val="0"/>
          <w:sz w:val="32"/>
          <w:szCs w:val="32"/>
        </w:rPr>
        <w:t>153.69</w:t>
      </w:r>
      <w:r>
        <w:rPr>
          <w:rFonts w:ascii="仿宋" w:hAnsi="仿宋" w:eastAsia="仿宋" w:cs="仿宋"/>
          <w:kern w:val="0"/>
          <w:sz w:val="32"/>
          <w:szCs w:val="32"/>
        </w:rPr>
        <w:t>万元，占授予中小企业合同金额的</w:t>
      </w:r>
      <w:r>
        <w:rPr>
          <w:rFonts w:hint="eastAsia" w:ascii="仿宋" w:hAnsi="仿宋" w:eastAsia="仿宋" w:cs="仿宋"/>
          <w:kern w:val="0"/>
          <w:sz w:val="32"/>
          <w:szCs w:val="32"/>
        </w:rPr>
        <w:t>10</w:t>
      </w:r>
      <w:r>
        <w:rPr>
          <w:rFonts w:ascii="仿宋" w:hAnsi="仿宋" w:eastAsia="仿宋" w:cs="仿宋"/>
          <w:kern w:val="0"/>
          <w:sz w:val="32"/>
          <w:szCs w:val="32"/>
        </w:rPr>
        <w:t>0%；货物采购授予中小企业合同金额占货物支出金额的</w:t>
      </w:r>
      <w:r>
        <w:rPr>
          <w:rFonts w:hint="eastAsia" w:ascii="仿宋" w:hAnsi="仿宋" w:eastAsia="仿宋" w:cs="仿宋"/>
          <w:kern w:val="0"/>
          <w:sz w:val="32"/>
          <w:szCs w:val="32"/>
        </w:rPr>
        <w:t>100</w:t>
      </w:r>
      <w:r>
        <w:rPr>
          <w:rFonts w:ascii="仿宋" w:hAnsi="仿宋" w:eastAsia="仿宋" w:cs="仿宋"/>
          <w:kern w:val="0"/>
          <w:sz w:val="32"/>
          <w:szCs w:val="32"/>
        </w:rPr>
        <w:t>%，工程采购授予中小企业合同金额占工程支出金额的</w:t>
      </w:r>
      <w:r>
        <w:rPr>
          <w:rFonts w:hint="eastAsia" w:ascii="仿宋" w:hAnsi="仿宋" w:eastAsia="仿宋" w:cs="仿宋"/>
          <w:kern w:val="0"/>
          <w:sz w:val="32"/>
          <w:szCs w:val="32"/>
        </w:rPr>
        <w:t>0</w:t>
      </w:r>
      <w:r>
        <w:rPr>
          <w:rFonts w:ascii="仿宋" w:hAnsi="仿宋" w:eastAsia="仿宋" w:cs="仿宋"/>
          <w:kern w:val="0"/>
          <w:sz w:val="32"/>
          <w:szCs w:val="32"/>
        </w:rPr>
        <w:t>%，服务采购授予中小企业合同金额占服务支出金额的</w:t>
      </w:r>
      <w:r>
        <w:rPr>
          <w:rFonts w:hint="eastAsia" w:ascii="仿宋" w:hAnsi="仿宋" w:eastAsia="仿宋" w:cs="仿宋"/>
          <w:kern w:val="0"/>
          <w:sz w:val="32"/>
          <w:szCs w:val="32"/>
        </w:rPr>
        <w:t>0</w:t>
      </w:r>
      <w:r>
        <w:rPr>
          <w:rFonts w:ascii="仿宋" w:hAnsi="仿宋" w:eastAsia="仿宋" w:cs="仿宋"/>
          <w:kern w:val="0"/>
          <w:sz w:val="32"/>
          <w:szCs w:val="32"/>
        </w:rPr>
        <w:t>%</w:t>
      </w:r>
      <w:r>
        <w:rPr>
          <w:rFonts w:hint="eastAsia" w:ascii="仿宋" w:hAnsi="仿宋" w:eastAsia="仿宋" w:cs="仿宋"/>
          <w:kern w:val="0"/>
          <w:sz w:val="32"/>
          <w:szCs w:val="32"/>
        </w:rPr>
        <w:t>。</w:t>
      </w:r>
    </w:p>
    <w:p>
      <w:pPr>
        <w:pStyle w:val="28"/>
        <w:widowControl/>
        <w:spacing w:before="100" w:after="100" w:line="600" w:lineRule="atLeast"/>
        <w:ind w:firstLine="707"/>
        <w:jc w:val="left"/>
        <w:rPr>
          <w:rFonts w:eastAsia="Times New Roman"/>
          <w:kern w:val="0"/>
          <w:sz w:val="24"/>
        </w:rPr>
      </w:pPr>
      <w:r>
        <w:rPr>
          <w:rStyle w:val="30"/>
          <w:rFonts w:ascii="楷体" w:hAnsi="楷体" w:eastAsia="楷体" w:cs="楷体"/>
          <w:b/>
          <w:bCs/>
          <w:kern w:val="0"/>
          <w:sz w:val="32"/>
          <w:szCs w:val="32"/>
        </w:rPr>
        <w:t>（三）国有资产占用使用情况</w:t>
      </w:r>
      <w:r>
        <w:rPr>
          <w:rFonts w:ascii="宋体" w:hAnsi="宋体" w:cs="宋体"/>
          <w:kern w:val="0"/>
          <w:sz w:val="32"/>
          <w:szCs w:val="32"/>
        </w:rPr>
        <w:t> </w:t>
      </w:r>
    </w:p>
    <w:p>
      <w:pPr>
        <w:pStyle w:val="28"/>
        <w:widowControl/>
        <w:spacing w:before="100" w:after="100" w:line="600" w:lineRule="atLeast"/>
        <w:ind w:firstLine="704"/>
        <w:jc w:val="left"/>
        <w:rPr>
          <w:rFonts w:ascii="宋体" w:hAnsi="宋体" w:cs="宋体"/>
          <w:kern w:val="0"/>
          <w:sz w:val="56"/>
          <w:szCs w:val="56"/>
        </w:rPr>
      </w:pPr>
      <w:r>
        <w:rPr>
          <w:rFonts w:hint="eastAsia" w:ascii="仿宋" w:hAnsi="仿宋" w:eastAsia="仿宋" w:cs="仿宋"/>
          <w:kern w:val="0"/>
          <w:sz w:val="32"/>
          <w:szCs w:val="32"/>
        </w:rPr>
        <w:t>截至2024年12月31日，本单位共有车辆0 辆，其中：副部（省）级以上领导用车0 辆、主要领导干部用车0 辆、机要通信用车0辆、应急保障用车0辆、执法执勤用车0辆、特种专业技术用车0辆、离退休干部用车0辆、其他用车0辆；单位价值100万元以上设备（不含车辆）0台（套）。</w:t>
      </w:r>
      <w:r>
        <w:rPr>
          <w:rFonts w:ascii="Calibri" w:hAnsi="Calibri" w:eastAsia="Calibri" w:cs="Calibri"/>
          <w:kern w:val="0"/>
          <w:sz w:val="32"/>
          <w:szCs w:val="32"/>
        </w:rPr>
        <w:t>  </w:t>
      </w:r>
      <w:r>
        <w:rPr>
          <w:rFonts w:ascii="宋体" w:hAnsi="宋体" w:cs="宋体"/>
          <w:kern w:val="0"/>
          <w:sz w:val="56"/>
          <w:szCs w:val="56"/>
        </w:rPr>
        <w:t xml:space="preserve"> </w:t>
      </w:r>
    </w:p>
    <w:p>
      <w:pPr>
        <w:widowControl/>
        <w:spacing w:before="240" w:after="240"/>
        <w:jc w:val="left"/>
        <w:rPr>
          <w:rFonts w:eastAsia="Times New Roman"/>
          <w:vanish/>
          <w:kern w:val="0"/>
          <w:sz w:val="24"/>
        </w:rPr>
      </w:pPr>
      <w:r>
        <w:rPr>
          <w:rFonts w:eastAsia="Times New Roman"/>
          <w:vanish/>
          <w:kern w:val="0"/>
          <w:sz w:val="24"/>
        </w:rPr>
        <w:t>word page break</w:t>
      </w:r>
    </w:p>
    <w:p>
      <w:pPr>
        <w:pStyle w:val="28"/>
        <w:widowControl/>
        <w:spacing w:before="100" w:after="100"/>
        <w:jc w:val="left"/>
        <w:rPr>
          <w:rFonts w:eastAsia="Times New Roman"/>
          <w:kern w:val="0"/>
          <w:sz w:val="24"/>
        </w:rPr>
      </w:pPr>
    </w:p>
    <w:p>
      <w:pPr>
        <w:pStyle w:val="28"/>
        <w:widowControl/>
        <w:spacing w:before="100" w:after="100"/>
        <w:jc w:val="left"/>
        <w:rPr>
          <w:rFonts w:hint="eastAsia" w:eastAsia="Times New Roman"/>
          <w:kern w:val="0"/>
          <w:sz w:val="24"/>
        </w:rPr>
      </w:pPr>
    </w:p>
    <w:p>
      <w:pPr>
        <w:pStyle w:val="28"/>
        <w:widowControl/>
        <w:spacing w:before="100" w:after="100"/>
        <w:jc w:val="left"/>
        <w:rPr>
          <w:rFonts w:hint="eastAsia" w:eastAsia="Times New Roman"/>
          <w:kern w:val="0"/>
          <w:sz w:val="24"/>
        </w:rPr>
      </w:pPr>
    </w:p>
    <w:p>
      <w:pPr>
        <w:pStyle w:val="28"/>
        <w:widowControl/>
        <w:spacing w:before="100" w:after="100"/>
        <w:jc w:val="left"/>
        <w:rPr>
          <w:rFonts w:hint="eastAsia" w:eastAsia="Times New Roman"/>
          <w:kern w:val="0"/>
          <w:sz w:val="24"/>
        </w:rPr>
      </w:pPr>
    </w:p>
    <w:p>
      <w:pPr>
        <w:pStyle w:val="28"/>
        <w:widowControl/>
        <w:spacing w:before="100" w:after="100"/>
        <w:jc w:val="left"/>
        <w:rPr>
          <w:rFonts w:hint="eastAsia" w:eastAsia="Times New Roman"/>
          <w:kern w:val="0"/>
          <w:sz w:val="24"/>
        </w:rPr>
      </w:pPr>
    </w:p>
    <w:p>
      <w:pPr>
        <w:pStyle w:val="28"/>
        <w:widowControl/>
        <w:spacing w:before="100" w:after="100"/>
        <w:jc w:val="left"/>
        <w:rPr>
          <w:rFonts w:hint="eastAsia" w:eastAsia="Times New Roman"/>
          <w:kern w:val="0"/>
          <w:sz w:val="24"/>
        </w:rPr>
      </w:pPr>
    </w:p>
    <w:p>
      <w:pPr>
        <w:pStyle w:val="28"/>
        <w:widowControl/>
        <w:spacing w:before="100" w:after="100"/>
        <w:jc w:val="left"/>
        <w:rPr>
          <w:rFonts w:hint="eastAsia" w:eastAsia="Times New Roman"/>
          <w:kern w:val="0"/>
          <w:sz w:val="24"/>
        </w:rPr>
      </w:pPr>
    </w:p>
    <w:p>
      <w:pPr>
        <w:pStyle w:val="28"/>
        <w:widowControl/>
        <w:spacing w:before="100" w:after="100"/>
        <w:jc w:val="left"/>
        <w:rPr>
          <w:rFonts w:hint="eastAsia" w:eastAsia="Times New Roman"/>
          <w:kern w:val="0"/>
          <w:sz w:val="24"/>
        </w:rPr>
      </w:pPr>
    </w:p>
    <w:p>
      <w:pPr>
        <w:pStyle w:val="28"/>
        <w:widowControl/>
        <w:spacing w:before="100" w:after="100"/>
        <w:jc w:val="left"/>
        <w:rPr>
          <w:rFonts w:hint="eastAsia" w:eastAsia="Times New Roman"/>
          <w:kern w:val="0"/>
          <w:sz w:val="24"/>
        </w:rPr>
      </w:pPr>
    </w:p>
    <w:p>
      <w:pPr>
        <w:pStyle w:val="28"/>
        <w:widowControl/>
        <w:spacing w:before="100" w:after="100"/>
        <w:jc w:val="left"/>
        <w:rPr>
          <w:rFonts w:hint="eastAsia" w:eastAsia="Times New Roman"/>
          <w:kern w:val="0"/>
          <w:sz w:val="24"/>
        </w:rPr>
      </w:pPr>
    </w:p>
    <w:p>
      <w:pPr>
        <w:pStyle w:val="28"/>
        <w:widowControl/>
        <w:spacing w:before="100" w:after="100"/>
        <w:jc w:val="left"/>
        <w:rPr>
          <w:rFonts w:hint="eastAsia" w:eastAsia="Times New Roman"/>
          <w:kern w:val="0"/>
          <w:sz w:val="24"/>
        </w:rPr>
      </w:pPr>
    </w:p>
    <w:p>
      <w:pPr>
        <w:pStyle w:val="28"/>
        <w:widowControl/>
        <w:spacing w:before="100" w:after="100"/>
        <w:jc w:val="left"/>
        <w:rPr>
          <w:rFonts w:hint="eastAsia" w:eastAsia="Times New Roman"/>
          <w:kern w:val="0"/>
          <w:sz w:val="24"/>
        </w:rPr>
      </w:pPr>
    </w:p>
    <w:p>
      <w:pPr>
        <w:pStyle w:val="28"/>
        <w:widowControl/>
        <w:spacing w:before="100" w:after="100"/>
        <w:jc w:val="left"/>
        <w:rPr>
          <w:rFonts w:hint="eastAsia" w:eastAsia="Times New Roman"/>
          <w:kern w:val="0"/>
          <w:sz w:val="24"/>
        </w:rPr>
      </w:pPr>
    </w:p>
    <w:p>
      <w:pPr>
        <w:pStyle w:val="28"/>
        <w:widowControl/>
        <w:spacing w:before="100" w:after="100"/>
        <w:jc w:val="left"/>
        <w:rPr>
          <w:rFonts w:hint="eastAsia" w:eastAsia="Times New Roman"/>
          <w:kern w:val="0"/>
          <w:sz w:val="24"/>
        </w:rPr>
      </w:pPr>
    </w:p>
    <w:p>
      <w:pPr>
        <w:pStyle w:val="28"/>
        <w:widowControl/>
        <w:spacing w:before="100" w:after="100"/>
        <w:jc w:val="center"/>
        <w:rPr>
          <w:rFonts w:hint="eastAsia" w:eastAsia="Times New Roman"/>
          <w:kern w:val="0"/>
          <w:sz w:val="24"/>
        </w:rPr>
      </w:pPr>
      <w:r>
        <w:rPr>
          <w:rFonts w:ascii="黑体" w:hAnsi="黑体" w:eastAsia="黑体" w:cs="黑体"/>
          <w:b/>
          <w:sz w:val="56"/>
          <w:szCs w:val="56"/>
        </w:rPr>
        <w:t>第</w:t>
      </w:r>
      <w:r>
        <w:rPr>
          <w:rFonts w:hint="eastAsia" w:ascii="黑体" w:hAnsi="黑体" w:eastAsia="黑体" w:cs="黑体"/>
          <w:b/>
          <w:sz w:val="56"/>
          <w:szCs w:val="56"/>
        </w:rPr>
        <w:t>四</w:t>
      </w:r>
      <w:r>
        <w:rPr>
          <w:rFonts w:ascii="黑体" w:hAnsi="黑体" w:eastAsia="黑体" w:cs="黑体"/>
          <w:b/>
          <w:sz w:val="56"/>
          <w:szCs w:val="56"/>
        </w:rPr>
        <w:t>部分</w:t>
      </w:r>
    </w:p>
    <w:p>
      <w:pPr>
        <w:pStyle w:val="3"/>
        <w:keepNext w:val="0"/>
        <w:keepLines w:val="0"/>
        <w:spacing w:before="100" w:after="100" w:line="240" w:lineRule="auto"/>
        <w:ind w:firstLine="0" w:firstLineChars="0"/>
        <w:jc w:val="center"/>
        <w:rPr>
          <w:rFonts w:ascii="黑体" w:hAnsi="黑体" w:eastAsia="黑体" w:cs="黑体"/>
          <w:b/>
          <w:sz w:val="56"/>
          <w:szCs w:val="56"/>
        </w:rPr>
      </w:pPr>
      <w:bookmarkStart w:id="109" w:name="_Toc256000090"/>
      <w:bookmarkStart w:id="110" w:name="_Toc256000121"/>
      <w:bookmarkStart w:id="111" w:name="_Toc256000059"/>
      <w:bookmarkStart w:id="112" w:name="_Toc256000028"/>
      <w:r>
        <w:rPr>
          <w:rFonts w:ascii="黑体" w:hAnsi="黑体" w:eastAsia="黑体" w:cs="黑体"/>
          <w:b/>
          <w:sz w:val="56"/>
          <w:szCs w:val="56"/>
        </w:rPr>
        <w:t>名词解释</w:t>
      </w:r>
      <w:bookmarkEnd w:id="109"/>
      <w:bookmarkEnd w:id="110"/>
      <w:bookmarkEnd w:id="111"/>
      <w:bookmarkEnd w:id="112"/>
    </w:p>
    <w:p>
      <w:pPr>
        <w:widowControl/>
        <w:jc w:val="left"/>
        <w:rPr>
          <w:rStyle w:val="30"/>
          <w:rFonts w:ascii="仿宋" w:hAnsi="仿宋" w:eastAsia="仿宋" w:cs="仿宋"/>
          <w:b/>
          <w:bCs/>
          <w:kern w:val="0"/>
          <w:sz w:val="32"/>
          <w:szCs w:val="32"/>
        </w:rPr>
      </w:pPr>
      <w:r>
        <w:rPr>
          <w:rStyle w:val="30"/>
          <w:rFonts w:ascii="仿宋" w:hAnsi="仿宋" w:eastAsia="仿宋" w:cs="仿宋"/>
          <w:b/>
          <w:bCs/>
          <w:kern w:val="0"/>
          <w:sz w:val="32"/>
          <w:szCs w:val="32"/>
        </w:rPr>
        <w:br w:type="page"/>
      </w:r>
    </w:p>
    <w:p>
      <w:pPr>
        <w:pStyle w:val="28"/>
        <w:widowControl/>
        <w:spacing w:before="100" w:after="100" w:line="600" w:lineRule="atLeast"/>
        <w:ind w:firstLine="710"/>
        <w:jc w:val="left"/>
        <w:rPr>
          <w:rFonts w:eastAsia="Times New Roman"/>
          <w:kern w:val="0"/>
          <w:sz w:val="24"/>
        </w:rPr>
      </w:pPr>
      <w:r>
        <w:rPr>
          <w:rStyle w:val="30"/>
          <w:rFonts w:ascii="仿宋" w:hAnsi="仿宋" w:eastAsia="仿宋" w:cs="仿宋"/>
          <w:b/>
          <w:bCs/>
          <w:kern w:val="0"/>
          <w:sz w:val="32"/>
          <w:szCs w:val="32"/>
        </w:rPr>
        <w:t>一、财政拨款收入：</w:t>
      </w:r>
      <w:r>
        <w:rPr>
          <w:rFonts w:ascii="仿宋" w:hAnsi="仿宋" w:eastAsia="仿宋" w:cs="仿宋"/>
          <w:kern w:val="0"/>
          <w:sz w:val="32"/>
          <w:szCs w:val="32"/>
        </w:rPr>
        <w:t>指单位从本级财政单位取得的财政预算资金，包括一般公共预算财政拨款、政府性基金预算财政拨款和国有资本经营预算财政拨款。</w:t>
      </w:r>
    </w:p>
    <w:p>
      <w:pPr>
        <w:pStyle w:val="28"/>
        <w:widowControl/>
        <w:spacing w:before="100" w:after="100" w:line="600" w:lineRule="atLeast"/>
        <w:ind w:firstLine="710"/>
        <w:jc w:val="left"/>
        <w:rPr>
          <w:rFonts w:eastAsia="Times New Roman"/>
          <w:kern w:val="0"/>
          <w:sz w:val="24"/>
        </w:rPr>
      </w:pPr>
      <w:r>
        <w:rPr>
          <w:rStyle w:val="30"/>
          <w:rFonts w:ascii="仿宋" w:hAnsi="仿宋" w:eastAsia="仿宋" w:cs="仿宋"/>
          <w:b/>
          <w:bCs/>
          <w:kern w:val="0"/>
          <w:sz w:val="32"/>
          <w:szCs w:val="32"/>
        </w:rPr>
        <w:t>二、事业收入：</w:t>
      </w:r>
      <w:r>
        <w:rPr>
          <w:rFonts w:ascii="仿宋" w:hAnsi="仿宋" w:eastAsia="仿宋" w:cs="仿宋"/>
          <w:kern w:val="0"/>
          <w:sz w:val="32"/>
          <w:szCs w:val="32"/>
        </w:rPr>
        <w:t>指事业单位开展专业业务活动及辅助活动所取得的收入。</w:t>
      </w:r>
    </w:p>
    <w:p>
      <w:pPr>
        <w:pStyle w:val="28"/>
        <w:widowControl/>
        <w:spacing w:before="100" w:after="100" w:line="600" w:lineRule="atLeast"/>
        <w:ind w:firstLine="710"/>
        <w:jc w:val="left"/>
        <w:rPr>
          <w:rFonts w:eastAsia="Times New Roman"/>
          <w:kern w:val="0"/>
          <w:sz w:val="24"/>
        </w:rPr>
      </w:pPr>
      <w:r>
        <w:rPr>
          <w:rStyle w:val="30"/>
          <w:rFonts w:ascii="仿宋" w:hAnsi="仿宋" w:eastAsia="仿宋" w:cs="仿宋"/>
          <w:b/>
          <w:bCs/>
          <w:kern w:val="0"/>
          <w:sz w:val="32"/>
          <w:szCs w:val="32"/>
        </w:rPr>
        <w:t>三、经营收入：</w:t>
      </w:r>
      <w:r>
        <w:rPr>
          <w:rFonts w:ascii="仿宋" w:hAnsi="仿宋" w:eastAsia="仿宋" w:cs="仿宋"/>
          <w:kern w:val="0"/>
          <w:sz w:val="32"/>
          <w:szCs w:val="32"/>
        </w:rPr>
        <w:t>指事业单位在专业业务活动及其辅助活动之外开展非独立核算经营活动取得的收入。</w:t>
      </w:r>
    </w:p>
    <w:p>
      <w:pPr>
        <w:pStyle w:val="28"/>
        <w:widowControl/>
        <w:spacing w:before="100" w:after="100" w:line="600" w:lineRule="atLeast"/>
        <w:ind w:firstLine="710"/>
        <w:jc w:val="left"/>
        <w:rPr>
          <w:rFonts w:eastAsia="Times New Roman"/>
          <w:kern w:val="0"/>
          <w:sz w:val="24"/>
        </w:rPr>
      </w:pPr>
      <w:r>
        <w:rPr>
          <w:rStyle w:val="30"/>
          <w:rFonts w:ascii="仿宋" w:hAnsi="仿宋" w:eastAsia="仿宋" w:cs="仿宋"/>
          <w:b/>
          <w:bCs/>
          <w:kern w:val="0"/>
          <w:sz w:val="32"/>
          <w:szCs w:val="32"/>
        </w:rPr>
        <w:t>四、其他收入：</w:t>
      </w:r>
      <w:r>
        <w:rPr>
          <w:rFonts w:ascii="仿宋" w:hAnsi="仿宋" w:eastAsia="仿宋" w:cs="仿宋"/>
          <w:kern w:val="0"/>
          <w:sz w:val="32"/>
          <w:szCs w:val="32"/>
        </w:rPr>
        <w:t>指除上述“财政拨款收入”“事业收入”</w:t>
      </w:r>
      <w:r>
        <w:rPr>
          <w:rFonts w:ascii="宋体" w:hAnsi="宋体" w:cs="宋体"/>
          <w:kern w:val="0"/>
          <w:szCs w:val="21"/>
        </w:rPr>
        <w:t> </w:t>
      </w:r>
      <w:r>
        <w:rPr>
          <w:rFonts w:ascii="仿宋" w:hAnsi="仿宋" w:eastAsia="仿宋" w:cs="仿宋"/>
          <w:kern w:val="0"/>
          <w:sz w:val="32"/>
          <w:szCs w:val="32"/>
        </w:rPr>
        <w:t>“上级补助收入”“附属单位上缴收入”“经营收入”等以外取得的各项收入。主要是事业单位固定资产出租收入等。</w:t>
      </w:r>
    </w:p>
    <w:p>
      <w:pPr>
        <w:pStyle w:val="28"/>
        <w:widowControl/>
        <w:spacing w:before="100" w:after="100" w:line="600" w:lineRule="atLeast"/>
        <w:ind w:firstLine="710"/>
        <w:jc w:val="left"/>
        <w:rPr>
          <w:rFonts w:eastAsia="Times New Roman"/>
          <w:kern w:val="0"/>
          <w:sz w:val="24"/>
        </w:rPr>
      </w:pPr>
      <w:r>
        <w:rPr>
          <w:rStyle w:val="30"/>
          <w:rFonts w:ascii="仿宋" w:hAnsi="仿宋" w:eastAsia="仿宋" w:cs="仿宋"/>
          <w:b/>
          <w:bCs/>
          <w:kern w:val="0"/>
          <w:sz w:val="32"/>
          <w:szCs w:val="32"/>
        </w:rPr>
        <w:t>五、使用非财政拨款结余：</w:t>
      </w:r>
      <w:r>
        <w:rPr>
          <w:rFonts w:ascii="仿宋" w:hAnsi="仿宋" w:eastAsia="仿宋" w:cs="仿宋"/>
          <w:kern w:val="0"/>
          <w:sz w:val="32"/>
          <w:szCs w:val="32"/>
        </w:rPr>
        <w:t>指事业单位使用以前年度积累的非财政拨款结余弥补当年收支差额的金额。</w:t>
      </w:r>
    </w:p>
    <w:p>
      <w:pPr>
        <w:pStyle w:val="28"/>
        <w:widowControl/>
        <w:spacing w:before="100" w:after="100" w:line="600" w:lineRule="atLeast"/>
        <w:ind w:firstLine="710"/>
        <w:jc w:val="left"/>
        <w:rPr>
          <w:rFonts w:eastAsia="Times New Roman"/>
          <w:kern w:val="0"/>
          <w:sz w:val="24"/>
        </w:rPr>
      </w:pPr>
      <w:r>
        <w:rPr>
          <w:rStyle w:val="30"/>
          <w:rFonts w:ascii="仿宋" w:hAnsi="仿宋" w:eastAsia="仿宋" w:cs="仿宋"/>
          <w:b/>
          <w:bCs/>
          <w:kern w:val="0"/>
          <w:sz w:val="32"/>
          <w:szCs w:val="32"/>
        </w:rPr>
        <w:t>六、年初结转和结余：</w:t>
      </w:r>
      <w:r>
        <w:rPr>
          <w:rFonts w:ascii="仿宋" w:hAnsi="仿宋" w:eastAsia="仿宋" w:cs="仿宋"/>
          <w:kern w:val="0"/>
          <w:sz w:val="32"/>
          <w:szCs w:val="32"/>
        </w:rPr>
        <w:t>指单位以前年度尚未完成、结转到本年仍按原规定用途继续使用的资金，或项目已完成等产生的结余资金。</w:t>
      </w:r>
    </w:p>
    <w:p>
      <w:pPr>
        <w:pStyle w:val="29"/>
        <w:widowControl/>
        <w:spacing w:before="100" w:after="100" w:line="600" w:lineRule="atLeast"/>
        <w:ind w:firstLine="640"/>
        <w:jc w:val="left"/>
        <w:rPr>
          <w:rFonts w:eastAsia="Times New Roman"/>
          <w:kern w:val="0"/>
          <w:sz w:val="24"/>
        </w:rPr>
      </w:pPr>
      <w:r>
        <w:rPr>
          <w:rStyle w:val="30"/>
          <w:rFonts w:ascii="仿宋" w:hAnsi="仿宋" w:eastAsia="仿宋" w:cs="仿宋"/>
          <w:b/>
          <w:bCs/>
          <w:kern w:val="0"/>
          <w:sz w:val="32"/>
          <w:szCs w:val="32"/>
        </w:rPr>
        <w:t>七、结余分配：</w:t>
      </w:r>
      <w:r>
        <w:rPr>
          <w:rFonts w:ascii="仿宋" w:hAnsi="仿宋" w:eastAsia="仿宋" w:cs="仿宋"/>
          <w:kern w:val="0"/>
          <w:sz w:val="32"/>
          <w:szCs w:val="32"/>
        </w:rPr>
        <w:t>指事业单位按照会计制度规定缴纳的所得税、提取的专用结余以及转入非财政拨款结余的金额等。</w:t>
      </w:r>
    </w:p>
    <w:p>
      <w:pPr>
        <w:pStyle w:val="29"/>
        <w:widowControl/>
        <w:spacing w:before="100" w:after="100" w:line="600" w:lineRule="atLeast"/>
        <w:ind w:firstLine="640"/>
        <w:jc w:val="left"/>
        <w:rPr>
          <w:rFonts w:eastAsia="Times New Roman"/>
          <w:kern w:val="0"/>
          <w:sz w:val="24"/>
        </w:rPr>
      </w:pPr>
      <w:r>
        <w:rPr>
          <w:rStyle w:val="30"/>
          <w:rFonts w:ascii="仿宋" w:hAnsi="仿宋" w:eastAsia="仿宋" w:cs="仿宋"/>
          <w:b/>
          <w:bCs/>
          <w:kern w:val="0"/>
          <w:sz w:val="32"/>
          <w:szCs w:val="32"/>
        </w:rPr>
        <w:t>八、年末结转和结余：</w:t>
      </w:r>
      <w:r>
        <w:rPr>
          <w:rFonts w:ascii="仿宋" w:hAnsi="仿宋" w:eastAsia="仿宋" w:cs="仿宋"/>
          <w:kern w:val="0"/>
          <w:sz w:val="32"/>
          <w:szCs w:val="32"/>
        </w:rPr>
        <w:t>指单位按有关规定结转到下年或以后年度继续使用的资金，或项目已完成等产生的结余资金。</w:t>
      </w:r>
    </w:p>
    <w:p>
      <w:pPr>
        <w:pStyle w:val="29"/>
        <w:widowControl/>
        <w:spacing w:before="100" w:after="100" w:line="600" w:lineRule="atLeast"/>
        <w:ind w:firstLine="640"/>
        <w:jc w:val="left"/>
        <w:rPr>
          <w:rFonts w:eastAsia="Times New Roman"/>
          <w:kern w:val="0"/>
          <w:sz w:val="24"/>
        </w:rPr>
      </w:pPr>
      <w:r>
        <w:rPr>
          <w:rStyle w:val="30"/>
          <w:rFonts w:ascii="仿宋" w:hAnsi="仿宋" w:eastAsia="仿宋" w:cs="仿宋"/>
          <w:b/>
          <w:bCs/>
          <w:kern w:val="0"/>
          <w:sz w:val="32"/>
          <w:szCs w:val="32"/>
        </w:rPr>
        <w:t>九、基本支出：</w:t>
      </w:r>
      <w:r>
        <w:rPr>
          <w:rFonts w:ascii="仿宋" w:hAnsi="仿宋" w:eastAsia="仿宋" w:cs="仿宋"/>
          <w:kern w:val="0"/>
          <w:sz w:val="32"/>
          <w:szCs w:val="32"/>
        </w:rPr>
        <w:t>指为保障机构正常运转、完成日常工作任务而发生的人员支出和公用支出。</w:t>
      </w:r>
    </w:p>
    <w:p>
      <w:pPr>
        <w:pStyle w:val="29"/>
        <w:widowControl/>
        <w:spacing w:before="100" w:after="100" w:line="600" w:lineRule="atLeast"/>
        <w:ind w:firstLine="640"/>
        <w:jc w:val="left"/>
        <w:rPr>
          <w:rFonts w:eastAsia="Times New Roman"/>
          <w:kern w:val="0"/>
          <w:sz w:val="24"/>
        </w:rPr>
      </w:pPr>
      <w:r>
        <w:rPr>
          <w:rStyle w:val="30"/>
          <w:rFonts w:ascii="仿宋" w:hAnsi="仿宋" w:eastAsia="仿宋" w:cs="仿宋"/>
          <w:b/>
          <w:bCs/>
          <w:kern w:val="0"/>
          <w:sz w:val="32"/>
          <w:szCs w:val="32"/>
        </w:rPr>
        <w:t>十、项目支出：</w:t>
      </w:r>
      <w:r>
        <w:rPr>
          <w:rFonts w:ascii="仿宋" w:hAnsi="仿宋" w:eastAsia="仿宋" w:cs="仿宋"/>
          <w:kern w:val="0"/>
          <w:sz w:val="32"/>
          <w:szCs w:val="32"/>
        </w:rPr>
        <w:t>指在基本支出之外为完成特定行政任务和事业发展目标所发生的支出。</w:t>
      </w:r>
    </w:p>
    <w:p>
      <w:pPr>
        <w:pStyle w:val="29"/>
        <w:widowControl/>
        <w:spacing w:before="100" w:after="100" w:line="600" w:lineRule="atLeast"/>
        <w:ind w:firstLine="640"/>
        <w:jc w:val="left"/>
        <w:rPr>
          <w:rFonts w:eastAsia="Times New Roman"/>
          <w:kern w:val="0"/>
          <w:sz w:val="24"/>
        </w:rPr>
      </w:pPr>
      <w:r>
        <w:rPr>
          <w:rStyle w:val="30"/>
          <w:rFonts w:ascii="仿宋" w:hAnsi="仿宋" w:eastAsia="仿宋" w:cs="仿宋"/>
          <w:b/>
          <w:bCs/>
          <w:kern w:val="0"/>
          <w:sz w:val="32"/>
          <w:szCs w:val="32"/>
        </w:rPr>
        <w:t>十一、经营支出：</w:t>
      </w:r>
      <w:r>
        <w:rPr>
          <w:rFonts w:ascii="仿宋" w:hAnsi="仿宋" w:eastAsia="仿宋" w:cs="仿宋"/>
          <w:kern w:val="0"/>
          <w:sz w:val="32"/>
          <w:szCs w:val="32"/>
        </w:rPr>
        <w:t>指事业单位在专业业务活动及其辅助活动之外开展非独立核算经营活动发生的支出。</w:t>
      </w:r>
    </w:p>
    <w:p>
      <w:pPr>
        <w:pStyle w:val="29"/>
        <w:widowControl/>
        <w:spacing w:before="100" w:after="100" w:line="600" w:lineRule="atLeast"/>
        <w:ind w:firstLine="640"/>
        <w:jc w:val="left"/>
        <w:rPr>
          <w:rFonts w:eastAsia="Times New Roman"/>
          <w:kern w:val="0"/>
          <w:sz w:val="24"/>
        </w:rPr>
      </w:pPr>
      <w:r>
        <w:rPr>
          <w:rStyle w:val="30"/>
          <w:rFonts w:ascii="仿宋" w:hAnsi="仿宋" w:eastAsia="仿宋" w:cs="仿宋"/>
          <w:b/>
          <w:bCs/>
          <w:kern w:val="0"/>
          <w:sz w:val="32"/>
          <w:szCs w:val="32"/>
        </w:rPr>
        <w:t>十二、“三公”经费：</w:t>
      </w:r>
      <w:r>
        <w:rPr>
          <w:rFonts w:ascii="仿宋" w:hAnsi="仿宋" w:eastAsia="仿宋" w:cs="仿宋"/>
          <w:kern w:val="0"/>
          <w:sz w:val="32"/>
          <w:szCs w:val="32"/>
        </w:rPr>
        <w:t>纳入本级财政预决算管理的“三公”经费，是指本级单位用一般公共预算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牌照费）及燃料费、维修费、过桥过路费、保险费、安全奖励费用等支出；公务接待费反映单位按规定开支的各类公务接待（含外宾接待）支出。</w:t>
      </w:r>
    </w:p>
    <w:p>
      <w:pPr>
        <w:pStyle w:val="29"/>
        <w:widowControl/>
        <w:spacing w:before="100" w:after="100" w:line="600" w:lineRule="atLeast"/>
        <w:ind w:firstLine="640"/>
        <w:jc w:val="left"/>
        <w:rPr>
          <w:rFonts w:eastAsia="Times New Roman"/>
          <w:kern w:val="0"/>
          <w:sz w:val="24"/>
        </w:rPr>
      </w:pPr>
      <w:r>
        <w:rPr>
          <w:rStyle w:val="30"/>
          <w:rFonts w:ascii="仿宋" w:hAnsi="仿宋" w:eastAsia="仿宋" w:cs="仿宋"/>
          <w:b/>
          <w:bCs/>
          <w:kern w:val="0"/>
          <w:sz w:val="32"/>
          <w:szCs w:val="32"/>
        </w:rPr>
        <w:t>十三、机关运行经费：</w:t>
      </w:r>
      <w:r>
        <w:rPr>
          <w:rFonts w:ascii="仿宋" w:hAnsi="仿宋" w:eastAsia="仿宋" w:cs="仿宋"/>
          <w:kern w:val="0"/>
          <w:sz w:val="32"/>
          <w:szCs w:val="32"/>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28"/>
        <w:widowControl/>
        <w:spacing w:before="240" w:after="240"/>
        <w:jc w:val="left"/>
        <w:rPr>
          <w:rFonts w:eastAsia="Times New Roman"/>
          <w:kern w:val="0"/>
          <w:sz w:val="24"/>
        </w:rPr>
      </w:pPr>
    </w:p>
    <w:p/>
    <w:p>
      <w:pPr>
        <w:pStyle w:val="3"/>
        <w:keepNext w:val="0"/>
        <w:keepLines w:val="0"/>
        <w:spacing w:before="299" w:after="299" w:line="240" w:lineRule="auto"/>
        <w:ind w:firstLine="0" w:firstLineChars="0"/>
        <w:jc w:val="center"/>
        <w:rPr>
          <w:rFonts w:hint="eastAsia" w:ascii="黑体" w:hAnsi="黑体" w:eastAsia="黑体" w:cs="黑体"/>
          <w:b/>
          <w:sz w:val="56"/>
          <w:szCs w:val="56"/>
        </w:rPr>
      </w:pPr>
      <w:bookmarkStart w:id="113" w:name="_Toc256000091"/>
      <w:bookmarkStart w:id="114" w:name="_Toc256000029"/>
      <w:bookmarkStart w:id="115" w:name="_Toc256000060"/>
      <w:bookmarkStart w:id="116" w:name="_Toc256000122"/>
    </w:p>
    <w:p>
      <w:pPr>
        <w:pStyle w:val="3"/>
        <w:keepNext w:val="0"/>
        <w:keepLines w:val="0"/>
        <w:spacing w:before="299" w:after="299" w:line="240" w:lineRule="auto"/>
        <w:ind w:firstLine="0" w:firstLineChars="0"/>
        <w:jc w:val="center"/>
        <w:rPr>
          <w:rFonts w:hint="eastAsia" w:ascii="黑体" w:hAnsi="黑体" w:eastAsia="黑体" w:cs="黑体"/>
          <w:b/>
          <w:sz w:val="56"/>
          <w:szCs w:val="56"/>
        </w:rPr>
      </w:pPr>
    </w:p>
    <w:p>
      <w:pPr>
        <w:pStyle w:val="3"/>
        <w:keepNext w:val="0"/>
        <w:keepLines w:val="0"/>
        <w:spacing w:before="299" w:after="299" w:line="240" w:lineRule="auto"/>
        <w:ind w:firstLine="0" w:firstLineChars="0"/>
        <w:jc w:val="center"/>
        <w:rPr>
          <w:rFonts w:hint="eastAsia" w:ascii="黑体" w:hAnsi="黑体" w:eastAsia="黑体" w:cs="黑体"/>
          <w:b/>
          <w:sz w:val="56"/>
          <w:szCs w:val="56"/>
        </w:rPr>
      </w:pPr>
    </w:p>
    <w:p>
      <w:pPr>
        <w:pStyle w:val="3"/>
        <w:keepNext w:val="0"/>
        <w:keepLines w:val="0"/>
        <w:spacing w:before="299" w:after="299" w:line="240" w:lineRule="auto"/>
        <w:ind w:firstLine="0" w:firstLineChars="0"/>
        <w:jc w:val="center"/>
        <w:rPr>
          <w:rFonts w:hint="eastAsia" w:ascii="黑体" w:hAnsi="黑体" w:eastAsia="黑体" w:cs="黑体"/>
          <w:b/>
          <w:sz w:val="56"/>
          <w:szCs w:val="56"/>
        </w:rPr>
      </w:pPr>
    </w:p>
    <w:p>
      <w:pPr>
        <w:pStyle w:val="3"/>
        <w:keepNext w:val="0"/>
        <w:keepLines w:val="0"/>
        <w:spacing w:before="299" w:after="299" w:line="240" w:lineRule="auto"/>
        <w:ind w:firstLine="0" w:firstLineChars="0"/>
        <w:jc w:val="center"/>
        <w:rPr>
          <w:rFonts w:hint="eastAsia" w:ascii="黑体" w:hAnsi="黑体" w:eastAsia="黑体" w:cs="黑体"/>
          <w:b/>
          <w:sz w:val="56"/>
          <w:szCs w:val="56"/>
        </w:rPr>
      </w:pPr>
    </w:p>
    <w:p>
      <w:pPr>
        <w:pStyle w:val="3"/>
        <w:keepNext w:val="0"/>
        <w:keepLines w:val="0"/>
        <w:spacing w:before="299" w:after="299" w:line="240" w:lineRule="auto"/>
        <w:ind w:firstLine="0" w:firstLineChars="0"/>
        <w:jc w:val="center"/>
        <w:rPr>
          <w:rFonts w:hint="eastAsia" w:ascii="黑体" w:hAnsi="黑体" w:eastAsia="黑体" w:cs="黑体"/>
          <w:b/>
          <w:sz w:val="56"/>
          <w:szCs w:val="56"/>
        </w:rPr>
      </w:pPr>
    </w:p>
    <w:p>
      <w:pPr>
        <w:pStyle w:val="3"/>
        <w:keepNext w:val="0"/>
        <w:keepLines w:val="0"/>
        <w:spacing w:before="299" w:after="299" w:line="240" w:lineRule="auto"/>
        <w:ind w:firstLine="0" w:firstLineChars="0"/>
        <w:jc w:val="center"/>
        <w:rPr>
          <w:rFonts w:hint="eastAsia" w:ascii="黑体" w:hAnsi="黑体" w:eastAsia="黑体" w:cs="黑体"/>
          <w:b/>
          <w:sz w:val="56"/>
          <w:szCs w:val="56"/>
        </w:rPr>
      </w:pPr>
    </w:p>
    <w:p>
      <w:pPr>
        <w:pStyle w:val="3"/>
        <w:keepNext w:val="0"/>
        <w:keepLines w:val="0"/>
        <w:spacing w:before="299" w:after="299" w:line="240" w:lineRule="auto"/>
        <w:ind w:firstLine="0" w:firstLineChars="0"/>
        <w:jc w:val="center"/>
        <w:rPr>
          <w:rFonts w:hint="eastAsia" w:ascii="黑体" w:hAnsi="黑体" w:eastAsia="黑体" w:cs="黑体"/>
          <w:b/>
          <w:sz w:val="56"/>
          <w:szCs w:val="56"/>
        </w:rPr>
      </w:pPr>
      <w:r>
        <w:rPr>
          <w:rFonts w:ascii="黑体" w:hAnsi="黑体" w:eastAsia="黑体" w:cs="黑体"/>
          <w:b/>
          <w:sz w:val="56"/>
          <w:szCs w:val="56"/>
        </w:rPr>
        <w:t>第五部分</w:t>
      </w:r>
      <w:bookmarkEnd w:id="113"/>
      <w:bookmarkEnd w:id="114"/>
      <w:bookmarkEnd w:id="115"/>
      <w:bookmarkEnd w:id="116"/>
      <w:bookmarkStart w:id="117" w:name="_Toc256000030"/>
      <w:bookmarkStart w:id="118" w:name="_Toc256000123"/>
      <w:bookmarkStart w:id="119" w:name="_Toc256000092"/>
      <w:bookmarkStart w:id="120" w:name="_Toc256000061"/>
      <w:r>
        <w:rPr>
          <w:rFonts w:hint="eastAsia" w:ascii="黑体" w:hAnsi="黑体" w:eastAsia="黑体" w:cs="黑体"/>
          <w:b/>
          <w:sz w:val="56"/>
          <w:szCs w:val="56"/>
        </w:rPr>
        <w:t xml:space="preserve"> </w:t>
      </w:r>
    </w:p>
    <w:p>
      <w:pPr>
        <w:pStyle w:val="3"/>
        <w:keepNext w:val="0"/>
        <w:keepLines w:val="0"/>
        <w:spacing w:before="299" w:after="299" w:line="240" w:lineRule="auto"/>
        <w:ind w:firstLine="0" w:firstLineChars="0"/>
        <w:jc w:val="center"/>
        <w:rPr>
          <w:rFonts w:ascii="黑体" w:hAnsi="黑体" w:eastAsia="黑体" w:cs="黑体"/>
          <w:b/>
          <w:sz w:val="56"/>
          <w:szCs w:val="56"/>
        </w:rPr>
        <w:sectPr>
          <w:footerReference r:id="rId7" w:type="default"/>
          <w:pgSz w:w="11906" w:h="16838"/>
          <w:pgMar w:top="1440" w:right="720" w:bottom="1440" w:left="720" w:header="720" w:footer="720" w:gutter="0"/>
          <w:cols w:space="720" w:num="1"/>
        </w:sectPr>
      </w:pPr>
      <w:r>
        <w:rPr>
          <w:rFonts w:ascii="黑体" w:hAnsi="黑体" w:eastAsia="黑体" w:cs="黑体"/>
          <w:b/>
          <w:sz w:val="56"/>
          <w:szCs w:val="56"/>
        </w:rPr>
        <w:t>附件</w:t>
      </w:r>
      <w:bookmarkEnd w:id="117"/>
      <w:bookmarkEnd w:id="118"/>
      <w:bookmarkEnd w:id="119"/>
      <w:bookmarkEnd w:id="120"/>
    </w:p>
    <w:tbl>
      <w:tblPr>
        <w:tblStyle w:val="22"/>
        <w:tblW w:w="9956" w:type="dxa"/>
        <w:tblInd w:w="0" w:type="dxa"/>
        <w:tblLayout w:type="fixed"/>
        <w:tblCellMar>
          <w:top w:w="0" w:type="dxa"/>
          <w:left w:w="108" w:type="dxa"/>
          <w:bottom w:w="0" w:type="dxa"/>
          <w:right w:w="108" w:type="dxa"/>
        </w:tblCellMar>
      </w:tblPr>
      <w:tblGrid>
        <w:gridCol w:w="421"/>
        <w:gridCol w:w="832"/>
        <w:gridCol w:w="1517"/>
        <w:gridCol w:w="1211"/>
        <w:gridCol w:w="733"/>
        <w:gridCol w:w="777"/>
        <w:gridCol w:w="1123"/>
        <w:gridCol w:w="1000"/>
        <w:gridCol w:w="918"/>
        <w:gridCol w:w="665"/>
        <w:gridCol w:w="759"/>
      </w:tblGrid>
      <w:tr>
        <w:tblPrEx>
          <w:tblLayout w:type="fixed"/>
          <w:tblCellMar>
            <w:top w:w="0" w:type="dxa"/>
            <w:left w:w="108" w:type="dxa"/>
            <w:bottom w:w="0" w:type="dxa"/>
            <w:right w:w="108" w:type="dxa"/>
          </w:tblCellMar>
        </w:tblPrEx>
        <w:trPr>
          <w:trHeight w:val="348" w:hRule="atLeast"/>
        </w:trPr>
        <w:tc>
          <w:tcPr>
            <w:tcW w:w="9956" w:type="dxa"/>
            <w:gridSpan w:val="11"/>
            <w:tcBorders>
              <w:top w:val="nil"/>
              <w:left w:val="nil"/>
              <w:bottom w:val="nil"/>
              <w:right w:val="nil"/>
            </w:tcBorders>
            <w:shd w:val="clear" w:color="auto" w:fill="auto"/>
            <w:noWrap/>
            <w:vAlign w:val="center"/>
          </w:tcPr>
          <w:p>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rPr>
              <w:t>部门（单位）项目支出绩效自评表</w:t>
            </w:r>
          </w:p>
        </w:tc>
      </w:tr>
      <w:tr>
        <w:tblPrEx>
          <w:tblLayout w:type="fixed"/>
          <w:tblCellMar>
            <w:top w:w="0" w:type="dxa"/>
            <w:left w:w="108" w:type="dxa"/>
            <w:bottom w:w="0" w:type="dxa"/>
            <w:right w:w="108" w:type="dxa"/>
          </w:tblCellMar>
        </w:tblPrEx>
        <w:trPr>
          <w:trHeight w:val="360" w:hRule="atLeast"/>
        </w:trPr>
        <w:tc>
          <w:tcPr>
            <w:tcW w:w="9956" w:type="dxa"/>
            <w:gridSpan w:val="11"/>
            <w:tcBorders>
              <w:top w:val="nil"/>
              <w:left w:val="nil"/>
              <w:bottom w:val="nil"/>
              <w:right w:val="nil"/>
            </w:tcBorders>
            <w:shd w:val="clear" w:color="auto" w:fill="auto"/>
            <w:noWrap/>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（2024年度）</w:t>
            </w:r>
          </w:p>
        </w:tc>
      </w:tr>
      <w:tr>
        <w:tblPrEx>
          <w:tblLayout w:type="fixed"/>
          <w:tblCellMar>
            <w:top w:w="0" w:type="dxa"/>
            <w:left w:w="108" w:type="dxa"/>
            <w:bottom w:w="0" w:type="dxa"/>
            <w:right w:w="108" w:type="dxa"/>
          </w:tblCellMar>
        </w:tblPrEx>
        <w:trPr>
          <w:trHeight w:val="720" w:hRule="atLeast"/>
        </w:trPr>
        <w:tc>
          <w:tcPr>
            <w:tcW w:w="4714" w:type="dxa"/>
            <w:gridSpan w:val="5"/>
            <w:tcBorders>
              <w:top w:val="nil"/>
              <w:left w:val="nil"/>
              <w:bottom w:val="single" w:color="000000" w:sz="4" w:space="0"/>
              <w:right w:val="nil"/>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 xml:space="preserve">预算单位（盖章）：                                                                                                  </w:t>
            </w:r>
          </w:p>
        </w:tc>
        <w:tc>
          <w:tcPr>
            <w:tcW w:w="777" w:type="dxa"/>
            <w:tcBorders>
              <w:top w:val="nil"/>
              <w:left w:val="nil"/>
              <w:bottom w:val="single" w:color="000000" w:sz="4" w:space="0"/>
              <w:right w:val="nil"/>
            </w:tcBorders>
            <w:shd w:val="clear" w:color="auto" w:fill="auto"/>
            <w:vAlign w:val="center"/>
          </w:tcPr>
          <w:p>
            <w:pPr>
              <w:jc w:val="center"/>
              <w:rPr>
                <w:rFonts w:ascii="宋体" w:hAnsi="宋体" w:cs="宋体"/>
                <w:color w:val="000000"/>
                <w:sz w:val="20"/>
                <w:szCs w:val="20"/>
              </w:rPr>
            </w:pPr>
          </w:p>
        </w:tc>
        <w:tc>
          <w:tcPr>
            <w:tcW w:w="1123" w:type="dxa"/>
            <w:tcBorders>
              <w:top w:val="nil"/>
              <w:left w:val="nil"/>
              <w:bottom w:val="single" w:color="000000" w:sz="4" w:space="0"/>
              <w:right w:val="nil"/>
            </w:tcBorders>
            <w:shd w:val="clear" w:color="auto" w:fill="auto"/>
            <w:vAlign w:val="center"/>
          </w:tcPr>
          <w:p>
            <w:pPr>
              <w:rPr>
                <w:rFonts w:ascii="宋体" w:hAnsi="宋体" w:cs="宋体"/>
                <w:color w:val="000000"/>
                <w:sz w:val="20"/>
                <w:szCs w:val="20"/>
              </w:rPr>
            </w:pPr>
          </w:p>
        </w:tc>
        <w:tc>
          <w:tcPr>
            <w:tcW w:w="1000" w:type="dxa"/>
            <w:tcBorders>
              <w:top w:val="nil"/>
              <w:left w:val="nil"/>
              <w:bottom w:val="single" w:color="000000" w:sz="4" w:space="0"/>
              <w:right w:val="nil"/>
            </w:tcBorders>
            <w:shd w:val="clear" w:color="auto" w:fill="auto"/>
            <w:vAlign w:val="center"/>
          </w:tcPr>
          <w:p>
            <w:pPr>
              <w:rPr>
                <w:rFonts w:ascii="宋体" w:hAnsi="宋体" w:cs="宋体"/>
                <w:color w:val="000000"/>
                <w:sz w:val="20"/>
                <w:szCs w:val="20"/>
              </w:rPr>
            </w:pPr>
          </w:p>
        </w:tc>
        <w:tc>
          <w:tcPr>
            <w:tcW w:w="918" w:type="dxa"/>
            <w:tcBorders>
              <w:top w:val="nil"/>
              <w:left w:val="nil"/>
              <w:bottom w:val="single" w:color="000000" w:sz="4" w:space="0"/>
              <w:right w:val="nil"/>
            </w:tcBorders>
            <w:shd w:val="clear" w:color="auto" w:fill="auto"/>
            <w:vAlign w:val="center"/>
          </w:tcPr>
          <w:p>
            <w:pPr>
              <w:rPr>
                <w:rFonts w:ascii="宋体" w:hAnsi="宋体" w:cs="宋体"/>
                <w:color w:val="000000"/>
                <w:sz w:val="20"/>
                <w:szCs w:val="20"/>
              </w:rPr>
            </w:pPr>
          </w:p>
        </w:tc>
        <w:tc>
          <w:tcPr>
            <w:tcW w:w="665" w:type="dxa"/>
            <w:tcBorders>
              <w:top w:val="nil"/>
              <w:left w:val="nil"/>
              <w:bottom w:val="single" w:color="000000" w:sz="4" w:space="0"/>
              <w:right w:val="nil"/>
            </w:tcBorders>
            <w:shd w:val="clear" w:color="auto" w:fill="auto"/>
            <w:vAlign w:val="center"/>
          </w:tcPr>
          <w:p>
            <w:pPr>
              <w:rPr>
                <w:rFonts w:ascii="宋体" w:hAnsi="宋体" w:cs="宋体"/>
                <w:color w:val="000000"/>
                <w:sz w:val="20"/>
                <w:szCs w:val="20"/>
              </w:rPr>
            </w:pPr>
          </w:p>
        </w:tc>
        <w:tc>
          <w:tcPr>
            <w:tcW w:w="759" w:type="dxa"/>
            <w:tcBorders>
              <w:top w:val="nil"/>
              <w:left w:val="nil"/>
              <w:bottom w:val="single" w:color="000000" w:sz="4" w:space="0"/>
              <w:right w:val="nil"/>
            </w:tcBorders>
            <w:shd w:val="clear" w:color="auto" w:fill="auto"/>
            <w:vAlign w:val="center"/>
          </w:tcPr>
          <w:p>
            <w:pPr>
              <w:widowControl/>
              <w:jc w:val="right"/>
              <w:textAlignment w:val="center"/>
              <w:rPr>
                <w:rFonts w:ascii="宋体" w:hAnsi="宋体" w:cs="宋体"/>
                <w:color w:val="000000"/>
                <w:sz w:val="20"/>
                <w:szCs w:val="20"/>
              </w:rPr>
            </w:pPr>
            <w:r>
              <w:rPr>
                <w:rFonts w:hint="eastAsia" w:ascii="宋体" w:hAnsi="宋体" w:cs="宋体"/>
                <w:color w:val="000000"/>
                <w:kern w:val="0"/>
                <w:sz w:val="20"/>
                <w:szCs w:val="20"/>
              </w:rPr>
              <w:t xml:space="preserve"> 单位：万元</w:t>
            </w:r>
          </w:p>
        </w:tc>
      </w:tr>
      <w:tr>
        <w:tblPrEx>
          <w:tblLayout w:type="fixed"/>
          <w:tblCellMar>
            <w:top w:w="0" w:type="dxa"/>
            <w:left w:w="108" w:type="dxa"/>
            <w:bottom w:w="0" w:type="dxa"/>
            <w:right w:w="108" w:type="dxa"/>
          </w:tblCellMar>
        </w:tblPrEx>
        <w:trPr>
          <w:trHeight w:val="360" w:hRule="atLeast"/>
        </w:trPr>
        <w:tc>
          <w:tcPr>
            <w:tcW w:w="1253" w:type="dxa"/>
            <w:gridSpan w:val="2"/>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rPr>
              <w:t>项目名称</w:t>
            </w:r>
          </w:p>
        </w:tc>
        <w:tc>
          <w:tcPr>
            <w:tcW w:w="1517" w:type="dxa"/>
            <w:tcBorders>
              <w:top w:val="single" w:color="000000" w:sz="4" w:space="0"/>
              <w:left w:val="single" w:color="000000" w:sz="4" w:space="0"/>
              <w:bottom w:val="single" w:color="000000" w:sz="4" w:space="0"/>
              <w:right w:val="nil"/>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义务教育阶段家庭经济困难学生营养餐补助</w:t>
            </w:r>
          </w:p>
        </w:tc>
        <w:tc>
          <w:tcPr>
            <w:tcW w:w="1211" w:type="dxa"/>
            <w:tcBorders>
              <w:top w:val="single" w:color="000000" w:sz="4" w:space="0"/>
              <w:left w:val="nil"/>
              <w:bottom w:val="single" w:color="000000" w:sz="4" w:space="0"/>
              <w:right w:val="nil"/>
            </w:tcBorders>
            <w:shd w:val="clear" w:color="auto" w:fill="auto"/>
            <w:vAlign w:val="center"/>
          </w:tcPr>
          <w:p>
            <w:pPr>
              <w:rPr>
                <w:rFonts w:ascii="宋体" w:hAnsi="宋体" w:cs="宋体"/>
                <w:color w:val="000000"/>
                <w:sz w:val="20"/>
                <w:szCs w:val="20"/>
              </w:rPr>
            </w:pPr>
          </w:p>
        </w:tc>
        <w:tc>
          <w:tcPr>
            <w:tcW w:w="733" w:type="dxa"/>
            <w:tcBorders>
              <w:top w:val="single" w:color="000000" w:sz="4" w:space="0"/>
              <w:left w:val="nil"/>
              <w:bottom w:val="single" w:color="000000" w:sz="4" w:space="0"/>
              <w:right w:val="nil"/>
            </w:tcBorders>
            <w:shd w:val="clear" w:color="auto" w:fill="auto"/>
            <w:vAlign w:val="center"/>
          </w:tcPr>
          <w:p>
            <w:pPr>
              <w:rPr>
                <w:rFonts w:ascii="宋体" w:hAnsi="宋体" w:cs="宋体"/>
                <w:color w:val="000000"/>
                <w:sz w:val="20"/>
                <w:szCs w:val="20"/>
              </w:rPr>
            </w:pPr>
          </w:p>
        </w:tc>
        <w:tc>
          <w:tcPr>
            <w:tcW w:w="777" w:type="dxa"/>
            <w:tcBorders>
              <w:top w:val="single" w:color="000000" w:sz="4" w:space="0"/>
              <w:left w:val="nil"/>
              <w:bottom w:val="single" w:color="000000" w:sz="4" w:space="0"/>
              <w:right w:val="nil"/>
            </w:tcBorders>
            <w:shd w:val="clear" w:color="auto" w:fill="auto"/>
            <w:vAlign w:val="center"/>
          </w:tcPr>
          <w:p>
            <w:pPr>
              <w:jc w:val="center"/>
              <w:rPr>
                <w:rFonts w:ascii="宋体" w:hAnsi="宋体" w:cs="宋体"/>
                <w:color w:val="000000"/>
                <w:sz w:val="20"/>
                <w:szCs w:val="20"/>
              </w:rPr>
            </w:pPr>
          </w:p>
        </w:tc>
        <w:tc>
          <w:tcPr>
            <w:tcW w:w="112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rPr>
              <w:t>自评年度</w:t>
            </w:r>
          </w:p>
        </w:tc>
        <w:tc>
          <w:tcPr>
            <w:tcW w:w="334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2024年1月1日-2024年12月31日</w:t>
            </w:r>
          </w:p>
        </w:tc>
      </w:tr>
      <w:tr>
        <w:tblPrEx>
          <w:tblLayout w:type="fixed"/>
          <w:tblCellMar>
            <w:top w:w="0" w:type="dxa"/>
            <w:left w:w="108" w:type="dxa"/>
            <w:bottom w:w="0" w:type="dxa"/>
            <w:right w:w="108" w:type="dxa"/>
          </w:tblCellMar>
        </w:tblPrEx>
        <w:trPr>
          <w:trHeight w:val="360" w:hRule="atLeast"/>
        </w:trPr>
        <w:tc>
          <w:tcPr>
            <w:tcW w:w="125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rPr>
              <w:t>主管部门</w:t>
            </w:r>
          </w:p>
        </w:tc>
        <w:tc>
          <w:tcPr>
            <w:tcW w:w="423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湖里区教育局</w:t>
            </w:r>
          </w:p>
        </w:tc>
        <w:tc>
          <w:tcPr>
            <w:tcW w:w="112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rPr>
              <w:t>实施单位</w:t>
            </w:r>
          </w:p>
        </w:tc>
        <w:tc>
          <w:tcPr>
            <w:tcW w:w="258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rPr>
              <w:t>厦门外国语学校湖里分校</w:t>
            </w: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r>
      <w:tr>
        <w:tblPrEx>
          <w:tblLayout w:type="fixed"/>
          <w:tblCellMar>
            <w:top w:w="0" w:type="dxa"/>
            <w:left w:w="108" w:type="dxa"/>
            <w:bottom w:w="0" w:type="dxa"/>
            <w:right w:w="108" w:type="dxa"/>
          </w:tblCellMar>
        </w:tblPrEx>
        <w:trPr>
          <w:trHeight w:val="660" w:hRule="atLeast"/>
        </w:trPr>
        <w:tc>
          <w:tcPr>
            <w:tcW w:w="125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rPr>
              <w:t>年度预算执行情况</w:t>
            </w:r>
          </w:p>
        </w:tc>
        <w:tc>
          <w:tcPr>
            <w:tcW w:w="151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121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rPr>
              <w:t>年初预算数</w:t>
            </w:r>
          </w:p>
        </w:tc>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rPr>
              <w:t>已调整数</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rPr>
              <w:t>调整后预算数</w:t>
            </w:r>
          </w:p>
        </w:tc>
        <w:tc>
          <w:tcPr>
            <w:tcW w:w="112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rPr>
              <w:t>全年执行数</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rPr>
              <w:t>执行率</w:t>
            </w:r>
          </w:p>
        </w:tc>
        <w:tc>
          <w:tcPr>
            <w:tcW w:w="918" w:type="dxa"/>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rPr>
              <w:t>设置分值</w:t>
            </w:r>
          </w:p>
        </w:tc>
        <w:tc>
          <w:tcPr>
            <w:tcW w:w="6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rPr>
              <w:t>得分</w:t>
            </w: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rPr>
              <w:t>存在问题及原因</w:t>
            </w:r>
          </w:p>
        </w:tc>
      </w:tr>
      <w:tr>
        <w:tblPrEx>
          <w:tblLayout w:type="fixed"/>
          <w:tblCellMar>
            <w:top w:w="0" w:type="dxa"/>
            <w:left w:w="108" w:type="dxa"/>
            <w:bottom w:w="0" w:type="dxa"/>
            <w:right w:w="108" w:type="dxa"/>
          </w:tblCellMar>
        </w:tblPrEx>
        <w:trPr>
          <w:trHeight w:val="330" w:hRule="atLeast"/>
        </w:trPr>
        <w:tc>
          <w:tcPr>
            <w:tcW w:w="125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color w:val="000000"/>
                <w:sz w:val="20"/>
                <w:szCs w:val="20"/>
              </w:rPr>
            </w:pPr>
          </w:p>
        </w:tc>
        <w:tc>
          <w:tcPr>
            <w:tcW w:w="15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b/>
                <w:bCs/>
                <w:color w:val="000000"/>
                <w:sz w:val="20"/>
                <w:szCs w:val="20"/>
              </w:rPr>
            </w:pPr>
            <w:r>
              <w:rPr>
                <w:rFonts w:hint="eastAsia" w:ascii="宋体" w:hAnsi="宋体" w:cs="宋体"/>
                <w:b/>
                <w:bCs/>
                <w:color w:val="000000"/>
                <w:kern w:val="0"/>
                <w:sz w:val="20"/>
                <w:szCs w:val="20"/>
              </w:rPr>
              <w:t>年度资金总额</w:t>
            </w:r>
          </w:p>
        </w:tc>
        <w:tc>
          <w:tcPr>
            <w:tcW w:w="121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宋体" w:hAnsi="宋体" w:cs="宋体"/>
                <w:color w:val="000000"/>
                <w:sz w:val="20"/>
                <w:szCs w:val="20"/>
              </w:rPr>
            </w:pPr>
            <w:r>
              <w:rPr>
                <w:rFonts w:hint="eastAsia" w:ascii="宋体" w:hAnsi="宋体" w:cs="宋体"/>
                <w:color w:val="000000"/>
                <w:kern w:val="0"/>
                <w:sz w:val="20"/>
                <w:szCs w:val="20"/>
              </w:rPr>
              <w:t>5.4</w:t>
            </w:r>
          </w:p>
        </w:tc>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宋体" w:hAnsi="宋体" w:cs="宋体"/>
                <w:color w:val="000000"/>
                <w:sz w:val="20"/>
                <w:szCs w:val="20"/>
              </w:rPr>
            </w:pPr>
            <w:r>
              <w:rPr>
                <w:rFonts w:hint="eastAsia" w:ascii="宋体" w:hAnsi="宋体" w:cs="宋体"/>
                <w:color w:val="000000"/>
                <w:kern w:val="0"/>
                <w:sz w:val="20"/>
                <w:szCs w:val="20"/>
              </w:rPr>
              <w:t>0</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5.4</w:t>
            </w:r>
          </w:p>
        </w:tc>
        <w:tc>
          <w:tcPr>
            <w:tcW w:w="112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宋体" w:hAnsi="宋体" w:cs="宋体"/>
                <w:color w:val="000000"/>
                <w:sz w:val="20"/>
                <w:szCs w:val="20"/>
              </w:rPr>
            </w:pPr>
            <w:r>
              <w:rPr>
                <w:rFonts w:hint="eastAsia" w:ascii="宋体" w:hAnsi="宋体" w:cs="宋体"/>
                <w:color w:val="000000"/>
                <w:kern w:val="0"/>
                <w:sz w:val="20"/>
                <w:szCs w:val="20"/>
              </w:rPr>
              <w:t>4.422</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宋体" w:hAnsi="宋体" w:cs="宋体"/>
                <w:color w:val="000000"/>
                <w:sz w:val="20"/>
                <w:szCs w:val="20"/>
              </w:rPr>
            </w:pPr>
            <w:r>
              <w:rPr>
                <w:rFonts w:hint="eastAsia" w:ascii="宋体" w:hAnsi="宋体" w:cs="宋体"/>
                <w:color w:val="000000"/>
                <w:kern w:val="0"/>
                <w:sz w:val="20"/>
                <w:szCs w:val="20"/>
              </w:rPr>
              <w:t>81.89%</w:t>
            </w:r>
          </w:p>
        </w:tc>
        <w:tc>
          <w:tcPr>
            <w:tcW w:w="918" w:type="dxa"/>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10</w:t>
            </w:r>
          </w:p>
        </w:tc>
        <w:tc>
          <w:tcPr>
            <w:tcW w:w="6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宋体" w:hAnsi="宋体" w:cs="宋体"/>
                <w:color w:val="000000"/>
                <w:sz w:val="20"/>
                <w:szCs w:val="20"/>
              </w:rPr>
            </w:pPr>
            <w:r>
              <w:rPr>
                <w:rFonts w:hint="eastAsia" w:ascii="宋体" w:hAnsi="宋体" w:cs="宋体"/>
                <w:color w:val="000000"/>
                <w:kern w:val="0"/>
                <w:sz w:val="20"/>
                <w:szCs w:val="20"/>
              </w:rPr>
              <w:t>8</w:t>
            </w: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无</w:t>
            </w:r>
          </w:p>
        </w:tc>
      </w:tr>
      <w:tr>
        <w:tblPrEx>
          <w:tblLayout w:type="fixed"/>
          <w:tblCellMar>
            <w:top w:w="0" w:type="dxa"/>
            <w:left w:w="108" w:type="dxa"/>
            <w:bottom w:w="0" w:type="dxa"/>
            <w:right w:w="108" w:type="dxa"/>
          </w:tblCellMar>
        </w:tblPrEx>
        <w:trPr>
          <w:trHeight w:val="330" w:hRule="atLeast"/>
        </w:trPr>
        <w:tc>
          <w:tcPr>
            <w:tcW w:w="125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color w:val="000000"/>
                <w:sz w:val="20"/>
                <w:szCs w:val="20"/>
              </w:rPr>
            </w:pPr>
          </w:p>
        </w:tc>
        <w:tc>
          <w:tcPr>
            <w:tcW w:w="15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b/>
                <w:bCs/>
                <w:color w:val="000000"/>
                <w:sz w:val="20"/>
                <w:szCs w:val="20"/>
              </w:rPr>
            </w:pPr>
            <w:r>
              <w:rPr>
                <w:rFonts w:hint="eastAsia" w:ascii="宋体" w:hAnsi="宋体" w:cs="宋体"/>
                <w:b/>
                <w:bCs/>
                <w:color w:val="000000"/>
                <w:kern w:val="0"/>
                <w:sz w:val="20"/>
                <w:szCs w:val="20"/>
              </w:rPr>
              <w:t>其中：当年财政拨款</w:t>
            </w:r>
          </w:p>
        </w:tc>
        <w:tc>
          <w:tcPr>
            <w:tcW w:w="121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宋体" w:hAnsi="宋体" w:cs="宋体"/>
                <w:color w:val="000000"/>
                <w:sz w:val="20"/>
                <w:szCs w:val="20"/>
              </w:rPr>
            </w:pPr>
            <w:r>
              <w:rPr>
                <w:rFonts w:hint="eastAsia" w:ascii="宋体" w:hAnsi="宋体" w:cs="宋体"/>
                <w:color w:val="000000"/>
                <w:kern w:val="0"/>
                <w:sz w:val="20"/>
                <w:szCs w:val="20"/>
              </w:rPr>
              <w:t>5.4</w:t>
            </w:r>
          </w:p>
        </w:tc>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宋体" w:hAnsi="宋体" w:cs="宋体"/>
                <w:color w:val="000000"/>
                <w:sz w:val="20"/>
                <w:szCs w:val="20"/>
              </w:rPr>
            </w:pPr>
            <w:r>
              <w:rPr>
                <w:rFonts w:hint="eastAsia" w:ascii="宋体" w:hAnsi="宋体" w:cs="宋体"/>
                <w:color w:val="000000"/>
                <w:kern w:val="0"/>
                <w:sz w:val="20"/>
                <w:szCs w:val="20"/>
              </w:rPr>
              <w:t>0</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5.4</w:t>
            </w:r>
          </w:p>
        </w:tc>
        <w:tc>
          <w:tcPr>
            <w:tcW w:w="112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宋体" w:hAnsi="宋体" w:cs="宋体"/>
                <w:color w:val="000000"/>
                <w:sz w:val="20"/>
                <w:szCs w:val="20"/>
              </w:rPr>
            </w:pPr>
            <w:r>
              <w:rPr>
                <w:rFonts w:hint="eastAsia" w:ascii="宋体" w:hAnsi="宋体" w:cs="宋体"/>
                <w:color w:val="000000"/>
                <w:kern w:val="0"/>
                <w:sz w:val="20"/>
                <w:szCs w:val="20"/>
              </w:rPr>
              <w:t>4.422</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宋体" w:hAnsi="宋体" w:cs="宋体"/>
                <w:color w:val="000000"/>
                <w:sz w:val="20"/>
                <w:szCs w:val="20"/>
              </w:rPr>
            </w:pPr>
            <w:r>
              <w:rPr>
                <w:rFonts w:hint="eastAsia" w:ascii="宋体" w:hAnsi="宋体" w:cs="宋体"/>
                <w:color w:val="000000"/>
                <w:kern w:val="0"/>
                <w:sz w:val="20"/>
                <w:szCs w:val="20"/>
              </w:rPr>
              <w:t>81.89%</w:t>
            </w:r>
          </w:p>
        </w:tc>
        <w:tc>
          <w:tcPr>
            <w:tcW w:w="918" w:type="dxa"/>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w:t>
            </w:r>
          </w:p>
        </w:tc>
        <w:tc>
          <w:tcPr>
            <w:tcW w:w="6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w:t>
            </w: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无</w:t>
            </w:r>
          </w:p>
        </w:tc>
      </w:tr>
      <w:tr>
        <w:tblPrEx>
          <w:tblLayout w:type="fixed"/>
          <w:tblCellMar>
            <w:top w:w="0" w:type="dxa"/>
            <w:left w:w="108" w:type="dxa"/>
            <w:bottom w:w="0" w:type="dxa"/>
            <w:right w:w="108" w:type="dxa"/>
          </w:tblCellMar>
        </w:tblPrEx>
        <w:trPr>
          <w:trHeight w:val="330" w:hRule="atLeast"/>
        </w:trPr>
        <w:tc>
          <w:tcPr>
            <w:tcW w:w="125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color w:val="000000"/>
                <w:sz w:val="20"/>
                <w:szCs w:val="20"/>
              </w:rPr>
            </w:pPr>
          </w:p>
        </w:tc>
        <w:tc>
          <w:tcPr>
            <w:tcW w:w="15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b/>
                <w:bCs/>
                <w:color w:val="000000"/>
                <w:sz w:val="20"/>
                <w:szCs w:val="20"/>
              </w:rPr>
            </w:pPr>
            <w:r>
              <w:rPr>
                <w:rFonts w:hint="eastAsia" w:ascii="宋体" w:hAnsi="宋体" w:cs="宋体"/>
                <w:b/>
                <w:bCs/>
                <w:color w:val="000000"/>
                <w:kern w:val="0"/>
                <w:sz w:val="20"/>
                <w:szCs w:val="20"/>
              </w:rPr>
              <w:t xml:space="preserve">     上年结转资金</w:t>
            </w:r>
          </w:p>
        </w:tc>
        <w:tc>
          <w:tcPr>
            <w:tcW w:w="121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12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918" w:type="dxa"/>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w:t>
            </w:r>
          </w:p>
        </w:tc>
        <w:tc>
          <w:tcPr>
            <w:tcW w:w="6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w:t>
            </w: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r>
      <w:tr>
        <w:tblPrEx>
          <w:tblLayout w:type="fixed"/>
          <w:tblCellMar>
            <w:top w:w="0" w:type="dxa"/>
            <w:left w:w="108" w:type="dxa"/>
            <w:bottom w:w="0" w:type="dxa"/>
            <w:right w:w="108" w:type="dxa"/>
          </w:tblCellMar>
        </w:tblPrEx>
        <w:trPr>
          <w:trHeight w:val="330" w:hRule="atLeast"/>
        </w:trPr>
        <w:tc>
          <w:tcPr>
            <w:tcW w:w="125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color w:val="000000"/>
                <w:sz w:val="20"/>
                <w:szCs w:val="20"/>
              </w:rPr>
            </w:pPr>
          </w:p>
        </w:tc>
        <w:tc>
          <w:tcPr>
            <w:tcW w:w="15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b/>
                <w:bCs/>
                <w:color w:val="000000"/>
                <w:sz w:val="20"/>
                <w:szCs w:val="20"/>
              </w:rPr>
            </w:pPr>
            <w:r>
              <w:rPr>
                <w:rFonts w:hint="eastAsia" w:ascii="宋体" w:hAnsi="宋体" w:cs="宋体"/>
                <w:b/>
                <w:bCs/>
                <w:color w:val="000000"/>
                <w:kern w:val="0"/>
                <w:sz w:val="20"/>
                <w:szCs w:val="20"/>
              </w:rPr>
              <w:t xml:space="preserve">     其他资金</w:t>
            </w:r>
          </w:p>
        </w:tc>
        <w:tc>
          <w:tcPr>
            <w:tcW w:w="121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112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918" w:type="dxa"/>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w:t>
            </w:r>
          </w:p>
        </w:tc>
        <w:tc>
          <w:tcPr>
            <w:tcW w:w="6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w:t>
            </w: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r>
      <w:tr>
        <w:tblPrEx>
          <w:tblLayout w:type="fixed"/>
          <w:tblCellMar>
            <w:top w:w="0" w:type="dxa"/>
            <w:left w:w="108" w:type="dxa"/>
            <w:bottom w:w="0" w:type="dxa"/>
            <w:right w:w="108" w:type="dxa"/>
          </w:tblCellMar>
        </w:tblPrEx>
        <w:trPr>
          <w:trHeight w:val="375" w:hRule="atLeast"/>
        </w:trPr>
        <w:tc>
          <w:tcPr>
            <w:tcW w:w="42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rPr>
              <w:t>年度</w:t>
            </w:r>
            <w:r>
              <w:rPr>
                <w:rFonts w:hint="eastAsia" w:ascii="宋体" w:hAnsi="宋体" w:cs="宋体"/>
                <w:b/>
                <w:bCs/>
                <w:color w:val="000000"/>
                <w:kern w:val="0"/>
                <w:sz w:val="20"/>
                <w:szCs w:val="20"/>
              </w:rPr>
              <w:br w:type="textWrapping"/>
            </w:r>
            <w:r>
              <w:rPr>
                <w:rFonts w:hint="eastAsia" w:ascii="宋体" w:hAnsi="宋体" w:cs="宋体"/>
                <w:b/>
                <w:bCs/>
                <w:color w:val="000000"/>
                <w:kern w:val="0"/>
                <w:sz w:val="20"/>
                <w:szCs w:val="20"/>
              </w:rPr>
              <w:t>总体</w:t>
            </w:r>
            <w:r>
              <w:rPr>
                <w:rFonts w:hint="eastAsia" w:ascii="宋体" w:hAnsi="宋体" w:cs="宋体"/>
                <w:b/>
                <w:bCs/>
                <w:color w:val="000000"/>
                <w:kern w:val="0"/>
                <w:sz w:val="20"/>
                <w:szCs w:val="20"/>
              </w:rPr>
              <w:br w:type="textWrapping"/>
            </w:r>
            <w:r>
              <w:rPr>
                <w:rFonts w:hint="eastAsia" w:ascii="宋体" w:hAnsi="宋体" w:cs="宋体"/>
                <w:b/>
                <w:bCs/>
                <w:color w:val="000000"/>
                <w:kern w:val="0"/>
                <w:sz w:val="20"/>
                <w:szCs w:val="20"/>
              </w:rPr>
              <w:t>目标</w:t>
            </w:r>
          </w:p>
        </w:tc>
        <w:tc>
          <w:tcPr>
            <w:tcW w:w="507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rPr>
              <w:t>预期目标</w:t>
            </w:r>
          </w:p>
        </w:tc>
        <w:tc>
          <w:tcPr>
            <w:tcW w:w="446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rPr>
              <w:t>实际完成情况</w:t>
            </w:r>
          </w:p>
        </w:tc>
      </w:tr>
      <w:tr>
        <w:tblPrEx>
          <w:tblLayout w:type="fixed"/>
          <w:tblCellMar>
            <w:top w:w="0" w:type="dxa"/>
            <w:left w:w="108" w:type="dxa"/>
            <w:bottom w:w="0" w:type="dxa"/>
            <w:right w:w="108" w:type="dxa"/>
          </w:tblCellMar>
        </w:tblPrEx>
        <w:trPr>
          <w:trHeight w:val="270" w:hRule="atLeast"/>
        </w:trPr>
        <w:tc>
          <w:tcPr>
            <w:tcW w:w="4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color w:val="000000"/>
                <w:sz w:val="20"/>
                <w:szCs w:val="20"/>
              </w:rPr>
            </w:pPr>
          </w:p>
        </w:tc>
        <w:tc>
          <w:tcPr>
            <w:tcW w:w="5070" w:type="dxa"/>
            <w:gridSpan w:val="5"/>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厦门市教育局等五部门关于印发《厦门市学生资助资金管理实施办法》的通知（厦教发〔2022〕83号）及厦门市教育局等八部门关于印发《厦门市家庭经济困难学生认定办法》的通知（厦教规【2022】3号）等文件，对义务教育阶段公办校（学校提供午餐）家庭经济困难学生营养餐补助，确保补助工作顺利实施。2024年完成春、秋两季关于我区义务教育阶段公办校（学校提供午餐）家庭经济困难学生营养餐补助对象审核及资金下拨。</w:t>
            </w:r>
          </w:p>
        </w:tc>
        <w:tc>
          <w:tcPr>
            <w:tcW w:w="4465" w:type="dxa"/>
            <w:gridSpan w:val="5"/>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2024年完成春、秋两季关于我区义务教育阶段公办校（学校提供午餐）家庭经济困难学生营养餐补助对象审核及资金下拨。</w:t>
            </w:r>
          </w:p>
        </w:tc>
      </w:tr>
      <w:tr>
        <w:tblPrEx>
          <w:tblLayout w:type="fixed"/>
          <w:tblCellMar>
            <w:top w:w="0" w:type="dxa"/>
            <w:left w:w="108" w:type="dxa"/>
            <w:bottom w:w="0" w:type="dxa"/>
            <w:right w:w="108" w:type="dxa"/>
          </w:tblCellMar>
        </w:tblPrEx>
        <w:trPr>
          <w:trHeight w:val="2160" w:hRule="atLeast"/>
        </w:trPr>
        <w:tc>
          <w:tcPr>
            <w:tcW w:w="4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color w:val="000000"/>
                <w:sz w:val="20"/>
                <w:szCs w:val="20"/>
              </w:rPr>
            </w:pPr>
          </w:p>
        </w:tc>
        <w:tc>
          <w:tcPr>
            <w:tcW w:w="5070"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c>
          <w:tcPr>
            <w:tcW w:w="4465"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0"/>
                <w:szCs w:val="20"/>
              </w:rPr>
            </w:pPr>
          </w:p>
        </w:tc>
      </w:tr>
      <w:tr>
        <w:tblPrEx>
          <w:tblLayout w:type="fixed"/>
          <w:tblCellMar>
            <w:top w:w="0" w:type="dxa"/>
            <w:left w:w="108" w:type="dxa"/>
            <w:bottom w:w="0" w:type="dxa"/>
            <w:right w:w="108" w:type="dxa"/>
          </w:tblCellMar>
        </w:tblPrEx>
        <w:trPr>
          <w:trHeight w:val="675" w:hRule="atLeast"/>
        </w:trPr>
        <w:tc>
          <w:tcPr>
            <w:tcW w:w="42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rPr>
              <w:t>一级指标</w:t>
            </w:r>
          </w:p>
        </w:tc>
        <w:tc>
          <w:tcPr>
            <w:tcW w:w="15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rPr>
              <w:t>二级指标</w:t>
            </w:r>
          </w:p>
        </w:tc>
        <w:tc>
          <w:tcPr>
            <w:tcW w:w="121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rPr>
              <w:t>三级指标</w:t>
            </w:r>
          </w:p>
        </w:tc>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rPr>
              <w:t>指标类型</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rPr>
              <w:t>绩效目标值</w:t>
            </w:r>
          </w:p>
        </w:tc>
        <w:tc>
          <w:tcPr>
            <w:tcW w:w="112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rPr>
              <w:t>实际完成值</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rPr>
              <w:t>完成比例</w:t>
            </w:r>
          </w:p>
        </w:tc>
        <w:tc>
          <w:tcPr>
            <w:tcW w:w="918" w:type="dxa"/>
            <w:tcBorders>
              <w:top w:val="single" w:color="000000" w:sz="4" w:space="0"/>
              <w:left w:val="single" w:color="000000" w:sz="4" w:space="0"/>
              <w:bottom w:val="single" w:color="000000" w:sz="4" w:space="0"/>
              <w:right w:val="nil"/>
            </w:tcBorders>
            <w:shd w:val="clear" w:color="auto" w:fill="auto"/>
            <w:vAlign w:val="center"/>
          </w:tcPr>
          <w:p>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rPr>
              <w:t>设置分值</w:t>
            </w:r>
          </w:p>
        </w:tc>
        <w:tc>
          <w:tcPr>
            <w:tcW w:w="6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rPr>
              <w:t>得分</w:t>
            </w: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rPr>
              <w:t>存在问题及原因</w:t>
            </w:r>
          </w:p>
        </w:tc>
      </w:tr>
      <w:tr>
        <w:tblPrEx>
          <w:tblLayout w:type="fixed"/>
          <w:tblCellMar>
            <w:top w:w="0" w:type="dxa"/>
            <w:left w:w="108" w:type="dxa"/>
            <w:bottom w:w="0" w:type="dxa"/>
            <w:right w:w="108" w:type="dxa"/>
          </w:tblCellMar>
        </w:tblPrEx>
        <w:trPr>
          <w:trHeight w:val="986" w:hRule="atLeast"/>
        </w:trPr>
        <w:tc>
          <w:tcPr>
            <w:tcW w:w="42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rPr>
              <w:t>绩</w:t>
            </w:r>
            <w:r>
              <w:rPr>
                <w:rFonts w:hint="eastAsia" w:ascii="宋体" w:hAnsi="宋体" w:cs="宋体"/>
                <w:b/>
                <w:bCs/>
                <w:color w:val="000000"/>
                <w:kern w:val="0"/>
                <w:sz w:val="20"/>
                <w:szCs w:val="20"/>
              </w:rPr>
              <w:br w:type="textWrapping"/>
            </w:r>
            <w:r>
              <w:rPr>
                <w:rFonts w:hint="eastAsia" w:ascii="宋体" w:hAnsi="宋体" w:cs="宋体"/>
                <w:b/>
                <w:bCs/>
                <w:color w:val="000000"/>
                <w:kern w:val="0"/>
                <w:sz w:val="20"/>
                <w:szCs w:val="20"/>
              </w:rPr>
              <w:t>效</w:t>
            </w:r>
            <w:r>
              <w:rPr>
                <w:rFonts w:hint="eastAsia" w:ascii="宋体" w:hAnsi="宋体" w:cs="宋体"/>
                <w:b/>
                <w:bCs/>
                <w:color w:val="000000"/>
                <w:kern w:val="0"/>
                <w:sz w:val="20"/>
                <w:szCs w:val="20"/>
              </w:rPr>
              <w:br w:type="textWrapping"/>
            </w:r>
            <w:r>
              <w:rPr>
                <w:rFonts w:hint="eastAsia" w:ascii="宋体" w:hAnsi="宋体" w:cs="宋体"/>
                <w:b/>
                <w:bCs/>
                <w:color w:val="000000"/>
                <w:kern w:val="0"/>
                <w:sz w:val="20"/>
                <w:szCs w:val="20"/>
              </w:rPr>
              <w:t>指</w:t>
            </w:r>
            <w:r>
              <w:rPr>
                <w:rFonts w:hint="eastAsia" w:ascii="宋体" w:hAnsi="宋体" w:cs="宋体"/>
                <w:b/>
                <w:bCs/>
                <w:color w:val="000000"/>
                <w:kern w:val="0"/>
                <w:sz w:val="20"/>
                <w:szCs w:val="20"/>
              </w:rPr>
              <w:br w:type="textWrapping"/>
            </w:r>
            <w:r>
              <w:rPr>
                <w:rFonts w:hint="eastAsia" w:ascii="宋体" w:hAnsi="宋体" w:cs="宋体"/>
                <w:b/>
                <w:bCs/>
                <w:color w:val="000000"/>
                <w:kern w:val="0"/>
                <w:sz w:val="20"/>
                <w:szCs w:val="20"/>
              </w:rPr>
              <w:t>标</w:t>
            </w:r>
            <w:r>
              <w:rPr>
                <w:rFonts w:hint="eastAsia" w:ascii="宋体" w:hAnsi="宋体" w:cs="宋体"/>
                <w:b/>
                <w:bCs/>
                <w:color w:val="000000"/>
                <w:kern w:val="0"/>
                <w:sz w:val="20"/>
                <w:szCs w:val="20"/>
              </w:rPr>
              <w:br w:type="textWrapping"/>
            </w:r>
            <w:r>
              <w:rPr>
                <w:rFonts w:hint="eastAsia" w:ascii="宋体" w:hAnsi="宋体" w:cs="宋体"/>
                <w:b/>
                <w:bCs/>
                <w:color w:val="000000"/>
                <w:kern w:val="0"/>
                <w:sz w:val="20"/>
                <w:szCs w:val="20"/>
              </w:rPr>
              <w:t>完</w:t>
            </w:r>
            <w:r>
              <w:rPr>
                <w:rFonts w:hint="eastAsia" w:ascii="宋体" w:hAnsi="宋体" w:cs="宋体"/>
                <w:b/>
                <w:bCs/>
                <w:color w:val="000000"/>
                <w:kern w:val="0"/>
                <w:sz w:val="20"/>
                <w:szCs w:val="20"/>
              </w:rPr>
              <w:br w:type="textWrapping"/>
            </w:r>
            <w:r>
              <w:rPr>
                <w:rFonts w:hint="eastAsia" w:ascii="宋体" w:hAnsi="宋体" w:cs="宋体"/>
                <w:b/>
                <w:bCs/>
                <w:color w:val="000000"/>
                <w:kern w:val="0"/>
                <w:sz w:val="20"/>
                <w:szCs w:val="20"/>
              </w:rPr>
              <w:t>成</w:t>
            </w:r>
            <w:r>
              <w:rPr>
                <w:rFonts w:hint="eastAsia" w:ascii="宋体" w:hAnsi="宋体" w:cs="宋体"/>
                <w:b/>
                <w:bCs/>
                <w:color w:val="000000"/>
                <w:kern w:val="0"/>
                <w:sz w:val="20"/>
                <w:szCs w:val="20"/>
              </w:rPr>
              <w:br w:type="textWrapping"/>
            </w:r>
            <w:r>
              <w:rPr>
                <w:rFonts w:hint="eastAsia" w:ascii="宋体" w:hAnsi="宋体" w:cs="宋体"/>
                <w:b/>
                <w:bCs/>
                <w:color w:val="000000"/>
                <w:kern w:val="0"/>
                <w:sz w:val="20"/>
                <w:szCs w:val="20"/>
              </w:rPr>
              <w:t>情</w:t>
            </w:r>
            <w:r>
              <w:rPr>
                <w:rFonts w:hint="eastAsia" w:ascii="宋体" w:hAnsi="宋体" w:cs="宋体"/>
                <w:b/>
                <w:bCs/>
                <w:color w:val="000000"/>
                <w:kern w:val="0"/>
                <w:sz w:val="20"/>
                <w:szCs w:val="20"/>
              </w:rPr>
              <w:br w:type="textWrapping"/>
            </w:r>
            <w:r>
              <w:rPr>
                <w:rFonts w:hint="eastAsia" w:ascii="宋体" w:hAnsi="宋体" w:cs="宋体"/>
                <w:b/>
                <w:bCs/>
                <w:color w:val="000000"/>
                <w:kern w:val="0"/>
                <w:sz w:val="20"/>
                <w:szCs w:val="20"/>
              </w:rPr>
              <w:t>况</w:t>
            </w:r>
          </w:p>
        </w:tc>
        <w:tc>
          <w:tcPr>
            <w:tcW w:w="8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rPr>
              <w:t>产出指标</w:t>
            </w:r>
          </w:p>
        </w:tc>
        <w:tc>
          <w:tcPr>
            <w:tcW w:w="15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数量指标</w:t>
            </w:r>
          </w:p>
        </w:tc>
        <w:tc>
          <w:tcPr>
            <w:tcW w:w="121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审核义务教育阶段受助学生</w:t>
            </w:r>
          </w:p>
        </w:tc>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ascii="宋体" w:hAnsi="宋体" w:cs="宋体"/>
                <w:color w:val="000000"/>
                <w:kern w:val="0"/>
                <w:sz w:val="20"/>
                <w:szCs w:val="20"/>
              </w:rPr>
              <w:t>定量</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大于等于76</w:t>
            </w:r>
          </w:p>
        </w:tc>
        <w:tc>
          <w:tcPr>
            <w:tcW w:w="112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宋体" w:hAnsi="宋体" w:cs="宋体"/>
                <w:color w:val="000000"/>
                <w:sz w:val="20"/>
                <w:szCs w:val="20"/>
              </w:rPr>
            </w:pPr>
            <w:r>
              <w:rPr>
                <w:rFonts w:hint="eastAsia" w:ascii="宋体" w:hAnsi="宋体" w:cs="宋体"/>
                <w:color w:val="000000"/>
                <w:kern w:val="0"/>
                <w:sz w:val="20"/>
                <w:szCs w:val="20"/>
              </w:rPr>
              <w:t>76</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宋体" w:hAnsi="宋体" w:cs="宋体"/>
                <w:color w:val="000000"/>
                <w:sz w:val="20"/>
                <w:szCs w:val="20"/>
              </w:rPr>
            </w:pPr>
            <w:r>
              <w:rPr>
                <w:rFonts w:hint="eastAsia" w:ascii="宋体" w:hAnsi="宋体" w:cs="宋体"/>
                <w:color w:val="000000"/>
                <w:kern w:val="0"/>
                <w:sz w:val="20"/>
                <w:szCs w:val="20"/>
              </w:rPr>
              <w:t>100.00%</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宋体" w:hAnsi="宋体" w:cs="宋体"/>
                <w:color w:val="000000"/>
                <w:sz w:val="20"/>
                <w:szCs w:val="20"/>
              </w:rPr>
            </w:pPr>
            <w:r>
              <w:rPr>
                <w:rFonts w:hint="eastAsia" w:ascii="宋体" w:hAnsi="宋体" w:cs="宋体"/>
                <w:color w:val="000000"/>
                <w:kern w:val="0"/>
                <w:sz w:val="20"/>
                <w:szCs w:val="20"/>
              </w:rPr>
              <w:t>15</w:t>
            </w:r>
          </w:p>
        </w:tc>
        <w:tc>
          <w:tcPr>
            <w:tcW w:w="6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宋体" w:hAnsi="宋体" w:cs="宋体"/>
                <w:color w:val="000000"/>
                <w:sz w:val="20"/>
                <w:szCs w:val="20"/>
              </w:rPr>
            </w:pPr>
            <w:r>
              <w:rPr>
                <w:rFonts w:hint="eastAsia" w:ascii="宋体" w:hAnsi="宋体" w:cs="宋体"/>
                <w:color w:val="000000"/>
                <w:kern w:val="0"/>
                <w:sz w:val="20"/>
                <w:szCs w:val="20"/>
              </w:rPr>
              <w:t>15</w:t>
            </w: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无</w:t>
            </w:r>
          </w:p>
        </w:tc>
      </w:tr>
      <w:tr>
        <w:tblPrEx>
          <w:tblLayout w:type="fixed"/>
          <w:tblCellMar>
            <w:top w:w="0" w:type="dxa"/>
            <w:left w:w="108" w:type="dxa"/>
            <w:bottom w:w="0" w:type="dxa"/>
            <w:right w:w="108" w:type="dxa"/>
          </w:tblCellMar>
        </w:tblPrEx>
        <w:trPr>
          <w:trHeight w:val="778" w:hRule="atLeast"/>
        </w:trPr>
        <w:tc>
          <w:tcPr>
            <w:tcW w:w="4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color w:val="000000"/>
                <w:sz w:val="20"/>
                <w:szCs w:val="20"/>
              </w:rPr>
            </w:pPr>
          </w:p>
        </w:tc>
        <w:tc>
          <w:tcPr>
            <w:tcW w:w="8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color w:val="000000"/>
                <w:sz w:val="20"/>
                <w:szCs w:val="20"/>
              </w:rPr>
            </w:pPr>
          </w:p>
        </w:tc>
        <w:tc>
          <w:tcPr>
            <w:tcW w:w="15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数量指标</w:t>
            </w:r>
          </w:p>
        </w:tc>
        <w:tc>
          <w:tcPr>
            <w:tcW w:w="121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全年营养餐补助人数</w:t>
            </w:r>
          </w:p>
        </w:tc>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ascii="宋体" w:hAnsi="宋体" w:cs="宋体"/>
                <w:color w:val="000000"/>
                <w:kern w:val="0"/>
                <w:sz w:val="20"/>
                <w:szCs w:val="20"/>
              </w:rPr>
              <w:t>定量</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大于等于76</w:t>
            </w:r>
          </w:p>
        </w:tc>
        <w:tc>
          <w:tcPr>
            <w:tcW w:w="112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宋体" w:hAnsi="宋体" w:cs="宋体"/>
                <w:color w:val="000000"/>
                <w:sz w:val="20"/>
                <w:szCs w:val="20"/>
              </w:rPr>
            </w:pPr>
            <w:r>
              <w:rPr>
                <w:rFonts w:hint="eastAsia" w:ascii="宋体" w:hAnsi="宋体" w:cs="宋体"/>
                <w:color w:val="000000"/>
                <w:kern w:val="0"/>
                <w:sz w:val="20"/>
                <w:szCs w:val="20"/>
              </w:rPr>
              <w:t>76</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宋体" w:hAnsi="宋体" w:cs="宋体"/>
                <w:color w:val="000000"/>
                <w:sz w:val="20"/>
                <w:szCs w:val="20"/>
              </w:rPr>
            </w:pPr>
            <w:r>
              <w:rPr>
                <w:rFonts w:hint="eastAsia" w:ascii="宋体" w:hAnsi="宋体" w:cs="宋体"/>
                <w:color w:val="000000"/>
                <w:kern w:val="0"/>
                <w:sz w:val="20"/>
                <w:szCs w:val="20"/>
              </w:rPr>
              <w:t>100.00%</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宋体" w:hAnsi="宋体" w:cs="宋体"/>
                <w:color w:val="000000"/>
                <w:sz w:val="20"/>
                <w:szCs w:val="20"/>
              </w:rPr>
            </w:pPr>
            <w:r>
              <w:rPr>
                <w:rFonts w:hint="eastAsia" w:ascii="宋体" w:hAnsi="宋体" w:cs="宋体"/>
                <w:color w:val="000000"/>
                <w:kern w:val="0"/>
                <w:sz w:val="20"/>
                <w:szCs w:val="20"/>
              </w:rPr>
              <w:t>15</w:t>
            </w:r>
          </w:p>
        </w:tc>
        <w:tc>
          <w:tcPr>
            <w:tcW w:w="6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宋体" w:hAnsi="宋体" w:cs="宋体"/>
                <w:color w:val="000000"/>
                <w:sz w:val="20"/>
                <w:szCs w:val="20"/>
              </w:rPr>
            </w:pPr>
            <w:r>
              <w:rPr>
                <w:rFonts w:hint="eastAsia" w:ascii="宋体" w:hAnsi="宋体" w:cs="宋体"/>
                <w:color w:val="000000"/>
                <w:kern w:val="0"/>
                <w:sz w:val="20"/>
                <w:szCs w:val="20"/>
              </w:rPr>
              <w:t>15</w:t>
            </w: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无</w:t>
            </w:r>
          </w:p>
        </w:tc>
      </w:tr>
      <w:tr>
        <w:tblPrEx>
          <w:tblLayout w:type="fixed"/>
          <w:tblCellMar>
            <w:top w:w="0" w:type="dxa"/>
            <w:left w:w="108" w:type="dxa"/>
            <w:bottom w:w="0" w:type="dxa"/>
            <w:right w:w="108" w:type="dxa"/>
          </w:tblCellMar>
        </w:tblPrEx>
        <w:trPr>
          <w:trHeight w:val="738" w:hRule="atLeast"/>
        </w:trPr>
        <w:tc>
          <w:tcPr>
            <w:tcW w:w="4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color w:val="000000"/>
                <w:sz w:val="20"/>
                <w:szCs w:val="20"/>
              </w:rPr>
            </w:pPr>
          </w:p>
        </w:tc>
        <w:tc>
          <w:tcPr>
            <w:tcW w:w="8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color w:val="000000"/>
                <w:sz w:val="20"/>
                <w:szCs w:val="20"/>
              </w:rPr>
            </w:pPr>
          </w:p>
        </w:tc>
        <w:tc>
          <w:tcPr>
            <w:tcW w:w="15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成本指标</w:t>
            </w:r>
          </w:p>
        </w:tc>
        <w:tc>
          <w:tcPr>
            <w:tcW w:w="121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营养餐发放标准</w:t>
            </w:r>
          </w:p>
        </w:tc>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ascii="宋体" w:hAnsi="宋体" w:cs="宋体"/>
                <w:color w:val="000000"/>
                <w:kern w:val="0"/>
                <w:sz w:val="20"/>
                <w:szCs w:val="20"/>
              </w:rPr>
              <w:t>定量</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6元/餐</w:t>
            </w:r>
          </w:p>
        </w:tc>
        <w:tc>
          <w:tcPr>
            <w:tcW w:w="112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6元/餐</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宋体" w:hAnsi="宋体" w:cs="宋体"/>
                <w:color w:val="000000"/>
                <w:sz w:val="20"/>
                <w:szCs w:val="20"/>
              </w:rPr>
            </w:pPr>
            <w:r>
              <w:rPr>
                <w:rFonts w:hint="eastAsia" w:ascii="宋体" w:hAnsi="宋体" w:cs="宋体"/>
                <w:color w:val="000000"/>
                <w:kern w:val="0"/>
                <w:sz w:val="20"/>
                <w:szCs w:val="20"/>
              </w:rPr>
              <w:t>100.00%</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宋体" w:hAnsi="宋体" w:cs="宋体"/>
                <w:color w:val="000000"/>
                <w:sz w:val="20"/>
                <w:szCs w:val="20"/>
              </w:rPr>
            </w:pPr>
            <w:r>
              <w:rPr>
                <w:rFonts w:hint="eastAsia" w:ascii="宋体" w:hAnsi="宋体" w:cs="宋体"/>
                <w:color w:val="000000"/>
                <w:kern w:val="0"/>
                <w:sz w:val="20"/>
                <w:szCs w:val="20"/>
              </w:rPr>
              <w:t>20</w:t>
            </w:r>
          </w:p>
        </w:tc>
        <w:tc>
          <w:tcPr>
            <w:tcW w:w="6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宋体" w:hAnsi="宋体" w:cs="宋体"/>
                <w:color w:val="000000"/>
                <w:sz w:val="20"/>
                <w:szCs w:val="20"/>
              </w:rPr>
            </w:pPr>
            <w:r>
              <w:rPr>
                <w:rFonts w:hint="eastAsia" w:ascii="宋体" w:hAnsi="宋体" w:cs="宋体"/>
                <w:color w:val="000000"/>
                <w:kern w:val="0"/>
                <w:sz w:val="20"/>
                <w:szCs w:val="20"/>
              </w:rPr>
              <w:t>20</w:t>
            </w: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无</w:t>
            </w:r>
          </w:p>
        </w:tc>
      </w:tr>
      <w:tr>
        <w:tblPrEx>
          <w:tblLayout w:type="fixed"/>
          <w:tblCellMar>
            <w:top w:w="0" w:type="dxa"/>
            <w:left w:w="108" w:type="dxa"/>
            <w:bottom w:w="0" w:type="dxa"/>
            <w:right w:w="108" w:type="dxa"/>
          </w:tblCellMar>
        </w:tblPrEx>
        <w:trPr>
          <w:trHeight w:val="1320" w:hRule="atLeast"/>
        </w:trPr>
        <w:tc>
          <w:tcPr>
            <w:tcW w:w="4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color w:val="000000"/>
                <w:sz w:val="20"/>
                <w:szCs w:val="20"/>
              </w:rPr>
            </w:pPr>
          </w:p>
        </w:tc>
        <w:tc>
          <w:tcPr>
            <w:tcW w:w="8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color w:val="000000"/>
                <w:sz w:val="20"/>
                <w:szCs w:val="20"/>
              </w:rPr>
            </w:pPr>
          </w:p>
        </w:tc>
        <w:tc>
          <w:tcPr>
            <w:tcW w:w="15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时效指标</w:t>
            </w:r>
          </w:p>
        </w:tc>
        <w:tc>
          <w:tcPr>
            <w:tcW w:w="121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义务教育困难生资助资金下拨及时率</w:t>
            </w:r>
          </w:p>
        </w:tc>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ascii="宋体" w:hAnsi="宋体" w:cs="宋体"/>
                <w:color w:val="000000"/>
                <w:kern w:val="0"/>
                <w:sz w:val="20"/>
                <w:szCs w:val="20"/>
              </w:rPr>
              <w:t>定量</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100%</w:t>
            </w:r>
          </w:p>
        </w:tc>
        <w:tc>
          <w:tcPr>
            <w:tcW w:w="112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宋体" w:hAnsi="宋体" w:cs="宋体"/>
                <w:color w:val="000000"/>
                <w:sz w:val="20"/>
                <w:szCs w:val="20"/>
              </w:rPr>
            </w:pPr>
            <w:r>
              <w:rPr>
                <w:rFonts w:hint="eastAsia" w:ascii="宋体" w:hAnsi="宋体" w:cs="宋体"/>
                <w:color w:val="000000"/>
                <w:kern w:val="0"/>
                <w:sz w:val="20"/>
                <w:szCs w:val="20"/>
              </w:rPr>
              <w:t>100%</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宋体" w:hAnsi="宋体" w:cs="宋体"/>
                <w:color w:val="000000"/>
                <w:sz w:val="20"/>
                <w:szCs w:val="20"/>
              </w:rPr>
            </w:pPr>
            <w:r>
              <w:rPr>
                <w:rFonts w:hint="eastAsia" w:ascii="宋体" w:hAnsi="宋体" w:cs="宋体"/>
                <w:color w:val="000000"/>
                <w:kern w:val="0"/>
                <w:sz w:val="20"/>
                <w:szCs w:val="20"/>
              </w:rPr>
              <w:t>100.00%</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宋体" w:hAnsi="宋体" w:cs="宋体"/>
                <w:color w:val="000000"/>
                <w:sz w:val="20"/>
                <w:szCs w:val="20"/>
              </w:rPr>
            </w:pPr>
            <w:r>
              <w:rPr>
                <w:rFonts w:hint="eastAsia" w:ascii="宋体" w:hAnsi="宋体" w:cs="宋体"/>
                <w:color w:val="000000"/>
                <w:kern w:val="0"/>
                <w:sz w:val="20"/>
                <w:szCs w:val="20"/>
              </w:rPr>
              <w:t>20</w:t>
            </w:r>
          </w:p>
        </w:tc>
        <w:tc>
          <w:tcPr>
            <w:tcW w:w="6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宋体" w:hAnsi="宋体" w:cs="宋体"/>
                <w:color w:val="000000"/>
                <w:sz w:val="20"/>
                <w:szCs w:val="20"/>
              </w:rPr>
            </w:pPr>
            <w:r>
              <w:rPr>
                <w:rFonts w:hint="eastAsia" w:ascii="宋体" w:hAnsi="宋体" w:cs="宋体"/>
                <w:color w:val="000000"/>
                <w:kern w:val="0"/>
                <w:sz w:val="20"/>
                <w:szCs w:val="20"/>
              </w:rPr>
              <w:t>20</w:t>
            </w: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无</w:t>
            </w:r>
          </w:p>
        </w:tc>
      </w:tr>
      <w:tr>
        <w:tblPrEx>
          <w:tblLayout w:type="fixed"/>
          <w:tblCellMar>
            <w:top w:w="0" w:type="dxa"/>
            <w:left w:w="108" w:type="dxa"/>
            <w:bottom w:w="0" w:type="dxa"/>
            <w:right w:w="108" w:type="dxa"/>
          </w:tblCellMar>
        </w:tblPrEx>
        <w:trPr>
          <w:trHeight w:val="880" w:hRule="atLeast"/>
        </w:trPr>
        <w:tc>
          <w:tcPr>
            <w:tcW w:w="4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b/>
                <w:bCs/>
                <w:color w:val="000000"/>
                <w:sz w:val="20"/>
                <w:szCs w:val="20"/>
              </w:rPr>
            </w:pPr>
          </w:p>
        </w:tc>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满意度</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指标</w:t>
            </w:r>
          </w:p>
        </w:tc>
        <w:tc>
          <w:tcPr>
            <w:tcW w:w="15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服务对象满意度指标</w:t>
            </w:r>
          </w:p>
        </w:tc>
        <w:tc>
          <w:tcPr>
            <w:tcW w:w="121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受资助对象满意度</w:t>
            </w:r>
          </w:p>
        </w:tc>
        <w:tc>
          <w:tcPr>
            <w:tcW w:w="7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ascii="宋体" w:hAnsi="宋体" w:cs="宋体"/>
                <w:color w:val="000000"/>
                <w:kern w:val="0"/>
                <w:sz w:val="20"/>
                <w:szCs w:val="20"/>
              </w:rPr>
              <w:t>定量</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大于等于90%</w:t>
            </w:r>
          </w:p>
        </w:tc>
        <w:tc>
          <w:tcPr>
            <w:tcW w:w="112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宋体" w:hAnsi="宋体" w:cs="宋体"/>
                <w:color w:val="000000"/>
                <w:sz w:val="20"/>
                <w:szCs w:val="20"/>
              </w:rPr>
            </w:pPr>
            <w:r>
              <w:rPr>
                <w:rFonts w:hint="eastAsia" w:ascii="宋体" w:hAnsi="宋体" w:cs="宋体"/>
                <w:color w:val="000000"/>
                <w:kern w:val="0"/>
                <w:sz w:val="20"/>
                <w:szCs w:val="20"/>
              </w:rPr>
              <w:t>100%</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宋体" w:hAnsi="宋体" w:cs="宋体"/>
                <w:color w:val="000000"/>
                <w:sz w:val="20"/>
                <w:szCs w:val="20"/>
              </w:rPr>
            </w:pPr>
            <w:r>
              <w:rPr>
                <w:rFonts w:hint="eastAsia" w:ascii="宋体" w:hAnsi="宋体" w:cs="宋体"/>
                <w:color w:val="000000"/>
                <w:kern w:val="0"/>
                <w:sz w:val="20"/>
                <w:szCs w:val="20"/>
              </w:rPr>
              <w:t>100.00%</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宋体" w:hAnsi="宋体" w:cs="宋体"/>
                <w:color w:val="000000"/>
                <w:sz w:val="20"/>
                <w:szCs w:val="20"/>
              </w:rPr>
            </w:pPr>
            <w:r>
              <w:rPr>
                <w:rFonts w:hint="eastAsia" w:ascii="宋体" w:hAnsi="宋体" w:cs="宋体"/>
                <w:color w:val="000000"/>
                <w:kern w:val="0"/>
                <w:sz w:val="20"/>
                <w:szCs w:val="20"/>
              </w:rPr>
              <w:t>20</w:t>
            </w:r>
          </w:p>
        </w:tc>
        <w:tc>
          <w:tcPr>
            <w:tcW w:w="6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宋体" w:hAnsi="宋体" w:cs="宋体"/>
                <w:color w:val="000000"/>
                <w:sz w:val="20"/>
                <w:szCs w:val="20"/>
              </w:rPr>
            </w:pPr>
            <w:r>
              <w:rPr>
                <w:rFonts w:hint="eastAsia" w:ascii="宋体" w:hAnsi="宋体" w:cs="宋体"/>
                <w:color w:val="000000"/>
                <w:kern w:val="0"/>
                <w:sz w:val="20"/>
                <w:szCs w:val="20"/>
              </w:rPr>
              <w:t>20</w:t>
            </w: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无</w:t>
            </w:r>
          </w:p>
        </w:tc>
      </w:tr>
      <w:tr>
        <w:tblPrEx>
          <w:tblLayout w:type="fixed"/>
          <w:tblCellMar>
            <w:top w:w="0" w:type="dxa"/>
            <w:left w:w="108" w:type="dxa"/>
            <w:bottom w:w="0" w:type="dxa"/>
            <w:right w:w="108" w:type="dxa"/>
          </w:tblCellMar>
        </w:tblPrEx>
        <w:trPr>
          <w:trHeight w:val="540" w:hRule="atLeast"/>
        </w:trPr>
        <w:tc>
          <w:tcPr>
            <w:tcW w:w="7614"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rPr>
              <w:t>总分</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rPr>
              <w:t>100</w:t>
            </w:r>
          </w:p>
        </w:tc>
        <w:tc>
          <w:tcPr>
            <w:tcW w:w="6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宋体" w:hAnsi="宋体" w:cs="宋体"/>
                <w:color w:val="000000"/>
                <w:sz w:val="20"/>
                <w:szCs w:val="20"/>
              </w:rPr>
            </w:pPr>
            <w:r>
              <w:rPr>
                <w:rFonts w:hint="eastAsia" w:ascii="宋体" w:hAnsi="宋体" w:cs="宋体"/>
                <w:color w:val="000000"/>
                <w:kern w:val="0"/>
                <w:sz w:val="20"/>
                <w:szCs w:val="20"/>
              </w:rPr>
              <w:t>98</w:t>
            </w:r>
          </w:p>
        </w:tc>
        <w:tc>
          <w:tcPr>
            <w:tcW w:w="75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20"/>
                <w:szCs w:val="20"/>
              </w:rPr>
            </w:pPr>
          </w:p>
        </w:tc>
      </w:tr>
      <w:tr>
        <w:tblPrEx>
          <w:tblLayout w:type="fixed"/>
          <w:tblCellMar>
            <w:top w:w="0" w:type="dxa"/>
            <w:left w:w="108" w:type="dxa"/>
            <w:bottom w:w="0" w:type="dxa"/>
            <w:right w:w="108" w:type="dxa"/>
          </w:tblCellMar>
        </w:tblPrEx>
        <w:trPr>
          <w:trHeight w:val="1515" w:hRule="atLeast"/>
        </w:trPr>
        <w:tc>
          <w:tcPr>
            <w:tcW w:w="9956"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填表说明：1.年度总体目标和绩效指标中的“具体指标”“年度指标值”按照部门预算批复的绩效目标填写，必须有量化指标。</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 xml:space="preserve">         2.设置分值原则：预算执行率和一级指标权重统一设置为：预算执行率10%、产出指标50%、效益指标30%、服务对象满意度指标10%。如有特殊情况，一级指标权重可做适当调整。二、三级指标应当根据指标重要程度等因素综合确定，准确反映项目的产出和效益。</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 xml:space="preserve">         3.存在问题及原因主要针对进度是否滞后，管理制度是否健全，是否违反财务管理制度，绩效目标完成情况是否明显偏离，以及其他资金使用及管理方面的问题进行阐述，并分析产生问题的原因。</w:t>
            </w:r>
          </w:p>
        </w:tc>
      </w:tr>
      <w:bookmarkEnd w:id="4"/>
    </w:tbl>
    <w:p>
      <w:pPr>
        <w:spacing w:line="20" w:lineRule="exact"/>
        <w:rPr>
          <w:rFonts w:eastAsia="Times New Roman"/>
          <w:kern w:val="0"/>
          <w:sz w:val="24"/>
        </w:rPr>
      </w:pPr>
    </w:p>
    <w:sectPr>
      <w:footerReference r:id="rId8" w:type="default"/>
      <w:pgSz w:w="11906" w:h="16838"/>
      <w:pgMar w:top="1984" w:right="1083" w:bottom="1984" w:left="1083" w:header="0" w:footer="720" w:gutter="0"/>
      <w:cols w:space="0" w:num="1"/>
      <w:docGrid w:type="lines" w:linePitch="31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auto"/>
    <w:pitch w:val="default"/>
    <w:sig w:usb0="E00002FF" w:usb1="400004FF" w:usb2="00000000" w:usb3="00000000" w:csb0="2000019F" w:csb1="00000000"/>
  </w:font>
  <w:font w:name="仿宋_GB2312">
    <w:altName w:val="仿宋"/>
    <w:panose1 w:val="00000000000000000000"/>
    <w:charset w:val="86"/>
    <w:family w:val="auto"/>
    <w:pitch w:val="default"/>
    <w:sig w:usb0="00000000" w:usb1="00000000" w:usb2="00000000" w:usb3="00000000" w:csb0="00040000" w:csb1="00000000"/>
  </w:font>
  <w:font w:name="方正小标宋简体">
    <w:altName w:val="黑体"/>
    <w:panose1 w:val="00000000000000000000"/>
    <w:charset w:val="86"/>
    <w:family w:val="auto"/>
    <w:pitch w:val="default"/>
    <w:sig w:usb0="00000000" w:usb1="00000000" w:usb2="00000000" w:usb3="00000000" w:csb0="00040000"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cs="宋体"/>
        <w:sz w:val="18"/>
      </w:rPr>
      <w:fldChar w:fldCharType="begin"/>
    </w:r>
    <w:r>
      <w:rPr>
        <w:rFonts w:ascii="宋体" w:hAnsi="宋体" w:cs="宋体"/>
        <w:sz w:val="18"/>
      </w:rPr>
      <w:instrText xml:space="preserve"> PAGE </w:instrText>
    </w:r>
    <w:r>
      <w:rPr>
        <w:rFonts w:ascii="宋体" w:hAnsi="宋体" w:cs="宋体"/>
        <w:sz w:val="18"/>
      </w:rPr>
      <w:fldChar w:fldCharType="separate"/>
    </w:r>
    <w:r>
      <w:rPr>
        <w:rFonts w:ascii="宋体" w:hAnsi="宋体" w:cs="宋体"/>
        <w:sz w:val="18"/>
      </w:rPr>
      <w:t>1</w:t>
    </w:r>
    <w:r>
      <w:rPr>
        <w:rFonts w:ascii="宋体" w:hAnsi="宋体" w:cs="宋体"/>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cs="宋体"/>
        <w:sz w:val="18"/>
      </w:rPr>
      <w:fldChar w:fldCharType="begin"/>
    </w:r>
    <w:r>
      <w:rPr>
        <w:rFonts w:ascii="宋体" w:hAnsi="宋体" w:cs="宋体"/>
        <w:sz w:val="18"/>
      </w:rPr>
      <w:instrText xml:space="preserve"> PAGE </w:instrText>
    </w:r>
    <w:r>
      <w:rPr>
        <w:rFonts w:ascii="宋体" w:hAnsi="宋体" w:cs="宋体"/>
        <w:sz w:val="18"/>
      </w:rPr>
      <w:fldChar w:fldCharType="separate"/>
    </w:r>
    <w:r>
      <w:rPr>
        <w:rFonts w:ascii="宋体" w:hAnsi="宋体" w:cs="宋体"/>
        <w:sz w:val="18"/>
      </w:rPr>
      <w:t>3</w:t>
    </w:r>
    <w:r>
      <w:rPr>
        <w:rFonts w:ascii="宋体" w:hAnsi="宋体" w:cs="宋体"/>
        <w:sz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cs="宋体"/>
        <w:sz w:val="18"/>
      </w:rPr>
      <w:fldChar w:fldCharType="begin"/>
    </w:r>
    <w:r>
      <w:rPr>
        <w:rFonts w:ascii="宋体" w:hAnsi="宋体" w:cs="宋体"/>
        <w:sz w:val="18"/>
      </w:rPr>
      <w:instrText xml:space="preserve"> PAGE </w:instrText>
    </w:r>
    <w:r>
      <w:rPr>
        <w:rFonts w:ascii="宋体" w:hAnsi="宋体" w:cs="宋体"/>
        <w:sz w:val="18"/>
      </w:rPr>
      <w:fldChar w:fldCharType="separate"/>
    </w:r>
    <w:r>
      <w:rPr>
        <w:rFonts w:ascii="宋体" w:hAnsi="宋体" w:cs="宋体"/>
        <w:sz w:val="18"/>
      </w:rPr>
      <w:t>4</w:t>
    </w:r>
    <w:r>
      <w:rPr>
        <w:rFonts w:ascii="宋体" w:hAnsi="宋体" w:cs="宋体"/>
        <w:sz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cs="宋体"/>
        <w:sz w:val="18"/>
      </w:rPr>
      <w:fldChar w:fldCharType="begin"/>
    </w:r>
    <w:r>
      <w:rPr>
        <w:rFonts w:ascii="宋体" w:hAnsi="宋体" w:cs="宋体"/>
        <w:sz w:val="18"/>
      </w:rPr>
      <w:instrText xml:space="preserve"> PAGE </w:instrText>
    </w:r>
    <w:r>
      <w:rPr>
        <w:rFonts w:ascii="宋体" w:hAnsi="宋体" w:cs="宋体"/>
        <w:sz w:val="18"/>
      </w:rPr>
      <w:fldChar w:fldCharType="separate"/>
    </w:r>
    <w:r>
      <w:rPr>
        <w:rFonts w:ascii="宋体" w:hAnsi="宋体" w:cs="宋体"/>
        <w:sz w:val="18"/>
      </w:rPr>
      <w:t>6</w:t>
    </w:r>
    <w:r>
      <w:rPr>
        <w:rFonts w:ascii="宋体" w:hAnsi="宋体" w:cs="宋体"/>
        <w:sz w:val="18"/>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cs="宋体"/>
        <w:sz w:val="18"/>
      </w:rPr>
      <w:fldChar w:fldCharType="begin"/>
    </w:r>
    <w:r>
      <w:rPr>
        <w:rFonts w:ascii="宋体" w:hAnsi="宋体" w:cs="宋体"/>
        <w:sz w:val="18"/>
      </w:rPr>
      <w:instrText xml:space="preserve"> PAGE </w:instrText>
    </w:r>
    <w:r>
      <w:rPr>
        <w:rFonts w:ascii="宋体" w:hAnsi="宋体" w:cs="宋体"/>
        <w:sz w:val="18"/>
      </w:rPr>
      <w:fldChar w:fldCharType="separate"/>
    </w:r>
    <w:r>
      <w:rPr>
        <w:rFonts w:ascii="宋体" w:hAnsi="宋体" w:cs="宋体"/>
        <w:sz w:val="18"/>
      </w:rPr>
      <w:t>26</w:t>
    </w:r>
    <w:r>
      <w:rPr>
        <w:rFonts w:ascii="宋体" w:hAnsi="宋体" w:cs="宋体"/>
        <w:sz w:val="18"/>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cs="宋体"/>
        <w:sz w:val="18"/>
      </w:rPr>
      <w:fldChar w:fldCharType="begin"/>
    </w:r>
    <w:r>
      <w:rPr>
        <w:rFonts w:ascii="宋体" w:hAnsi="宋体" w:cs="宋体"/>
        <w:sz w:val="18"/>
      </w:rPr>
      <w:instrText xml:space="preserve"> PAGE </w:instrText>
    </w:r>
    <w:r>
      <w:rPr>
        <w:rFonts w:ascii="宋体" w:hAnsi="宋体" w:cs="宋体"/>
        <w:sz w:val="18"/>
      </w:rPr>
      <w:fldChar w:fldCharType="separate"/>
    </w:r>
    <w:r>
      <w:rPr>
        <w:rFonts w:ascii="宋体" w:hAnsi="宋体" w:cs="宋体"/>
        <w:sz w:val="18"/>
      </w:rPr>
      <w:t>28</w:t>
    </w:r>
    <w:r>
      <w:rPr>
        <w:rFonts w:ascii="宋体" w:hAnsi="宋体" w:cs="宋体"/>
        <w:sz w:val="18"/>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lvl w:ilvl="0" w:tentative="0">
      <w:start w:val="6"/>
      <w:numFmt w:val="chineseCounting"/>
      <w:suff w:val="nothing"/>
      <w:lvlText w:val="%1、"/>
      <w:lvlJc w:val="left"/>
      <w:rPr>
        <w:rFonts w:hint="eastAsia"/>
      </w:rPr>
    </w:lvl>
  </w:abstractNum>
  <w:abstractNum w:abstractNumId="1">
    <w:nsid w:val="00000002"/>
    <w:multiLevelType w:val="singleLevel"/>
    <w:tmpl w:val="00000002"/>
    <w:lvl w:ilvl="0" w:tentative="0">
      <w:start w:val="3"/>
      <w:numFmt w:val="chineseCounting"/>
      <w:suff w:val="nothing"/>
      <w:lvlText w:val="（%1）"/>
      <w:lvlJc w:val="left"/>
      <w:rPr>
        <w:rFonts w:hint="eastAsia"/>
      </w:rPr>
    </w:lvl>
  </w:abstractNum>
  <w:abstractNum w:abstractNumId="2">
    <w:nsid w:val="00000003"/>
    <w:multiLevelType w:val="singleLevel"/>
    <w:tmpl w:val="00000003"/>
    <w:lvl w:ilvl="0" w:tentative="0">
      <w:start w:val="1"/>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4FDF"/>
    <w:rsid w:val="000A2A8D"/>
    <w:rsid w:val="002220D3"/>
    <w:rsid w:val="00353858"/>
    <w:rsid w:val="006D7A19"/>
    <w:rsid w:val="009B1E37"/>
    <w:rsid w:val="009C6E4D"/>
    <w:rsid w:val="00AE2DEC"/>
    <w:rsid w:val="00B375B7"/>
    <w:rsid w:val="00CD4FDF"/>
    <w:rsid w:val="00E95C29"/>
    <w:rsid w:val="00ED0D01"/>
    <w:rsid w:val="37022974"/>
    <w:rsid w:val="651D2D4A"/>
    <w:rsid w:val="6B263D2C"/>
    <w:rsid w:val="6CC846E5"/>
    <w:rsid w:val="72EC72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eastAsia="仿宋"/>
      <w:bCs/>
      <w:kern w:val="44"/>
      <w:sz w:val="32"/>
      <w:szCs w:val="44"/>
    </w:rPr>
  </w:style>
  <w:style w:type="paragraph" w:styleId="3">
    <w:name w:val="heading 2"/>
    <w:basedOn w:val="4"/>
    <w:next w:val="4"/>
    <w:qFormat/>
    <w:uiPriority w:val="0"/>
    <w:pPr>
      <w:keepNext/>
      <w:keepLines/>
      <w:spacing w:before="260" w:after="260" w:line="416" w:lineRule="auto"/>
      <w:outlineLvl w:val="1"/>
    </w:pPr>
    <w:rPr>
      <w:rFonts w:ascii="Arial" w:hAnsi="Arial" w:eastAsia="仿宋"/>
      <w:bCs/>
      <w:sz w:val="32"/>
      <w:szCs w:val="32"/>
    </w:rPr>
  </w:style>
  <w:style w:type="paragraph" w:styleId="5">
    <w:name w:val="heading 3"/>
    <w:basedOn w:val="4"/>
    <w:next w:val="4"/>
    <w:link w:val="27"/>
    <w:qFormat/>
    <w:uiPriority w:val="0"/>
    <w:pPr>
      <w:keepNext/>
      <w:keepLines/>
      <w:spacing w:before="260" w:after="260" w:line="416" w:lineRule="auto"/>
      <w:outlineLvl w:val="2"/>
    </w:pPr>
    <w:rPr>
      <w:rFonts w:eastAsia="仿宋"/>
      <w:bCs/>
      <w:sz w:val="32"/>
      <w:szCs w:val="32"/>
    </w:rPr>
  </w:style>
  <w:style w:type="paragraph" w:styleId="6">
    <w:name w:val="heading 4"/>
    <w:basedOn w:val="4"/>
    <w:next w:val="4"/>
    <w:link w:val="23"/>
    <w:qFormat/>
    <w:uiPriority w:val="0"/>
    <w:pPr>
      <w:keepNext/>
      <w:keepLines/>
      <w:spacing w:before="280" w:after="290" w:line="376" w:lineRule="auto"/>
      <w:outlineLvl w:val="3"/>
    </w:pPr>
    <w:rPr>
      <w:rFonts w:ascii="Cambria" w:hAnsi="Cambria" w:eastAsia="仿宋"/>
      <w:bCs/>
      <w:sz w:val="32"/>
      <w:szCs w:val="28"/>
    </w:rPr>
  </w:style>
  <w:style w:type="character" w:default="1" w:styleId="19">
    <w:name w:val="Default Paragraph Font"/>
    <w:semiHidden/>
    <w:unhideWhenUsed/>
    <w:qFormat/>
    <w:uiPriority w:val="1"/>
  </w:style>
  <w:style w:type="table" w:default="1" w:styleId="22">
    <w:name w:val="Normal Table"/>
    <w:semiHidden/>
    <w:unhideWhenUsed/>
    <w:qFormat/>
    <w:uiPriority w:val="99"/>
    <w:tblPr>
      <w:tblLayout w:type="fixed"/>
      <w:tblCellMar>
        <w:top w:w="0" w:type="dxa"/>
        <w:left w:w="108" w:type="dxa"/>
        <w:bottom w:w="0" w:type="dxa"/>
        <w:right w:w="108" w:type="dxa"/>
      </w:tblCellMar>
    </w:tblPr>
  </w:style>
  <w:style w:type="paragraph" w:customStyle="1" w:styleId="4">
    <w:name w:val="No Spacing_2cb8d55e-6171-4a48-932d-e5489112184d"/>
    <w:link w:val="24"/>
    <w:qFormat/>
    <w:uiPriority w:val="0"/>
    <w:pPr>
      <w:ind w:firstLine="200" w:firstLineChars="200"/>
    </w:pPr>
    <w:rPr>
      <w:rFonts w:ascii="Times New Roman" w:hAnsi="Times New Roman" w:eastAsia="仿宋_GB2312" w:cs="Times New Roman"/>
      <w:sz w:val="30"/>
      <w:szCs w:val="22"/>
      <w:lang w:val="en-US" w:eastAsia="zh-CN" w:bidi="ar-SA"/>
    </w:rPr>
  </w:style>
  <w:style w:type="paragraph" w:styleId="7">
    <w:name w:val="toc 7"/>
    <w:basedOn w:val="1"/>
    <w:next w:val="1"/>
    <w:qFormat/>
    <w:uiPriority w:val="0"/>
    <w:pPr>
      <w:ind w:left="1260"/>
      <w:jc w:val="left"/>
    </w:pPr>
    <w:rPr>
      <w:sz w:val="20"/>
      <w:szCs w:val="20"/>
    </w:rPr>
  </w:style>
  <w:style w:type="paragraph" w:styleId="8">
    <w:name w:val="Document Map"/>
    <w:basedOn w:val="1"/>
    <w:qFormat/>
    <w:uiPriority w:val="0"/>
    <w:pPr>
      <w:shd w:val="clear" w:color="auto" w:fill="000080"/>
    </w:pPr>
  </w:style>
  <w:style w:type="paragraph" w:styleId="9">
    <w:name w:val="toc 5"/>
    <w:basedOn w:val="1"/>
    <w:next w:val="1"/>
    <w:qFormat/>
    <w:uiPriority w:val="0"/>
    <w:pPr>
      <w:ind w:left="840"/>
      <w:jc w:val="left"/>
    </w:pPr>
    <w:rPr>
      <w:sz w:val="20"/>
      <w:szCs w:val="20"/>
    </w:rPr>
  </w:style>
  <w:style w:type="paragraph" w:styleId="10">
    <w:name w:val="toc 3"/>
    <w:next w:val="5"/>
    <w:qFormat/>
    <w:uiPriority w:val="0"/>
    <w:pPr>
      <w:adjustRightInd w:val="0"/>
      <w:snapToGrid w:val="0"/>
      <w:spacing w:line="360" w:lineRule="auto"/>
      <w:ind w:firstLine="400" w:firstLineChars="400"/>
    </w:pPr>
    <w:rPr>
      <w:rFonts w:ascii="Times New Roman" w:hAnsi="Times New Roman" w:eastAsia="仿宋" w:cs="Times New Roman"/>
      <w:sz w:val="32"/>
      <w:lang w:val="en-US" w:eastAsia="en-US" w:bidi="ar-SA"/>
    </w:rPr>
  </w:style>
  <w:style w:type="paragraph" w:styleId="11">
    <w:name w:val="toc 8"/>
    <w:basedOn w:val="1"/>
    <w:next w:val="1"/>
    <w:qFormat/>
    <w:uiPriority w:val="0"/>
    <w:pPr>
      <w:ind w:left="1470"/>
      <w:jc w:val="left"/>
    </w:pPr>
    <w:rPr>
      <w:sz w:val="20"/>
      <w:szCs w:val="20"/>
    </w:rPr>
  </w:style>
  <w:style w:type="paragraph" w:styleId="12">
    <w:name w:val="footer"/>
    <w:basedOn w:val="1"/>
    <w:link w:val="25"/>
    <w:qFormat/>
    <w:uiPriority w:val="0"/>
    <w:pPr>
      <w:tabs>
        <w:tab w:val="center" w:pos="4153"/>
        <w:tab w:val="right" w:pos="8306"/>
      </w:tabs>
      <w:snapToGrid w:val="0"/>
      <w:jc w:val="left"/>
    </w:pPr>
    <w:rPr>
      <w:sz w:val="18"/>
      <w:szCs w:val="18"/>
    </w:rPr>
  </w:style>
  <w:style w:type="paragraph" w:styleId="13">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4">
    <w:name w:val="toc 1"/>
    <w:next w:val="4"/>
    <w:qFormat/>
    <w:uiPriority w:val="0"/>
    <w:pPr>
      <w:adjustRightInd w:val="0"/>
      <w:snapToGrid w:val="0"/>
      <w:spacing w:line="360" w:lineRule="auto"/>
    </w:pPr>
    <w:rPr>
      <w:rFonts w:ascii="Times New Roman" w:hAnsi="Times New Roman" w:eastAsia="仿宋" w:cs="Times New Roman"/>
      <w:bCs/>
      <w:sz w:val="32"/>
      <w:lang w:val="en-US" w:eastAsia="en-US" w:bidi="ar-SA"/>
    </w:rPr>
  </w:style>
  <w:style w:type="paragraph" w:styleId="15">
    <w:name w:val="toc 4"/>
    <w:basedOn w:val="1"/>
    <w:next w:val="1"/>
    <w:qFormat/>
    <w:uiPriority w:val="0"/>
    <w:pPr>
      <w:ind w:left="630"/>
      <w:jc w:val="left"/>
    </w:pPr>
    <w:rPr>
      <w:sz w:val="20"/>
      <w:szCs w:val="20"/>
    </w:rPr>
  </w:style>
  <w:style w:type="paragraph" w:styleId="16">
    <w:name w:val="toc 6"/>
    <w:basedOn w:val="1"/>
    <w:next w:val="1"/>
    <w:qFormat/>
    <w:uiPriority w:val="0"/>
    <w:pPr>
      <w:ind w:left="1050"/>
      <w:jc w:val="left"/>
    </w:pPr>
    <w:rPr>
      <w:sz w:val="20"/>
      <w:szCs w:val="20"/>
    </w:rPr>
  </w:style>
  <w:style w:type="paragraph" w:styleId="17">
    <w:name w:val="toc 2"/>
    <w:next w:val="4"/>
    <w:qFormat/>
    <w:uiPriority w:val="0"/>
    <w:pPr>
      <w:adjustRightInd w:val="0"/>
      <w:snapToGrid w:val="0"/>
      <w:spacing w:line="360" w:lineRule="auto"/>
      <w:ind w:firstLine="200" w:firstLineChars="200"/>
    </w:pPr>
    <w:rPr>
      <w:rFonts w:ascii="Times New Roman" w:hAnsi="Times New Roman" w:eastAsia="仿宋" w:cs="Times New Roman"/>
      <w:iCs/>
      <w:sz w:val="32"/>
      <w:lang w:val="en-US" w:eastAsia="en-US" w:bidi="ar-SA"/>
    </w:rPr>
  </w:style>
  <w:style w:type="paragraph" w:styleId="18">
    <w:name w:val="toc 9"/>
    <w:basedOn w:val="1"/>
    <w:next w:val="1"/>
    <w:qFormat/>
    <w:uiPriority w:val="0"/>
    <w:pPr>
      <w:ind w:left="1680"/>
      <w:jc w:val="left"/>
    </w:pPr>
    <w:rPr>
      <w:sz w:val="20"/>
      <w:szCs w:val="20"/>
    </w:rPr>
  </w:style>
  <w:style w:type="character" w:styleId="20">
    <w:name w:val="page number"/>
    <w:basedOn w:val="19"/>
    <w:qFormat/>
    <w:uiPriority w:val="0"/>
  </w:style>
  <w:style w:type="character" w:styleId="21">
    <w:name w:val="Hyperlink"/>
    <w:qFormat/>
    <w:uiPriority w:val="0"/>
    <w:rPr>
      <w:rFonts w:ascii="宋体" w:hAnsi="宋体" w:eastAsia="仿宋" w:cs="Times New Roman"/>
      <w:kern w:val="2"/>
      <w:sz w:val="32"/>
      <w:szCs w:val="32"/>
      <w:lang w:val="en-US" w:eastAsia="zh-CN" w:bidi="ar-SA"/>
    </w:rPr>
  </w:style>
  <w:style w:type="character" w:customStyle="1" w:styleId="23">
    <w:name w:val="标题 4字符"/>
    <w:basedOn w:val="19"/>
    <w:link w:val="6"/>
    <w:qFormat/>
    <w:uiPriority w:val="0"/>
    <w:rPr>
      <w:rFonts w:ascii="Cambria" w:hAnsi="Cambria" w:eastAsia="仿宋"/>
      <w:bCs/>
      <w:kern w:val="2"/>
      <w:sz w:val="32"/>
      <w:szCs w:val="28"/>
    </w:rPr>
  </w:style>
  <w:style w:type="character" w:customStyle="1" w:styleId="24">
    <w:name w:val="无间隔 字符"/>
    <w:link w:val="4"/>
    <w:qFormat/>
    <w:uiPriority w:val="0"/>
    <w:rPr>
      <w:rFonts w:eastAsia="仿宋_GB2312"/>
      <w:sz w:val="30"/>
      <w:szCs w:val="22"/>
      <w:lang w:bidi="ar-SA"/>
    </w:rPr>
  </w:style>
  <w:style w:type="character" w:customStyle="1" w:styleId="25">
    <w:name w:val="页脚字符"/>
    <w:basedOn w:val="19"/>
    <w:link w:val="12"/>
    <w:qFormat/>
    <w:uiPriority w:val="0"/>
    <w:rPr>
      <w:kern w:val="2"/>
      <w:sz w:val="18"/>
      <w:szCs w:val="18"/>
    </w:rPr>
  </w:style>
  <w:style w:type="paragraph" w:customStyle="1" w:styleId="26">
    <w:name w:val="List Paragraph_ced8a7f1-01bf-4e77-92d6-4db2330ce171"/>
    <w:basedOn w:val="1"/>
    <w:qFormat/>
    <w:uiPriority w:val="0"/>
    <w:pPr>
      <w:ind w:firstLine="420" w:firstLineChars="200"/>
    </w:pPr>
  </w:style>
  <w:style w:type="character" w:customStyle="1" w:styleId="27">
    <w:name w:val="标题 3字符"/>
    <w:basedOn w:val="19"/>
    <w:link w:val="5"/>
    <w:qFormat/>
    <w:uiPriority w:val="0"/>
    <w:rPr>
      <w:rFonts w:eastAsia="仿宋"/>
      <w:bCs/>
      <w:kern w:val="2"/>
      <w:sz w:val="32"/>
      <w:szCs w:val="32"/>
    </w:rPr>
  </w:style>
  <w:style w:type="paragraph" w:customStyle="1" w:styleId="28">
    <w:name w:val="MsoNormal"/>
    <w:basedOn w:val="1"/>
    <w:qFormat/>
    <w:uiPriority w:val="0"/>
  </w:style>
  <w:style w:type="paragraph" w:customStyle="1" w:styleId="29">
    <w:name w:val="p"/>
    <w:basedOn w:val="1"/>
    <w:qFormat/>
    <w:uiPriority w:val="0"/>
  </w:style>
  <w:style w:type="character" w:customStyle="1" w:styleId="30">
    <w:name w:val="15"/>
    <w:basedOn w:val="19"/>
    <w:qFormat/>
    <w:uiPriority w:val="0"/>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s:customData>
</file>

<file path=customXml/item2.xml><?xml version="1.0" encoding="utf-8"?>
<b:Source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SelectedStyle="\APASixthEditionOfficeOnline.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824DABA-AC30-BF42-A769-D60AB4414C01}">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28</Pages>
  <Words>1691</Words>
  <Characters>2136</Characters>
  <Lines>107</Lines>
  <Paragraphs>30</Paragraphs>
  <TotalTime>0</TotalTime>
  <ScaleCrop>false</ScaleCrop>
  <LinksUpToDate>false</LinksUpToDate>
  <CharactersWithSpaces>2390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2022-03-23T12:40:00Z</dcterms:created>
  <dc:creator>Administrator</dc:creator>
  <cp:lastModifiedBy>Administrator</cp:lastModifiedBy>
  <cp:lastPrinted>2021-04-16T00:45:00Z</cp:lastPrinted>
  <dcterms:modified xsi:type="dcterms:W3CDTF">2025-09-16T05:16:27Z</dcterms:modified>
  <dc:title>××年度××部门/单位</dc:title>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51EA75710E61423394694D1476351CDD_13</vt:lpwstr>
  </property>
  <property fmtid="{D5CDD505-2E9C-101B-9397-08002B2CF9AE}" pid="3" name="KSOProductBuildVer">
    <vt:lpwstr>2052-11.8.2.8053</vt:lpwstr>
  </property>
  <property fmtid="{D5CDD505-2E9C-101B-9397-08002B2CF9AE}" pid="4" name="KSOTemplateDocerSaveRecord">
    <vt:lpwstr>eyJoZGlkIjoiOTI5MGRkNDc2MDA4OGFjYzE3YTQ4YmE1YzIxNGM4NjQiLCJ1c2VySWQiOiI4MjAzNTczNDcifQ==</vt:lpwstr>
  </property>
</Properties>
</file>