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widowControl/>
        <w:jc w:val="center"/>
        <w:rPr>
          <w:sz w:val="32"/>
          <w:szCs w:val="32"/>
          <w:highlight w:val="none"/>
        </w:rPr>
      </w:pPr>
    </w:p>
    <w:p>
      <w:pPr>
        <w:widowControl/>
        <w:jc w:val="both"/>
        <w:rPr>
          <w:sz w:val="84"/>
          <w:szCs w:val="84"/>
          <w:highlight w:val="none"/>
        </w:rPr>
      </w:pPr>
    </w:p>
    <w:p>
      <w:pPr>
        <w:pStyle w:val="7"/>
        <w:keepNext w:val="0"/>
        <w:keepLines w:val="0"/>
        <w:widowControl/>
        <w:spacing w:before="319" w:after="319"/>
        <w:jc w:val="center"/>
        <w:rPr>
          <w:rFonts w:hint="eastAsia" w:ascii="黑体" w:hAnsi="黑体" w:eastAsia="黑体" w:cs="黑体"/>
          <w:b/>
          <w:bCs/>
          <w:kern w:val="0"/>
          <w:sz w:val="52"/>
          <w:szCs w:val="52"/>
        </w:rPr>
      </w:pPr>
      <w:r>
        <w:rPr>
          <w:rFonts w:hint="eastAsia" w:ascii="黑体" w:hAnsi="黑体" w:eastAsia="黑体" w:cs="黑体"/>
          <w:b/>
          <w:bCs/>
          <w:i w:val="0"/>
          <w:iCs w:val="0"/>
          <w:color w:val="auto"/>
          <w:kern w:val="0"/>
          <w:sz w:val="52"/>
          <w:szCs w:val="52"/>
        </w:rPr>
        <w:t>202</w:t>
      </w:r>
      <w:r>
        <w:rPr>
          <w:rFonts w:hint="eastAsia" w:ascii="黑体" w:hAnsi="黑体" w:eastAsia="黑体" w:cs="黑体"/>
          <w:b/>
          <w:bCs/>
          <w:i w:val="0"/>
          <w:iCs w:val="0"/>
          <w:color w:val="auto"/>
          <w:kern w:val="0"/>
          <w:sz w:val="52"/>
          <w:szCs w:val="52"/>
          <w:lang w:val="en-US" w:eastAsia="zh-CN"/>
        </w:rPr>
        <w:t>4</w:t>
      </w:r>
      <w:r>
        <w:rPr>
          <w:rFonts w:hint="eastAsia" w:ascii="黑体" w:hAnsi="黑体" w:eastAsia="黑体" w:cs="黑体"/>
          <w:b/>
          <w:bCs/>
          <w:i w:val="0"/>
          <w:iCs w:val="0"/>
          <w:color w:val="auto"/>
          <w:kern w:val="0"/>
          <w:sz w:val="52"/>
          <w:szCs w:val="52"/>
        </w:rPr>
        <w:t>年度</w:t>
      </w:r>
    </w:p>
    <w:p>
      <w:pPr>
        <w:pStyle w:val="7"/>
        <w:keepNext w:val="0"/>
        <w:keepLines w:val="0"/>
        <w:widowControl/>
        <w:spacing w:before="319" w:after="319"/>
        <w:jc w:val="center"/>
        <w:rPr>
          <w:rFonts w:hint="eastAsia" w:ascii="黑体" w:hAnsi="黑体" w:eastAsia="黑体" w:cs="黑体"/>
          <w:b/>
          <w:bCs/>
          <w:kern w:val="0"/>
          <w:sz w:val="52"/>
          <w:szCs w:val="52"/>
        </w:rPr>
      </w:pPr>
      <w:r>
        <w:rPr>
          <w:rFonts w:hint="eastAsia" w:ascii="黑体" w:hAnsi="黑体" w:eastAsia="黑体" w:cs="黑体"/>
          <w:b/>
          <w:bCs/>
          <w:i w:val="0"/>
          <w:iCs w:val="0"/>
          <w:color w:val="auto"/>
          <w:kern w:val="0"/>
          <w:sz w:val="52"/>
          <w:szCs w:val="52"/>
        </w:rPr>
        <w:t>厦门市东渡第二小学 </w:t>
      </w:r>
    </w:p>
    <w:p>
      <w:pPr>
        <w:widowControl/>
        <w:jc w:val="center"/>
        <w:rPr>
          <w:rFonts w:hint="eastAsia" w:ascii="黑体" w:hAnsi="黑体" w:eastAsia="黑体" w:cs="黑体"/>
          <w:b/>
          <w:bCs/>
          <w:sz w:val="52"/>
          <w:szCs w:val="52"/>
          <w:highlight w:val="none"/>
          <w:lang w:val="en-US" w:eastAsia="zh-CN"/>
        </w:rPr>
        <w:sectPr>
          <w:footerReference r:id="rId3" w:type="default"/>
          <w:pgSz w:w="11906" w:h="16838"/>
          <w:pgMar w:top="1440" w:right="1083" w:bottom="1440" w:left="1083" w:header="0" w:footer="720" w:gutter="0"/>
          <w:pgBorders>
            <w:top w:val="none" w:sz="0" w:space="0"/>
            <w:left w:val="none" w:sz="0" w:space="0"/>
            <w:bottom w:val="none" w:sz="0" w:space="0"/>
            <w:right w:val="none" w:sz="0" w:space="0"/>
          </w:pgBorders>
          <w:pgNumType w:fmt="decimal"/>
          <w:cols w:space="0" w:num="1"/>
          <w:rtlGutter w:val="0"/>
          <w:docGrid w:type="lines" w:linePitch="317" w:charSpace="0"/>
        </w:sectPr>
      </w:pPr>
      <w:r>
        <w:rPr>
          <w:rFonts w:hint="eastAsia" w:ascii="黑体" w:hAnsi="黑体" w:eastAsia="黑体" w:cs="黑体"/>
          <w:b/>
          <w:bCs/>
          <w:i w:val="0"/>
          <w:iCs w:val="0"/>
          <w:color w:val="auto"/>
          <w:kern w:val="0"/>
          <w:sz w:val="52"/>
          <w:szCs w:val="52"/>
        </w:rPr>
        <w:t>部门决算</w:t>
      </w:r>
    </w:p>
    <w:sdt>
      <w:sdtPr>
        <w:rPr>
          <w:rFonts w:hint="eastAsia" w:ascii="仿宋" w:hAnsi="仿宋" w:eastAsia="仿宋" w:cs="仿宋"/>
          <w:b/>
          <w:bCs/>
          <w:kern w:val="0"/>
          <w:sz w:val="32"/>
          <w:szCs w:val="32"/>
          <w:lang w:val="en-US" w:eastAsia="zh-CN"/>
        </w:rPr>
        <w:id w:val="147456983"/>
        <w15:color w:val="DBDBDB"/>
        <w:docPartObj>
          <w:docPartGallery w:val="Table of Contents"/>
          <w:docPartUnique/>
        </w:docPartObj>
      </w:sdtPr>
      <w:sdtEndPr>
        <w:rPr>
          <w:rFonts w:hint="eastAsia" w:ascii="宋体" w:hAnsi="宋体" w:eastAsia="宋体" w:cs="Times New Roman"/>
          <w:b/>
          <w:bCs/>
          <w:kern w:val="2"/>
          <w:sz w:val="32"/>
          <w:szCs w:val="32"/>
          <w:lang w:val="en-US" w:eastAsia="zh-CN" w:bidi="ar-SA"/>
        </w:rPr>
      </w:sdtEndPr>
      <w:sdtContent>
        <w:p>
          <w:pPr>
            <w:widowControl/>
            <w:spacing w:before="0" w:beforeLines="0" w:after="0" w:afterLines="0" w:line="240" w:lineRule="auto"/>
            <w:ind w:left="0" w:leftChars="0" w:right="0" w:rightChars="0" w:firstLine="0" w:firstLineChars="0"/>
            <w:jc w:val="center"/>
            <w:rPr>
              <w:rFonts w:hint="eastAsia" w:ascii="仿宋" w:hAnsi="仿宋" w:eastAsia="仿宋" w:cs="仿宋"/>
              <w:b/>
              <w:bCs/>
              <w:kern w:val="0"/>
              <w:sz w:val="32"/>
              <w:szCs w:val="32"/>
            </w:rPr>
          </w:pPr>
          <w:r>
            <w:rPr>
              <w:rFonts w:hint="eastAsia" w:ascii="黑体" w:hAnsi="黑体" w:eastAsia="黑体" w:cs="黑体"/>
              <w:b/>
              <w:bCs/>
              <w:kern w:val="0"/>
              <w:sz w:val="36"/>
              <w:szCs w:val="36"/>
            </w:rPr>
            <w:t>目录</w:t>
          </w:r>
        </w:p>
        <w:p>
          <w:pPr>
            <w:pStyle w:val="18"/>
            <w:tabs>
              <w:tab w:val="right" w:leader="dot" w:pos="9730"/>
            </w:tabs>
            <w:rPr>
              <w:rFonts w:asciiTheme="minorHAnsi" w:hAnsiTheme="minorHAnsi"/>
              <w:sz w:val="22"/>
            </w:rPr>
          </w:pPr>
          <w:r>
            <w:rPr>
              <w:rFonts w:hint="eastAsia" w:ascii="仿宋" w:hAnsi="仿宋" w:eastAsia="仿宋" w:cs="仿宋"/>
              <w:b w:val="0"/>
              <w:bCs/>
              <w:kern w:val="2"/>
              <w:sz w:val="32"/>
              <w:szCs w:val="32"/>
              <w:lang w:val="en-US" w:eastAsia="zh-CN" w:bidi="ar-SA"/>
            </w:rPr>
            <w:fldChar w:fldCharType="begin"/>
          </w:r>
          <w:r>
            <w:rPr>
              <w:rFonts w:hint="eastAsia" w:ascii="仿宋" w:hAnsi="仿宋" w:eastAsia="仿宋" w:cs="仿宋"/>
              <w:b w:val="0"/>
              <w:bCs/>
              <w:kern w:val="2"/>
              <w:sz w:val="32"/>
              <w:szCs w:val="32"/>
              <w:lang w:val="en-US" w:eastAsia="zh-CN" w:bidi="ar-SA"/>
            </w:rPr>
            <w:instrText xml:space="preserve">TOC \o "1-3" \h \u </w:instrText>
          </w:r>
          <w:r>
            <w:rPr>
              <w:rFonts w:hint="eastAsia" w:ascii="仿宋" w:hAnsi="仿宋" w:eastAsia="仿宋" w:cs="仿宋"/>
              <w:b w:val="0"/>
              <w:bCs/>
              <w:kern w:val="2"/>
              <w:sz w:val="32"/>
              <w:szCs w:val="32"/>
              <w:lang w:val="en-US" w:eastAsia="zh-CN" w:bidi="ar-SA"/>
            </w:rPr>
            <w:fldChar w:fldCharType="separate"/>
          </w:r>
          <w:r>
            <w:fldChar w:fldCharType="begin"/>
          </w:r>
          <w:r>
            <w:instrText xml:space="preserve"> HYPERLINK \l "_Toc256000093" </w:instrText>
          </w:r>
          <w:r>
            <w:fldChar w:fldCharType="separate"/>
          </w:r>
          <w:r>
            <w:rPr>
              <w:rStyle w:val="22"/>
              <w:rFonts w:ascii="黑体" w:hAnsi="黑体" w:eastAsia="黑体" w:cs="黑体"/>
            </w:rPr>
            <w:t>第一部分</w:t>
          </w:r>
          <w:r>
            <w:tab/>
          </w:r>
          <w:r>
            <w:fldChar w:fldCharType="begin"/>
          </w:r>
          <w:r>
            <w:instrText xml:space="preserve"> PAGEREF _Toc256000093 \h </w:instrText>
          </w:r>
          <w:r>
            <w:fldChar w:fldCharType="separate"/>
          </w:r>
          <w:r>
            <w:t>4</w:t>
          </w:r>
          <w:r>
            <w:fldChar w:fldCharType="end"/>
          </w:r>
          <w:r>
            <w:fldChar w:fldCharType="end"/>
          </w:r>
        </w:p>
        <w:p>
          <w:pPr>
            <w:pStyle w:val="18"/>
            <w:tabs>
              <w:tab w:val="right" w:leader="dot" w:pos="9730"/>
            </w:tabs>
            <w:rPr>
              <w:rFonts w:asciiTheme="minorHAnsi" w:hAnsiTheme="minorHAnsi"/>
              <w:sz w:val="22"/>
            </w:rPr>
          </w:pPr>
          <w:r>
            <w:fldChar w:fldCharType="begin"/>
          </w:r>
          <w:r>
            <w:instrText xml:space="preserve"> HYPERLINK \l "_Toc256000094" </w:instrText>
          </w:r>
          <w:r>
            <w:fldChar w:fldCharType="separate"/>
          </w:r>
          <w:r>
            <w:rPr>
              <w:rStyle w:val="22"/>
              <w:rFonts w:ascii="黑体" w:hAnsi="黑体" w:eastAsia="黑体" w:cs="黑体"/>
            </w:rPr>
            <w:t>单位概况</w:t>
          </w:r>
          <w:r>
            <w:tab/>
          </w:r>
          <w:r>
            <w:fldChar w:fldCharType="begin"/>
          </w:r>
          <w:r>
            <w:instrText xml:space="preserve"> PAGEREF _Toc256000094 \h </w:instrText>
          </w:r>
          <w:r>
            <w:fldChar w:fldCharType="separate"/>
          </w:r>
          <w:r>
            <w:t>4</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"_Toc256000095" </w:instrText>
          </w:r>
          <w:r>
            <w:fldChar w:fldCharType="separate"/>
          </w:r>
          <w:r>
            <w:rPr>
              <w:rStyle w:val="22"/>
              <w:rFonts w:ascii="黑体" w:hAnsi="黑体" w:eastAsia="黑体" w:cs="黑体"/>
            </w:rPr>
            <w:t>一、单位主要职责</w:t>
          </w:r>
          <w:r>
            <w:tab/>
          </w:r>
          <w:r>
            <w:fldChar w:fldCharType="begin"/>
          </w:r>
          <w:r>
            <w:instrText xml:space="preserve"> PAGEREF _Toc256000095 \h </w:instrText>
          </w:r>
          <w:r>
            <w:fldChar w:fldCharType="separate"/>
          </w:r>
          <w:r>
            <w:t>4</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"_Toc256000096" </w:instrText>
          </w:r>
          <w:r>
            <w:fldChar w:fldCharType="separate"/>
          </w:r>
          <w:r>
            <w:rPr>
              <w:rStyle w:val="22"/>
              <w:rFonts w:ascii="黑体" w:hAnsi="黑体" w:eastAsia="黑体" w:cs="黑体"/>
            </w:rPr>
            <w:t>二、单位基本情况</w:t>
          </w:r>
          <w:r>
            <w:tab/>
          </w:r>
          <w:r>
            <w:fldChar w:fldCharType="begin"/>
          </w:r>
          <w:r>
            <w:instrText xml:space="preserve"> PAGEREF _Toc256000096 \h </w:instrText>
          </w:r>
          <w:r>
            <w:fldChar w:fldCharType="separate"/>
          </w:r>
          <w:r>
            <w:t>4</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"_Toc256000097" </w:instrText>
          </w:r>
          <w:r>
            <w:fldChar w:fldCharType="separate"/>
          </w:r>
          <w:r>
            <w:rPr>
              <w:rStyle w:val="22"/>
              <w:rFonts w:ascii="黑体" w:hAnsi="黑体" w:eastAsia="黑体" w:cs="黑体"/>
            </w:rPr>
            <w:t>三、单位主要工作总结</w:t>
          </w:r>
          <w:r>
            <w:tab/>
          </w:r>
          <w:r>
            <w:rPr>
              <w:rFonts w:hint="eastAsia"/>
              <w:lang w:val="en-US" w:eastAsia="zh-CN"/>
            </w:rPr>
            <w:t>4</w:t>
          </w:r>
          <w:r>
            <w:fldChar w:fldCharType="end"/>
          </w:r>
        </w:p>
        <w:p>
          <w:pPr>
            <w:pStyle w:val="18"/>
            <w:tabs>
              <w:tab w:val="right" w:leader="dot" w:pos="9730"/>
            </w:tabs>
            <w:rPr>
              <w:rFonts w:asciiTheme="minorHAnsi" w:hAnsiTheme="minorHAnsi"/>
              <w:sz w:val="22"/>
            </w:rPr>
          </w:pPr>
          <w:r>
            <w:fldChar w:fldCharType="begin"/>
          </w:r>
          <w:r>
            <w:instrText xml:space="preserve"> HYPERLINK \l "_Toc256000098" </w:instrText>
          </w:r>
          <w:r>
            <w:fldChar w:fldCharType="separate"/>
          </w:r>
          <w:r>
            <w:rPr>
              <w:rStyle w:val="22"/>
              <w:rFonts w:ascii="黑体" w:hAnsi="黑体" w:eastAsia="黑体" w:cs="黑体"/>
            </w:rPr>
            <w:t>第二部分</w:t>
          </w:r>
          <w:r>
            <w:tab/>
          </w:r>
          <w:r>
            <w:fldChar w:fldCharType="begin"/>
          </w:r>
          <w:r>
            <w:instrText xml:space="preserve"> PAGEREF _Toc256000098 \h </w:instrText>
          </w:r>
          <w:r>
            <w:fldChar w:fldCharType="separate"/>
          </w:r>
          <w:r>
            <w:t>7</w:t>
          </w:r>
          <w:r>
            <w:fldChar w:fldCharType="end"/>
          </w:r>
          <w:r>
            <w:fldChar w:fldCharType="end"/>
          </w:r>
        </w:p>
        <w:p>
          <w:pPr>
            <w:pStyle w:val="18"/>
            <w:tabs>
              <w:tab w:val="right" w:leader="dot" w:pos="9730"/>
            </w:tabs>
            <w:rPr>
              <w:rFonts w:asciiTheme="minorHAnsi" w:hAnsiTheme="minorHAnsi"/>
              <w:sz w:val="22"/>
            </w:rPr>
          </w:pPr>
          <w:r>
            <w:fldChar w:fldCharType="begin"/>
          </w:r>
          <w:r>
            <w:instrText xml:space="preserve"> HYPERLINK \l "_Toc256000099" </w:instrText>
          </w:r>
          <w:r>
            <w:fldChar w:fldCharType="separate"/>
          </w:r>
          <w:r>
            <w:rPr>
              <w:rStyle w:val="22"/>
              <w:rFonts w:ascii="黑体" w:hAnsi="黑体" w:eastAsia="黑体" w:cs="黑体"/>
            </w:rPr>
            <w:t>2024年度决算表</w:t>
          </w:r>
          <w:r>
            <w:tab/>
          </w:r>
          <w:r>
            <w:fldChar w:fldCharType="begin"/>
          </w:r>
          <w:r>
            <w:instrText xml:space="preserve"> PAGEREF _Toc256000099 \h </w:instrText>
          </w:r>
          <w:r>
            <w:fldChar w:fldCharType="separate"/>
          </w:r>
          <w:r>
            <w:t>7</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"_Toc256000100" </w:instrText>
          </w:r>
          <w:r>
            <w:fldChar w:fldCharType="separate"/>
          </w:r>
          <w:r>
            <w:rPr>
              <w:rStyle w:val="22"/>
              <w:rFonts w:ascii="黑体" w:hAnsi="黑体" w:eastAsia="黑体" w:cs="黑体"/>
            </w:rPr>
            <w:t>一、收入支出决算总表</w:t>
          </w:r>
          <w:r>
            <w:tab/>
          </w:r>
          <w:r>
            <w:fldChar w:fldCharType="begin"/>
          </w:r>
          <w:r>
            <w:instrText xml:space="preserve"> PAGEREF _Toc256000100 \h </w:instrText>
          </w:r>
          <w:r>
            <w:fldChar w:fldCharType="separate"/>
          </w:r>
          <w:r>
            <w:t>7</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"_Toc256000101" </w:instrText>
          </w:r>
          <w:r>
            <w:fldChar w:fldCharType="separate"/>
          </w:r>
          <w:r>
            <w:rPr>
              <w:rStyle w:val="22"/>
              <w:rFonts w:ascii="黑体" w:hAnsi="黑体" w:eastAsia="黑体" w:cs="黑体"/>
            </w:rPr>
            <w:t>二、收入决算表</w:t>
          </w:r>
          <w:r>
            <w:tab/>
          </w:r>
          <w:r>
            <w:fldChar w:fldCharType="begin"/>
          </w:r>
          <w:r>
            <w:instrText xml:space="preserve"> PAGEREF _Toc256000101 \h </w:instrText>
          </w:r>
          <w:r>
            <w:fldChar w:fldCharType="separate"/>
          </w:r>
          <w:r>
            <w:t>8</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"_Toc256000102" </w:instrText>
          </w:r>
          <w:r>
            <w:fldChar w:fldCharType="separate"/>
          </w:r>
          <w:r>
            <w:rPr>
              <w:rStyle w:val="22"/>
              <w:rFonts w:ascii="黑体" w:hAnsi="黑体" w:eastAsia="黑体" w:cs="黑体"/>
            </w:rPr>
            <w:t>三、支出决算表</w:t>
          </w:r>
          <w:r>
            <w:tab/>
          </w:r>
          <w:r>
            <w:fldChar w:fldCharType="begin"/>
          </w:r>
          <w:r>
            <w:instrText xml:space="preserve"> PAGEREF _Toc256000102 \h </w:instrText>
          </w:r>
          <w:r>
            <w:fldChar w:fldCharType="separate"/>
          </w:r>
          <w:r>
            <w:t>9</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"_Toc256000103" </w:instrText>
          </w:r>
          <w:r>
            <w:fldChar w:fldCharType="separate"/>
          </w:r>
          <w:r>
            <w:rPr>
              <w:rStyle w:val="22"/>
              <w:rFonts w:ascii="黑体" w:hAnsi="黑体" w:eastAsia="黑体" w:cs="黑体"/>
            </w:rPr>
            <w:t>四、财政拨款收入支出决算总表</w:t>
          </w:r>
          <w:r>
            <w:tab/>
          </w:r>
          <w:r>
            <w:fldChar w:fldCharType="begin"/>
          </w:r>
          <w:r>
            <w:instrText xml:space="preserve"> PAGEREF _Toc256000103 \h </w:instrText>
          </w:r>
          <w:r>
            <w:fldChar w:fldCharType="separate"/>
          </w:r>
          <w:r>
            <w:t>10</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"_Toc256000104" </w:instrText>
          </w:r>
          <w:r>
            <w:fldChar w:fldCharType="separate"/>
          </w:r>
          <w:r>
            <w:rPr>
              <w:rStyle w:val="22"/>
              <w:rFonts w:ascii="黑体" w:hAnsi="黑体" w:eastAsia="黑体" w:cs="黑体"/>
            </w:rPr>
            <w:t>五、一般公共预算财政拨款支出决算表</w:t>
          </w:r>
          <w:r>
            <w:tab/>
          </w:r>
          <w:r>
            <w:fldChar w:fldCharType="begin"/>
          </w:r>
          <w:r>
            <w:instrText xml:space="preserve"> PAGEREF _Toc256000104 \h </w:instrText>
          </w:r>
          <w:r>
            <w:fldChar w:fldCharType="separate"/>
          </w:r>
          <w:r>
            <w:t>12</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"_Toc256000105" </w:instrText>
          </w:r>
          <w:r>
            <w:fldChar w:fldCharType="separate"/>
          </w:r>
          <w:r>
            <w:rPr>
              <w:rStyle w:val="22"/>
              <w:rFonts w:ascii="黑体" w:hAnsi="黑体" w:eastAsia="黑体" w:cs="黑体"/>
            </w:rPr>
            <w:t>六、一般公共预算财政拨款基本支出决算表</w:t>
          </w:r>
          <w:r>
            <w:tab/>
          </w:r>
          <w:r>
            <w:fldChar w:fldCharType="begin"/>
          </w:r>
          <w:r>
            <w:instrText xml:space="preserve"> PAGEREF _Toc256000105 \h </w:instrText>
          </w:r>
          <w:r>
            <w:fldChar w:fldCharType="separate"/>
          </w:r>
          <w:r>
            <w:t>13</w:t>
          </w:r>
          <w:r>
            <w:fldChar w:fldCharType="end"/>
          </w:r>
          <w:r>
            <w:fldChar w:fldCharType="end"/>
          </w:r>
        </w:p>
        <w:p>
          <w:pPr>
            <w:pStyle w:val="11"/>
            <w:tabs>
              <w:tab w:val="right" w:leader="dot" w:pos="9730"/>
            </w:tabs>
            <w:rPr>
              <w:rFonts w:hint="eastAsia" w:eastAsia="仿宋" w:asciiTheme="minorHAnsi" w:hAnsiTheme="minorHAnsi"/>
              <w:sz w:val="22"/>
              <w:lang w:val="en-US" w:eastAsia="zh-CN"/>
            </w:rPr>
          </w:pPr>
          <w:r>
            <w:fldChar w:fldCharType="begin"/>
          </w:r>
          <w:r>
            <w:instrText xml:space="preserve"> HYPERLINK \l "_Toc256000106" </w:instrText>
          </w:r>
          <w:r>
            <w:fldChar w:fldCharType="separate"/>
          </w:r>
          <w:r>
            <w:rPr>
              <w:rStyle w:val="22"/>
              <w:rFonts w:ascii="黑体" w:hAnsi="黑体" w:eastAsia="黑体" w:cs="黑体"/>
            </w:rPr>
            <w:t>七、一般公共预算财政拨款“三公”经费支出决算表</w:t>
          </w:r>
          <w:r>
            <w:tab/>
          </w:r>
          <w:r>
            <w:rPr>
              <w:rFonts w:hint="eastAsia"/>
              <w:lang w:val="en-US" w:eastAsia="zh-CN"/>
            </w:rPr>
            <w:t>1</w:t>
          </w:r>
          <w:r>
            <w:fldChar w:fldCharType="end"/>
          </w:r>
          <w:r>
            <w:rPr>
              <w:rFonts w:hint="eastAsia"/>
              <w:lang w:val="en-US" w:eastAsia="zh-CN"/>
            </w:rPr>
            <w:t>4</w:t>
          </w:r>
        </w:p>
        <w:p>
          <w:pPr>
            <w:pStyle w:val="11"/>
            <w:tabs>
              <w:tab w:val="right" w:leader="dot" w:pos="9730"/>
            </w:tabs>
            <w:rPr>
              <w:rFonts w:asciiTheme="minorHAnsi" w:hAnsiTheme="minorHAnsi"/>
              <w:sz w:val="22"/>
            </w:rPr>
          </w:pPr>
          <w:r>
            <w:fldChar w:fldCharType="begin"/>
          </w:r>
          <w:r>
            <w:instrText xml:space="preserve"> HYPERLINK \l "_Toc256000107" </w:instrText>
          </w:r>
          <w:r>
            <w:fldChar w:fldCharType="separate"/>
          </w:r>
          <w:r>
            <w:rPr>
              <w:rStyle w:val="22"/>
              <w:rFonts w:ascii="黑体" w:hAnsi="黑体" w:eastAsia="黑体" w:cs="黑体"/>
            </w:rPr>
            <w:t>八、政府性基金预算财政拨款收入支出决算表</w:t>
          </w:r>
          <w:r>
            <w:tab/>
          </w:r>
          <w:r>
            <w:fldChar w:fldCharType="begin"/>
          </w:r>
          <w:r>
            <w:instrText xml:space="preserve"> PAGEREF _Toc256000107 \h </w:instrText>
          </w:r>
          <w:r>
            <w:fldChar w:fldCharType="separate"/>
          </w:r>
          <w:r>
            <w:t>15</w:t>
          </w:r>
          <w:r>
            <w:fldChar w:fldCharType="end"/>
          </w:r>
          <w:r>
            <w:fldChar w:fldCharType="end"/>
          </w:r>
        </w:p>
        <w:p>
          <w:pPr>
            <w:pStyle w:val="11"/>
            <w:tabs>
              <w:tab w:val="right" w:leader="dot" w:pos="9730"/>
            </w:tabs>
            <w:rPr>
              <w:rFonts w:hint="eastAsia" w:eastAsia="仿宋" w:asciiTheme="minorHAnsi" w:hAnsiTheme="minorHAnsi"/>
              <w:sz w:val="22"/>
              <w:lang w:val="en-US" w:eastAsia="zh-CN"/>
            </w:rPr>
          </w:pPr>
          <w:r>
            <w:fldChar w:fldCharType="begin"/>
          </w:r>
          <w:r>
            <w:instrText xml:space="preserve"> HYPERLINK \l "_Toc256000108" </w:instrText>
          </w:r>
          <w:r>
            <w:fldChar w:fldCharType="separate"/>
          </w:r>
          <w:r>
            <w:rPr>
              <w:rStyle w:val="22"/>
              <w:rFonts w:ascii="黑体" w:hAnsi="黑体" w:eastAsia="黑体" w:cs="黑体"/>
            </w:rPr>
            <w:t>九、国有资本经营预算财政拨款支出决算表</w:t>
          </w:r>
          <w:r>
            <w:tab/>
          </w:r>
          <w:r>
            <w:rPr>
              <w:rFonts w:hint="eastAsia"/>
              <w:lang w:val="en-US" w:eastAsia="zh-CN"/>
            </w:rPr>
            <w:t>1</w:t>
          </w:r>
          <w:r>
            <w:fldChar w:fldCharType="end"/>
          </w:r>
          <w:r>
            <w:rPr>
              <w:rFonts w:hint="eastAsia"/>
              <w:lang w:val="en-US" w:eastAsia="zh-CN"/>
            </w:rPr>
            <w:t>5</w:t>
          </w:r>
        </w:p>
        <w:p>
          <w:pPr>
            <w:pStyle w:val="18"/>
            <w:tabs>
              <w:tab w:val="right" w:leader="dot" w:pos="9730"/>
            </w:tabs>
            <w:rPr>
              <w:rFonts w:asciiTheme="minorHAnsi" w:hAnsiTheme="minorHAnsi"/>
              <w:sz w:val="22"/>
            </w:rPr>
          </w:pPr>
          <w:r>
            <w:fldChar w:fldCharType="begin"/>
          </w:r>
          <w:r>
            <w:instrText xml:space="preserve"> HYPERLINK \l "_Toc256000109" </w:instrText>
          </w:r>
          <w:r>
            <w:fldChar w:fldCharType="separate"/>
          </w:r>
          <w:r>
            <w:rPr>
              <w:rStyle w:val="22"/>
              <w:rFonts w:ascii="黑体" w:hAnsi="黑体" w:eastAsia="黑体" w:cs="黑体"/>
            </w:rPr>
            <w:t>第三部分</w:t>
          </w:r>
          <w:r>
            <w:tab/>
          </w:r>
          <w:r>
            <w:fldChar w:fldCharType="begin"/>
          </w:r>
          <w:r>
            <w:instrText xml:space="preserve"> PAGEREF _Toc256000109 \h </w:instrText>
          </w:r>
          <w:r>
            <w:fldChar w:fldCharType="separate"/>
          </w:r>
          <w:r>
            <w:t>16</w:t>
          </w:r>
          <w:r>
            <w:fldChar w:fldCharType="end"/>
          </w:r>
          <w:r>
            <w:fldChar w:fldCharType="end"/>
          </w:r>
        </w:p>
        <w:p>
          <w:pPr>
            <w:pStyle w:val="18"/>
            <w:tabs>
              <w:tab w:val="right" w:leader="dot" w:pos="9730"/>
            </w:tabs>
            <w:rPr>
              <w:rFonts w:asciiTheme="minorHAnsi" w:hAnsiTheme="minorHAnsi"/>
              <w:sz w:val="22"/>
            </w:rPr>
          </w:pPr>
          <w:r>
            <w:fldChar w:fldCharType="begin"/>
          </w:r>
          <w:r>
            <w:instrText xml:space="preserve"> HYPERLINK \l "_Toc256000110" </w:instrText>
          </w:r>
          <w:r>
            <w:fldChar w:fldCharType="separate"/>
          </w:r>
          <w:r>
            <w:rPr>
              <w:rStyle w:val="22"/>
              <w:rFonts w:ascii="黑体" w:hAnsi="黑体" w:eastAsia="黑体" w:cs="黑体"/>
            </w:rPr>
            <w:t>2024年度决算情况说明</w:t>
          </w:r>
          <w:r>
            <w:tab/>
          </w:r>
          <w:r>
            <w:fldChar w:fldCharType="begin"/>
          </w:r>
          <w:r>
            <w:instrText xml:space="preserve"> PAGEREF _Toc256000110 \h </w:instrText>
          </w:r>
          <w:r>
            <w:fldChar w:fldCharType="separate"/>
          </w:r>
          <w:r>
            <w:t>16</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"_Toc256000111" </w:instrText>
          </w:r>
          <w:r>
            <w:fldChar w:fldCharType="separate"/>
          </w:r>
          <w:r>
            <w:rPr>
              <w:rStyle w:val="22"/>
              <w:rFonts w:ascii="黑体" w:hAnsi="黑体" w:eastAsia="黑体" w:cs="黑体"/>
            </w:rPr>
            <w:t>一、收入支出决算总体情况说明</w:t>
          </w:r>
          <w:r>
            <w:tab/>
          </w:r>
          <w:r>
            <w:fldChar w:fldCharType="begin"/>
          </w:r>
          <w:r>
            <w:instrText xml:space="preserve"> PAGEREF _Toc256000111 \h </w:instrText>
          </w:r>
          <w:r>
            <w:fldChar w:fldCharType="separate"/>
          </w:r>
          <w:r>
            <w:t>16</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"_Toc256000112" </w:instrText>
          </w:r>
          <w:r>
            <w:fldChar w:fldCharType="separate"/>
          </w:r>
          <w:r>
            <w:rPr>
              <w:rStyle w:val="22"/>
              <w:rFonts w:ascii="黑体" w:hAnsi="黑体" w:eastAsia="黑体" w:cs="黑体"/>
            </w:rPr>
            <w:t>二、财政拨款收入支出决算总体情况说明</w:t>
          </w:r>
          <w:r>
            <w:tab/>
          </w:r>
          <w:r>
            <w:fldChar w:fldCharType="begin"/>
          </w:r>
          <w:r>
            <w:instrText xml:space="preserve"> PAGEREF _Toc256000112 \h </w:instrText>
          </w:r>
          <w:r>
            <w:fldChar w:fldCharType="separate"/>
          </w:r>
          <w:r>
            <w:t>17</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"_Toc256000113" </w:instrText>
          </w:r>
          <w:r>
            <w:fldChar w:fldCharType="separate"/>
          </w:r>
          <w:r>
            <w:rPr>
              <w:rStyle w:val="22"/>
              <w:rFonts w:ascii="黑体" w:hAnsi="黑体" w:eastAsia="黑体" w:cs="黑体"/>
            </w:rPr>
            <w:t>三、一般公共预算拨款支出决算情况说明</w:t>
          </w:r>
          <w:r>
            <w:tab/>
          </w:r>
          <w:r>
            <w:fldChar w:fldCharType="begin"/>
          </w:r>
          <w:r>
            <w:instrText xml:space="preserve"> PAGEREF _Toc256000113 \h </w:instrText>
          </w:r>
          <w:r>
            <w:fldChar w:fldCharType="separate"/>
          </w:r>
          <w:r>
            <w:t>17</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"_Toc256000114" </w:instrText>
          </w:r>
          <w:r>
            <w:fldChar w:fldCharType="separate"/>
          </w:r>
          <w:r>
            <w:rPr>
              <w:rStyle w:val="22"/>
              <w:rFonts w:ascii="黑体" w:hAnsi="黑体" w:eastAsia="黑体" w:cs="黑体"/>
            </w:rPr>
            <w:t>四、政府性基金预算财政拨款支出决算情况说明</w:t>
          </w:r>
          <w:r>
            <w:tab/>
          </w:r>
          <w:r>
            <w:fldChar w:fldCharType="begin"/>
          </w:r>
          <w:r>
            <w:instrText xml:space="preserve"> PAGEREF _Toc256000114 \h </w:instrText>
          </w:r>
          <w:r>
            <w:fldChar w:fldCharType="separate"/>
          </w:r>
          <w:r>
            <w:t>19</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"_Toc256000115" </w:instrText>
          </w:r>
          <w:r>
            <w:fldChar w:fldCharType="separate"/>
          </w:r>
          <w:r>
            <w:rPr>
              <w:rStyle w:val="22"/>
              <w:rFonts w:ascii="黑体" w:hAnsi="黑体" w:eastAsia="黑体" w:cs="黑体"/>
            </w:rPr>
            <w:t>五、国有资本经营预算财政拨款支出决算情况说明</w:t>
          </w:r>
          <w:r>
            <w:tab/>
          </w:r>
          <w:r>
            <w:fldChar w:fldCharType="begin"/>
          </w:r>
          <w:r>
            <w:instrText xml:space="preserve"> PAGEREF _Toc256000115 \h </w:instrText>
          </w:r>
          <w:r>
            <w:fldChar w:fldCharType="separate"/>
          </w:r>
          <w:r>
            <w:t>19</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"_Toc256000116" </w:instrText>
          </w:r>
          <w:r>
            <w:fldChar w:fldCharType="separate"/>
          </w:r>
          <w:r>
            <w:rPr>
              <w:rStyle w:val="22"/>
              <w:rFonts w:ascii="黑体" w:hAnsi="黑体" w:eastAsia="黑体" w:cs="黑体"/>
            </w:rPr>
            <w:t>六、一般公共预算财政拨款基本支出决算情况说明</w:t>
          </w:r>
          <w:r>
            <w:tab/>
          </w:r>
          <w:r>
            <w:fldChar w:fldCharType="begin"/>
          </w:r>
          <w:r>
            <w:instrText xml:space="preserve"> PAGEREF _Toc256000116 \h </w:instrText>
          </w:r>
          <w:r>
            <w:fldChar w:fldCharType="separate"/>
          </w:r>
          <w:r>
            <w:t>19</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"_Toc256000117" </w:instrText>
          </w:r>
          <w:r>
            <w:fldChar w:fldCharType="separate"/>
          </w:r>
          <w:r>
            <w:rPr>
              <w:rStyle w:val="22"/>
              <w:rFonts w:ascii="黑体" w:hAnsi="黑体" w:eastAsia="黑体" w:cs="黑体"/>
            </w:rPr>
            <w:t>七、一般公共预算拨款“三公”经费支出决算情况说明</w:t>
          </w:r>
          <w:r>
            <w:tab/>
          </w:r>
          <w:r>
            <w:fldChar w:fldCharType="begin"/>
          </w:r>
          <w:r>
            <w:instrText xml:space="preserve"> PAGEREF _Toc256000117 \h </w:instrText>
          </w:r>
          <w:r>
            <w:fldChar w:fldCharType="separate"/>
          </w:r>
          <w:r>
            <w:t>20</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"_Toc256000118" </w:instrText>
          </w:r>
          <w:r>
            <w:fldChar w:fldCharType="separate"/>
          </w:r>
          <w:r>
            <w:rPr>
              <w:rStyle w:val="22"/>
              <w:rFonts w:ascii="黑体" w:hAnsi="黑体" w:eastAsia="黑体" w:cs="黑体"/>
            </w:rPr>
            <w:t>八、预算绩效情况说明</w:t>
          </w:r>
          <w:r>
            <w:tab/>
          </w:r>
          <w:r>
            <w:fldChar w:fldCharType="begin"/>
          </w:r>
          <w:r>
            <w:instrText xml:space="preserve"> PAGEREF _Toc256000118 \h </w:instrText>
          </w:r>
          <w:r>
            <w:fldChar w:fldCharType="separate"/>
          </w:r>
          <w:r>
            <w:t>21</w:t>
          </w:r>
          <w:r>
            <w:fldChar w:fldCharType="end"/>
          </w:r>
          <w:r>
            <w:fldChar w:fldCharType="end"/>
          </w:r>
        </w:p>
        <w:p>
          <w:pPr>
            <w:pStyle w:val="11"/>
            <w:tabs>
              <w:tab w:val="right" w:leader="dot" w:pos="9730"/>
            </w:tabs>
            <w:rPr>
              <w:rFonts w:asciiTheme="minorHAnsi" w:hAnsiTheme="minorHAnsi"/>
              <w:sz w:val="22"/>
            </w:rPr>
          </w:pPr>
          <w:r>
            <w:fldChar w:fldCharType="begin"/>
          </w:r>
          <w:r>
            <w:instrText xml:space="preserve"> HYPERLINK \l "_Toc256000119" </w:instrText>
          </w:r>
          <w:r>
            <w:fldChar w:fldCharType="separate"/>
          </w:r>
          <w:r>
            <w:rPr>
              <w:rStyle w:val="22"/>
              <w:rFonts w:ascii="黑体" w:hAnsi="黑体" w:eastAsia="黑体" w:cs="黑体"/>
            </w:rPr>
            <w:t>九、其他重要事项说明</w:t>
          </w:r>
          <w:r>
            <w:tab/>
          </w:r>
          <w:r>
            <w:fldChar w:fldCharType="begin"/>
          </w:r>
          <w:r>
            <w:instrText xml:space="preserve"> PAGEREF _Toc256000119 \h </w:instrText>
          </w:r>
          <w:r>
            <w:fldChar w:fldCharType="separate"/>
          </w:r>
          <w:r>
            <w:t>22</w:t>
          </w:r>
          <w:r>
            <w:fldChar w:fldCharType="end"/>
          </w:r>
          <w:r>
            <w:fldChar w:fldCharType="end"/>
          </w:r>
        </w:p>
        <w:p>
          <w:pPr>
            <w:pStyle w:val="18"/>
            <w:tabs>
              <w:tab w:val="right" w:leader="dot" w:pos="9730"/>
            </w:tabs>
            <w:rPr>
              <w:rFonts w:asciiTheme="minorHAnsi" w:hAnsiTheme="minorHAnsi"/>
              <w:sz w:val="22"/>
            </w:rPr>
          </w:pPr>
          <w:r>
            <w:fldChar w:fldCharType="begin"/>
          </w:r>
          <w:r>
            <w:instrText xml:space="preserve"> HYPERLINK \l "_Toc256000120" </w:instrText>
          </w:r>
          <w:r>
            <w:fldChar w:fldCharType="separate"/>
          </w:r>
          <w:r>
            <w:rPr>
              <w:rStyle w:val="22"/>
              <w:rFonts w:ascii="黑体" w:hAnsi="黑体" w:eastAsia="黑体" w:cs="黑体"/>
            </w:rPr>
            <w:t>第四部分</w:t>
          </w:r>
          <w:r>
            <w:tab/>
          </w:r>
          <w:r>
            <w:fldChar w:fldCharType="begin"/>
          </w:r>
          <w:r>
            <w:instrText xml:space="preserve"> PAGEREF _Toc256000120 \h </w:instrText>
          </w:r>
          <w:r>
            <w:fldChar w:fldCharType="separate"/>
          </w:r>
          <w:r>
            <w:t>23</w:t>
          </w:r>
          <w:r>
            <w:fldChar w:fldCharType="end"/>
          </w:r>
          <w:r>
            <w:fldChar w:fldCharType="end"/>
          </w:r>
        </w:p>
        <w:p>
          <w:pPr>
            <w:pStyle w:val="18"/>
            <w:tabs>
              <w:tab w:val="right" w:leader="dot" w:pos="9730"/>
            </w:tabs>
            <w:rPr>
              <w:rFonts w:asciiTheme="minorHAnsi" w:hAnsiTheme="minorHAnsi"/>
              <w:sz w:val="22"/>
            </w:rPr>
          </w:pPr>
          <w:r>
            <w:fldChar w:fldCharType="begin"/>
          </w:r>
          <w:r>
            <w:instrText xml:space="preserve"> HYPERLINK \l "_Toc256000121" </w:instrText>
          </w:r>
          <w:r>
            <w:fldChar w:fldCharType="separate"/>
          </w:r>
          <w:r>
            <w:rPr>
              <w:rStyle w:val="22"/>
              <w:rFonts w:ascii="黑体" w:hAnsi="黑体" w:eastAsia="黑体" w:cs="黑体"/>
            </w:rPr>
            <w:t>名词解释</w:t>
          </w:r>
          <w:r>
            <w:tab/>
          </w:r>
          <w:r>
            <w:fldChar w:fldCharType="begin"/>
          </w:r>
          <w:r>
            <w:instrText xml:space="preserve"> PAGEREF _Toc256000121 \h </w:instrText>
          </w:r>
          <w:r>
            <w:fldChar w:fldCharType="separate"/>
          </w:r>
          <w:r>
            <w:t>23</w:t>
          </w:r>
          <w:r>
            <w:fldChar w:fldCharType="end"/>
          </w:r>
          <w:r>
            <w:fldChar w:fldCharType="end"/>
          </w:r>
        </w:p>
        <w:p>
          <w:pPr>
            <w:pStyle w:val="18"/>
            <w:tabs>
              <w:tab w:val="right" w:leader="dot" w:pos="9730"/>
            </w:tabs>
            <w:rPr>
              <w:rFonts w:asciiTheme="minorHAnsi" w:hAnsiTheme="minorHAnsi"/>
              <w:sz w:val="22"/>
            </w:rPr>
          </w:pPr>
          <w:r>
            <w:fldChar w:fldCharType="begin"/>
          </w:r>
          <w:r>
            <w:instrText xml:space="preserve"> HYPERLINK \l "_Toc256000122" </w:instrText>
          </w:r>
          <w:r>
            <w:fldChar w:fldCharType="separate"/>
          </w:r>
          <w:r>
            <w:rPr>
              <w:rStyle w:val="22"/>
              <w:rFonts w:ascii="黑体" w:hAnsi="黑体" w:eastAsia="黑体" w:cs="黑体"/>
            </w:rPr>
            <w:t>第五部分</w:t>
          </w:r>
          <w:r>
            <w:tab/>
          </w:r>
          <w:r>
            <w:fldChar w:fldCharType="begin"/>
          </w:r>
          <w:r>
            <w:instrText xml:space="preserve"> PAGEREF _Toc256000122 \h </w:instrText>
          </w:r>
          <w:r>
            <w:fldChar w:fldCharType="separate"/>
          </w:r>
          <w:r>
            <w:t>25</w:t>
          </w:r>
          <w:r>
            <w:fldChar w:fldCharType="end"/>
          </w:r>
          <w:r>
            <w:fldChar w:fldCharType="end"/>
          </w:r>
        </w:p>
        <w:p>
          <w:pPr>
            <w:pStyle w:val="18"/>
            <w:tabs>
              <w:tab w:val="right" w:leader="dot" w:pos="9730"/>
            </w:tabs>
            <w:rPr>
              <w:rFonts w:asciiTheme="minorHAnsi" w:hAnsiTheme="minorHAnsi"/>
              <w:sz w:val="22"/>
            </w:rPr>
          </w:pPr>
          <w:r>
            <w:fldChar w:fldCharType="begin"/>
          </w:r>
          <w:r>
            <w:instrText xml:space="preserve"> HYPERLINK \l "_Toc256000123" </w:instrText>
          </w:r>
          <w:r>
            <w:fldChar w:fldCharType="separate"/>
          </w:r>
          <w:r>
            <w:rPr>
              <w:rStyle w:val="22"/>
              <w:rFonts w:ascii="黑体" w:hAnsi="黑体" w:eastAsia="黑体" w:cs="黑体"/>
            </w:rPr>
            <w:t>附件</w:t>
          </w:r>
          <w:r>
            <w:tab/>
          </w:r>
          <w:r>
            <w:fldChar w:fldCharType="begin"/>
          </w:r>
          <w:r>
            <w:instrText xml:space="preserve"> PAGEREF _Toc256000123 \h </w:instrText>
          </w:r>
          <w:r>
            <w:fldChar w:fldCharType="separate"/>
          </w:r>
          <w:r>
            <w:t>25</w:t>
          </w:r>
          <w:r>
            <w:fldChar w:fldCharType="end"/>
          </w:r>
          <w:r>
            <w:fldChar w:fldCharType="end"/>
          </w:r>
        </w:p>
        <w:p>
          <w:pPr>
            <w:adjustRightInd w:val="0"/>
            <w:snapToGrid w:val="0"/>
            <w:rPr>
              <w:rFonts w:hint="eastAsia" w:ascii="仿宋" w:hAnsi="仿宋" w:eastAsia="仿宋" w:cs="仿宋"/>
              <w:b w:val="0"/>
              <w:bCs/>
              <w:kern w:val="2"/>
              <w:sz w:val="32"/>
              <w:szCs w:val="32"/>
              <w:lang w:val="en-US" w:eastAsia="zh-CN" w:bidi="ar-SA"/>
            </w:rPr>
            <w:sectPr>
              <w:footerReference r:id="rId4" w:type="default"/>
              <w:pgSz w:w="11906" w:h="16838"/>
              <w:pgMar w:top="1440" w:right="1083" w:bottom="1440" w:left="1083" w:header="0" w:footer="720" w:gutter="0"/>
              <w:cols w:space="0" w:num="1"/>
              <w:rtlGutter w:val="0"/>
              <w:docGrid w:type="lines" w:linePitch="317" w:charSpace="0"/>
            </w:sectPr>
          </w:pPr>
          <w:r>
            <w:rPr>
              <w:rFonts w:hint="eastAsia" w:ascii="仿宋" w:hAnsi="仿宋" w:eastAsia="仿宋" w:cs="仿宋"/>
              <w:b w:val="0"/>
              <w:bCs/>
              <w:kern w:val="2"/>
              <w:sz w:val="32"/>
              <w:szCs w:val="32"/>
              <w:lang w:val="en-US" w:eastAsia="zh-CN" w:bidi="ar-SA"/>
            </w:rPr>
            <w:fldChar w:fldCharType="end"/>
          </w:r>
        </w:p>
      </w:sdtContent>
    </w:sdt>
    <w:p>
      <w:pPr>
        <w:pStyle w:val="29"/>
        <w:widowControl/>
        <w:spacing w:before="100" w:after="100"/>
        <w:ind w:left="0" w:right="0" w:firstLine="0"/>
        <w:jc w:val="center"/>
        <w:rPr>
          <w:rFonts w:hint="eastAsia" w:ascii="黑体" w:hAnsi="黑体" w:eastAsia="黑体" w:cs="黑体"/>
          <w:b/>
          <w:spacing w:val="0"/>
          <w:sz w:val="44"/>
          <w:szCs w:val="44"/>
          <w:lang w:val="en-US" w:eastAsia="zh-CN"/>
        </w:rPr>
      </w:pPr>
      <w:bookmarkStart w:id="0" w:name="_Toc256000000"/>
      <w:bookmarkStart w:id="1" w:name="_Toc256000062"/>
      <w:bookmarkStart w:id="2" w:name="_Toc256000031"/>
      <w:bookmarkStart w:id="3" w:name="_Toc256000093"/>
      <w:bookmarkStart w:id="4" w:name="a000"/>
      <w:r>
        <w:rPr>
          <w:rFonts w:ascii="黑体" w:hAnsi="黑体" w:eastAsia="黑体" w:cs="黑体"/>
          <w:b/>
          <w:spacing w:val="0"/>
          <w:sz w:val="44"/>
          <w:szCs w:val="44"/>
        </w:rPr>
        <w:t>第一部分</w:t>
      </w:r>
      <w:bookmarkEnd w:id="0"/>
      <w:bookmarkEnd w:id="1"/>
      <w:bookmarkEnd w:id="2"/>
      <w:bookmarkEnd w:id="3"/>
      <w:bookmarkStart w:id="5" w:name="_Toc256000094"/>
      <w:bookmarkStart w:id="6" w:name="_Toc256000063"/>
      <w:bookmarkStart w:id="7" w:name="_Toc256000001"/>
      <w:bookmarkStart w:id="8" w:name="_Toc256000032"/>
    </w:p>
    <w:p>
      <w:pPr>
        <w:pStyle w:val="29"/>
        <w:widowControl/>
        <w:spacing w:before="100" w:after="100"/>
        <w:ind w:left="0" w:right="0" w:firstLine="0"/>
        <w:jc w:val="center"/>
      </w:pPr>
      <w:r>
        <w:rPr>
          <w:rFonts w:ascii="黑体" w:hAnsi="黑体" w:eastAsia="黑体" w:cs="黑体"/>
          <w:b/>
          <w:spacing w:val="0"/>
          <w:sz w:val="44"/>
          <w:szCs w:val="44"/>
        </w:rPr>
        <w:t>单位概况</w:t>
      </w:r>
      <w:bookmarkEnd w:id="5"/>
      <w:bookmarkEnd w:id="6"/>
      <w:bookmarkEnd w:id="7"/>
      <w:bookmarkEnd w:id="8"/>
    </w:p>
    <w:p>
      <w:pPr>
        <w:pStyle w:val="30"/>
        <w:widowControl/>
        <w:spacing w:before="100" w:after="100"/>
        <w:ind w:left="0" w:right="0" w:firstLine="0"/>
        <w:jc w:val="center"/>
        <w:rPr>
          <w:rFonts w:ascii="Times New Roman" w:hAnsi="Times New Roman" w:eastAsia="Times New Roman" w:cs="Times New Roman"/>
          <w:kern w:val="0"/>
          <w:sz w:val="24"/>
        </w:rPr>
      </w:pPr>
    </w:p>
    <w:p>
      <w:pPr>
        <w:pStyle w:val="6"/>
        <w:keepNext w:val="0"/>
        <w:keepLines w:val="0"/>
        <w:spacing w:before="100" w:after="100" w:line="240" w:lineRule="auto"/>
        <w:ind w:left="0" w:right="0" w:firstLine="643" w:firstLineChars="200"/>
        <w:rPr>
          <w:rFonts w:ascii="Times New Roman" w:hAnsi="Times New Roman" w:eastAsia="Times New Roman" w:cs="Times New Roman"/>
          <w:b/>
          <w:bCs/>
          <w:kern w:val="0"/>
          <w:sz w:val="28"/>
          <w:szCs w:val="28"/>
        </w:rPr>
      </w:pPr>
      <w:r>
        <w:rPr>
          <w:rFonts w:ascii="黑体" w:hAnsi="黑体" w:eastAsia="黑体" w:cs="黑体"/>
          <w:b/>
          <w:spacing w:val="0"/>
        </w:rPr>
        <w:t xml:space="preserve"> </w:t>
      </w:r>
      <w:bookmarkStart w:id="9" w:name="_Toc256000064"/>
      <w:bookmarkStart w:id="10" w:name="_Toc256000095"/>
      <w:bookmarkStart w:id="11" w:name="_Toc256000002"/>
      <w:bookmarkStart w:id="12" w:name="_Toc256000033"/>
      <w:r>
        <w:rPr>
          <w:rFonts w:ascii="黑体" w:hAnsi="黑体" w:eastAsia="黑体" w:cs="黑体"/>
          <w:b/>
          <w:spacing w:val="0"/>
        </w:rPr>
        <w:t>一、单位主要职责</w:t>
      </w:r>
      <w:bookmarkEnd w:id="9"/>
      <w:bookmarkEnd w:id="10"/>
      <w:bookmarkEnd w:id="11"/>
      <w:bookmarkEnd w:id="12"/>
    </w:p>
    <w:p>
      <w:pPr>
        <w:shd w:val="clear" w:fill="FFFFFF"/>
        <w:spacing w:before="240" w:beforeAutospacing="0" w:after="240" w:afterAutospacing="0" w:line="600" w:lineRule="atLeast"/>
        <w:ind w:left="0" w:right="0" w:firstLine="640"/>
        <w:rPr>
          <w:rFonts w:ascii="仿宋" w:hAnsi="仿宋" w:eastAsia="仿宋" w:cs="仿宋"/>
          <w:spacing w:val="0"/>
          <w:kern w:val="0"/>
          <w:sz w:val="32"/>
          <w:szCs w:val="32"/>
        </w:rPr>
      </w:pPr>
      <w:r>
        <w:rPr>
          <w:rFonts w:ascii="仿宋" w:hAnsi="仿宋" w:eastAsia="仿宋" w:cs="仿宋"/>
          <w:spacing w:val="0"/>
          <w:kern w:val="0"/>
          <w:sz w:val="32"/>
          <w:szCs w:val="32"/>
        </w:rPr>
        <w:t>厦门市东渡第二小学单位的主要职责是：</w:t>
      </w:r>
    </w:p>
    <w:p>
      <w:pPr>
        <w:shd w:val="clear" w:fill="FFFFFF"/>
        <w:spacing w:before="240" w:beforeAutospacing="0" w:after="240" w:afterAutospacing="0" w:line="600" w:lineRule="atLeast"/>
        <w:ind w:left="0" w:right="0" w:firstLine="640"/>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(一)正确贯彻执行党和国家的教育方针、政策、法规;维护学校的教学秩序，为学生创造良好的学习环境;积极稳妥地推进教育改革，按教育规律办事，不断提高教育质量。</w:t>
      </w:r>
    </w:p>
    <w:p>
      <w:pPr>
        <w:shd w:val="clear" w:fill="FFFFFF"/>
        <w:spacing w:before="240" w:beforeAutospacing="0" w:after="240" w:afterAutospacing="0" w:line="600" w:lineRule="atLeast"/>
        <w:ind w:left="0" w:right="0" w:firstLine="640"/>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(二)坚持教书育人，服务育人，环境育人方针，加强对学生的思想品德教育，使学生的德智体全面发展;抓好教师队伍建设，使每个教师都热心于教育事业;做好安全防范，保证学生的人</w:t>
      </w:r>
      <w:r>
        <w:rPr>
          <w:rFonts w:hint="eastAsia" w:ascii="仿宋" w:hAnsi="仿宋" w:eastAsia="仿宋" w:cs="仿宋"/>
          <w:spacing w:val="0"/>
          <w:kern w:val="0"/>
          <w:sz w:val="32"/>
          <w:szCs w:val="32"/>
          <w:lang w:eastAsia="zh-CN"/>
        </w:rPr>
        <w:t>身</w:t>
      </w:r>
      <w:r>
        <w:rPr>
          <w:rFonts w:hint="eastAsia" w:ascii="仿宋" w:hAnsi="仿宋" w:eastAsia="仿宋" w:cs="仿宋"/>
          <w:spacing w:val="0"/>
          <w:kern w:val="0"/>
          <w:sz w:val="32"/>
          <w:szCs w:val="32"/>
        </w:rPr>
        <w:t>安全。</w:t>
      </w:r>
    </w:p>
    <w:p>
      <w:pPr>
        <w:pStyle w:val="29"/>
        <w:widowControl/>
        <w:spacing w:before="100" w:after="100" w:line="600" w:lineRule="atLeast"/>
        <w:ind w:left="0" w:right="0" w:firstLine="640"/>
        <w:jc w:val="left"/>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(三)根据学校规模，设置学校管理机构，建立健全各项规章制度和岗位责任制;做好资产管理、财务管理以及其他管理工作。</w:t>
      </w:r>
    </w:p>
    <w:p>
      <w:pPr>
        <w:pStyle w:val="6"/>
        <w:keepNext w:val="0"/>
        <w:keepLines w:val="0"/>
        <w:spacing w:before="100" w:after="100" w:line="600" w:lineRule="atLeast"/>
        <w:ind w:left="0" w:right="0" w:firstLine="640" w:firstLineChars="0"/>
        <w:rPr>
          <w:rFonts w:ascii="Times New Roman" w:hAnsi="Times New Roman" w:eastAsia="Times New Roman" w:cs="Times New Roman"/>
          <w:b/>
          <w:bCs/>
          <w:kern w:val="0"/>
          <w:sz w:val="28"/>
          <w:szCs w:val="28"/>
        </w:rPr>
      </w:pPr>
      <w:bookmarkStart w:id="13" w:name="_Toc256000034"/>
      <w:bookmarkStart w:id="14" w:name="_Toc256000096"/>
      <w:bookmarkStart w:id="15" w:name="_Toc256000065"/>
      <w:bookmarkStart w:id="16" w:name="_Toc256000003"/>
      <w:r>
        <w:rPr>
          <w:rFonts w:ascii="黑体" w:hAnsi="黑体" w:eastAsia="黑体" w:cs="黑体"/>
          <w:b/>
          <w:spacing w:val="0"/>
        </w:rPr>
        <w:t>二、单位基本情况</w:t>
      </w:r>
      <w:bookmarkEnd w:id="13"/>
      <w:bookmarkEnd w:id="14"/>
      <w:bookmarkEnd w:id="15"/>
      <w:bookmarkEnd w:id="16"/>
    </w:p>
    <w:p>
      <w:pPr>
        <w:shd w:val="clear" w:fill="FFFFFF"/>
        <w:spacing w:before="240" w:beforeAutospacing="0" w:after="240" w:afterAutospacing="0" w:line="600" w:lineRule="atLeast"/>
        <w:ind w:right="0" w:firstLine="960" w:firstLineChars="300"/>
        <w:rPr>
          <w:rFonts w:hint="eastAsia" w:ascii="宋体" w:hAnsi="宋体" w:eastAsia="宋体" w:cs="宋体"/>
          <w:color w:val="auto"/>
          <w:kern w:val="0"/>
          <w:sz w:val="24"/>
          <w:szCs w:val="24"/>
          <w:shd w:val="clear" w:fill="FFFFFF"/>
        </w:rPr>
      </w:pPr>
      <w:bookmarkStart w:id="17" w:name="_Toc256000035"/>
      <w:bookmarkStart w:id="18" w:name="_Toc256000066"/>
      <w:bookmarkStart w:id="19" w:name="_Toc256000097"/>
      <w:bookmarkStart w:id="20" w:name="_Toc256000004"/>
      <w:r>
        <w:rPr>
          <w:rFonts w:ascii="仿宋" w:hAnsi="仿宋" w:eastAsia="仿宋" w:cs="仿宋"/>
          <w:spacing w:val="0"/>
          <w:kern w:val="0"/>
          <w:sz w:val="32"/>
          <w:szCs w:val="32"/>
        </w:rPr>
        <w:t>从决算单位构成看，本单位包括</w:t>
      </w:r>
      <w:r>
        <w:rPr>
          <w:rFonts w:hint="eastAsia" w:ascii="仿宋" w:hAnsi="仿宋" w:eastAsia="仿宋" w:cs="仿宋"/>
          <w:spacing w:val="0"/>
          <w:kern w:val="0"/>
          <w:sz w:val="32"/>
          <w:szCs w:val="32"/>
          <w:lang w:val="en-US" w:eastAsia="zh-CN"/>
        </w:rPr>
        <w:t>6</w:t>
      </w:r>
      <w:r>
        <w:rPr>
          <w:rFonts w:ascii="仿宋" w:hAnsi="仿宋" w:eastAsia="仿宋" w:cs="仿宋"/>
          <w:spacing w:val="0"/>
          <w:kern w:val="0"/>
          <w:sz w:val="32"/>
          <w:szCs w:val="32"/>
        </w:rPr>
        <w:t>个内设机构，其中：列入2024年决算编制范围的单位详细情况见下表</w:t>
      </w:r>
      <w:r>
        <w:rPr>
          <w:rFonts w:hint="eastAsia" w:ascii="仿宋" w:hAnsi="仿宋" w:eastAsia="仿宋" w:cs="仿宋"/>
          <w:color w:val="auto"/>
          <w:kern w:val="0"/>
          <w:sz w:val="32"/>
          <w:szCs w:val="32"/>
          <w:shd w:val="clear" w:fill="FFFFFF"/>
        </w:rPr>
        <w:t>:</w:t>
      </w:r>
    </w:p>
    <w:tbl>
      <w:tblPr>
        <w:tblStyle w:val="23"/>
        <w:tblW w:w="9635" w:type="dxa"/>
        <w:jc w:val="center"/>
        <w:tblInd w:w="3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3920"/>
        <w:gridCol w:w="5715"/>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blHeader/>
          <w:jc w:val="center"/>
        </w:trPr>
        <w:tc>
          <w:tcPr>
            <w:tcW w:w="3920"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ind w:firstLine="640"/>
              <w:jc w:val="center"/>
              <w:rPr>
                <w:rFonts w:ascii="仿宋" w:hAnsi="仿宋" w:eastAsia="仿宋" w:cs="仿宋"/>
                <w:b w:val="0"/>
                <w:bCs w:val="0"/>
                <w:i w:val="0"/>
                <w:iCs w:val="0"/>
                <w:smallCaps w:val="0"/>
                <w:color w:val="000000"/>
                <w:spacing w:val="0"/>
                <w:kern w:val="0"/>
                <w:sz w:val="32"/>
                <w:szCs w:val="32"/>
              </w:rPr>
            </w:pPr>
            <w:r>
              <w:rPr>
                <w:rFonts w:ascii="仿宋" w:hAnsi="仿宋" w:eastAsia="仿宋" w:cs="仿宋"/>
                <w:b w:val="0"/>
                <w:bCs w:val="0"/>
                <w:i w:val="0"/>
                <w:iCs w:val="0"/>
                <w:smallCaps w:val="0"/>
                <w:color w:val="000000"/>
                <w:spacing w:val="0"/>
                <w:kern w:val="0"/>
                <w:sz w:val="32"/>
                <w:szCs w:val="32"/>
              </w:rPr>
              <w:t>序号</w:t>
            </w:r>
          </w:p>
        </w:tc>
        <w:tc>
          <w:tcPr>
            <w:tcW w:w="5715"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ind w:firstLine="640"/>
              <w:jc w:val="center"/>
              <w:rPr>
                <w:rFonts w:ascii="仿宋" w:hAnsi="仿宋" w:eastAsia="仿宋" w:cs="仿宋"/>
                <w:b w:val="0"/>
                <w:bCs w:val="0"/>
                <w:i w:val="0"/>
                <w:iCs w:val="0"/>
                <w:smallCaps w:val="0"/>
                <w:color w:val="000000"/>
                <w:spacing w:val="0"/>
                <w:kern w:val="0"/>
                <w:sz w:val="32"/>
                <w:szCs w:val="32"/>
              </w:rPr>
            </w:pPr>
            <w:r>
              <w:rPr>
                <w:rFonts w:ascii="仿宋" w:hAnsi="仿宋" w:eastAsia="仿宋" w:cs="仿宋"/>
                <w:b w:val="0"/>
                <w:bCs w:val="0"/>
                <w:i w:val="0"/>
                <w:iCs w:val="0"/>
                <w:smallCaps w:val="0"/>
                <w:color w:val="000000"/>
                <w:spacing w:val="0"/>
                <w:kern w:val="0"/>
                <w:sz w:val="32"/>
                <w:szCs w:val="32"/>
              </w:rPr>
              <w:t>单位名称</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blHeader/>
          <w:jc w:val="center"/>
        </w:trPr>
        <w:tc>
          <w:tcPr>
            <w:tcW w:w="3920"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ind w:firstLine="640"/>
              <w:jc w:val="center"/>
              <w:rPr>
                <w:rFonts w:hint="eastAsia" w:ascii="仿宋" w:hAnsi="仿宋" w:eastAsia="仿宋" w:cs="仿宋"/>
                <w:b w:val="0"/>
                <w:bCs w:val="0"/>
                <w:i w:val="0"/>
                <w:iCs w:val="0"/>
                <w:smallCaps w:val="0"/>
                <w:color w:val="000000"/>
                <w:spacing w:val="0"/>
                <w:kern w:val="0"/>
                <w:sz w:val="32"/>
                <w:szCs w:val="32"/>
                <w:lang w:val="en-US" w:eastAsia="zh-CN"/>
              </w:rPr>
            </w:pPr>
            <w:r>
              <w:rPr>
                <w:rFonts w:hint="eastAsia" w:ascii="仿宋" w:hAnsi="仿宋" w:eastAsia="仿宋" w:cs="仿宋"/>
                <w:b w:val="0"/>
                <w:bCs w:val="0"/>
                <w:i w:val="0"/>
                <w:iCs w:val="0"/>
                <w:smallCaps w:val="0"/>
                <w:color w:val="000000"/>
                <w:spacing w:val="0"/>
                <w:kern w:val="0"/>
                <w:sz w:val="32"/>
                <w:szCs w:val="32"/>
                <w:lang w:val="en-US" w:eastAsia="zh-CN"/>
              </w:rPr>
              <w:t>1</w:t>
            </w:r>
          </w:p>
        </w:tc>
        <w:tc>
          <w:tcPr>
            <w:tcW w:w="5715" w:type="dxa"/>
            <w:tcBorders>
              <w:top w:val="single" w:color="auto" w:sz="4" w:space="0"/>
              <w:left w:val="single" w:color="auto" w:sz="4" w:space="0"/>
              <w:bottom w:val="single" w:color="auto" w:sz="4" w:space="0"/>
              <w:right w:val="single" w:color="auto" w:sz="4" w:space="0"/>
            </w:tcBorders>
            <w:noWrap w:val="0"/>
            <w:tcMar>
              <w:top w:w="22" w:type="dxa"/>
              <w:left w:w="22" w:type="dxa"/>
              <w:bottom w:w="22" w:type="dxa"/>
              <w:right w:w="22" w:type="dxa"/>
            </w:tcMar>
            <w:vAlign w:val="center"/>
          </w:tcPr>
          <w:p>
            <w:pPr>
              <w:widowControl/>
              <w:ind w:firstLine="640"/>
              <w:jc w:val="center"/>
              <w:rPr>
                <w:rFonts w:hint="eastAsia" w:ascii="仿宋" w:hAnsi="仿宋" w:eastAsia="仿宋" w:cs="仿宋"/>
                <w:b w:val="0"/>
                <w:bCs w:val="0"/>
                <w:i w:val="0"/>
                <w:iCs w:val="0"/>
                <w:smallCaps w:val="0"/>
                <w:color w:val="000000"/>
                <w:spacing w:val="0"/>
                <w:kern w:val="0"/>
                <w:sz w:val="32"/>
                <w:szCs w:val="32"/>
                <w:lang w:eastAsia="zh-CN"/>
              </w:rPr>
            </w:pPr>
            <w:r>
              <w:rPr>
                <w:rFonts w:hint="eastAsia" w:ascii="仿宋" w:hAnsi="仿宋" w:eastAsia="仿宋" w:cs="仿宋"/>
                <w:b w:val="0"/>
                <w:bCs w:val="0"/>
                <w:i w:val="0"/>
                <w:iCs w:val="0"/>
                <w:smallCaps w:val="0"/>
                <w:color w:val="000000"/>
                <w:spacing w:val="0"/>
                <w:kern w:val="0"/>
                <w:sz w:val="32"/>
                <w:szCs w:val="32"/>
                <w:lang w:eastAsia="zh-CN"/>
              </w:rPr>
              <w:t>厦门市东渡第二小学</w:t>
            </w:r>
          </w:p>
        </w:tc>
      </w:tr>
    </w:tbl>
    <w:p>
      <w:pPr>
        <w:pStyle w:val="6"/>
        <w:keepNext w:val="0"/>
        <w:keepLines w:val="0"/>
        <w:spacing w:before="100" w:after="100" w:line="600" w:lineRule="atLeast"/>
        <w:ind w:left="0" w:right="0" w:firstLine="640" w:firstLineChars="0"/>
        <w:rPr>
          <w:rFonts w:ascii="Times New Roman" w:hAnsi="Times New Roman" w:eastAsia="Times New Roman" w:cs="Times New Roman"/>
          <w:b/>
          <w:bCs/>
          <w:kern w:val="0"/>
          <w:sz w:val="28"/>
          <w:szCs w:val="28"/>
        </w:rPr>
      </w:pPr>
      <w:r>
        <w:rPr>
          <w:rFonts w:ascii="黑体" w:hAnsi="黑体" w:eastAsia="黑体" w:cs="黑体"/>
          <w:b/>
          <w:spacing w:val="0"/>
        </w:rPr>
        <w:t>三、单位主要工作总结</w:t>
      </w:r>
      <w:bookmarkEnd w:id="17"/>
      <w:bookmarkEnd w:id="18"/>
      <w:bookmarkEnd w:id="19"/>
      <w:bookmarkEnd w:id="20"/>
    </w:p>
    <w:p/>
    <w:p>
      <w:pPr>
        <w:pStyle w:val="29"/>
        <w:widowControl/>
        <w:spacing w:before="100" w:after="100" w:line="600" w:lineRule="atLeast"/>
        <w:ind w:right="0" w:firstLine="640" w:firstLineChars="200"/>
        <w:jc w:val="left"/>
        <w:rPr>
          <w:rFonts w:hint="eastAsia" w:ascii="仿宋" w:hAnsi="仿宋" w:eastAsia="仿宋" w:cs="仿宋"/>
          <w:color w:val="auto"/>
          <w:kern w:val="0"/>
          <w:sz w:val="32"/>
          <w:szCs w:val="32"/>
          <w:shd w:val="clear" w:fill="FFFFFF"/>
        </w:rPr>
      </w:pPr>
      <w:bookmarkStart w:id="21" w:name="OLE_LINK1"/>
      <w:r>
        <w:rPr>
          <w:rFonts w:ascii="仿宋" w:hAnsi="仿宋" w:eastAsia="仿宋" w:cs="仿宋"/>
          <w:color w:val="auto"/>
          <w:spacing w:val="0"/>
          <w:kern w:val="0"/>
          <w:sz w:val="32"/>
          <w:szCs w:val="32"/>
        </w:rPr>
        <w:t>2024年，厦门市东渡第二小学单位主要任务是：围绕上述任务，重点完成了以下工作：</w:t>
      </w:r>
      <w:r>
        <w:rPr>
          <w:rFonts w:hint="eastAsia" w:ascii="仿宋" w:hAnsi="仿宋" w:eastAsia="仿宋" w:cs="仿宋"/>
          <w:color w:val="auto"/>
          <w:kern w:val="0"/>
          <w:sz w:val="32"/>
          <w:szCs w:val="32"/>
          <w:shd w:val="clear" w:fill="FFFFFF"/>
        </w:rPr>
        <w:t>完成</w:t>
      </w:r>
      <w:r>
        <w:rPr>
          <w:rFonts w:hint="eastAsia" w:ascii="仿宋" w:hAnsi="仿宋" w:eastAsia="仿宋" w:cs="仿宋"/>
          <w:color w:val="auto"/>
          <w:kern w:val="0"/>
          <w:sz w:val="32"/>
          <w:szCs w:val="32"/>
          <w:shd w:val="clear" w:fill="FFFFFF"/>
          <w:lang w:eastAsia="zh-CN"/>
        </w:rPr>
        <w:t>学校篮、排球场</w:t>
      </w:r>
      <w:r>
        <w:rPr>
          <w:rFonts w:hint="eastAsia" w:ascii="仿宋" w:hAnsi="仿宋" w:eastAsia="仿宋" w:cs="仿宋"/>
          <w:color w:val="auto"/>
          <w:kern w:val="0"/>
          <w:sz w:val="32"/>
          <w:szCs w:val="32"/>
          <w:shd w:val="clear" w:fill="FFFFFF"/>
        </w:rPr>
        <w:t>改造、</w:t>
      </w:r>
      <w:r>
        <w:rPr>
          <w:rFonts w:hint="eastAsia" w:ascii="仿宋" w:hAnsi="仿宋" w:eastAsia="仿宋" w:cs="仿宋"/>
          <w:color w:val="auto"/>
          <w:kern w:val="0"/>
          <w:sz w:val="32"/>
          <w:szCs w:val="32"/>
          <w:shd w:val="clear" w:fill="FFFFFF"/>
          <w:lang w:eastAsia="zh-CN"/>
        </w:rPr>
        <w:t>校园环境提升改造、学生劳动实践改造、采购数字赋能校园管理系统，提升校园信息化水平，采购篮球、网球、足球、滑雪课程相关设备及服务</w:t>
      </w:r>
      <w:r>
        <w:rPr>
          <w:rFonts w:hint="eastAsia" w:ascii="仿宋" w:hAnsi="仿宋" w:eastAsia="仿宋" w:cs="仿宋"/>
          <w:color w:val="auto"/>
          <w:kern w:val="0"/>
          <w:sz w:val="32"/>
          <w:szCs w:val="32"/>
          <w:shd w:val="clear" w:fill="FFFFFF"/>
        </w:rPr>
        <w:t>。围绕上述任务，重点完成了以下工作：</w:t>
      </w:r>
    </w:p>
    <w:bookmarkEnd w:id="21"/>
    <w:p>
      <w:pPr>
        <w:shd w:val="clear" w:fill="FFFFFF"/>
        <w:spacing w:before="240" w:beforeAutospacing="0" w:after="240" w:afterAutospacing="0" w:line="600" w:lineRule="atLeast"/>
        <w:ind w:left="0" w:right="0" w:firstLine="640"/>
        <w:rPr>
          <w:rFonts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（一）学校</w:t>
      </w:r>
      <w:r>
        <w:rPr>
          <w:rFonts w:hint="default" w:ascii="仿宋" w:hAnsi="仿宋" w:eastAsia="仿宋" w:cs="仿宋"/>
          <w:spacing w:val="0"/>
          <w:kern w:val="0"/>
          <w:sz w:val="32"/>
          <w:szCs w:val="32"/>
          <w:lang w:val="en-US" w:eastAsia="zh-CN"/>
        </w:rPr>
        <w:t>篮、排球场改造</w:t>
      </w:r>
    </w:p>
    <w:p>
      <w:pPr>
        <w:shd w:val="clear" w:fill="FFFFFF"/>
        <w:spacing w:before="240" w:beforeAutospacing="0" w:after="240" w:afterAutospacing="0" w:line="600" w:lineRule="atLeast"/>
        <w:ind w:left="0" w:right="0" w:firstLine="640"/>
        <w:rPr>
          <w:rFonts w:ascii="仿宋" w:hAnsi="仿宋" w:eastAsia="仿宋" w:cs="仿宋"/>
          <w:spacing w:val="0"/>
          <w:kern w:val="0"/>
          <w:sz w:val="32"/>
          <w:szCs w:val="32"/>
          <w:lang w:val="en-US" w:eastAsia="zh-CN"/>
        </w:rPr>
      </w:pPr>
      <w:r>
        <w:rPr>
          <w:rFonts w:hint="default" w:ascii="仿宋" w:hAnsi="仿宋" w:eastAsia="仿宋" w:cs="仿宋"/>
          <w:spacing w:val="0"/>
          <w:kern w:val="0"/>
          <w:sz w:val="32"/>
          <w:szCs w:val="32"/>
          <w:lang w:val="en-US" w:eastAsia="zh-CN"/>
        </w:rPr>
        <w:t>学校原有篮、排球场因长期使用出现地面磨损、设施老化等问题，影响体育教学及学生活动安全。2024年暑期对场地进行全面改造，包括地面翻新、划线标准化、围网加固及灯光升级。改造后的场地符合竞赛标准，显著提升了体育课程质量与课外活动安全性，为校园体育赛事和日常训练提供更专业的硬件支持。</w:t>
      </w:r>
    </w:p>
    <w:p>
      <w:pPr>
        <w:shd w:val="clear" w:fill="FFFFFF"/>
        <w:spacing w:before="240" w:beforeAutospacing="0" w:after="240" w:afterAutospacing="0" w:line="600" w:lineRule="atLeast"/>
        <w:ind w:left="0" w:right="0" w:firstLine="640"/>
        <w:rPr>
          <w:rFonts w:hint="default"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（二）</w:t>
      </w:r>
      <w:r>
        <w:rPr>
          <w:rFonts w:hint="default" w:ascii="仿宋" w:hAnsi="仿宋" w:eastAsia="仿宋" w:cs="仿宋"/>
          <w:spacing w:val="0"/>
          <w:kern w:val="0"/>
          <w:sz w:val="32"/>
          <w:szCs w:val="32"/>
          <w:lang w:val="en-US" w:eastAsia="zh-CN"/>
        </w:rPr>
        <w:t>校园环境提升改造</w:t>
      </w:r>
    </w:p>
    <w:p>
      <w:pPr>
        <w:shd w:val="clear" w:fill="FFFFFF"/>
        <w:spacing w:before="240" w:beforeAutospacing="0" w:after="240" w:afterAutospacing="0" w:line="600" w:lineRule="atLeast"/>
        <w:ind w:left="0" w:right="0" w:firstLine="640"/>
        <w:rPr>
          <w:rFonts w:hint="default" w:ascii="仿宋" w:hAnsi="仿宋" w:eastAsia="仿宋" w:cs="仿宋"/>
          <w:spacing w:val="0"/>
          <w:kern w:val="0"/>
          <w:sz w:val="32"/>
          <w:szCs w:val="32"/>
          <w:lang w:val="en-US" w:eastAsia="zh-CN"/>
        </w:rPr>
      </w:pPr>
      <w:r>
        <w:rPr>
          <w:rFonts w:hint="default" w:ascii="仿宋" w:hAnsi="仿宋" w:eastAsia="仿宋" w:cs="仿宋"/>
          <w:spacing w:val="0"/>
          <w:kern w:val="0"/>
          <w:sz w:val="32"/>
          <w:szCs w:val="32"/>
          <w:lang w:val="en-US" w:eastAsia="zh-CN"/>
        </w:rPr>
        <w:t>针对校园部分区域绿化不足、设施陈旧的问题，通过增设景观绿植、更新休憩设施、优化道路标识等措施，打造更具人文气息的育人环境。改造注重生态性与功能性结合，如增设“校园文化长廊”展示学生作品，进一步美化校园的同时强化了文化育人功能，提升了师生归属感。</w:t>
      </w:r>
    </w:p>
    <w:p>
      <w:pPr>
        <w:shd w:val="clear" w:fill="FFFFFF"/>
        <w:spacing w:before="240" w:beforeAutospacing="0" w:after="240" w:afterAutospacing="0" w:line="600" w:lineRule="atLeast"/>
        <w:ind w:left="0" w:right="0" w:firstLine="640"/>
        <w:rPr>
          <w:rFonts w:hint="default"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（三）</w:t>
      </w:r>
      <w:r>
        <w:rPr>
          <w:rFonts w:hint="default" w:ascii="仿宋" w:hAnsi="仿宋" w:eastAsia="仿宋" w:cs="仿宋"/>
          <w:spacing w:val="0"/>
          <w:kern w:val="0"/>
          <w:sz w:val="32"/>
          <w:szCs w:val="32"/>
          <w:lang w:val="en-US" w:eastAsia="zh-CN"/>
        </w:rPr>
        <w:t>学生劳动实践基地建设</w:t>
      </w:r>
    </w:p>
    <w:p>
      <w:pPr>
        <w:shd w:val="clear" w:fill="FFFFFF"/>
        <w:spacing w:before="240" w:beforeAutospacing="0" w:after="240" w:afterAutospacing="0" w:line="600" w:lineRule="atLeast"/>
        <w:ind w:left="0" w:right="0" w:firstLine="640"/>
        <w:rPr>
          <w:rFonts w:hint="default" w:ascii="仿宋" w:hAnsi="仿宋" w:eastAsia="仿宋" w:cs="仿宋"/>
          <w:spacing w:val="0"/>
          <w:kern w:val="0"/>
          <w:sz w:val="32"/>
          <w:szCs w:val="32"/>
          <w:lang w:val="en-US" w:eastAsia="zh-CN"/>
        </w:rPr>
      </w:pPr>
      <w:r>
        <w:rPr>
          <w:rFonts w:hint="default" w:ascii="仿宋" w:hAnsi="仿宋" w:eastAsia="仿宋" w:cs="仿宋"/>
          <w:spacing w:val="0"/>
          <w:kern w:val="0"/>
          <w:sz w:val="32"/>
          <w:szCs w:val="32"/>
          <w:lang w:val="en-US" w:eastAsia="zh-CN"/>
        </w:rPr>
        <w:t>为落实“五育并举”要求，将原闲置空地改造为劳动实践基地，划分种植区、手工区等模块，配备工具房及灌溉设施。通过种植蔬菜、花卉等实践活动，培养学生劳动技能与团队协作能力，并联动科学、美术等学科开展跨学科教学，深化素质教育内涵。</w:t>
      </w:r>
    </w:p>
    <w:p>
      <w:pPr>
        <w:shd w:val="clear" w:fill="FFFFFF"/>
        <w:spacing w:before="240" w:beforeAutospacing="0" w:after="240" w:afterAutospacing="0" w:line="600" w:lineRule="atLeast"/>
        <w:ind w:left="0" w:right="0" w:firstLine="640"/>
        <w:rPr>
          <w:rFonts w:hint="default"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（四）</w:t>
      </w:r>
      <w:r>
        <w:rPr>
          <w:rFonts w:hint="default" w:ascii="仿宋" w:hAnsi="仿宋" w:eastAsia="仿宋" w:cs="仿宋"/>
          <w:spacing w:val="0"/>
          <w:kern w:val="0"/>
          <w:sz w:val="32"/>
          <w:szCs w:val="32"/>
          <w:lang w:val="en-US" w:eastAsia="zh-CN"/>
        </w:rPr>
        <w:t>数字赋能校园管理系统采购</w:t>
      </w:r>
    </w:p>
    <w:p>
      <w:pPr>
        <w:shd w:val="clear" w:fill="FFFFFF"/>
        <w:spacing w:before="240" w:beforeAutospacing="0" w:after="240" w:afterAutospacing="0" w:line="600" w:lineRule="atLeast"/>
        <w:ind w:left="0" w:right="0" w:firstLine="640"/>
        <w:rPr>
          <w:rFonts w:hint="default" w:ascii="仿宋" w:hAnsi="仿宋" w:eastAsia="仿宋" w:cs="仿宋"/>
          <w:spacing w:val="0"/>
          <w:kern w:val="0"/>
          <w:sz w:val="32"/>
          <w:szCs w:val="32"/>
          <w:lang w:val="en-US" w:eastAsia="zh-CN"/>
        </w:rPr>
      </w:pPr>
      <w:r>
        <w:rPr>
          <w:rFonts w:hint="default" w:ascii="仿宋" w:hAnsi="仿宋" w:eastAsia="仿宋" w:cs="仿宋"/>
          <w:spacing w:val="0"/>
          <w:kern w:val="0"/>
          <w:sz w:val="32"/>
          <w:szCs w:val="32"/>
          <w:lang w:val="en-US" w:eastAsia="zh-CN"/>
        </w:rPr>
        <w:t>引入智能化校园管理平台，整合教务、后勤、安防等模块，实现课表编排、设备报修、访客登记等流程线上化。该系统与现有国产电脑设备兼容，显著提升管理效率和数据安全性，为“智慧校园”建设奠定基础。</w:t>
      </w:r>
    </w:p>
    <w:p>
      <w:pPr>
        <w:shd w:val="clear" w:fill="FFFFFF"/>
        <w:spacing w:before="240" w:beforeAutospacing="0" w:after="240" w:afterAutospacing="0" w:line="600" w:lineRule="atLeast"/>
        <w:ind w:left="0" w:right="0" w:firstLine="640"/>
        <w:rPr>
          <w:rFonts w:hint="default" w:ascii="仿宋" w:hAnsi="仿宋" w:eastAsia="仿宋" w:cs="仿宋"/>
          <w:spacing w:val="0"/>
          <w:kern w:val="0"/>
          <w:sz w:val="32"/>
          <w:szCs w:val="32"/>
          <w:lang w:val="en-US" w:eastAsia="zh-CN"/>
        </w:rPr>
      </w:pPr>
      <w:r>
        <w:rPr>
          <w:rFonts w:hint="eastAsia" w:ascii="仿宋" w:hAnsi="仿宋" w:eastAsia="仿宋" w:cs="仿宋"/>
          <w:spacing w:val="0"/>
          <w:kern w:val="0"/>
          <w:sz w:val="32"/>
          <w:szCs w:val="32"/>
          <w:lang w:val="en-US" w:eastAsia="zh-CN"/>
        </w:rPr>
        <w:t>（五）</w:t>
      </w:r>
      <w:r>
        <w:rPr>
          <w:rFonts w:hint="default" w:ascii="仿宋" w:hAnsi="仿宋" w:eastAsia="仿宋" w:cs="仿宋"/>
          <w:spacing w:val="0"/>
          <w:kern w:val="0"/>
          <w:sz w:val="32"/>
          <w:szCs w:val="32"/>
          <w:lang w:val="en-US" w:eastAsia="zh-CN"/>
        </w:rPr>
        <w:t>体育课程设备及服务升级</w:t>
      </w:r>
    </w:p>
    <w:p>
      <w:pPr>
        <w:shd w:val="clear" w:fill="FFFFFF"/>
        <w:spacing w:before="240" w:beforeAutospacing="0" w:after="240" w:afterAutospacing="0" w:line="600" w:lineRule="atLeast"/>
        <w:ind w:left="0" w:right="0" w:firstLine="640"/>
        <w:rPr>
          <w:rFonts w:hint="default" w:ascii="仿宋" w:hAnsi="仿宋" w:eastAsia="仿宋" w:cs="仿宋"/>
          <w:spacing w:val="0"/>
          <w:kern w:val="0"/>
          <w:sz w:val="32"/>
          <w:szCs w:val="32"/>
          <w:lang w:val="en-US" w:eastAsia="zh-CN"/>
        </w:rPr>
      </w:pPr>
      <w:r>
        <w:rPr>
          <w:rFonts w:hint="default" w:ascii="仿宋" w:hAnsi="仿宋" w:eastAsia="仿宋" w:cs="仿宋"/>
          <w:spacing w:val="0"/>
          <w:kern w:val="0"/>
          <w:sz w:val="32"/>
          <w:szCs w:val="32"/>
          <w:lang w:val="en-US" w:eastAsia="zh-CN"/>
        </w:rPr>
        <w:t>采购篮球、网球、足球等常规体育器材，并首次引入滑雪模拟训练设备及配套课程服务，弥补地域性运动教学短板。通过多元化体育器材的配置，满足学生个性化运动需求，助力“阳光体育”活动开展，促进学生体质健康全面发展。</w:t>
      </w:r>
    </w:p>
    <w:p>
      <w:pPr>
        <w:shd w:val="clear" w:fill="FFFFFF"/>
        <w:spacing w:before="240" w:beforeAutospacing="0" w:after="240" w:afterAutospacing="0" w:line="600" w:lineRule="atLeast"/>
        <w:ind w:right="0" w:firstLine="640" w:firstLineChars="200"/>
        <w:rPr>
          <w:rFonts w:ascii="Times New Roman" w:hAnsi="Times New Roman" w:eastAsia="Times New Roman" w:cs="Times New Roman"/>
          <w:kern w:val="0"/>
          <w:sz w:val="24"/>
        </w:rPr>
      </w:pPr>
      <w:r>
        <w:rPr>
          <w:rFonts w:hint="default" w:ascii="仿宋" w:hAnsi="仿宋" w:eastAsia="仿宋" w:cs="仿宋"/>
          <w:spacing w:val="0"/>
          <w:kern w:val="0"/>
          <w:sz w:val="32"/>
          <w:szCs w:val="32"/>
          <w:lang w:val="en-US" w:eastAsia="zh-CN"/>
        </w:rPr>
        <w:t>2024年，学校通过硬件改造与数字化升级双轨并行，不仅优化了师生教学环境，更在劳动教育、体育特色课程及信息化管理方面取得突破，为创建高质量教育体系提供了有力支撑。</w:t>
      </w:r>
    </w:p>
    <w:p>
      <w:pPr>
        <w:pStyle w:val="2"/>
        <w:sectPr>
          <w:footerReference r:id="rId5" w:type="default"/>
          <w:pgSz w:w="11906" w:h="16838"/>
          <w:pgMar w:top="1440" w:right="720" w:bottom="1440" w:left="720" w:header="720" w:footer="720" w:gutter="0"/>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pStyle w:val="4"/>
        <w:keepNext w:val="0"/>
        <w:keepLines w:val="0"/>
        <w:spacing w:before="100" w:after="100" w:line="240" w:lineRule="auto"/>
        <w:ind w:left="0" w:right="0" w:firstLine="0" w:firstLineChars="0"/>
        <w:jc w:val="center"/>
        <w:rPr>
          <w:rFonts w:ascii="宋体" w:hAnsi="宋体" w:eastAsia="宋体" w:cs="宋体"/>
          <w:b/>
          <w:spacing w:val="0"/>
          <w:sz w:val="36"/>
          <w:szCs w:val="36"/>
        </w:rPr>
      </w:pPr>
      <w:bookmarkStart w:id="22" w:name="_Toc256000067"/>
      <w:bookmarkStart w:id="23" w:name="_Toc256000005"/>
      <w:bookmarkStart w:id="24" w:name="_Toc256000036"/>
      <w:bookmarkStart w:id="25" w:name="_Toc256000098"/>
      <w:r>
        <w:rPr>
          <w:rFonts w:ascii="黑体" w:hAnsi="黑体" w:eastAsia="黑体" w:cs="黑体"/>
          <w:b/>
          <w:spacing w:val="0"/>
          <w:sz w:val="36"/>
          <w:szCs w:val="36"/>
        </w:rPr>
        <w:t>第二部分</w:t>
      </w:r>
      <w:bookmarkEnd w:id="22"/>
      <w:bookmarkEnd w:id="23"/>
      <w:bookmarkEnd w:id="24"/>
      <w:bookmarkEnd w:id="25"/>
      <w:r>
        <w:rPr>
          <w:rFonts w:ascii="宋体" w:hAnsi="宋体" w:eastAsia="宋体" w:cs="宋体"/>
          <w:b/>
          <w:spacing w:val="0"/>
          <w:sz w:val="36"/>
          <w:szCs w:val="36"/>
        </w:rPr>
        <w:t> </w:t>
      </w:r>
      <w:bookmarkStart w:id="26" w:name="_Toc256000006"/>
      <w:bookmarkStart w:id="27" w:name="_Toc256000068"/>
      <w:bookmarkStart w:id="28" w:name="_Toc256000037"/>
      <w:bookmarkStart w:id="29" w:name="_Toc256000099"/>
    </w:p>
    <w:p>
      <w:pPr>
        <w:pStyle w:val="4"/>
        <w:keepNext w:val="0"/>
        <w:keepLines w:val="0"/>
        <w:spacing w:before="100" w:after="100" w:line="240" w:lineRule="auto"/>
        <w:ind w:left="0" w:right="0" w:firstLine="0" w:firstLineChars="0"/>
        <w:jc w:val="center"/>
        <w:rPr>
          <w:rFonts w:ascii="Times New Roman" w:hAnsi="Times New Roman" w:eastAsia="Times New Roman" w:cs="Times New Roman"/>
          <w:kern w:val="0"/>
          <w:sz w:val="24"/>
        </w:rPr>
      </w:pPr>
      <w:r>
        <w:rPr>
          <w:rFonts w:ascii="黑体" w:hAnsi="黑体" w:eastAsia="黑体" w:cs="黑体"/>
          <w:b/>
          <w:spacing w:val="0"/>
          <w:sz w:val="36"/>
          <w:szCs w:val="36"/>
        </w:rPr>
        <w:t>2024年度决算表</w:t>
      </w:r>
      <w:bookmarkEnd w:id="26"/>
      <w:bookmarkEnd w:id="27"/>
      <w:bookmarkEnd w:id="28"/>
      <w:bookmarkEnd w:id="29"/>
    </w:p>
    <w:p>
      <w:pPr>
        <w:pStyle w:val="6"/>
        <w:keepNext w:val="0"/>
        <w:keepLines w:val="0"/>
        <w:spacing w:before="100" w:after="100" w:line="240" w:lineRule="auto"/>
        <w:ind w:left="720" w:right="0" w:hanging="720" w:firstLineChars="0"/>
        <w:jc w:val="left"/>
        <w:rPr>
          <w:rFonts w:ascii="Times New Roman" w:hAnsi="Times New Roman" w:eastAsia="Times New Roman" w:cs="Times New Roman"/>
          <w:b/>
          <w:bCs/>
          <w:kern w:val="0"/>
          <w:sz w:val="28"/>
          <w:szCs w:val="28"/>
        </w:rPr>
      </w:pPr>
      <w:bookmarkStart w:id="30" w:name="_Toc256000038"/>
      <w:bookmarkStart w:id="31" w:name="_Toc256000069"/>
      <w:bookmarkStart w:id="32" w:name="_Toc256000007"/>
      <w:bookmarkStart w:id="33" w:name="_Toc256000100"/>
      <w:r>
        <w:rPr>
          <w:rFonts w:ascii="黑体" w:hAnsi="黑体" w:eastAsia="黑体" w:cs="黑体"/>
          <w:b/>
          <w:spacing w:val="0"/>
        </w:rPr>
        <w:t>一、收入支出决算总表</w:t>
      </w:r>
      <w:bookmarkEnd w:id="30"/>
      <w:bookmarkEnd w:id="31"/>
      <w:bookmarkEnd w:id="32"/>
      <w:bookmarkEnd w:id="33"/>
    </w:p>
    <w:p/>
    <w:tbl>
      <w:tblPr>
        <w:tblStyle w:val="23"/>
        <w:tblW w:w="10247" w:type="dxa"/>
        <w:tblInd w:w="20" w:type="dxa"/>
        <w:tblLayout w:type="fixed"/>
        <w:tblCellMar>
          <w:top w:w="15" w:type="dxa"/>
          <w:left w:w="15" w:type="dxa"/>
          <w:bottom w:w="15" w:type="dxa"/>
          <w:right w:w="15" w:type="dxa"/>
        </w:tblCellMar>
      </w:tblPr>
      <w:tblGrid>
        <w:gridCol w:w="2498"/>
        <w:gridCol w:w="759"/>
        <w:gridCol w:w="1290"/>
        <w:gridCol w:w="2955"/>
        <w:gridCol w:w="1365"/>
        <w:gridCol w:w="1380"/>
      </w:tblGrid>
      <w:tr>
        <w:tblPrEx>
          <w:tblLayout w:type="fixed"/>
        </w:tblPrEx>
        <w:trPr>
          <w:tblHeader/>
        </w:trPr>
        <w:tc>
          <w:tcPr>
            <w:tcW w:w="10247" w:type="dxa"/>
            <w:gridSpan w:val="6"/>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27"/>
                <w:szCs w:val="27"/>
              </w:rPr>
            </w:pPr>
            <w:r>
              <w:rPr>
                <w:rFonts w:hint="eastAsia" w:ascii="仿宋" w:hAnsi="仿宋" w:eastAsia="仿宋" w:cs="仿宋"/>
                <w:b w:val="0"/>
                <w:bCs w:val="0"/>
                <w:i w:val="0"/>
                <w:iCs w:val="0"/>
                <w:smallCaps w:val="0"/>
                <w:color w:val="000000"/>
                <w:kern w:val="0"/>
                <w:sz w:val="32"/>
                <w:szCs w:val="32"/>
              </w:rPr>
              <w:t>收入支出决算总表</w:t>
            </w:r>
          </w:p>
        </w:tc>
      </w:tr>
      <w:tr>
        <w:tblPrEx>
          <w:tblLayout w:type="fixed"/>
          <w:tblCellMar>
            <w:top w:w="15" w:type="dxa"/>
            <w:left w:w="15" w:type="dxa"/>
            <w:bottom w:w="15" w:type="dxa"/>
            <w:right w:w="15" w:type="dxa"/>
          </w:tblCellMar>
        </w:tblPrEx>
        <w:trPr>
          <w:tblHeader/>
        </w:trPr>
        <w:tc>
          <w:tcPr>
            <w:tcW w:w="3257"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29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29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36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26"/>
                <w:szCs w:val="26"/>
              </w:rPr>
            </w:pPr>
            <w:r>
              <w:rPr>
                <w:rFonts w:ascii="Times New Roman" w:hAnsi="Times New Roman" w:eastAsia="Times New Roman" w:cs="Times New Roman"/>
                <w:b w:val="0"/>
                <w:bCs w:val="0"/>
                <w:i w:val="0"/>
                <w:iCs w:val="0"/>
                <w:smallCaps w:val="0"/>
                <w:color w:val="000000"/>
                <w:kern w:val="0"/>
                <w:sz w:val="26"/>
                <w:szCs w:val="26"/>
              </w:rPr>
              <w:t> </w:t>
            </w:r>
          </w:p>
        </w:tc>
        <w:tc>
          <w:tcPr>
            <w:tcW w:w="138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29"/>
                <w:szCs w:val="29"/>
              </w:rPr>
            </w:pPr>
            <w:r>
              <w:rPr>
                <w:rFonts w:ascii="Times New Roman" w:hAnsi="Times New Roman" w:eastAsia="Times New Roman" w:cs="Times New Roman"/>
                <w:b w:val="0"/>
                <w:bCs w:val="0"/>
                <w:i w:val="0"/>
                <w:iCs w:val="0"/>
                <w:smallCaps w:val="0"/>
                <w:color w:val="000000"/>
                <w:kern w:val="0"/>
                <w:sz w:val="29"/>
                <w:szCs w:val="29"/>
              </w:rPr>
              <w:t> </w:t>
            </w:r>
          </w:p>
        </w:tc>
      </w:tr>
      <w:tr>
        <w:tblPrEx>
          <w:tblLayout w:type="fixed"/>
          <w:tblCellMar>
            <w:top w:w="15" w:type="dxa"/>
            <w:left w:w="15" w:type="dxa"/>
            <w:bottom w:w="15" w:type="dxa"/>
            <w:right w:w="15" w:type="dxa"/>
          </w:tblCellMar>
        </w:tblPrEx>
        <w:trPr>
          <w:tblHeader/>
        </w:trPr>
        <w:tc>
          <w:tcPr>
            <w:tcW w:w="249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部门/单位：厦门市东渡第二小学</w:t>
            </w:r>
          </w:p>
        </w:tc>
        <w:tc>
          <w:tcPr>
            <w:tcW w:w="75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29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29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2024年度</w:t>
            </w:r>
          </w:p>
        </w:tc>
        <w:tc>
          <w:tcPr>
            <w:tcW w:w="136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38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c>
          <w:tcPr>
            <w:tcW w:w="454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收入</w:t>
            </w:r>
          </w:p>
        </w:tc>
        <w:tc>
          <w:tcPr>
            <w:tcW w:w="5700"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支出</w:t>
            </w:r>
          </w:p>
        </w:tc>
      </w:tr>
      <w:tr>
        <w:tblPrEx>
          <w:tblLayout w:type="fixed"/>
          <w:tblCellMar>
            <w:top w:w="15" w:type="dxa"/>
            <w:left w:w="15" w:type="dxa"/>
            <w:bottom w:w="15" w:type="dxa"/>
            <w:right w:w="15" w:type="dxa"/>
          </w:tblCellMar>
        </w:tblPrEx>
        <w:tc>
          <w:tcPr>
            <w:tcW w:w="24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项目</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行次</w:t>
            </w:r>
          </w:p>
        </w:tc>
        <w:tc>
          <w:tcPr>
            <w:tcW w:w="12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金额</w:t>
            </w:r>
          </w:p>
        </w:tc>
        <w:tc>
          <w:tcPr>
            <w:tcW w:w="29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项目</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行次</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金额</w:t>
            </w:r>
          </w:p>
        </w:tc>
      </w:tr>
      <w:tr>
        <w:tblPrEx>
          <w:tblLayout w:type="fixed"/>
          <w:tblCellMar>
            <w:top w:w="15" w:type="dxa"/>
            <w:left w:w="15" w:type="dxa"/>
            <w:bottom w:w="15" w:type="dxa"/>
            <w:right w:w="15" w:type="dxa"/>
          </w:tblCellMar>
        </w:tblPrEx>
        <w:tc>
          <w:tcPr>
            <w:tcW w:w="24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栏次</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2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w:t>
            </w:r>
          </w:p>
        </w:tc>
        <w:tc>
          <w:tcPr>
            <w:tcW w:w="29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栏次</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w:t>
            </w:r>
          </w:p>
        </w:tc>
      </w:tr>
      <w:tr>
        <w:tblPrEx>
          <w:tblLayout w:type="fixed"/>
          <w:tblCellMar>
            <w:top w:w="15" w:type="dxa"/>
            <w:left w:w="15" w:type="dxa"/>
            <w:bottom w:w="15" w:type="dxa"/>
            <w:right w:w="15" w:type="dxa"/>
          </w:tblCellMar>
        </w:tblPrEx>
        <w:tc>
          <w:tcPr>
            <w:tcW w:w="24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一、一般公共预算财政拨款收入</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w:t>
            </w:r>
          </w:p>
        </w:tc>
        <w:tc>
          <w:tcPr>
            <w:tcW w:w="12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2,835.26</w:t>
            </w:r>
          </w:p>
        </w:tc>
        <w:tc>
          <w:tcPr>
            <w:tcW w:w="29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一、一般公共服务支出</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32</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4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二、政府性基金预算财政拨款收入</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w:t>
            </w:r>
          </w:p>
        </w:tc>
        <w:tc>
          <w:tcPr>
            <w:tcW w:w="12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0.37</w:t>
            </w:r>
          </w:p>
        </w:tc>
        <w:tc>
          <w:tcPr>
            <w:tcW w:w="29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xml:space="preserve">二、外交支出 </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33</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4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三、国有资本经营预算财政拨款收入</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w:t>
            </w:r>
          </w:p>
        </w:tc>
        <w:tc>
          <w:tcPr>
            <w:tcW w:w="12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29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三、国防支出</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34</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4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四、上级补助收入</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4</w:t>
            </w:r>
          </w:p>
        </w:tc>
        <w:tc>
          <w:tcPr>
            <w:tcW w:w="12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29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四、公共安全支出</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35</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4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五、事业收入</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5</w:t>
            </w:r>
          </w:p>
        </w:tc>
        <w:tc>
          <w:tcPr>
            <w:tcW w:w="12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29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五、教育支出</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36</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2,372.27</w:t>
            </w:r>
          </w:p>
        </w:tc>
      </w:tr>
      <w:tr>
        <w:tblPrEx>
          <w:tblLayout w:type="fixed"/>
          <w:tblCellMar>
            <w:top w:w="15" w:type="dxa"/>
            <w:left w:w="15" w:type="dxa"/>
            <w:bottom w:w="15" w:type="dxa"/>
            <w:right w:w="15" w:type="dxa"/>
          </w:tblCellMar>
        </w:tblPrEx>
        <w:tc>
          <w:tcPr>
            <w:tcW w:w="24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六、经营收入</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6</w:t>
            </w:r>
          </w:p>
        </w:tc>
        <w:tc>
          <w:tcPr>
            <w:tcW w:w="12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29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六、科学技术支出</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37</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4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七、附属单位上缴收入</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7</w:t>
            </w:r>
          </w:p>
        </w:tc>
        <w:tc>
          <w:tcPr>
            <w:tcW w:w="12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29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七、文化旅游体育与传媒支出</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38</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4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八、其他收入</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8</w:t>
            </w:r>
          </w:p>
        </w:tc>
        <w:tc>
          <w:tcPr>
            <w:tcW w:w="12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29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八、社会保障和就业支出</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39</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363.01</w:t>
            </w:r>
          </w:p>
        </w:tc>
      </w:tr>
      <w:tr>
        <w:tblPrEx>
          <w:tblLayout w:type="fixed"/>
          <w:tblCellMar>
            <w:top w:w="15" w:type="dxa"/>
            <w:left w:w="15" w:type="dxa"/>
            <w:bottom w:w="15" w:type="dxa"/>
            <w:right w:w="15" w:type="dxa"/>
          </w:tblCellMar>
        </w:tblPrEx>
        <w:tc>
          <w:tcPr>
            <w:tcW w:w="24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9</w:t>
            </w:r>
          </w:p>
        </w:tc>
        <w:tc>
          <w:tcPr>
            <w:tcW w:w="12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29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九、卫生健康支出</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40</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99.98</w:t>
            </w:r>
          </w:p>
        </w:tc>
      </w:tr>
      <w:tr>
        <w:tblPrEx>
          <w:tblLayout w:type="fixed"/>
          <w:tblCellMar>
            <w:top w:w="15" w:type="dxa"/>
            <w:left w:w="15" w:type="dxa"/>
            <w:bottom w:w="15" w:type="dxa"/>
            <w:right w:w="15" w:type="dxa"/>
          </w:tblCellMar>
        </w:tblPrEx>
        <w:tc>
          <w:tcPr>
            <w:tcW w:w="24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10</w:t>
            </w:r>
          </w:p>
        </w:tc>
        <w:tc>
          <w:tcPr>
            <w:tcW w:w="12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29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十、节能环保支出</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41</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4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11</w:t>
            </w:r>
          </w:p>
        </w:tc>
        <w:tc>
          <w:tcPr>
            <w:tcW w:w="12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29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十一、城乡社区支出</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42</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4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12</w:t>
            </w:r>
          </w:p>
        </w:tc>
        <w:tc>
          <w:tcPr>
            <w:tcW w:w="12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29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十二、农林水支出</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43</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4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13</w:t>
            </w:r>
          </w:p>
        </w:tc>
        <w:tc>
          <w:tcPr>
            <w:tcW w:w="12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29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十三、交通运输支出</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44</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4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14</w:t>
            </w:r>
          </w:p>
        </w:tc>
        <w:tc>
          <w:tcPr>
            <w:tcW w:w="12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29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十四、资源勘探工业信息等支出</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45</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4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15</w:t>
            </w:r>
          </w:p>
        </w:tc>
        <w:tc>
          <w:tcPr>
            <w:tcW w:w="12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29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十五、商业服务业等支出</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46</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4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16</w:t>
            </w:r>
          </w:p>
        </w:tc>
        <w:tc>
          <w:tcPr>
            <w:tcW w:w="12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29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十六、金融支出</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47</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4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17</w:t>
            </w:r>
          </w:p>
        </w:tc>
        <w:tc>
          <w:tcPr>
            <w:tcW w:w="12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29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十七、援助其他地区支出</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48</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4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18</w:t>
            </w:r>
          </w:p>
        </w:tc>
        <w:tc>
          <w:tcPr>
            <w:tcW w:w="12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29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十八、自然资源海洋气象等支出</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49</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4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19</w:t>
            </w:r>
          </w:p>
        </w:tc>
        <w:tc>
          <w:tcPr>
            <w:tcW w:w="12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29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十九、住房保障支出</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50</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4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w:t>
            </w:r>
          </w:p>
        </w:tc>
        <w:tc>
          <w:tcPr>
            <w:tcW w:w="12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29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二十、粮油物资储备支出</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51</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4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21</w:t>
            </w:r>
          </w:p>
        </w:tc>
        <w:tc>
          <w:tcPr>
            <w:tcW w:w="12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29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二十一、国有资本经营预算支出</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52</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4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22</w:t>
            </w:r>
          </w:p>
        </w:tc>
        <w:tc>
          <w:tcPr>
            <w:tcW w:w="12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29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二十二、灾害防治及应急管理支出</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53</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4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23</w:t>
            </w:r>
          </w:p>
        </w:tc>
        <w:tc>
          <w:tcPr>
            <w:tcW w:w="12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29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二十三、其他支出</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54</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0.37</w:t>
            </w:r>
          </w:p>
        </w:tc>
      </w:tr>
      <w:tr>
        <w:tblPrEx>
          <w:tblLayout w:type="fixed"/>
          <w:tblCellMar>
            <w:top w:w="15" w:type="dxa"/>
            <w:left w:w="15" w:type="dxa"/>
            <w:bottom w:w="15" w:type="dxa"/>
            <w:right w:w="15" w:type="dxa"/>
          </w:tblCellMar>
        </w:tblPrEx>
        <w:tc>
          <w:tcPr>
            <w:tcW w:w="24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24</w:t>
            </w:r>
          </w:p>
        </w:tc>
        <w:tc>
          <w:tcPr>
            <w:tcW w:w="12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29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二十四、债务还本支出</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55</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4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25</w:t>
            </w:r>
          </w:p>
        </w:tc>
        <w:tc>
          <w:tcPr>
            <w:tcW w:w="12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29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二十五、债务付息支出</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56</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4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26</w:t>
            </w:r>
          </w:p>
        </w:tc>
        <w:tc>
          <w:tcPr>
            <w:tcW w:w="12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29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二十六、抗疫特别国债安排的支出</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57</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4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本年收入合计</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27</w:t>
            </w:r>
          </w:p>
        </w:tc>
        <w:tc>
          <w:tcPr>
            <w:tcW w:w="12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2,835.63</w:t>
            </w:r>
          </w:p>
        </w:tc>
        <w:tc>
          <w:tcPr>
            <w:tcW w:w="29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本年支出合计</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58</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2,835.63</w:t>
            </w:r>
          </w:p>
        </w:tc>
      </w:tr>
      <w:tr>
        <w:tblPrEx>
          <w:tblLayout w:type="fixed"/>
          <w:tblCellMar>
            <w:top w:w="15" w:type="dxa"/>
            <w:left w:w="15" w:type="dxa"/>
            <w:bottom w:w="15" w:type="dxa"/>
            <w:right w:w="15" w:type="dxa"/>
          </w:tblCellMar>
        </w:tblPrEx>
        <w:tc>
          <w:tcPr>
            <w:tcW w:w="24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使用非财政拨款结余（含专用结余）</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28</w:t>
            </w:r>
          </w:p>
        </w:tc>
        <w:tc>
          <w:tcPr>
            <w:tcW w:w="12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29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结余分配</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59</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4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xml:space="preserve">年初结转和结余 </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29</w:t>
            </w:r>
          </w:p>
        </w:tc>
        <w:tc>
          <w:tcPr>
            <w:tcW w:w="12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29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xml:space="preserve">年末结转和结余 </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60</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4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w:t>
            </w:r>
          </w:p>
        </w:tc>
        <w:tc>
          <w:tcPr>
            <w:tcW w:w="12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29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61</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49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总计</w:t>
            </w:r>
          </w:p>
        </w:tc>
        <w:tc>
          <w:tcPr>
            <w:tcW w:w="75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31</w:t>
            </w:r>
          </w:p>
        </w:tc>
        <w:tc>
          <w:tcPr>
            <w:tcW w:w="12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2,835.63</w:t>
            </w:r>
          </w:p>
        </w:tc>
        <w:tc>
          <w:tcPr>
            <w:tcW w:w="29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总计</w:t>
            </w:r>
          </w:p>
        </w:tc>
        <w:tc>
          <w:tcPr>
            <w:tcW w:w="13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62</w:t>
            </w:r>
          </w:p>
        </w:tc>
        <w:tc>
          <w:tcPr>
            <w:tcW w:w="13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2,835.63</w:t>
            </w:r>
          </w:p>
        </w:tc>
      </w:tr>
      <w:tr>
        <w:tblPrEx>
          <w:tblLayout w:type="fixed"/>
          <w:tblCellMar>
            <w:top w:w="15" w:type="dxa"/>
            <w:left w:w="15" w:type="dxa"/>
            <w:bottom w:w="15" w:type="dxa"/>
            <w:right w:w="15" w:type="dxa"/>
          </w:tblCellMar>
        </w:tblPrEx>
        <w:tc>
          <w:tcPr>
            <w:tcW w:w="10247" w:type="dxa"/>
            <w:gridSpan w:val="6"/>
            <w:noWrap w:val="0"/>
            <w:tcMar>
              <w:top w:w="20" w:type="dxa"/>
              <w:left w:w="20" w:type="dxa"/>
              <w:bottom w:w="20" w:type="dxa"/>
              <w:right w:w="20" w:type="dxa"/>
            </w:tcMar>
            <w:vAlign w:val="center"/>
          </w:tcPr>
          <w:p>
            <w:pPr>
              <w:widowControl/>
              <w:spacing w:line="375" w:lineRule="atLeast"/>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注：1.本表反映部门本年度的总收支和年末结转结余情况。</w:t>
            </w:r>
          </w:p>
        </w:tc>
      </w:tr>
      <w:tr>
        <w:tblPrEx>
          <w:tblLayout w:type="fixed"/>
          <w:tblCellMar>
            <w:top w:w="15" w:type="dxa"/>
            <w:left w:w="15" w:type="dxa"/>
            <w:bottom w:w="15" w:type="dxa"/>
            <w:right w:w="15" w:type="dxa"/>
          </w:tblCellMar>
        </w:tblPrEx>
        <w:tc>
          <w:tcPr>
            <w:tcW w:w="10247" w:type="dxa"/>
            <w:gridSpan w:val="6"/>
            <w:noWrap w:val="0"/>
            <w:tcMar>
              <w:top w:w="20" w:type="dxa"/>
              <w:left w:w="485" w:type="dxa"/>
              <w:bottom w:w="20" w:type="dxa"/>
              <w:right w:w="20" w:type="dxa"/>
            </w:tcMar>
            <w:vAlign w:val="center"/>
          </w:tcPr>
          <w:p>
            <w:pPr>
              <w:widowControl/>
              <w:spacing w:line="375" w:lineRule="atLeast"/>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2.本套报表金额单位转换时可能存在尾数误差。</w:t>
            </w:r>
          </w:p>
        </w:tc>
      </w:tr>
    </w:tbl>
    <w:p>
      <w:pPr>
        <w:pStyle w:val="6"/>
        <w:keepNext w:val="0"/>
        <w:keepLines w:val="0"/>
        <w:spacing w:before="100" w:after="100" w:line="240" w:lineRule="auto"/>
        <w:ind w:left="720" w:right="0" w:hanging="720" w:firstLineChars="0"/>
        <w:rPr>
          <w:rFonts w:hint="eastAsia" w:ascii="黑体" w:hAnsi="黑体" w:eastAsia="黑体" w:cs="黑体"/>
          <w:b/>
          <w:bCs/>
          <w:kern w:val="0"/>
          <w:sz w:val="32"/>
          <w:szCs w:val="32"/>
        </w:rPr>
      </w:pPr>
      <w:bookmarkStart w:id="34" w:name="_Toc256000008"/>
      <w:bookmarkStart w:id="35" w:name="_Toc256000039"/>
      <w:bookmarkStart w:id="36" w:name="_Toc256000101"/>
      <w:bookmarkStart w:id="37" w:name="_Toc256000070"/>
      <w:r>
        <w:rPr>
          <w:rFonts w:hint="eastAsia" w:ascii="黑体" w:hAnsi="黑体" w:eastAsia="黑体" w:cs="黑体"/>
          <w:b/>
          <w:spacing w:val="0"/>
          <w:sz w:val="32"/>
          <w:szCs w:val="32"/>
        </w:rPr>
        <w:t>二、收入决算表</w:t>
      </w:r>
      <w:bookmarkEnd w:id="34"/>
      <w:bookmarkEnd w:id="35"/>
      <w:bookmarkEnd w:id="36"/>
      <w:bookmarkEnd w:id="37"/>
    </w:p>
    <w:p>
      <w:pPr>
        <w:pStyle w:val="2"/>
      </w:pPr>
    </w:p>
    <w:tbl>
      <w:tblPr>
        <w:tblStyle w:val="23"/>
        <w:tblW w:w="10243" w:type="dxa"/>
        <w:tblInd w:w="20" w:type="dxa"/>
        <w:tblLayout w:type="fixed"/>
        <w:tblCellMar>
          <w:top w:w="15" w:type="dxa"/>
          <w:left w:w="15" w:type="dxa"/>
          <w:bottom w:w="15" w:type="dxa"/>
          <w:right w:w="15" w:type="dxa"/>
        </w:tblCellMar>
      </w:tblPr>
      <w:tblGrid>
        <w:gridCol w:w="977"/>
        <w:gridCol w:w="2351"/>
        <w:gridCol w:w="1084"/>
        <w:gridCol w:w="1305"/>
        <w:gridCol w:w="1335"/>
        <w:gridCol w:w="810"/>
        <w:gridCol w:w="1155"/>
        <w:gridCol w:w="675"/>
        <w:gridCol w:w="551"/>
      </w:tblGrid>
      <w:tr>
        <w:tblPrEx>
          <w:tblLayout w:type="fixed"/>
        </w:tblPrEx>
        <w:trPr>
          <w:tblHeader/>
        </w:trPr>
        <w:tc>
          <w:tcPr>
            <w:tcW w:w="10243" w:type="dxa"/>
            <w:gridSpan w:val="9"/>
            <w:noWrap w:val="0"/>
            <w:tcMar>
              <w:top w:w="20" w:type="dxa"/>
              <w:left w:w="20" w:type="dxa"/>
              <w:bottom w:w="20" w:type="dxa"/>
              <w:right w:w="20" w:type="dxa"/>
            </w:tcMar>
            <w:vAlign w:val="center"/>
          </w:tcPr>
          <w:p>
            <w:pPr>
              <w:widowControl/>
              <w:spacing w:line="900" w:lineRule="atLeast"/>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32"/>
                <w:szCs w:val="32"/>
              </w:rPr>
              <w:t>收入决算表</w:t>
            </w:r>
          </w:p>
        </w:tc>
      </w:tr>
      <w:tr>
        <w:tblPrEx>
          <w:tblLayout w:type="fixed"/>
          <w:tblCellMar>
            <w:top w:w="15" w:type="dxa"/>
            <w:left w:w="15" w:type="dxa"/>
            <w:bottom w:w="15" w:type="dxa"/>
            <w:right w:w="15" w:type="dxa"/>
          </w:tblCellMar>
        </w:tblPrEx>
        <w:trPr>
          <w:tblHeader/>
        </w:trPr>
        <w:tc>
          <w:tcPr>
            <w:tcW w:w="97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235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8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30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33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1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1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67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55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5717"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部门/单位：厦门市东渡第二小学</w:t>
            </w:r>
          </w:p>
        </w:tc>
        <w:tc>
          <w:tcPr>
            <w:tcW w:w="133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2024年度</w:t>
            </w:r>
          </w:p>
        </w:tc>
        <w:tc>
          <w:tcPr>
            <w:tcW w:w="81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1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67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55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blHeader/>
        </w:trPr>
        <w:tc>
          <w:tcPr>
            <w:tcW w:w="332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项目</w:t>
            </w:r>
          </w:p>
        </w:tc>
        <w:tc>
          <w:tcPr>
            <w:tcW w:w="108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本年收入合计</w:t>
            </w:r>
          </w:p>
        </w:tc>
        <w:tc>
          <w:tcPr>
            <w:tcW w:w="130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xml:space="preserve">财政拨款收入 </w:t>
            </w:r>
          </w:p>
        </w:tc>
        <w:tc>
          <w:tcPr>
            <w:tcW w:w="133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上级补助收入</w:t>
            </w:r>
          </w:p>
        </w:tc>
        <w:tc>
          <w:tcPr>
            <w:tcW w:w="81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事业收入</w:t>
            </w:r>
          </w:p>
        </w:tc>
        <w:tc>
          <w:tcPr>
            <w:tcW w:w="11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经营收入</w:t>
            </w:r>
          </w:p>
        </w:tc>
        <w:tc>
          <w:tcPr>
            <w:tcW w:w="67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附属单位上缴收入</w:t>
            </w:r>
          </w:p>
        </w:tc>
        <w:tc>
          <w:tcPr>
            <w:tcW w:w="551"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其他收入</w:t>
            </w:r>
          </w:p>
        </w:tc>
      </w:tr>
      <w:tr>
        <w:tblPrEx>
          <w:tblLayout w:type="fixed"/>
          <w:tblCellMar>
            <w:top w:w="15" w:type="dxa"/>
            <w:left w:w="15" w:type="dxa"/>
            <w:bottom w:w="15" w:type="dxa"/>
            <w:right w:w="15" w:type="dxa"/>
          </w:tblCellMar>
        </w:tblPrEx>
        <w:trPr>
          <w:tblHeader/>
        </w:trPr>
        <w:tc>
          <w:tcPr>
            <w:tcW w:w="97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科目代码</w:t>
            </w:r>
          </w:p>
        </w:tc>
        <w:tc>
          <w:tcPr>
            <w:tcW w:w="2351"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科目名称</w:t>
            </w:r>
          </w:p>
        </w:tc>
        <w:tc>
          <w:tcPr>
            <w:tcW w:w="1084" w:type="dxa"/>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1305" w:type="dxa"/>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1335" w:type="dxa"/>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810" w:type="dxa"/>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1155" w:type="dxa"/>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675" w:type="dxa"/>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551" w:type="dxa"/>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trPr>
        <w:tc>
          <w:tcPr>
            <w:tcW w:w="977" w:type="dxa"/>
            <w:vMerge w:val="continue"/>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2351" w:type="dxa"/>
            <w:vMerge w:val="continue"/>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1084" w:type="dxa"/>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1305" w:type="dxa"/>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1335" w:type="dxa"/>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810" w:type="dxa"/>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1155" w:type="dxa"/>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675" w:type="dxa"/>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551" w:type="dxa"/>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332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栏次</w:t>
            </w:r>
          </w:p>
        </w:tc>
        <w:tc>
          <w:tcPr>
            <w:tcW w:w="10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w:t>
            </w:r>
          </w:p>
        </w:tc>
        <w:tc>
          <w:tcPr>
            <w:tcW w:w="13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w:t>
            </w:r>
          </w:p>
        </w:tc>
        <w:tc>
          <w:tcPr>
            <w:tcW w:w="13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4</w:t>
            </w:r>
          </w:p>
        </w:tc>
        <w:tc>
          <w:tcPr>
            <w:tcW w:w="11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5</w:t>
            </w:r>
          </w:p>
        </w:tc>
        <w:tc>
          <w:tcPr>
            <w:tcW w:w="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6</w:t>
            </w:r>
          </w:p>
        </w:tc>
        <w:tc>
          <w:tcPr>
            <w:tcW w:w="5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7</w:t>
            </w:r>
          </w:p>
        </w:tc>
      </w:tr>
      <w:tr>
        <w:tblPrEx>
          <w:tblLayout w:type="fixed"/>
          <w:tblCellMar>
            <w:top w:w="15" w:type="dxa"/>
            <w:left w:w="15" w:type="dxa"/>
            <w:bottom w:w="15" w:type="dxa"/>
            <w:right w:w="15" w:type="dxa"/>
          </w:tblCellMar>
        </w:tblPrEx>
        <w:tc>
          <w:tcPr>
            <w:tcW w:w="332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合计</w:t>
            </w:r>
          </w:p>
        </w:tc>
        <w:tc>
          <w:tcPr>
            <w:tcW w:w="10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2,835.63</w:t>
            </w:r>
          </w:p>
        </w:tc>
        <w:tc>
          <w:tcPr>
            <w:tcW w:w="13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2,835.63</w:t>
            </w:r>
          </w:p>
        </w:tc>
        <w:tc>
          <w:tcPr>
            <w:tcW w:w="13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1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5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205</w:t>
            </w:r>
          </w:p>
        </w:tc>
        <w:tc>
          <w:tcPr>
            <w:tcW w:w="23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教育支出</w:t>
            </w:r>
          </w:p>
        </w:tc>
        <w:tc>
          <w:tcPr>
            <w:tcW w:w="10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2,372.27</w:t>
            </w:r>
          </w:p>
        </w:tc>
        <w:tc>
          <w:tcPr>
            <w:tcW w:w="13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2,372.27</w:t>
            </w:r>
          </w:p>
        </w:tc>
        <w:tc>
          <w:tcPr>
            <w:tcW w:w="13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1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5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20502</w:t>
            </w:r>
          </w:p>
        </w:tc>
        <w:tc>
          <w:tcPr>
            <w:tcW w:w="23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普通教育</w:t>
            </w:r>
          </w:p>
        </w:tc>
        <w:tc>
          <w:tcPr>
            <w:tcW w:w="10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2,080.6</w:t>
            </w:r>
          </w:p>
        </w:tc>
        <w:tc>
          <w:tcPr>
            <w:tcW w:w="13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2,080.6</w:t>
            </w:r>
          </w:p>
        </w:tc>
        <w:tc>
          <w:tcPr>
            <w:tcW w:w="13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1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5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2050202</w:t>
            </w:r>
          </w:p>
        </w:tc>
        <w:tc>
          <w:tcPr>
            <w:tcW w:w="23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小学教育</w:t>
            </w:r>
          </w:p>
        </w:tc>
        <w:tc>
          <w:tcPr>
            <w:tcW w:w="10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1,917.2</w:t>
            </w:r>
          </w:p>
        </w:tc>
        <w:tc>
          <w:tcPr>
            <w:tcW w:w="13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1,917.2</w:t>
            </w:r>
          </w:p>
        </w:tc>
        <w:tc>
          <w:tcPr>
            <w:tcW w:w="13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1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5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2050299</w:t>
            </w:r>
          </w:p>
        </w:tc>
        <w:tc>
          <w:tcPr>
            <w:tcW w:w="23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其他普通教育支出</w:t>
            </w:r>
          </w:p>
        </w:tc>
        <w:tc>
          <w:tcPr>
            <w:tcW w:w="10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163.39</w:t>
            </w:r>
          </w:p>
        </w:tc>
        <w:tc>
          <w:tcPr>
            <w:tcW w:w="13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163.39</w:t>
            </w:r>
          </w:p>
        </w:tc>
        <w:tc>
          <w:tcPr>
            <w:tcW w:w="13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1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5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20509</w:t>
            </w:r>
          </w:p>
        </w:tc>
        <w:tc>
          <w:tcPr>
            <w:tcW w:w="23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教育费附加安排的支出</w:t>
            </w:r>
          </w:p>
        </w:tc>
        <w:tc>
          <w:tcPr>
            <w:tcW w:w="10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291.67</w:t>
            </w:r>
          </w:p>
        </w:tc>
        <w:tc>
          <w:tcPr>
            <w:tcW w:w="13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291.67</w:t>
            </w:r>
          </w:p>
        </w:tc>
        <w:tc>
          <w:tcPr>
            <w:tcW w:w="13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1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5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2050999</w:t>
            </w:r>
          </w:p>
        </w:tc>
        <w:tc>
          <w:tcPr>
            <w:tcW w:w="23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其他教育费附加安排的支出</w:t>
            </w:r>
          </w:p>
        </w:tc>
        <w:tc>
          <w:tcPr>
            <w:tcW w:w="10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291.67</w:t>
            </w:r>
          </w:p>
        </w:tc>
        <w:tc>
          <w:tcPr>
            <w:tcW w:w="13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291.67</w:t>
            </w:r>
          </w:p>
        </w:tc>
        <w:tc>
          <w:tcPr>
            <w:tcW w:w="13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1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5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208</w:t>
            </w:r>
          </w:p>
        </w:tc>
        <w:tc>
          <w:tcPr>
            <w:tcW w:w="23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社会保障和就业支出</w:t>
            </w:r>
          </w:p>
        </w:tc>
        <w:tc>
          <w:tcPr>
            <w:tcW w:w="10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363.01</w:t>
            </w:r>
          </w:p>
        </w:tc>
        <w:tc>
          <w:tcPr>
            <w:tcW w:w="13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363.01</w:t>
            </w:r>
          </w:p>
        </w:tc>
        <w:tc>
          <w:tcPr>
            <w:tcW w:w="13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1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5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20805</w:t>
            </w:r>
          </w:p>
        </w:tc>
        <w:tc>
          <w:tcPr>
            <w:tcW w:w="23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行政事业单位养老支出</w:t>
            </w:r>
          </w:p>
        </w:tc>
        <w:tc>
          <w:tcPr>
            <w:tcW w:w="10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363.01</w:t>
            </w:r>
          </w:p>
        </w:tc>
        <w:tc>
          <w:tcPr>
            <w:tcW w:w="13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363.01</w:t>
            </w:r>
          </w:p>
        </w:tc>
        <w:tc>
          <w:tcPr>
            <w:tcW w:w="13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1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5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2080502</w:t>
            </w:r>
          </w:p>
        </w:tc>
        <w:tc>
          <w:tcPr>
            <w:tcW w:w="23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事业单位离退休</w:t>
            </w:r>
          </w:p>
        </w:tc>
        <w:tc>
          <w:tcPr>
            <w:tcW w:w="10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131.16</w:t>
            </w:r>
          </w:p>
        </w:tc>
        <w:tc>
          <w:tcPr>
            <w:tcW w:w="13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131.16</w:t>
            </w:r>
          </w:p>
        </w:tc>
        <w:tc>
          <w:tcPr>
            <w:tcW w:w="13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1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5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2080505</w:t>
            </w:r>
          </w:p>
        </w:tc>
        <w:tc>
          <w:tcPr>
            <w:tcW w:w="23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机关事业单位基本养老保险缴费支出</w:t>
            </w:r>
          </w:p>
        </w:tc>
        <w:tc>
          <w:tcPr>
            <w:tcW w:w="10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154.56</w:t>
            </w:r>
          </w:p>
        </w:tc>
        <w:tc>
          <w:tcPr>
            <w:tcW w:w="13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154.56</w:t>
            </w:r>
          </w:p>
        </w:tc>
        <w:tc>
          <w:tcPr>
            <w:tcW w:w="13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1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5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2080506</w:t>
            </w:r>
          </w:p>
        </w:tc>
        <w:tc>
          <w:tcPr>
            <w:tcW w:w="23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机关事业单位职业年金缴费支出</w:t>
            </w:r>
          </w:p>
        </w:tc>
        <w:tc>
          <w:tcPr>
            <w:tcW w:w="10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77.28</w:t>
            </w:r>
          </w:p>
        </w:tc>
        <w:tc>
          <w:tcPr>
            <w:tcW w:w="13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77.28</w:t>
            </w:r>
          </w:p>
        </w:tc>
        <w:tc>
          <w:tcPr>
            <w:tcW w:w="13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1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5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210</w:t>
            </w:r>
          </w:p>
        </w:tc>
        <w:tc>
          <w:tcPr>
            <w:tcW w:w="23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卫生健康支出</w:t>
            </w:r>
          </w:p>
        </w:tc>
        <w:tc>
          <w:tcPr>
            <w:tcW w:w="10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99.98</w:t>
            </w:r>
          </w:p>
        </w:tc>
        <w:tc>
          <w:tcPr>
            <w:tcW w:w="13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99.98</w:t>
            </w:r>
          </w:p>
        </w:tc>
        <w:tc>
          <w:tcPr>
            <w:tcW w:w="13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1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5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21011</w:t>
            </w:r>
          </w:p>
        </w:tc>
        <w:tc>
          <w:tcPr>
            <w:tcW w:w="23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行政事业单位医疗</w:t>
            </w:r>
          </w:p>
        </w:tc>
        <w:tc>
          <w:tcPr>
            <w:tcW w:w="10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99.98</w:t>
            </w:r>
          </w:p>
        </w:tc>
        <w:tc>
          <w:tcPr>
            <w:tcW w:w="13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99.98</w:t>
            </w:r>
          </w:p>
        </w:tc>
        <w:tc>
          <w:tcPr>
            <w:tcW w:w="13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1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5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2101102</w:t>
            </w:r>
          </w:p>
        </w:tc>
        <w:tc>
          <w:tcPr>
            <w:tcW w:w="23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事业单位医疗</w:t>
            </w:r>
          </w:p>
        </w:tc>
        <w:tc>
          <w:tcPr>
            <w:tcW w:w="10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66.17</w:t>
            </w:r>
          </w:p>
        </w:tc>
        <w:tc>
          <w:tcPr>
            <w:tcW w:w="13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66.17</w:t>
            </w:r>
          </w:p>
        </w:tc>
        <w:tc>
          <w:tcPr>
            <w:tcW w:w="13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1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5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2101199</w:t>
            </w:r>
          </w:p>
        </w:tc>
        <w:tc>
          <w:tcPr>
            <w:tcW w:w="23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其他行政事业单位医疗支出</w:t>
            </w:r>
          </w:p>
        </w:tc>
        <w:tc>
          <w:tcPr>
            <w:tcW w:w="10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33.81</w:t>
            </w:r>
          </w:p>
        </w:tc>
        <w:tc>
          <w:tcPr>
            <w:tcW w:w="13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33.81</w:t>
            </w:r>
          </w:p>
        </w:tc>
        <w:tc>
          <w:tcPr>
            <w:tcW w:w="13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1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5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229</w:t>
            </w:r>
          </w:p>
        </w:tc>
        <w:tc>
          <w:tcPr>
            <w:tcW w:w="23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其他支出</w:t>
            </w:r>
          </w:p>
        </w:tc>
        <w:tc>
          <w:tcPr>
            <w:tcW w:w="10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0.37</w:t>
            </w:r>
          </w:p>
        </w:tc>
        <w:tc>
          <w:tcPr>
            <w:tcW w:w="13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0.37</w:t>
            </w:r>
          </w:p>
        </w:tc>
        <w:tc>
          <w:tcPr>
            <w:tcW w:w="13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1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5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22960</w:t>
            </w:r>
          </w:p>
        </w:tc>
        <w:tc>
          <w:tcPr>
            <w:tcW w:w="23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彩票公益金安排的支出</w:t>
            </w:r>
          </w:p>
        </w:tc>
        <w:tc>
          <w:tcPr>
            <w:tcW w:w="10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0.37</w:t>
            </w:r>
          </w:p>
        </w:tc>
        <w:tc>
          <w:tcPr>
            <w:tcW w:w="13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0.37</w:t>
            </w:r>
          </w:p>
        </w:tc>
        <w:tc>
          <w:tcPr>
            <w:tcW w:w="13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1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5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2296003</w:t>
            </w:r>
          </w:p>
        </w:tc>
        <w:tc>
          <w:tcPr>
            <w:tcW w:w="23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用于体育事业的彩票公益金支出</w:t>
            </w:r>
          </w:p>
        </w:tc>
        <w:tc>
          <w:tcPr>
            <w:tcW w:w="108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0.37</w:t>
            </w:r>
          </w:p>
        </w:tc>
        <w:tc>
          <w:tcPr>
            <w:tcW w:w="13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0.37</w:t>
            </w:r>
          </w:p>
        </w:tc>
        <w:tc>
          <w:tcPr>
            <w:tcW w:w="13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1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5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243" w:type="dxa"/>
            <w:gridSpan w:val="9"/>
            <w:noWrap w:val="0"/>
            <w:tcMar>
              <w:top w:w="20" w:type="dxa"/>
              <w:left w:w="20" w:type="dxa"/>
              <w:bottom w:w="20" w:type="dxa"/>
              <w:right w:w="20" w:type="dxa"/>
            </w:tcMar>
            <w:vAlign w:val="center"/>
          </w:tcPr>
          <w:p>
            <w:pPr>
              <w:widowControl/>
              <w:spacing w:line="375" w:lineRule="atLeast"/>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注：本表反映部门本年度取得的各项收入情况。</w:t>
            </w:r>
          </w:p>
        </w:tc>
      </w:tr>
    </w:tbl>
    <w:p>
      <w:pPr>
        <w:pStyle w:val="6"/>
        <w:keepNext w:val="0"/>
        <w:keepLines w:val="0"/>
        <w:numPr>
          <w:ilvl w:val="0"/>
          <w:numId w:val="1"/>
        </w:numPr>
        <w:spacing w:before="100" w:after="100" w:line="240" w:lineRule="auto"/>
        <w:ind w:left="720" w:right="0" w:hanging="720" w:firstLineChars="0"/>
      </w:pPr>
      <w:bookmarkStart w:id="38" w:name="_Toc256000040"/>
      <w:bookmarkStart w:id="39" w:name="_Toc256000102"/>
      <w:bookmarkStart w:id="40" w:name="_Toc256000009"/>
      <w:bookmarkStart w:id="41" w:name="_Toc256000071"/>
      <w:r>
        <w:rPr>
          <w:rFonts w:hint="eastAsia" w:ascii="黑体" w:hAnsi="黑体" w:eastAsia="黑体" w:cs="黑体"/>
          <w:b/>
          <w:spacing w:val="0"/>
          <w:sz w:val="32"/>
          <w:szCs w:val="32"/>
        </w:rPr>
        <w:t>支出决算表</w:t>
      </w:r>
      <w:bookmarkEnd w:id="38"/>
      <w:bookmarkEnd w:id="39"/>
      <w:bookmarkEnd w:id="40"/>
      <w:bookmarkEnd w:id="41"/>
    </w:p>
    <w:tbl>
      <w:tblPr>
        <w:tblStyle w:val="23"/>
        <w:tblpPr w:leftFromText="180" w:rightFromText="180" w:vertAnchor="text" w:horzAnchor="page" w:tblpX="803" w:tblpY="23"/>
        <w:tblOverlap w:val="never"/>
        <w:tblW w:w="10181" w:type="dxa"/>
        <w:tblInd w:w="0" w:type="dxa"/>
        <w:tblLayout w:type="fixed"/>
        <w:tblCellMar>
          <w:top w:w="15" w:type="dxa"/>
          <w:left w:w="15" w:type="dxa"/>
          <w:bottom w:w="15" w:type="dxa"/>
          <w:right w:w="15" w:type="dxa"/>
        </w:tblCellMar>
      </w:tblPr>
      <w:tblGrid>
        <w:gridCol w:w="1007"/>
        <w:gridCol w:w="1005"/>
        <w:gridCol w:w="255"/>
        <w:gridCol w:w="1854"/>
        <w:gridCol w:w="840"/>
        <w:gridCol w:w="1050"/>
        <w:gridCol w:w="1095"/>
        <w:gridCol w:w="870"/>
        <w:gridCol w:w="675"/>
        <w:gridCol w:w="1530"/>
      </w:tblGrid>
      <w:tr>
        <w:tblPrEx>
          <w:tblLayout w:type="fixed"/>
          <w:tblCellMar>
            <w:top w:w="15" w:type="dxa"/>
            <w:left w:w="15" w:type="dxa"/>
            <w:bottom w:w="15" w:type="dxa"/>
            <w:right w:w="15" w:type="dxa"/>
          </w:tblCellMar>
        </w:tblPrEx>
        <w:trPr>
          <w:tblHeader/>
        </w:trPr>
        <w:tc>
          <w:tcPr>
            <w:tcW w:w="10181" w:type="dxa"/>
            <w:gridSpan w:val="10"/>
            <w:noWrap w:val="0"/>
            <w:tcMar>
              <w:top w:w="20" w:type="dxa"/>
              <w:left w:w="20" w:type="dxa"/>
              <w:bottom w:w="20" w:type="dxa"/>
              <w:right w:w="20" w:type="dxa"/>
            </w:tcMar>
            <w:vAlign w:val="center"/>
          </w:tcPr>
          <w:p>
            <w:pPr>
              <w:widowControl/>
              <w:spacing w:line="900" w:lineRule="atLeast"/>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32"/>
                <w:szCs w:val="32"/>
              </w:rPr>
              <w:t>支出决算表</w:t>
            </w:r>
          </w:p>
        </w:tc>
      </w:tr>
      <w:tr>
        <w:tblPrEx>
          <w:tblLayout w:type="fixed"/>
          <w:tblCellMar>
            <w:top w:w="15" w:type="dxa"/>
            <w:left w:w="15" w:type="dxa"/>
            <w:bottom w:w="15" w:type="dxa"/>
            <w:right w:w="15" w:type="dxa"/>
          </w:tblCellMar>
        </w:tblPrEx>
        <w:trPr>
          <w:tblHeader/>
        </w:trPr>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0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2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85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4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5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9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7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67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4961" w:type="dxa"/>
            <w:gridSpan w:val="5"/>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部门/单位：厦门市东渡第二小学</w:t>
            </w:r>
          </w:p>
        </w:tc>
        <w:tc>
          <w:tcPr>
            <w:tcW w:w="105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2024年度</w:t>
            </w:r>
          </w:p>
        </w:tc>
        <w:tc>
          <w:tcPr>
            <w:tcW w:w="109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7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67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blHeader/>
        </w:trPr>
        <w:tc>
          <w:tcPr>
            <w:tcW w:w="4121"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项目</w:t>
            </w:r>
          </w:p>
        </w:tc>
        <w:tc>
          <w:tcPr>
            <w:tcW w:w="84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本年支出合计</w:t>
            </w:r>
          </w:p>
        </w:tc>
        <w:tc>
          <w:tcPr>
            <w:tcW w:w="105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基本支出</w:t>
            </w:r>
          </w:p>
        </w:tc>
        <w:tc>
          <w:tcPr>
            <w:tcW w:w="109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项目支出</w:t>
            </w:r>
          </w:p>
        </w:tc>
        <w:tc>
          <w:tcPr>
            <w:tcW w:w="87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上缴上级支出</w:t>
            </w:r>
          </w:p>
        </w:tc>
        <w:tc>
          <w:tcPr>
            <w:tcW w:w="67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经营支出</w:t>
            </w:r>
          </w:p>
        </w:tc>
        <w:tc>
          <w:tcPr>
            <w:tcW w:w="153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对附属单位补助支出</w:t>
            </w:r>
          </w:p>
        </w:tc>
      </w:tr>
      <w:tr>
        <w:tblPrEx>
          <w:tblLayout w:type="fixed"/>
          <w:tblCellMar>
            <w:top w:w="15" w:type="dxa"/>
            <w:left w:w="15" w:type="dxa"/>
            <w:bottom w:w="15" w:type="dxa"/>
            <w:right w:w="15" w:type="dxa"/>
          </w:tblCellMar>
        </w:tblPrEx>
        <w:trPr>
          <w:tblHeader/>
        </w:trPr>
        <w:tc>
          <w:tcPr>
            <w:tcW w:w="2267" w:type="dxa"/>
            <w:gridSpan w:val="3"/>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科目代码</w:t>
            </w:r>
          </w:p>
        </w:tc>
        <w:tc>
          <w:tcPr>
            <w:tcW w:w="185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科目名称</w:t>
            </w:r>
          </w:p>
        </w:tc>
        <w:tc>
          <w:tcPr>
            <w:tcW w:w="840" w:type="dxa"/>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1050" w:type="dxa"/>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1095" w:type="dxa"/>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870" w:type="dxa"/>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675" w:type="dxa"/>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1530" w:type="dxa"/>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trPr>
        <w:tc>
          <w:tcPr>
            <w:tcW w:w="2267"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1854" w:type="dxa"/>
            <w:vMerge w:val="continue"/>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840" w:type="dxa"/>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1050" w:type="dxa"/>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1095" w:type="dxa"/>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870" w:type="dxa"/>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675" w:type="dxa"/>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1530" w:type="dxa"/>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4121"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栏次</w:t>
            </w:r>
          </w:p>
        </w:tc>
        <w:tc>
          <w:tcPr>
            <w:tcW w:w="8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w:t>
            </w:r>
          </w:p>
        </w:tc>
        <w:tc>
          <w:tcPr>
            <w:tcW w:w="1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4</w:t>
            </w:r>
          </w:p>
        </w:tc>
        <w:tc>
          <w:tcPr>
            <w:tcW w:w="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5</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6</w:t>
            </w:r>
          </w:p>
        </w:tc>
      </w:tr>
      <w:tr>
        <w:tblPrEx>
          <w:tblLayout w:type="fixed"/>
          <w:tblCellMar>
            <w:top w:w="15" w:type="dxa"/>
            <w:left w:w="15" w:type="dxa"/>
            <w:bottom w:w="15" w:type="dxa"/>
            <w:right w:w="15" w:type="dxa"/>
          </w:tblCellMar>
        </w:tblPrEx>
        <w:tc>
          <w:tcPr>
            <w:tcW w:w="4121"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合计</w:t>
            </w:r>
          </w:p>
        </w:tc>
        <w:tc>
          <w:tcPr>
            <w:tcW w:w="8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2,835.63</w:t>
            </w:r>
          </w:p>
        </w:tc>
        <w:tc>
          <w:tcPr>
            <w:tcW w:w="1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2,431.22</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404.41</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26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205</w:t>
            </w:r>
          </w:p>
        </w:tc>
        <w:tc>
          <w:tcPr>
            <w:tcW w:w="1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教育支出</w:t>
            </w:r>
          </w:p>
        </w:tc>
        <w:tc>
          <w:tcPr>
            <w:tcW w:w="8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2,372.27</w:t>
            </w:r>
          </w:p>
        </w:tc>
        <w:tc>
          <w:tcPr>
            <w:tcW w:w="1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1,968.23</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404.04</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26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20502</w:t>
            </w:r>
          </w:p>
        </w:tc>
        <w:tc>
          <w:tcPr>
            <w:tcW w:w="1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普通教育</w:t>
            </w:r>
          </w:p>
        </w:tc>
        <w:tc>
          <w:tcPr>
            <w:tcW w:w="8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2,080.6</w:t>
            </w:r>
          </w:p>
        </w:tc>
        <w:tc>
          <w:tcPr>
            <w:tcW w:w="1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1,968.23</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112.37</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26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2050202</w:t>
            </w:r>
          </w:p>
        </w:tc>
        <w:tc>
          <w:tcPr>
            <w:tcW w:w="1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小学教育</w:t>
            </w:r>
          </w:p>
        </w:tc>
        <w:tc>
          <w:tcPr>
            <w:tcW w:w="8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1,917.2</w:t>
            </w:r>
          </w:p>
        </w:tc>
        <w:tc>
          <w:tcPr>
            <w:tcW w:w="1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1,917.2</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26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2050299</w:t>
            </w:r>
          </w:p>
        </w:tc>
        <w:tc>
          <w:tcPr>
            <w:tcW w:w="1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其他普通教育支出</w:t>
            </w:r>
          </w:p>
        </w:tc>
        <w:tc>
          <w:tcPr>
            <w:tcW w:w="8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163.39</w:t>
            </w:r>
          </w:p>
        </w:tc>
        <w:tc>
          <w:tcPr>
            <w:tcW w:w="1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51.03</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112.37</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26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20509</w:t>
            </w:r>
          </w:p>
        </w:tc>
        <w:tc>
          <w:tcPr>
            <w:tcW w:w="1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教育费附加安排的支出</w:t>
            </w:r>
          </w:p>
        </w:tc>
        <w:tc>
          <w:tcPr>
            <w:tcW w:w="8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291.67</w:t>
            </w:r>
          </w:p>
        </w:tc>
        <w:tc>
          <w:tcPr>
            <w:tcW w:w="1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291.67</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26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2050999</w:t>
            </w:r>
          </w:p>
        </w:tc>
        <w:tc>
          <w:tcPr>
            <w:tcW w:w="1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其他教育费附加安排的支出</w:t>
            </w:r>
          </w:p>
        </w:tc>
        <w:tc>
          <w:tcPr>
            <w:tcW w:w="8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291.67</w:t>
            </w:r>
          </w:p>
        </w:tc>
        <w:tc>
          <w:tcPr>
            <w:tcW w:w="1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291.67</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26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208</w:t>
            </w:r>
          </w:p>
        </w:tc>
        <w:tc>
          <w:tcPr>
            <w:tcW w:w="1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社会保障和就业支出</w:t>
            </w:r>
          </w:p>
        </w:tc>
        <w:tc>
          <w:tcPr>
            <w:tcW w:w="8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363.01</w:t>
            </w:r>
          </w:p>
        </w:tc>
        <w:tc>
          <w:tcPr>
            <w:tcW w:w="1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363.01</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26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20805</w:t>
            </w:r>
          </w:p>
        </w:tc>
        <w:tc>
          <w:tcPr>
            <w:tcW w:w="1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行政事业单位养老支出</w:t>
            </w:r>
          </w:p>
        </w:tc>
        <w:tc>
          <w:tcPr>
            <w:tcW w:w="8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363.01</w:t>
            </w:r>
          </w:p>
        </w:tc>
        <w:tc>
          <w:tcPr>
            <w:tcW w:w="1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363.01</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26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2080502</w:t>
            </w:r>
          </w:p>
        </w:tc>
        <w:tc>
          <w:tcPr>
            <w:tcW w:w="1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事业单位离退休</w:t>
            </w:r>
          </w:p>
        </w:tc>
        <w:tc>
          <w:tcPr>
            <w:tcW w:w="8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131.16</w:t>
            </w:r>
          </w:p>
        </w:tc>
        <w:tc>
          <w:tcPr>
            <w:tcW w:w="1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131.16</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26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2080505</w:t>
            </w:r>
          </w:p>
        </w:tc>
        <w:tc>
          <w:tcPr>
            <w:tcW w:w="1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机关事业单位基本养老保险缴费支出</w:t>
            </w:r>
          </w:p>
        </w:tc>
        <w:tc>
          <w:tcPr>
            <w:tcW w:w="8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154.56</w:t>
            </w:r>
          </w:p>
        </w:tc>
        <w:tc>
          <w:tcPr>
            <w:tcW w:w="1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154.56</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26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2080506</w:t>
            </w:r>
          </w:p>
        </w:tc>
        <w:tc>
          <w:tcPr>
            <w:tcW w:w="1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机关事业单位职业年金缴费支出</w:t>
            </w:r>
          </w:p>
        </w:tc>
        <w:tc>
          <w:tcPr>
            <w:tcW w:w="8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77.28</w:t>
            </w:r>
          </w:p>
        </w:tc>
        <w:tc>
          <w:tcPr>
            <w:tcW w:w="1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77.28</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26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210</w:t>
            </w:r>
          </w:p>
        </w:tc>
        <w:tc>
          <w:tcPr>
            <w:tcW w:w="1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卫生健康支出</w:t>
            </w:r>
          </w:p>
        </w:tc>
        <w:tc>
          <w:tcPr>
            <w:tcW w:w="8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99.98</w:t>
            </w:r>
          </w:p>
        </w:tc>
        <w:tc>
          <w:tcPr>
            <w:tcW w:w="1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99.98</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26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21011</w:t>
            </w:r>
          </w:p>
        </w:tc>
        <w:tc>
          <w:tcPr>
            <w:tcW w:w="1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行政事业单位医疗</w:t>
            </w:r>
          </w:p>
        </w:tc>
        <w:tc>
          <w:tcPr>
            <w:tcW w:w="8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99.98</w:t>
            </w:r>
          </w:p>
        </w:tc>
        <w:tc>
          <w:tcPr>
            <w:tcW w:w="1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99.98</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26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2101102</w:t>
            </w:r>
          </w:p>
        </w:tc>
        <w:tc>
          <w:tcPr>
            <w:tcW w:w="1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事业单位医疗</w:t>
            </w:r>
          </w:p>
        </w:tc>
        <w:tc>
          <w:tcPr>
            <w:tcW w:w="8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66.17</w:t>
            </w:r>
          </w:p>
        </w:tc>
        <w:tc>
          <w:tcPr>
            <w:tcW w:w="1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66.17</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26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2101199</w:t>
            </w:r>
          </w:p>
        </w:tc>
        <w:tc>
          <w:tcPr>
            <w:tcW w:w="1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其他行政事业单位医疗支出</w:t>
            </w:r>
          </w:p>
        </w:tc>
        <w:tc>
          <w:tcPr>
            <w:tcW w:w="8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33.81</w:t>
            </w:r>
          </w:p>
        </w:tc>
        <w:tc>
          <w:tcPr>
            <w:tcW w:w="1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33.81</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26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229</w:t>
            </w:r>
          </w:p>
        </w:tc>
        <w:tc>
          <w:tcPr>
            <w:tcW w:w="1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其他支出</w:t>
            </w:r>
          </w:p>
        </w:tc>
        <w:tc>
          <w:tcPr>
            <w:tcW w:w="8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0.37</w:t>
            </w:r>
          </w:p>
        </w:tc>
        <w:tc>
          <w:tcPr>
            <w:tcW w:w="1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0.37</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26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22960</w:t>
            </w:r>
          </w:p>
        </w:tc>
        <w:tc>
          <w:tcPr>
            <w:tcW w:w="1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彩票公益金安排的支出</w:t>
            </w:r>
          </w:p>
        </w:tc>
        <w:tc>
          <w:tcPr>
            <w:tcW w:w="8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0.37</w:t>
            </w:r>
          </w:p>
        </w:tc>
        <w:tc>
          <w:tcPr>
            <w:tcW w:w="1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0.37</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26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2296003</w:t>
            </w:r>
          </w:p>
        </w:tc>
        <w:tc>
          <w:tcPr>
            <w:tcW w:w="185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用于体育事业的彩票公益金支出</w:t>
            </w:r>
          </w:p>
        </w:tc>
        <w:tc>
          <w:tcPr>
            <w:tcW w:w="8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0.37</w:t>
            </w:r>
          </w:p>
        </w:tc>
        <w:tc>
          <w:tcPr>
            <w:tcW w:w="10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0.37</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6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181" w:type="dxa"/>
            <w:gridSpan w:val="10"/>
            <w:noWrap w:val="0"/>
            <w:tcMar>
              <w:top w:w="20" w:type="dxa"/>
              <w:left w:w="20" w:type="dxa"/>
              <w:bottom w:w="20" w:type="dxa"/>
              <w:right w:w="20" w:type="dxa"/>
            </w:tcMar>
            <w:vAlign w:val="center"/>
          </w:tcPr>
          <w:p>
            <w:pPr>
              <w:widowControl/>
              <w:spacing w:line="375" w:lineRule="atLeast"/>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注：本表反映部门本年度各项支出情况。</w:t>
            </w:r>
          </w:p>
        </w:tc>
      </w:tr>
    </w:tbl>
    <w:p>
      <w:pPr>
        <w:widowControl/>
        <w:spacing w:before="240" w:after="240"/>
        <w:jc w:val="left"/>
        <w:rPr>
          <w:rFonts w:hint="default" w:ascii="Times New Roman" w:hAnsi="Times New Roman" w:eastAsia="仿宋" w:cs="Times New Roman"/>
          <w:vanish/>
          <w:kern w:val="0"/>
          <w:sz w:val="18"/>
          <w:szCs w:val="18"/>
        </w:rPr>
      </w:pPr>
      <w:r>
        <w:rPr>
          <w:rFonts w:hint="eastAsia" w:ascii="黑体" w:hAnsi="黑体" w:eastAsia="黑体" w:cs="黑体"/>
          <w:kern w:val="0"/>
          <w:sz w:val="32"/>
          <w:szCs w:val="32"/>
          <w:lang w:eastAsia="zh-CN"/>
        </w:rPr>
        <w:t>四、</w:t>
      </w:r>
      <w:r>
        <w:rPr>
          <w:rFonts w:hint="default" w:ascii="Times New Roman" w:hAnsi="Times New Roman" w:eastAsia="仿宋" w:cs="Times New Roman"/>
          <w:kern w:val="0"/>
          <w:sz w:val="18"/>
          <w:szCs w:val="18"/>
        </w:rPr>
        <w:t> </w:t>
      </w:r>
      <w:r>
        <w:rPr>
          <w:rFonts w:hint="default" w:ascii="Times New Roman" w:hAnsi="Times New Roman" w:eastAsia="仿宋" w:cs="Times New Roman"/>
          <w:vanish/>
          <w:kern w:val="0"/>
          <w:sz w:val="18"/>
          <w:szCs w:val="18"/>
        </w:rPr>
        <w:t>word horizontal layout</w:t>
      </w:r>
    </w:p>
    <w:p>
      <w:pPr>
        <w:widowControl/>
        <w:numPr>
          <w:ilvl w:val="0"/>
          <w:numId w:val="2"/>
        </w:numPr>
        <w:ind w:left="90" w:leftChars="0" w:firstLine="0" w:firstLineChars="0"/>
        <w:jc w:val="left"/>
        <w:rPr>
          <w:rFonts w:hint="eastAsia" w:ascii="黑体" w:hAnsi="黑体" w:eastAsia="黑体" w:cs="黑体"/>
          <w:b/>
          <w:spacing w:val="0"/>
          <w:sz w:val="32"/>
          <w:szCs w:val="32"/>
        </w:rPr>
      </w:pPr>
      <w:bookmarkStart w:id="42" w:name="_Toc256000072"/>
      <w:bookmarkStart w:id="43" w:name="_Toc256000041"/>
      <w:bookmarkStart w:id="44" w:name="_Toc256000103"/>
      <w:bookmarkStart w:id="45" w:name="_Toc256000010"/>
      <w:r>
        <w:rPr>
          <w:rFonts w:hint="eastAsia" w:ascii="黑体" w:hAnsi="黑体" w:eastAsia="黑体" w:cs="黑体"/>
          <w:b/>
          <w:spacing w:val="0"/>
          <w:sz w:val="32"/>
          <w:szCs w:val="32"/>
        </w:rPr>
        <w:t>财政拨款收入支出决算总表</w:t>
      </w:r>
      <w:bookmarkEnd w:id="42"/>
      <w:bookmarkEnd w:id="43"/>
      <w:bookmarkEnd w:id="44"/>
      <w:bookmarkEnd w:id="45"/>
    </w:p>
    <w:tbl>
      <w:tblPr>
        <w:tblStyle w:val="23"/>
        <w:tblW w:w="10228" w:type="dxa"/>
        <w:tblInd w:w="20" w:type="dxa"/>
        <w:tblLayout w:type="fixed"/>
        <w:tblCellMar>
          <w:top w:w="15" w:type="dxa"/>
          <w:left w:w="15" w:type="dxa"/>
          <w:bottom w:w="15" w:type="dxa"/>
          <w:right w:w="15" w:type="dxa"/>
        </w:tblCellMar>
      </w:tblPr>
      <w:tblGrid>
        <w:gridCol w:w="1217"/>
        <w:gridCol w:w="930"/>
        <w:gridCol w:w="1095"/>
        <w:gridCol w:w="1530"/>
        <w:gridCol w:w="825"/>
        <w:gridCol w:w="915"/>
        <w:gridCol w:w="1095"/>
        <w:gridCol w:w="1065"/>
        <w:gridCol w:w="1556"/>
      </w:tblGrid>
      <w:tr>
        <w:tblPrEx>
          <w:tblLayout w:type="fixed"/>
        </w:tblPrEx>
        <w:trPr>
          <w:tblHeader/>
        </w:trPr>
        <w:tc>
          <w:tcPr>
            <w:tcW w:w="10228" w:type="dxa"/>
            <w:gridSpan w:val="9"/>
            <w:noWrap w:val="0"/>
            <w:tcMar>
              <w:top w:w="20" w:type="dxa"/>
              <w:left w:w="20" w:type="dxa"/>
              <w:bottom w:w="20" w:type="dxa"/>
              <w:right w:w="20" w:type="dxa"/>
            </w:tcMar>
            <w:vAlign w:val="center"/>
          </w:tcPr>
          <w:p>
            <w:pPr>
              <w:widowControl/>
              <w:spacing w:line="900" w:lineRule="atLeast"/>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32"/>
                <w:szCs w:val="32"/>
              </w:rPr>
              <w:t>财政拨款收入支出决算总表</w:t>
            </w:r>
          </w:p>
        </w:tc>
      </w:tr>
      <w:tr>
        <w:tblPrEx>
          <w:tblLayout w:type="fixed"/>
          <w:tblCellMar>
            <w:top w:w="15" w:type="dxa"/>
            <w:left w:w="15" w:type="dxa"/>
            <w:bottom w:w="15" w:type="dxa"/>
            <w:right w:w="15" w:type="dxa"/>
          </w:tblCellMar>
        </w:tblPrEx>
        <w:trPr>
          <w:tblHeader/>
        </w:trPr>
        <w:tc>
          <w:tcPr>
            <w:tcW w:w="2147"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9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2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91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9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6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56"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trPr>
        <w:tc>
          <w:tcPr>
            <w:tcW w:w="121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部门/单位：厦门市东渡第二小学</w:t>
            </w:r>
          </w:p>
        </w:tc>
        <w:tc>
          <w:tcPr>
            <w:tcW w:w="93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9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2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2024年度</w:t>
            </w:r>
          </w:p>
        </w:tc>
        <w:tc>
          <w:tcPr>
            <w:tcW w:w="91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9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6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56"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c>
          <w:tcPr>
            <w:tcW w:w="324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收入</w:t>
            </w:r>
          </w:p>
        </w:tc>
        <w:tc>
          <w:tcPr>
            <w:tcW w:w="6986" w:type="dxa"/>
            <w:gridSpan w:val="6"/>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支出</w:t>
            </w:r>
          </w:p>
        </w:tc>
      </w:tr>
      <w:tr>
        <w:tblPrEx>
          <w:tblLayout w:type="fixed"/>
          <w:tblCellMar>
            <w:top w:w="15" w:type="dxa"/>
            <w:left w:w="15" w:type="dxa"/>
            <w:bottom w:w="15" w:type="dxa"/>
            <w:right w:w="15" w:type="dxa"/>
          </w:tblCellMar>
        </w:tblPrEx>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xml:space="preserve">项目 </w:t>
            </w:r>
          </w:p>
        </w:tc>
        <w:tc>
          <w:tcPr>
            <w:tcW w:w="9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行次</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金额</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项目</w:t>
            </w:r>
          </w:p>
        </w:tc>
        <w:tc>
          <w:tcPr>
            <w:tcW w:w="8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行次</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合计</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一般公共预算财政拨款</w:t>
            </w:r>
          </w:p>
        </w:tc>
        <w:tc>
          <w:tcPr>
            <w:tcW w:w="10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政府性基金预算财政拨款</w:t>
            </w:r>
          </w:p>
        </w:tc>
        <w:tc>
          <w:tcPr>
            <w:tcW w:w="1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国有资本经营预算财政拨款</w:t>
            </w:r>
          </w:p>
        </w:tc>
      </w:tr>
      <w:tr>
        <w:tblPrEx>
          <w:tblLayout w:type="fixed"/>
          <w:tblCellMar>
            <w:top w:w="15" w:type="dxa"/>
            <w:left w:w="15" w:type="dxa"/>
            <w:bottom w:w="15" w:type="dxa"/>
            <w:right w:w="15" w:type="dxa"/>
          </w:tblCellMar>
        </w:tblPrEx>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栏次</w:t>
            </w:r>
          </w:p>
        </w:tc>
        <w:tc>
          <w:tcPr>
            <w:tcW w:w="9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栏次</w:t>
            </w:r>
          </w:p>
        </w:tc>
        <w:tc>
          <w:tcPr>
            <w:tcW w:w="8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w:t>
            </w:r>
          </w:p>
        </w:tc>
        <w:tc>
          <w:tcPr>
            <w:tcW w:w="10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4</w:t>
            </w:r>
          </w:p>
        </w:tc>
        <w:tc>
          <w:tcPr>
            <w:tcW w:w="1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5</w:t>
            </w:r>
          </w:p>
        </w:tc>
      </w:tr>
      <w:tr>
        <w:tblPrEx>
          <w:tblLayout w:type="fixed"/>
          <w:tblCellMar>
            <w:top w:w="15" w:type="dxa"/>
            <w:left w:w="15" w:type="dxa"/>
            <w:bottom w:w="15" w:type="dxa"/>
            <w:right w:w="15" w:type="dxa"/>
          </w:tblCellMar>
        </w:tblPrEx>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xml:space="preserve">一、一般公共预算财政拨款 </w:t>
            </w:r>
          </w:p>
        </w:tc>
        <w:tc>
          <w:tcPr>
            <w:tcW w:w="9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2,835.26</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一、一般公共服务支出</w:t>
            </w:r>
          </w:p>
        </w:tc>
        <w:tc>
          <w:tcPr>
            <w:tcW w:w="8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33</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二、政府性基金预算财政拨款</w:t>
            </w:r>
          </w:p>
        </w:tc>
        <w:tc>
          <w:tcPr>
            <w:tcW w:w="9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0.37</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二、外交支出</w:t>
            </w:r>
          </w:p>
        </w:tc>
        <w:tc>
          <w:tcPr>
            <w:tcW w:w="8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34</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三、国有资本经营预算财政拨款</w:t>
            </w:r>
          </w:p>
        </w:tc>
        <w:tc>
          <w:tcPr>
            <w:tcW w:w="9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三、国防支出</w:t>
            </w:r>
          </w:p>
        </w:tc>
        <w:tc>
          <w:tcPr>
            <w:tcW w:w="8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35</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9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4</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四、公共安全支出</w:t>
            </w:r>
          </w:p>
        </w:tc>
        <w:tc>
          <w:tcPr>
            <w:tcW w:w="8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36</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9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5</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五、教育支出</w:t>
            </w:r>
          </w:p>
        </w:tc>
        <w:tc>
          <w:tcPr>
            <w:tcW w:w="8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37</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2,372.27</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2,372.27</w:t>
            </w:r>
          </w:p>
        </w:tc>
        <w:tc>
          <w:tcPr>
            <w:tcW w:w="10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547" w:hRule="atLeast"/>
        </w:trPr>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9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6</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六、科学技术支出</w:t>
            </w:r>
          </w:p>
        </w:tc>
        <w:tc>
          <w:tcPr>
            <w:tcW w:w="8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38</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9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7</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七、文化旅游体育与传媒支出</w:t>
            </w:r>
          </w:p>
        </w:tc>
        <w:tc>
          <w:tcPr>
            <w:tcW w:w="8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39</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9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8</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八、社会保障和就业支出</w:t>
            </w:r>
          </w:p>
        </w:tc>
        <w:tc>
          <w:tcPr>
            <w:tcW w:w="8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40</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363.01</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363.01</w:t>
            </w:r>
          </w:p>
        </w:tc>
        <w:tc>
          <w:tcPr>
            <w:tcW w:w="10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9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9</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九、卫生健康支出</w:t>
            </w:r>
          </w:p>
        </w:tc>
        <w:tc>
          <w:tcPr>
            <w:tcW w:w="8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41</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99.98</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99.98</w:t>
            </w:r>
          </w:p>
        </w:tc>
        <w:tc>
          <w:tcPr>
            <w:tcW w:w="10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9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10</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十、节能环保支出</w:t>
            </w:r>
          </w:p>
        </w:tc>
        <w:tc>
          <w:tcPr>
            <w:tcW w:w="8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42</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9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11</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十一、城乡社区支出</w:t>
            </w:r>
          </w:p>
        </w:tc>
        <w:tc>
          <w:tcPr>
            <w:tcW w:w="8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43</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9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12</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十二、农林水支出</w:t>
            </w:r>
          </w:p>
        </w:tc>
        <w:tc>
          <w:tcPr>
            <w:tcW w:w="8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44</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9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13</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十三、交通运输支出</w:t>
            </w:r>
          </w:p>
        </w:tc>
        <w:tc>
          <w:tcPr>
            <w:tcW w:w="8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45</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9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14</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十四、资源勘探工业信息等支出</w:t>
            </w:r>
          </w:p>
        </w:tc>
        <w:tc>
          <w:tcPr>
            <w:tcW w:w="8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46</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9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15</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十五、商业服务业等支出</w:t>
            </w:r>
          </w:p>
        </w:tc>
        <w:tc>
          <w:tcPr>
            <w:tcW w:w="8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47</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9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16</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十六、金融支出</w:t>
            </w:r>
          </w:p>
        </w:tc>
        <w:tc>
          <w:tcPr>
            <w:tcW w:w="8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48</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9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17</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十七、援助其他地区支出</w:t>
            </w:r>
          </w:p>
        </w:tc>
        <w:tc>
          <w:tcPr>
            <w:tcW w:w="8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49</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9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18</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十八、自然资源海洋气象等支出</w:t>
            </w:r>
          </w:p>
        </w:tc>
        <w:tc>
          <w:tcPr>
            <w:tcW w:w="8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50</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9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19</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十九、住房保障支出</w:t>
            </w:r>
          </w:p>
        </w:tc>
        <w:tc>
          <w:tcPr>
            <w:tcW w:w="8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51</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9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二十、粮油物资储备支出</w:t>
            </w:r>
          </w:p>
        </w:tc>
        <w:tc>
          <w:tcPr>
            <w:tcW w:w="8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52</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9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21</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二十一、国有资本经营预算支出</w:t>
            </w:r>
          </w:p>
        </w:tc>
        <w:tc>
          <w:tcPr>
            <w:tcW w:w="8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53</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9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22</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二十二、灾害防治及应急管理支出</w:t>
            </w:r>
          </w:p>
        </w:tc>
        <w:tc>
          <w:tcPr>
            <w:tcW w:w="8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54</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9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23</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二十三、其他支出</w:t>
            </w:r>
          </w:p>
        </w:tc>
        <w:tc>
          <w:tcPr>
            <w:tcW w:w="8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55</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0.37</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0.37</w:t>
            </w:r>
          </w:p>
        </w:tc>
        <w:tc>
          <w:tcPr>
            <w:tcW w:w="1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9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24</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二十四、债务还本支出</w:t>
            </w:r>
          </w:p>
        </w:tc>
        <w:tc>
          <w:tcPr>
            <w:tcW w:w="8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56</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9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25</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二十五、债务付息支出</w:t>
            </w:r>
          </w:p>
        </w:tc>
        <w:tc>
          <w:tcPr>
            <w:tcW w:w="8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57</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9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26</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二十六、抗疫特别国债安排的支出</w:t>
            </w:r>
          </w:p>
        </w:tc>
        <w:tc>
          <w:tcPr>
            <w:tcW w:w="8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58</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本年收入合计</w:t>
            </w:r>
          </w:p>
        </w:tc>
        <w:tc>
          <w:tcPr>
            <w:tcW w:w="9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27</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2,835.63</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本年支出合计</w:t>
            </w:r>
          </w:p>
        </w:tc>
        <w:tc>
          <w:tcPr>
            <w:tcW w:w="8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59</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2,835.63</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2,835.26</w:t>
            </w:r>
          </w:p>
        </w:tc>
        <w:tc>
          <w:tcPr>
            <w:tcW w:w="10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0.37</w:t>
            </w:r>
          </w:p>
        </w:tc>
        <w:tc>
          <w:tcPr>
            <w:tcW w:w="1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xml:space="preserve">年初财政拨款结转和结余 </w:t>
            </w:r>
          </w:p>
        </w:tc>
        <w:tc>
          <w:tcPr>
            <w:tcW w:w="9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28</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xml:space="preserve">年末财政拨款结转和结余 </w:t>
            </w:r>
          </w:p>
        </w:tc>
        <w:tc>
          <w:tcPr>
            <w:tcW w:w="8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60</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一、一般公共预算财政拨款</w:t>
            </w:r>
          </w:p>
        </w:tc>
        <w:tc>
          <w:tcPr>
            <w:tcW w:w="9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29</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61</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二、政府性基金预算财政拨款</w:t>
            </w:r>
          </w:p>
        </w:tc>
        <w:tc>
          <w:tcPr>
            <w:tcW w:w="9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62</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三、国有资本经营预算财政拨款</w:t>
            </w:r>
          </w:p>
        </w:tc>
        <w:tc>
          <w:tcPr>
            <w:tcW w:w="9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31</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63</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2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xml:space="preserve">总计 </w:t>
            </w:r>
          </w:p>
        </w:tc>
        <w:tc>
          <w:tcPr>
            <w:tcW w:w="9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32</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2,835.63</w:t>
            </w:r>
          </w:p>
        </w:tc>
        <w:tc>
          <w:tcPr>
            <w:tcW w:w="153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xml:space="preserve">总计 </w:t>
            </w:r>
          </w:p>
        </w:tc>
        <w:tc>
          <w:tcPr>
            <w:tcW w:w="8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64</w:t>
            </w:r>
          </w:p>
        </w:tc>
        <w:tc>
          <w:tcPr>
            <w:tcW w:w="9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2,835.63</w:t>
            </w:r>
          </w:p>
        </w:tc>
        <w:tc>
          <w:tcPr>
            <w:tcW w:w="10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2,835.26</w:t>
            </w:r>
          </w:p>
        </w:tc>
        <w:tc>
          <w:tcPr>
            <w:tcW w:w="106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0.37</w:t>
            </w:r>
          </w:p>
        </w:tc>
        <w:tc>
          <w:tcPr>
            <w:tcW w:w="15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228" w:type="dxa"/>
            <w:gridSpan w:val="9"/>
            <w:noWrap w:val="0"/>
            <w:tcMar>
              <w:top w:w="20" w:type="dxa"/>
              <w:left w:w="20" w:type="dxa"/>
              <w:bottom w:w="20" w:type="dxa"/>
              <w:right w:w="20" w:type="dxa"/>
            </w:tcMar>
            <w:vAlign w:val="center"/>
          </w:tcPr>
          <w:p>
            <w:pPr>
              <w:widowControl/>
              <w:spacing w:line="375" w:lineRule="atLeast"/>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注：本表反映部门本年度一般公共预算财政拨款、政府性基金预算财政拨款和国有资本经营预算财政拨款的总收支和年末结转结余情况。</w:t>
            </w:r>
          </w:p>
        </w:tc>
      </w:tr>
    </w:tbl>
    <w:p>
      <w:pPr>
        <w:pStyle w:val="2"/>
        <w:rPr>
          <w:rFonts w:hint="eastAsia"/>
        </w:rPr>
      </w:pPr>
    </w:p>
    <w:p>
      <w:pPr>
        <w:pStyle w:val="30"/>
        <w:widowControl/>
        <w:spacing w:before="100" w:after="100"/>
        <w:ind w:left="0" w:right="0" w:firstLine="0"/>
        <w:jc w:val="left"/>
        <w:rPr>
          <w:rFonts w:hint="eastAsia" w:ascii="黑体" w:hAnsi="黑体" w:eastAsia="黑体" w:cs="黑体"/>
          <w:b/>
          <w:bCs/>
          <w:kern w:val="0"/>
          <w:sz w:val="32"/>
          <w:szCs w:val="32"/>
        </w:rPr>
      </w:pPr>
      <w:r>
        <w:rPr>
          <w:rFonts w:hint="eastAsia" w:ascii="黑体" w:hAnsi="黑体" w:eastAsia="黑体" w:cs="黑体"/>
          <w:spacing w:val="0"/>
          <w:kern w:val="0"/>
          <w:sz w:val="32"/>
          <w:szCs w:val="32"/>
        </w:rPr>
        <w:t> </w:t>
      </w:r>
      <w:bookmarkStart w:id="46" w:name="_Toc256000073"/>
      <w:bookmarkStart w:id="47" w:name="_Toc256000042"/>
      <w:bookmarkStart w:id="48" w:name="_Toc256000011"/>
      <w:bookmarkStart w:id="49" w:name="_Toc256000104"/>
      <w:r>
        <w:rPr>
          <w:rFonts w:hint="eastAsia" w:ascii="黑体" w:hAnsi="黑体" w:eastAsia="黑体" w:cs="黑体"/>
          <w:b/>
          <w:spacing w:val="0"/>
          <w:sz w:val="32"/>
          <w:szCs w:val="32"/>
        </w:rPr>
        <w:t>五、一般公共预算财政拨款支出决算表</w:t>
      </w:r>
      <w:bookmarkEnd w:id="46"/>
      <w:bookmarkEnd w:id="47"/>
      <w:bookmarkEnd w:id="48"/>
      <w:bookmarkEnd w:id="49"/>
    </w:p>
    <w:p>
      <w:pPr>
        <w:pStyle w:val="2"/>
      </w:pPr>
    </w:p>
    <w:tbl>
      <w:tblPr>
        <w:tblStyle w:val="23"/>
        <w:tblW w:w="10258" w:type="dxa"/>
        <w:tblInd w:w="20" w:type="dxa"/>
        <w:tblLayout w:type="fixed"/>
        <w:tblCellMar>
          <w:top w:w="15" w:type="dxa"/>
          <w:left w:w="15" w:type="dxa"/>
          <w:bottom w:w="15" w:type="dxa"/>
          <w:right w:w="15" w:type="dxa"/>
        </w:tblCellMar>
      </w:tblPr>
      <w:tblGrid>
        <w:gridCol w:w="812"/>
        <w:gridCol w:w="765"/>
        <w:gridCol w:w="240"/>
        <w:gridCol w:w="3000"/>
        <w:gridCol w:w="1935"/>
        <w:gridCol w:w="1590"/>
        <w:gridCol w:w="1916"/>
      </w:tblGrid>
      <w:tr>
        <w:tblPrEx>
          <w:tblLayout w:type="fixed"/>
          <w:tblCellMar>
            <w:top w:w="15" w:type="dxa"/>
            <w:left w:w="15" w:type="dxa"/>
            <w:bottom w:w="15" w:type="dxa"/>
            <w:right w:w="15" w:type="dxa"/>
          </w:tblCellMar>
        </w:tblPrEx>
        <w:trPr>
          <w:tblHeader/>
        </w:trPr>
        <w:tc>
          <w:tcPr>
            <w:tcW w:w="10258" w:type="dxa"/>
            <w:gridSpan w:val="7"/>
            <w:noWrap w:val="0"/>
            <w:tcMar>
              <w:top w:w="20" w:type="dxa"/>
              <w:left w:w="20" w:type="dxa"/>
              <w:bottom w:w="20" w:type="dxa"/>
              <w:right w:w="20" w:type="dxa"/>
            </w:tcMar>
            <w:vAlign w:val="center"/>
          </w:tcPr>
          <w:p>
            <w:pPr>
              <w:widowControl/>
              <w:spacing w:line="900" w:lineRule="atLeast"/>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32"/>
                <w:szCs w:val="32"/>
              </w:rPr>
              <w:t>一般公共预算财政拨款支出决算表</w:t>
            </w:r>
          </w:p>
        </w:tc>
      </w:tr>
      <w:tr>
        <w:tblPrEx>
          <w:tblLayout w:type="fixed"/>
          <w:tblCellMar>
            <w:top w:w="15" w:type="dxa"/>
            <w:left w:w="15" w:type="dxa"/>
            <w:bottom w:w="15" w:type="dxa"/>
            <w:right w:w="15" w:type="dxa"/>
          </w:tblCellMar>
        </w:tblPrEx>
        <w:trPr>
          <w:tblHeader/>
        </w:trPr>
        <w:tc>
          <w:tcPr>
            <w:tcW w:w="81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76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24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300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93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9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916"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6752" w:type="dxa"/>
            <w:gridSpan w:val="5"/>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部门/单位：厦门市东渡第二小学</w:t>
            </w:r>
          </w:p>
        </w:tc>
        <w:tc>
          <w:tcPr>
            <w:tcW w:w="159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2024年度</w:t>
            </w:r>
          </w:p>
        </w:tc>
        <w:tc>
          <w:tcPr>
            <w:tcW w:w="1916"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c>
          <w:tcPr>
            <w:tcW w:w="4817"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项目</w:t>
            </w:r>
          </w:p>
        </w:tc>
        <w:tc>
          <w:tcPr>
            <w:tcW w:w="5441"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本年支出</w:t>
            </w:r>
          </w:p>
        </w:tc>
      </w:tr>
      <w:tr>
        <w:tblPrEx>
          <w:tblLayout w:type="fixed"/>
          <w:tblCellMar>
            <w:top w:w="15" w:type="dxa"/>
            <w:left w:w="15" w:type="dxa"/>
            <w:bottom w:w="15" w:type="dxa"/>
            <w:right w:w="15" w:type="dxa"/>
          </w:tblCellMar>
        </w:tblPrEx>
        <w:trPr>
          <w:tblHeader/>
        </w:trPr>
        <w:tc>
          <w:tcPr>
            <w:tcW w:w="1817" w:type="dxa"/>
            <w:gridSpan w:val="3"/>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科目代码</w:t>
            </w:r>
          </w:p>
        </w:tc>
        <w:tc>
          <w:tcPr>
            <w:tcW w:w="300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科目名称</w:t>
            </w:r>
          </w:p>
        </w:tc>
        <w:tc>
          <w:tcPr>
            <w:tcW w:w="193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小计</w:t>
            </w:r>
          </w:p>
        </w:tc>
        <w:tc>
          <w:tcPr>
            <w:tcW w:w="159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基本支出</w:t>
            </w:r>
          </w:p>
        </w:tc>
        <w:tc>
          <w:tcPr>
            <w:tcW w:w="191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项目支出</w:t>
            </w:r>
          </w:p>
        </w:tc>
      </w:tr>
      <w:tr>
        <w:tblPrEx>
          <w:tblLayout w:type="fixed"/>
          <w:tblCellMar>
            <w:top w:w="15" w:type="dxa"/>
            <w:left w:w="15" w:type="dxa"/>
            <w:bottom w:w="15" w:type="dxa"/>
            <w:right w:w="15" w:type="dxa"/>
          </w:tblCellMar>
        </w:tblPrEx>
        <w:trPr>
          <w:tblHeader/>
        </w:trPr>
        <w:tc>
          <w:tcPr>
            <w:tcW w:w="1817"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3000" w:type="dxa"/>
            <w:vMerge w:val="continue"/>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1935" w:type="dxa"/>
            <w:vMerge w:val="continue"/>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1590" w:type="dxa"/>
            <w:vMerge w:val="continue"/>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1916" w:type="dxa"/>
            <w:vMerge w:val="continue"/>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trPr>
        <w:tc>
          <w:tcPr>
            <w:tcW w:w="1817"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3000" w:type="dxa"/>
            <w:vMerge w:val="continue"/>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19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w:t>
            </w:r>
          </w:p>
        </w:tc>
        <w:tc>
          <w:tcPr>
            <w:tcW w:w="1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w:t>
            </w:r>
          </w:p>
        </w:tc>
      </w:tr>
      <w:tr>
        <w:tblPrEx>
          <w:tblLayout w:type="fixed"/>
          <w:tblCellMar>
            <w:top w:w="15" w:type="dxa"/>
            <w:left w:w="15" w:type="dxa"/>
            <w:bottom w:w="15" w:type="dxa"/>
            <w:right w:w="15" w:type="dxa"/>
          </w:tblCellMar>
        </w:tblPrEx>
        <w:tc>
          <w:tcPr>
            <w:tcW w:w="4817"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合计</w:t>
            </w:r>
          </w:p>
        </w:tc>
        <w:tc>
          <w:tcPr>
            <w:tcW w:w="19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2,835.26</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2,431.22</w:t>
            </w:r>
          </w:p>
        </w:tc>
        <w:tc>
          <w:tcPr>
            <w:tcW w:w="1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404.04</w:t>
            </w:r>
          </w:p>
        </w:tc>
      </w:tr>
      <w:tr>
        <w:tblPrEx>
          <w:tblLayout w:type="fixed"/>
          <w:tblCellMar>
            <w:top w:w="15" w:type="dxa"/>
            <w:left w:w="15" w:type="dxa"/>
            <w:bottom w:w="15" w:type="dxa"/>
            <w:right w:w="15" w:type="dxa"/>
          </w:tblCellMar>
        </w:tblPrEx>
        <w:tc>
          <w:tcPr>
            <w:tcW w:w="181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205</w:t>
            </w:r>
          </w:p>
        </w:tc>
        <w:tc>
          <w:tcPr>
            <w:tcW w:w="30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教育支出</w:t>
            </w:r>
          </w:p>
        </w:tc>
        <w:tc>
          <w:tcPr>
            <w:tcW w:w="19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2,372.27</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1,968.23</w:t>
            </w:r>
          </w:p>
        </w:tc>
        <w:tc>
          <w:tcPr>
            <w:tcW w:w="1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404.04</w:t>
            </w:r>
          </w:p>
        </w:tc>
      </w:tr>
      <w:tr>
        <w:tblPrEx>
          <w:tblLayout w:type="fixed"/>
          <w:tblCellMar>
            <w:top w:w="15" w:type="dxa"/>
            <w:left w:w="15" w:type="dxa"/>
            <w:bottom w:w="15" w:type="dxa"/>
            <w:right w:w="15" w:type="dxa"/>
          </w:tblCellMar>
        </w:tblPrEx>
        <w:tc>
          <w:tcPr>
            <w:tcW w:w="181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20502</w:t>
            </w:r>
          </w:p>
        </w:tc>
        <w:tc>
          <w:tcPr>
            <w:tcW w:w="30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普通教育</w:t>
            </w:r>
          </w:p>
        </w:tc>
        <w:tc>
          <w:tcPr>
            <w:tcW w:w="19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2,080.6</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1,968.23</w:t>
            </w:r>
          </w:p>
        </w:tc>
        <w:tc>
          <w:tcPr>
            <w:tcW w:w="1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112.37</w:t>
            </w:r>
          </w:p>
        </w:tc>
      </w:tr>
      <w:tr>
        <w:tblPrEx>
          <w:tblLayout w:type="fixed"/>
          <w:tblCellMar>
            <w:top w:w="15" w:type="dxa"/>
            <w:left w:w="15" w:type="dxa"/>
            <w:bottom w:w="15" w:type="dxa"/>
            <w:right w:w="15" w:type="dxa"/>
          </w:tblCellMar>
        </w:tblPrEx>
        <w:tc>
          <w:tcPr>
            <w:tcW w:w="181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2050202</w:t>
            </w:r>
          </w:p>
        </w:tc>
        <w:tc>
          <w:tcPr>
            <w:tcW w:w="30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小学教育</w:t>
            </w:r>
          </w:p>
        </w:tc>
        <w:tc>
          <w:tcPr>
            <w:tcW w:w="19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1,917.2</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1,917.2</w:t>
            </w:r>
          </w:p>
        </w:tc>
        <w:tc>
          <w:tcPr>
            <w:tcW w:w="1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81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2050299</w:t>
            </w:r>
          </w:p>
        </w:tc>
        <w:tc>
          <w:tcPr>
            <w:tcW w:w="30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其他普通教育支出</w:t>
            </w:r>
          </w:p>
        </w:tc>
        <w:tc>
          <w:tcPr>
            <w:tcW w:w="19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163.39</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51.03</w:t>
            </w:r>
          </w:p>
        </w:tc>
        <w:tc>
          <w:tcPr>
            <w:tcW w:w="1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112.37</w:t>
            </w:r>
          </w:p>
        </w:tc>
      </w:tr>
      <w:tr>
        <w:tblPrEx>
          <w:tblLayout w:type="fixed"/>
          <w:tblCellMar>
            <w:top w:w="15" w:type="dxa"/>
            <w:left w:w="15" w:type="dxa"/>
            <w:bottom w:w="15" w:type="dxa"/>
            <w:right w:w="15" w:type="dxa"/>
          </w:tblCellMar>
        </w:tblPrEx>
        <w:tc>
          <w:tcPr>
            <w:tcW w:w="181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20509</w:t>
            </w:r>
          </w:p>
        </w:tc>
        <w:tc>
          <w:tcPr>
            <w:tcW w:w="30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教育费附加安排的支出</w:t>
            </w:r>
          </w:p>
        </w:tc>
        <w:tc>
          <w:tcPr>
            <w:tcW w:w="19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291.67</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291.67</w:t>
            </w:r>
          </w:p>
        </w:tc>
      </w:tr>
      <w:tr>
        <w:tblPrEx>
          <w:tblLayout w:type="fixed"/>
          <w:tblCellMar>
            <w:top w:w="15" w:type="dxa"/>
            <w:left w:w="15" w:type="dxa"/>
            <w:bottom w:w="15" w:type="dxa"/>
            <w:right w:w="15" w:type="dxa"/>
          </w:tblCellMar>
        </w:tblPrEx>
        <w:tc>
          <w:tcPr>
            <w:tcW w:w="181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2050999</w:t>
            </w:r>
          </w:p>
        </w:tc>
        <w:tc>
          <w:tcPr>
            <w:tcW w:w="30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其他教育费附加安排的支出</w:t>
            </w:r>
          </w:p>
        </w:tc>
        <w:tc>
          <w:tcPr>
            <w:tcW w:w="19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291.67</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291.67</w:t>
            </w:r>
          </w:p>
        </w:tc>
      </w:tr>
      <w:tr>
        <w:tblPrEx>
          <w:tblLayout w:type="fixed"/>
          <w:tblCellMar>
            <w:top w:w="15" w:type="dxa"/>
            <w:left w:w="15" w:type="dxa"/>
            <w:bottom w:w="15" w:type="dxa"/>
            <w:right w:w="15" w:type="dxa"/>
          </w:tblCellMar>
        </w:tblPrEx>
        <w:tc>
          <w:tcPr>
            <w:tcW w:w="181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208</w:t>
            </w:r>
          </w:p>
        </w:tc>
        <w:tc>
          <w:tcPr>
            <w:tcW w:w="30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社会保障和就业支出</w:t>
            </w:r>
          </w:p>
        </w:tc>
        <w:tc>
          <w:tcPr>
            <w:tcW w:w="19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363.01</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363.01</w:t>
            </w:r>
          </w:p>
        </w:tc>
        <w:tc>
          <w:tcPr>
            <w:tcW w:w="1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81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20805</w:t>
            </w:r>
          </w:p>
        </w:tc>
        <w:tc>
          <w:tcPr>
            <w:tcW w:w="30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行政事业单位养老支出</w:t>
            </w:r>
          </w:p>
        </w:tc>
        <w:tc>
          <w:tcPr>
            <w:tcW w:w="19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363.01</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363.01</w:t>
            </w:r>
          </w:p>
        </w:tc>
        <w:tc>
          <w:tcPr>
            <w:tcW w:w="1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81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2080502</w:t>
            </w:r>
          </w:p>
        </w:tc>
        <w:tc>
          <w:tcPr>
            <w:tcW w:w="30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事业单位离退休</w:t>
            </w:r>
          </w:p>
        </w:tc>
        <w:tc>
          <w:tcPr>
            <w:tcW w:w="19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131.16</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131.16</w:t>
            </w:r>
          </w:p>
        </w:tc>
        <w:tc>
          <w:tcPr>
            <w:tcW w:w="1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81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2080505</w:t>
            </w:r>
          </w:p>
        </w:tc>
        <w:tc>
          <w:tcPr>
            <w:tcW w:w="30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机关事业单位基本养老保险缴费支出</w:t>
            </w:r>
          </w:p>
        </w:tc>
        <w:tc>
          <w:tcPr>
            <w:tcW w:w="19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154.56</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154.56</w:t>
            </w:r>
          </w:p>
        </w:tc>
        <w:tc>
          <w:tcPr>
            <w:tcW w:w="1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81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2080506</w:t>
            </w:r>
          </w:p>
        </w:tc>
        <w:tc>
          <w:tcPr>
            <w:tcW w:w="30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机关事业单位职业年金缴费支出</w:t>
            </w:r>
          </w:p>
        </w:tc>
        <w:tc>
          <w:tcPr>
            <w:tcW w:w="19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77.28</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77.28</w:t>
            </w:r>
          </w:p>
        </w:tc>
        <w:tc>
          <w:tcPr>
            <w:tcW w:w="1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81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210</w:t>
            </w:r>
          </w:p>
        </w:tc>
        <w:tc>
          <w:tcPr>
            <w:tcW w:w="30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卫生健康支出</w:t>
            </w:r>
          </w:p>
        </w:tc>
        <w:tc>
          <w:tcPr>
            <w:tcW w:w="19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99.98</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99.98</w:t>
            </w:r>
          </w:p>
        </w:tc>
        <w:tc>
          <w:tcPr>
            <w:tcW w:w="1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81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21011</w:t>
            </w:r>
          </w:p>
        </w:tc>
        <w:tc>
          <w:tcPr>
            <w:tcW w:w="30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行政事业单位医疗</w:t>
            </w:r>
          </w:p>
        </w:tc>
        <w:tc>
          <w:tcPr>
            <w:tcW w:w="19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99.98</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99.98</w:t>
            </w:r>
          </w:p>
        </w:tc>
        <w:tc>
          <w:tcPr>
            <w:tcW w:w="1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81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2101102</w:t>
            </w:r>
          </w:p>
        </w:tc>
        <w:tc>
          <w:tcPr>
            <w:tcW w:w="30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事业单位医疗</w:t>
            </w:r>
          </w:p>
        </w:tc>
        <w:tc>
          <w:tcPr>
            <w:tcW w:w="19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66.17</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66.17</w:t>
            </w:r>
          </w:p>
        </w:tc>
        <w:tc>
          <w:tcPr>
            <w:tcW w:w="1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81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2101199</w:t>
            </w:r>
          </w:p>
        </w:tc>
        <w:tc>
          <w:tcPr>
            <w:tcW w:w="30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其他行政事业单位医疗支出</w:t>
            </w:r>
          </w:p>
        </w:tc>
        <w:tc>
          <w:tcPr>
            <w:tcW w:w="193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33.81</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33.81</w:t>
            </w:r>
          </w:p>
        </w:tc>
        <w:tc>
          <w:tcPr>
            <w:tcW w:w="19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258" w:type="dxa"/>
            <w:gridSpan w:val="7"/>
            <w:noWrap w:val="0"/>
            <w:tcMar>
              <w:top w:w="20" w:type="dxa"/>
              <w:left w:w="20" w:type="dxa"/>
              <w:bottom w:w="20" w:type="dxa"/>
              <w:right w:w="20" w:type="dxa"/>
            </w:tcMar>
            <w:vAlign w:val="center"/>
          </w:tcPr>
          <w:p>
            <w:pPr>
              <w:widowControl/>
              <w:spacing w:line="375" w:lineRule="atLeast"/>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注：本表反映部门本年度一般公共预算财政拨款支出情况。</w:t>
            </w:r>
          </w:p>
        </w:tc>
      </w:tr>
    </w:tbl>
    <w:p>
      <w:pPr>
        <w:pStyle w:val="6"/>
        <w:keepNext w:val="0"/>
        <w:keepLines w:val="0"/>
        <w:spacing w:before="100" w:after="100" w:line="240" w:lineRule="auto"/>
        <w:ind w:left="720" w:right="0" w:hanging="720" w:firstLineChars="0"/>
        <w:rPr>
          <w:rFonts w:hint="eastAsia" w:ascii="黑体" w:hAnsi="黑体" w:eastAsia="黑体" w:cs="黑体"/>
          <w:b/>
          <w:spacing w:val="0"/>
          <w:sz w:val="32"/>
          <w:szCs w:val="32"/>
        </w:rPr>
      </w:pPr>
      <w:bookmarkStart w:id="50" w:name="_Toc256000105"/>
      <w:bookmarkStart w:id="51" w:name="_Toc256000012"/>
      <w:bookmarkStart w:id="52" w:name="_Toc256000043"/>
      <w:bookmarkStart w:id="53" w:name="_Toc256000074"/>
    </w:p>
    <w:p>
      <w:pPr>
        <w:pStyle w:val="6"/>
        <w:keepNext w:val="0"/>
        <w:keepLines w:val="0"/>
        <w:spacing w:before="100" w:after="100" w:line="240" w:lineRule="auto"/>
        <w:ind w:left="720" w:right="0" w:hanging="720" w:firstLineChars="0"/>
        <w:rPr>
          <w:rFonts w:hint="eastAsia" w:ascii="黑体" w:hAnsi="黑体" w:eastAsia="黑体" w:cs="黑体"/>
          <w:b/>
          <w:bCs/>
          <w:kern w:val="0"/>
          <w:sz w:val="32"/>
          <w:szCs w:val="32"/>
        </w:rPr>
      </w:pPr>
      <w:r>
        <w:rPr>
          <w:rFonts w:hint="eastAsia" w:ascii="黑体" w:hAnsi="黑体" w:eastAsia="黑体" w:cs="黑体"/>
          <w:b/>
          <w:spacing w:val="0"/>
          <w:sz w:val="32"/>
          <w:szCs w:val="32"/>
        </w:rPr>
        <w:t>六、一般公共预算财政拨款基本支出决算表</w:t>
      </w:r>
      <w:bookmarkEnd w:id="50"/>
      <w:bookmarkEnd w:id="51"/>
      <w:bookmarkEnd w:id="52"/>
      <w:bookmarkEnd w:id="53"/>
    </w:p>
    <w:p>
      <w:pPr>
        <w:pStyle w:val="2"/>
      </w:pPr>
    </w:p>
    <w:tbl>
      <w:tblPr>
        <w:tblStyle w:val="23"/>
        <w:tblW w:w="10258" w:type="dxa"/>
        <w:tblInd w:w="20" w:type="dxa"/>
        <w:tblLayout w:type="fixed"/>
        <w:tblCellMar>
          <w:top w:w="15" w:type="dxa"/>
          <w:left w:w="15" w:type="dxa"/>
          <w:bottom w:w="15" w:type="dxa"/>
          <w:right w:w="15" w:type="dxa"/>
        </w:tblCellMar>
      </w:tblPr>
      <w:tblGrid>
        <w:gridCol w:w="797"/>
        <w:gridCol w:w="1215"/>
        <w:gridCol w:w="885"/>
        <w:gridCol w:w="885"/>
        <w:gridCol w:w="1320"/>
        <w:gridCol w:w="1020"/>
        <w:gridCol w:w="1125"/>
        <w:gridCol w:w="1590"/>
        <w:gridCol w:w="1421"/>
      </w:tblGrid>
      <w:tr>
        <w:tblPrEx>
          <w:tblLayout w:type="fixed"/>
        </w:tblPrEx>
        <w:trPr>
          <w:tblHeader/>
        </w:trPr>
        <w:tc>
          <w:tcPr>
            <w:tcW w:w="10258" w:type="dxa"/>
            <w:gridSpan w:val="9"/>
            <w:noWrap w:val="0"/>
            <w:tcMar>
              <w:top w:w="20" w:type="dxa"/>
              <w:left w:w="20" w:type="dxa"/>
              <w:bottom w:w="20" w:type="dxa"/>
              <w:right w:w="20" w:type="dxa"/>
            </w:tcMar>
            <w:vAlign w:val="center"/>
          </w:tcPr>
          <w:p>
            <w:pPr>
              <w:widowControl/>
              <w:spacing w:line="900" w:lineRule="atLeast"/>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32"/>
                <w:szCs w:val="32"/>
              </w:rPr>
              <w:t>一般公共预算财政拨款基本支出决算表</w:t>
            </w:r>
          </w:p>
        </w:tc>
      </w:tr>
      <w:tr>
        <w:tblPrEx>
          <w:tblLayout w:type="fixed"/>
          <w:tblCellMar>
            <w:top w:w="15" w:type="dxa"/>
            <w:left w:w="15" w:type="dxa"/>
            <w:bottom w:w="15" w:type="dxa"/>
            <w:right w:w="15" w:type="dxa"/>
          </w:tblCellMar>
        </w:tblPrEx>
        <w:trPr>
          <w:tblHeader/>
        </w:trPr>
        <w:tc>
          <w:tcPr>
            <w:tcW w:w="79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21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8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8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32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2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12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9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42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3782"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部门/单位：厦门市东渡第二小学</w:t>
            </w:r>
          </w:p>
        </w:tc>
        <w:tc>
          <w:tcPr>
            <w:tcW w:w="132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2024年度</w:t>
            </w:r>
          </w:p>
        </w:tc>
        <w:tc>
          <w:tcPr>
            <w:tcW w:w="102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12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9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42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blHeader/>
        </w:trPr>
        <w:tc>
          <w:tcPr>
            <w:tcW w:w="79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经济分类科目编码</w:t>
            </w:r>
          </w:p>
        </w:tc>
        <w:tc>
          <w:tcPr>
            <w:tcW w:w="121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科目名称</w:t>
            </w:r>
          </w:p>
        </w:tc>
        <w:tc>
          <w:tcPr>
            <w:tcW w:w="88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金额</w:t>
            </w:r>
          </w:p>
        </w:tc>
        <w:tc>
          <w:tcPr>
            <w:tcW w:w="88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经济分类科目编码</w:t>
            </w:r>
          </w:p>
        </w:tc>
        <w:tc>
          <w:tcPr>
            <w:tcW w:w="132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科目名称</w:t>
            </w:r>
          </w:p>
        </w:tc>
        <w:tc>
          <w:tcPr>
            <w:tcW w:w="102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金额</w:t>
            </w:r>
          </w:p>
        </w:tc>
        <w:tc>
          <w:tcPr>
            <w:tcW w:w="112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经济分类科目编码</w:t>
            </w:r>
          </w:p>
        </w:tc>
        <w:tc>
          <w:tcPr>
            <w:tcW w:w="159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科目名称</w:t>
            </w:r>
          </w:p>
        </w:tc>
        <w:tc>
          <w:tcPr>
            <w:tcW w:w="1421"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金额</w:t>
            </w:r>
          </w:p>
        </w:tc>
      </w:tr>
      <w:tr>
        <w:tblPrEx>
          <w:tblLayout w:type="fixed"/>
          <w:tblCellMar>
            <w:top w:w="15" w:type="dxa"/>
            <w:left w:w="15" w:type="dxa"/>
            <w:bottom w:w="15" w:type="dxa"/>
            <w:right w:w="15" w:type="dxa"/>
          </w:tblCellMar>
        </w:tblPrEx>
        <w:trPr>
          <w:tblHeader/>
        </w:trPr>
        <w:tc>
          <w:tcPr>
            <w:tcW w:w="797" w:type="dxa"/>
            <w:vMerge w:val="continue"/>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1215" w:type="dxa"/>
            <w:vMerge w:val="continue"/>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885" w:type="dxa"/>
            <w:vMerge w:val="continue"/>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885" w:type="dxa"/>
            <w:vMerge w:val="continue"/>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1320" w:type="dxa"/>
            <w:vMerge w:val="continue"/>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1020" w:type="dxa"/>
            <w:vMerge w:val="continue"/>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1125" w:type="dxa"/>
            <w:vMerge w:val="continue"/>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1590" w:type="dxa"/>
            <w:vMerge w:val="continue"/>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1421" w:type="dxa"/>
            <w:vMerge w:val="continue"/>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7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301</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工资福利支出</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2,065.75</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302</w:t>
            </w:r>
          </w:p>
        </w:tc>
        <w:tc>
          <w:tcPr>
            <w:tcW w:w="13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商品和服务支出</w:t>
            </w:r>
          </w:p>
        </w:tc>
        <w:tc>
          <w:tcPr>
            <w:tcW w:w="10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218.2</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30703</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国内债务发行费用</w:t>
            </w:r>
          </w:p>
        </w:tc>
        <w:tc>
          <w:tcPr>
            <w:tcW w:w="14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30101</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基本工资</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282.05</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30201</w:t>
            </w:r>
          </w:p>
        </w:tc>
        <w:tc>
          <w:tcPr>
            <w:tcW w:w="13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办公费</w:t>
            </w:r>
          </w:p>
        </w:tc>
        <w:tc>
          <w:tcPr>
            <w:tcW w:w="10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99.02</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30704</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国外债务发行费用</w:t>
            </w:r>
          </w:p>
        </w:tc>
        <w:tc>
          <w:tcPr>
            <w:tcW w:w="14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30102</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津贴补贴</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383.23</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30202</w:t>
            </w:r>
          </w:p>
        </w:tc>
        <w:tc>
          <w:tcPr>
            <w:tcW w:w="13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印刷费</w:t>
            </w:r>
          </w:p>
        </w:tc>
        <w:tc>
          <w:tcPr>
            <w:tcW w:w="10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310</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资本性支出</w:t>
            </w:r>
          </w:p>
        </w:tc>
        <w:tc>
          <w:tcPr>
            <w:tcW w:w="14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10.5</w:t>
            </w:r>
          </w:p>
        </w:tc>
      </w:tr>
      <w:tr>
        <w:tblPrEx>
          <w:tblLayout w:type="fixed"/>
          <w:tblCellMar>
            <w:top w:w="15" w:type="dxa"/>
            <w:left w:w="15" w:type="dxa"/>
            <w:bottom w:w="15" w:type="dxa"/>
            <w:right w:w="15" w:type="dxa"/>
          </w:tblCellMar>
        </w:tblPrEx>
        <w:tc>
          <w:tcPr>
            <w:tcW w:w="7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30103</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奖金</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649.08</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30203</w:t>
            </w:r>
          </w:p>
        </w:tc>
        <w:tc>
          <w:tcPr>
            <w:tcW w:w="13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咨询费</w:t>
            </w:r>
          </w:p>
        </w:tc>
        <w:tc>
          <w:tcPr>
            <w:tcW w:w="10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31001</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房屋建筑物购建</w:t>
            </w:r>
          </w:p>
        </w:tc>
        <w:tc>
          <w:tcPr>
            <w:tcW w:w="14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30106</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伙食补助费</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30204</w:t>
            </w:r>
          </w:p>
        </w:tc>
        <w:tc>
          <w:tcPr>
            <w:tcW w:w="13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手续费</w:t>
            </w:r>
          </w:p>
        </w:tc>
        <w:tc>
          <w:tcPr>
            <w:tcW w:w="10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31002</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办公设备购置</w:t>
            </w:r>
          </w:p>
        </w:tc>
        <w:tc>
          <w:tcPr>
            <w:tcW w:w="14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10.5</w:t>
            </w:r>
          </w:p>
        </w:tc>
      </w:tr>
      <w:tr>
        <w:tblPrEx>
          <w:tblLayout w:type="fixed"/>
          <w:tblCellMar>
            <w:top w:w="15" w:type="dxa"/>
            <w:left w:w="15" w:type="dxa"/>
            <w:bottom w:w="15" w:type="dxa"/>
            <w:right w:w="15" w:type="dxa"/>
          </w:tblCellMar>
        </w:tblPrEx>
        <w:tc>
          <w:tcPr>
            <w:tcW w:w="7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30107</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绩效工资</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111.96</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30205</w:t>
            </w:r>
          </w:p>
        </w:tc>
        <w:tc>
          <w:tcPr>
            <w:tcW w:w="13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水费</w:t>
            </w:r>
          </w:p>
        </w:tc>
        <w:tc>
          <w:tcPr>
            <w:tcW w:w="10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2.99</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31003</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专用设备购置</w:t>
            </w:r>
          </w:p>
        </w:tc>
        <w:tc>
          <w:tcPr>
            <w:tcW w:w="14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30108</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机关事业单位基本养老保险缴费</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154.56</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30206</w:t>
            </w:r>
          </w:p>
        </w:tc>
        <w:tc>
          <w:tcPr>
            <w:tcW w:w="13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电费</w:t>
            </w:r>
          </w:p>
        </w:tc>
        <w:tc>
          <w:tcPr>
            <w:tcW w:w="10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13.02</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31005</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基础设施建设</w:t>
            </w:r>
          </w:p>
        </w:tc>
        <w:tc>
          <w:tcPr>
            <w:tcW w:w="14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30109</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职业年金缴费</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77.28</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30207</w:t>
            </w:r>
          </w:p>
        </w:tc>
        <w:tc>
          <w:tcPr>
            <w:tcW w:w="13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邮电费</w:t>
            </w:r>
          </w:p>
        </w:tc>
        <w:tc>
          <w:tcPr>
            <w:tcW w:w="10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0.27</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31006</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大型修缮</w:t>
            </w:r>
          </w:p>
        </w:tc>
        <w:tc>
          <w:tcPr>
            <w:tcW w:w="14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30110</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职工基本医疗保险缴费</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66.17</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30208</w:t>
            </w:r>
          </w:p>
        </w:tc>
        <w:tc>
          <w:tcPr>
            <w:tcW w:w="13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取暖费</w:t>
            </w:r>
          </w:p>
        </w:tc>
        <w:tc>
          <w:tcPr>
            <w:tcW w:w="10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31007</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信息网络及软件购置更新</w:t>
            </w:r>
          </w:p>
        </w:tc>
        <w:tc>
          <w:tcPr>
            <w:tcW w:w="14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30111</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公务员医疗补助缴费</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30209</w:t>
            </w:r>
          </w:p>
        </w:tc>
        <w:tc>
          <w:tcPr>
            <w:tcW w:w="13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物业管理费</w:t>
            </w:r>
          </w:p>
        </w:tc>
        <w:tc>
          <w:tcPr>
            <w:tcW w:w="10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31008</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物资储备</w:t>
            </w:r>
          </w:p>
        </w:tc>
        <w:tc>
          <w:tcPr>
            <w:tcW w:w="14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30112</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其他社会保障缴费</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46.28</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30211</w:t>
            </w:r>
          </w:p>
        </w:tc>
        <w:tc>
          <w:tcPr>
            <w:tcW w:w="13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差旅费</w:t>
            </w:r>
          </w:p>
        </w:tc>
        <w:tc>
          <w:tcPr>
            <w:tcW w:w="10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0.1</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31009</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土地补偿</w:t>
            </w:r>
          </w:p>
        </w:tc>
        <w:tc>
          <w:tcPr>
            <w:tcW w:w="14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30113</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住房公积金</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167.12</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30212</w:t>
            </w:r>
          </w:p>
        </w:tc>
        <w:tc>
          <w:tcPr>
            <w:tcW w:w="13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因公出国（境）费用</w:t>
            </w:r>
          </w:p>
        </w:tc>
        <w:tc>
          <w:tcPr>
            <w:tcW w:w="10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31010</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安置补助</w:t>
            </w:r>
          </w:p>
        </w:tc>
        <w:tc>
          <w:tcPr>
            <w:tcW w:w="14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30114</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医疗费</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30213</w:t>
            </w:r>
          </w:p>
        </w:tc>
        <w:tc>
          <w:tcPr>
            <w:tcW w:w="13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维修（护）费</w:t>
            </w:r>
          </w:p>
        </w:tc>
        <w:tc>
          <w:tcPr>
            <w:tcW w:w="10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32.26</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31011</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地上附着物和青苗补偿</w:t>
            </w:r>
          </w:p>
        </w:tc>
        <w:tc>
          <w:tcPr>
            <w:tcW w:w="14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30199</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其他工资福利支出</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128.01</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30214</w:t>
            </w:r>
          </w:p>
        </w:tc>
        <w:tc>
          <w:tcPr>
            <w:tcW w:w="13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租赁费</w:t>
            </w:r>
          </w:p>
        </w:tc>
        <w:tc>
          <w:tcPr>
            <w:tcW w:w="10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31012</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拆迁补偿</w:t>
            </w:r>
          </w:p>
        </w:tc>
        <w:tc>
          <w:tcPr>
            <w:tcW w:w="14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303</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对个人和家庭的补助</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136.78</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30215</w:t>
            </w:r>
          </w:p>
        </w:tc>
        <w:tc>
          <w:tcPr>
            <w:tcW w:w="13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会议费</w:t>
            </w:r>
          </w:p>
        </w:tc>
        <w:tc>
          <w:tcPr>
            <w:tcW w:w="10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31013</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公务用车购置</w:t>
            </w:r>
          </w:p>
        </w:tc>
        <w:tc>
          <w:tcPr>
            <w:tcW w:w="14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30301</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离休费</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30216</w:t>
            </w:r>
          </w:p>
        </w:tc>
        <w:tc>
          <w:tcPr>
            <w:tcW w:w="13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培训费</w:t>
            </w:r>
          </w:p>
        </w:tc>
        <w:tc>
          <w:tcPr>
            <w:tcW w:w="10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14.81</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31019</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其他交通工具购置</w:t>
            </w:r>
          </w:p>
        </w:tc>
        <w:tc>
          <w:tcPr>
            <w:tcW w:w="14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30302</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退休费</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30217</w:t>
            </w:r>
          </w:p>
        </w:tc>
        <w:tc>
          <w:tcPr>
            <w:tcW w:w="13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公务接待费</w:t>
            </w:r>
          </w:p>
        </w:tc>
        <w:tc>
          <w:tcPr>
            <w:tcW w:w="10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31021</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文物和陈列品购置</w:t>
            </w:r>
          </w:p>
        </w:tc>
        <w:tc>
          <w:tcPr>
            <w:tcW w:w="14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30303</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退职（役）费</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30218</w:t>
            </w:r>
          </w:p>
        </w:tc>
        <w:tc>
          <w:tcPr>
            <w:tcW w:w="13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专用材料费</w:t>
            </w:r>
          </w:p>
        </w:tc>
        <w:tc>
          <w:tcPr>
            <w:tcW w:w="10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31022</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无形资产购置</w:t>
            </w:r>
          </w:p>
        </w:tc>
        <w:tc>
          <w:tcPr>
            <w:tcW w:w="14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30304</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抚恤金</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30224</w:t>
            </w:r>
          </w:p>
        </w:tc>
        <w:tc>
          <w:tcPr>
            <w:tcW w:w="13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被装购置费</w:t>
            </w:r>
          </w:p>
        </w:tc>
        <w:tc>
          <w:tcPr>
            <w:tcW w:w="10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31099</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其他资本性支出</w:t>
            </w:r>
          </w:p>
        </w:tc>
        <w:tc>
          <w:tcPr>
            <w:tcW w:w="14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30305</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生活补助</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30225</w:t>
            </w:r>
          </w:p>
        </w:tc>
        <w:tc>
          <w:tcPr>
            <w:tcW w:w="13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专用燃料费</w:t>
            </w:r>
          </w:p>
        </w:tc>
        <w:tc>
          <w:tcPr>
            <w:tcW w:w="10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312</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对企业补助</w:t>
            </w:r>
          </w:p>
        </w:tc>
        <w:tc>
          <w:tcPr>
            <w:tcW w:w="14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30306</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救济费</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30226</w:t>
            </w:r>
          </w:p>
        </w:tc>
        <w:tc>
          <w:tcPr>
            <w:tcW w:w="13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劳务费</w:t>
            </w:r>
          </w:p>
        </w:tc>
        <w:tc>
          <w:tcPr>
            <w:tcW w:w="10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1.49</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31201</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资本金注入</w:t>
            </w:r>
          </w:p>
        </w:tc>
        <w:tc>
          <w:tcPr>
            <w:tcW w:w="14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30307</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医疗费补助</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30227</w:t>
            </w:r>
          </w:p>
        </w:tc>
        <w:tc>
          <w:tcPr>
            <w:tcW w:w="13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委托业务费</w:t>
            </w:r>
          </w:p>
        </w:tc>
        <w:tc>
          <w:tcPr>
            <w:tcW w:w="10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31203</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政府投资基金股权投资</w:t>
            </w:r>
          </w:p>
        </w:tc>
        <w:tc>
          <w:tcPr>
            <w:tcW w:w="14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30308</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助学金</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30228</w:t>
            </w:r>
          </w:p>
        </w:tc>
        <w:tc>
          <w:tcPr>
            <w:tcW w:w="13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工会经费</w:t>
            </w:r>
          </w:p>
        </w:tc>
        <w:tc>
          <w:tcPr>
            <w:tcW w:w="10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37.93</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31204</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费用补贴</w:t>
            </w:r>
          </w:p>
        </w:tc>
        <w:tc>
          <w:tcPr>
            <w:tcW w:w="14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30309</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奖励金</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4.94</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30229</w:t>
            </w:r>
          </w:p>
        </w:tc>
        <w:tc>
          <w:tcPr>
            <w:tcW w:w="13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福利费</w:t>
            </w:r>
          </w:p>
        </w:tc>
        <w:tc>
          <w:tcPr>
            <w:tcW w:w="10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2.64</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31205</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利息补贴</w:t>
            </w:r>
          </w:p>
        </w:tc>
        <w:tc>
          <w:tcPr>
            <w:tcW w:w="14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30310</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个人农业生产补贴</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30231</w:t>
            </w:r>
          </w:p>
        </w:tc>
        <w:tc>
          <w:tcPr>
            <w:tcW w:w="13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公务用车运行维护费</w:t>
            </w:r>
          </w:p>
        </w:tc>
        <w:tc>
          <w:tcPr>
            <w:tcW w:w="10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31206</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其他资本性补助</w:t>
            </w:r>
          </w:p>
        </w:tc>
        <w:tc>
          <w:tcPr>
            <w:tcW w:w="14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30311</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代缴社会保险费</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30239</w:t>
            </w:r>
          </w:p>
        </w:tc>
        <w:tc>
          <w:tcPr>
            <w:tcW w:w="13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其他交通费用</w:t>
            </w:r>
          </w:p>
        </w:tc>
        <w:tc>
          <w:tcPr>
            <w:tcW w:w="10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2.75</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31299</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其他对企业补助</w:t>
            </w:r>
          </w:p>
        </w:tc>
        <w:tc>
          <w:tcPr>
            <w:tcW w:w="14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30399</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其他对个人和家庭的补助</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131.84</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30240</w:t>
            </w:r>
          </w:p>
        </w:tc>
        <w:tc>
          <w:tcPr>
            <w:tcW w:w="13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税金及附加费用</w:t>
            </w:r>
          </w:p>
        </w:tc>
        <w:tc>
          <w:tcPr>
            <w:tcW w:w="10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399</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其他支出</w:t>
            </w:r>
          </w:p>
        </w:tc>
        <w:tc>
          <w:tcPr>
            <w:tcW w:w="14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30299</w:t>
            </w:r>
          </w:p>
        </w:tc>
        <w:tc>
          <w:tcPr>
            <w:tcW w:w="13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其他商品和服务支出</w:t>
            </w:r>
          </w:p>
        </w:tc>
        <w:tc>
          <w:tcPr>
            <w:tcW w:w="10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10.92</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39907</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国家赔偿费用支出</w:t>
            </w:r>
          </w:p>
        </w:tc>
        <w:tc>
          <w:tcPr>
            <w:tcW w:w="14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307</w:t>
            </w:r>
          </w:p>
        </w:tc>
        <w:tc>
          <w:tcPr>
            <w:tcW w:w="13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债务利息及费用支出</w:t>
            </w:r>
          </w:p>
        </w:tc>
        <w:tc>
          <w:tcPr>
            <w:tcW w:w="10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39908</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对民间非营利组织和群众性自治组织补贴</w:t>
            </w:r>
          </w:p>
        </w:tc>
        <w:tc>
          <w:tcPr>
            <w:tcW w:w="14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30701</w:t>
            </w:r>
          </w:p>
        </w:tc>
        <w:tc>
          <w:tcPr>
            <w:tcW w:w="13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国内债务付息</w:t>
            </w:r>
          </w:p>
        </w:tc>
        <w:tc>
          <w:tcPr>
            <w:tcW w:w="10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39909</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经常性赠与</w:t>
            </w:r>
          </w:p>
        </w:tc>
        <w:tc>
          <w:tcPr>
            <w:tcW w:w="14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30702</w:t>
            </w:r>
          </w:p>
        </w:tc>
        <w:tc>
          <w:tcPr>
            <w:tcW w:w="13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国外债务付息</w:t>
            </w:r>
          </w:p>
        </w:tc>
        <w:tc>
          <w:tcPr>
            <w:tcW w:w="10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39910</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资本性赠与</w:t>
            </w:r>
          </w:p>
        </w:tc>
        <w:tc>
          <w:tcPr>
            <w:tcW w:w="14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79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2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3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12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39999</w:t>
            </w:r>
          </w:p>
        </w:tc>
        <w:tc>
          <w:tcPr>
            <w:tcW w:w="159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其他支出</w:t>
            </w:r>
          </w:p>
        </w:tc>
        <w:tc>
          <w:tcPr>
            <w:tcW w:w="14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012"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xml:space="preserve">人员经费合计 </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2,202.53</w:t>
            </w:r>
          </w:p>
        </w:tc>
        <w:tc>
          <w:tcPr>
            <w:tcW w:w="5940" w:type="dxa"/>
            <w:gridSpan w:val="5"/>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公用经费合计</w:t>
            </w:r>
          </w:p>
        </w:tc>
        <w:tc>
          <w:tcPr>
            <w:tcW w:w="142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228.69</w:t>
            </w:r>
          </w:p>
        </w:tc>
      </w:tr>
      <w:tr>
        <w:tblPrEx>
          <w:tblLayout w:type="fixed"/>
          <w:tblCellMar>
            <w:top w:w="15" w:type="dxa"/>
            <w:left w:w="15" w:type="dxa"/>
            <w:bottom w:w="15" w:type="dxa"/>
            <w:right w:w="15" w:type="dxa"/>
          </w:tblCellMar>
        </w:tblPrEx>
        <w:tc>
          <w:tcPr>
            <w:tcW w:w="10258" w:type="dxa"/>
            <w:gridSpan w:val="9"/>
            <w:noWrap w:val="0"/>
            <w:tcMar>
              <w:top w:w="20" w:type="dxa"/>
              <w:left w:w="20" w:type="dxa"/>
              <w:bottom w:w="20" w:type="dxa"/>
              <w:right w:w="20" w:type="dxa"/>
            </w:tcMar>
            <w:vAlign w:val="center"/>
          </w:tcPr>
          <w:p>
            <w:pPr>
              <w:widowControl/>
              <w:spacing w:line="375" w:lineRule="atLeast"/>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注：本表反映部门本年度一般公共预算财政拨款基本支出明细情况。</w:t>
            </w:r>
          </w:p>
        </w:tc>
      </w:tr>
      <w:tr>
        <w:tblPrEx>
          <w:tblLayout w:type="fixed"/>
          <w:tblCellMar>
            <w:top w:w="15" w:type="dxa"/>
            <w:left w:w="15" w:type="dxa"/>
            <w:bottom w:w="15" w:type="dxa"/>
            <w:right w:w="15" w:type="dxa"/>
          </w:tblCellMar>
        </w:tblPrEx>
        <w:trPr>
          <w:trHeight w:val="675" w:hRule="atLeast"/>
        </w:trPr>
        <w:tc>
          <w:tcPr>
            <w:tcW w:w="10258" w:type="dxa"/>
            <w:gridSpan w:val="9"/>
            <w:noWrap w:val="0"/>
            <w:tcMar>
              <w:top w:w="20" w:type="dxa"/>
              <w:left w:w="20" w:type="dxa"/>
              <w:bottom w:w="20" w:type="dxa"/>
              <w:right w:w="20" w:type="dxa"/>
            </w:tcMar>
            <w:vAlign w:val="center"/>
          </w:tcPr>
          <w:p>
            <w:pPr>
              <w:widowControl/>
              <w:spacing w:line="375" w:lineRule="atLeast"/>
              <w:jc w:val="left"/>
              <w:rPr>
                <w:rFonts w:hint="default"/>
              </w:rPr>
            </w:pPr>
          </w:p>
          <w:p>
            <w:pPr>
              <w:pStyle w:val="2"/>
              <w:rPr>
                <w:rFonts w:hint="default" w:ascii="Times New Roman" w:hAnsi="Times New Roman" w:eastAsia="仿宋" w:cs="Times New Roman"/>
                <w:b w:val="0"/>
                <w:bCs w:val="0"/>
                <w:i w:val="0"/>
                <w:iCs w:val="0"/>
                <w:smallCaps w:val="0"/>
                <w:color w:val="000000"/>
                <w:kern w:val="0"/>
                <w:sz w:val="18"/>
                <w:szCs w:val="18"/>
              </w:rPr>
            </w:pPr>
          </w:p>
        </w:tc>
      </w:tr>
    </w:tbl>
    <w:p>
      <w:pPr>
        <w:pStyle w:val="6"/>
        <w:keepNext w:val="0"/>
        <w:keepLines w:val="0"/>
        <w:spacing w:before="100" w:after="100" w:line="240" w:lineRule="auto"/>
        <w:ind w:left="720" w:right="0" w:hanging="720" w:firstLineChars="0"/>
        <w:rPr>
          <w:rFonts w:hint="eastAsia" w:ascii="黑体" w:hAnsi="黑体" w:eastAsia="黑体" w:cs="黑体"/>
          <w:b/>
          <w:bCs/>
          <w:kern w:val="0"/>
          <w:sz w:val="32"/>
          <w:szCs w:val="32"/>
        </w:rPr>
      </w:pPr>
      <w:bookmarkStart w:id="54" w:name="_Toc256000106"/>
      <w:bookmarkStart w:id="55" w:name="_Toc256000075"/>
      <w:bookmarkStart w:id="56" w:name="_Toc256000044"/>
      <w:bookmarkStart w:id="57" w:name="_Toc256000013"/>
      <w:r>
        <w:rPr>
          <w:rFonts w:hint="eastAsia" w:ascii="黑体" w:hAnsi="黑体" w:eastAsia="黑体" w:cs="黑体"/>
          <w:b/>
          <w:spacing w:val="0"/>
          <w:sz w:val="32"/>
          <w:szCs w:val="32"/>
        </w:rPr>
        <w:t>七、一般公共预算财政拨款“三公”经费支出决算表</w:t>
      </w:r>
      <w:bookmarkEnd w:id="54"/>
      <w:bookmarkEnd w:id="55"/>
      <w:bookmarkEnd w:id="56"/>
      <w:bookmarkEnd w:id="57"/>
    </w:p>
    <w:p>
      <w:pPr>
        <w:pStyle w:val="2"/>
      </w:pPr>
    </w:p>
    <w:tbl>
      <w:tblPr>
        <w:tblStyle w:val="23"/>
        <w:tblW w:w="10258" w:type="dxa"/>
        <w:tblInd w:w="20" w:type="dxa"/>
        <w:tblLayout w:type="fixed"/>
        <w:tblCellMar>
          <w:top w:w="15" w:type="dxa"/>
          <w:left w:w="15" w:type="dxa"/>
          <w:bottom w:w="15" w:type="dxa"/>
          <w:right w:w="15" w:type="dxa"/>
        </w:tblCellMar>
      </w:tblPr>
      <w:tblGrid>
        <w:gridCol w:w="452"/>
        <w:gridCol w:w="855"/>
        <w:gridCol w:w="720"/>
        <w:gridCol w:w="885"/>
        <w:gridCol w:w="1016"/>
        <w:gridCol w:w="870"/>
        <w:gridCol w:w="739"/>
        <w:gridCol w:w="975"/>
        <w:gridCol w:w="495"/>
        <w:gridCol w:w="1151"/>
        <w:gridCol w:w="615"/>
        <w:gridCol w:w="1485"/>
      </w:tblGrid>
      <w:tr>
        <w:tblPrEx>
          <w:tblLayout w:type="fixed"/>
          <w:tblCellMar>
            <w:top w:w="15" w:type="dxa"/>
            <w:left w:w="15" w:type="dxa"/>
            <w:bottom w:w="15" w:type="dxa"/>
            <w:right w:w="15" w:type="dxa"/>
          </w:tblCellMar>
        </w:tblPrEx>
        <w:trPr>
          <w:tblHeader/>
        </w:trPr>
        <w:tc>
          <w:tcPr>
            <w:tcW w:w="10258" w:type="dxa"/>
            <w:gridSpan w:val="12"/>
            <w:noWrap w:val="0"/>
            <w:tcMar>
              <w:top w:w="20" w:type="dxa"/>
              <w:left w:w="20" w:type="dxa"/>
              <w:bottom w:w="20" w:type="dxa"/>
              <w:right w:w="20" w:type="dxa"/>
            </w:tcMar>
            <w:vAlign w:val="center"/>
          </w:tcPr>
          <w:p>
            <w:pPr>
              <w:widowControl/>
              <w:spacing w:line="900" w:lineRule="atLeast"/>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32"/>
                <w:szCs w:val="32"/>
              </w:rPr>
              <w:t>一般公共预算财政拨款“三公”经费支出决算</w:t>
            </w:r>
          </w:p>
        </w:tc>
      </w:tr>
      <w:tr>
        <w:tblPrEx>
          <w:tblLayout w:type="fixed"/>
          <w:tblCellMar>
            <w:top w:w="15" w:type="dxa"/>
            <w:left w:w="15" w:type="dxa"/>
            <w:bottom w:w="15" w:type="dxa"/>
            <w:right w:w="15" w:type="dxa"/>
          </w:tblCellMar>
        </w:tblPrEx>
        <w:trPr>
          <w:tblHeader/>
        </w:trPr>
        <w:tc>
          <w:tcPr>
            <w:tcW w:w="45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72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8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016"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7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73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97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49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15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61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48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4798" w:type="dxa"/>
            <w:gridSpan w:val="6"/>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部门/单位：厦门市东渡第二小学</w:t>
            </w:r>
          </w:p>
        </w:tc>
        <w:tc>
          <w:tcPr>
            <w:tcW w:w="73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2024年度</w:t>
            </w:r>
          </w:p>
        </w:tc>
        <w:tc>
          <w:tcPr>
            <w:tcW w:w="97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49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15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61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48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c>
          <w:tcPr>
            <w:tcW w:w="4798" w:type="dxa"/>
            <w:gridSpan w:val="6"/>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预算数</w:t>
            </w:r>
          </w:p>
        </w:tc>
        <w:tc>
          <w:tcPr>
            <w:tcW w:w="5460" w:type="dxa"/>
            <w:gridSpan w:val="6"/>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决算数</w:t>
            </w:r>
          </w:p>
        </w:tc>
      </w:tr>
      <w:tr>
        <w:tblPrEx>
          <w:tblLayout w:type="fixed"/>
          <w:tblCellMar>
            <w:top w:w="15" w:type="dxa"/>
            <w:left w:w="15" w:type="dxa"/>
            <w:bottom w:w="15" w:type="dxa"/>
            <w:right w:w="15" w:type="dxa"/>
          </w:tblCellMar>
        </w:tblPrEx>
        <w:trPr>
          <w:tblHeader/>
        </w:trPr>
        <w:tc>
          <w:tcPr>
            <w:tcW w:w="45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合计</w:t>
            </w:r>
          </w:p>
        </w:tc>
        <w:tc>
          <w:tcPr>
            <w:tcW w:w="8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因公出国 （境）费</w:t>
            </w:r>
          </w:p>
        </w:tc>
        <w:tc>
          <w:tcPr>
            <w:tcW w:w="2621"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公务用车购置及运行维护费</w:t>
            </w:r>
          </w:p>
        </w:tc>
        <w:tc>
          <w:tcPr>
            <w:tcW w:w="87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公务接待费</w:t>
            </w:r>
          </w:p>
        </w:tc>
        <w:tc>
          <w:tcPr>
            <w:tcW w:w="739"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合计</w:t>
            </w:r>
          </w:p>
        </w:tc>
        <w:tc>
          <w:tcPr>
            <w:tcW w:w="97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因公出国 （境）费</w:t>
            </w:r>
          </w:p>
        </w:tc>
        <w:tc>
          <w:tcPr>
            <w:tcW w:w="2261"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公务用车购置及运行维护费</w:t>
            </w:r>
          </w:p>
        </w:tc>
        <w:tc>
          <w:tcPr>
            <w:tcW w:w="148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公务接待费</w:t>
            </w:r>
          </w:p>
        </w:tc>
      </w:tr>
      <w:tr>
        <w:tblPrEx>
          <w:tblLayout w:type="fixed"/>
          <w:tblCellMar>
            <w:top w:w="15" w:type="dxa"/>
            <w:left w:w="15" w:type="dxa"/>
            <w:bottom w:w="15" w:type="dxa"/>
            <w:right w:w="15" w:type="dxa"/>
          </w:tblCellMar>
        </w:tblPrEx>
        <w:trPr>
          <w:tblHeader/>
        </w:trPr>
        <w:tc>
          <w:tcPr>
            <w:tcW w:w="452" w:type="dxa"/>
            <w:vMerge w:val="continue"/>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855" w:type="dxa"/>
            <w:vMerge w:val="continue"/>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72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xml:space="preserve">小计 </w:t>
            </w:r>
          </w:p>
        </w:tc>
        <w:tc>
          <w:tcPr>
            <w:tcW w:w="88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公务用车购置费</w:t>
            </w:r>
          </w:p>
        </w:tc>
        <w:tc>
          <w:tcPr>
            <w:tcW w:w="101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公务用车运行维护费</w:t>
            </w:r>
          </w:p>
        </w:tc>
        <w:tc>
          <w:tcPr>
            <w:tcW w:w="870" w:type="dxa"/>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739" w:type="dxa"/>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975" w:type="dxa"/>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49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xml:space="preserve">小计 </w:t>
            </w:r>
          </w:p>
        </w:tc>
        <w:tc>
          <w:tcPr>
            <w:tcW w:w="1151"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公务用车购置费</w:t>
            </w:r>
          </w:p>
        </w:tc>
        <w:tc>
          <w:tcPr>
            <w:tcW w:w="61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公务用车运行维护费</w:t>
            </w:r>
          </w:p>
        </w:tc>
        <w:tc>
          <w:tcPr>
            <w:tcW w:w="1485" w:type="dxa"/>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trPr>
        <w:tc>
          <w:tcPr>
            <w:tcW w:w="452" w:type="dxa"/>
            <w:vMerge w:val="continue"/>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855" w:type="dxa"/>
            <w:vMerge w:val="continue"/>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720" w:type="dxa"/>
            <w:vMerge w:val="continue"/>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885" w:type="dxa"/>
            <w:vMerge w:val="continue"/>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1016" w:type="dxa"/>
            <w:vMerge w:val="continue"/>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870" w:type="dxa"/>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739" w:type="dxa"/>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975" w:type="dxa"/>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495" w:type="dxa"/>
            <w:vMerge w:val="continue"/>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1151" w:type="dxa"/>
            <w:vMerge w:val="continue"/>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615" w:type="dxa"/>
            <w:vMerge w:val="continue"/>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1485" w:type="dxa"/>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4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w:t>
            </w:r>
          </w:p>
        </w:tc>
        <w:tc>
          <w:tcPr>
            <w:tcW w:w="8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w:t>
            </w:r>
          </w:p>
        </w:tc>
        <w:tc>
          <w:tcPr>
            <w:tcW w:w="7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4</w:t>
            </w:r>
          </w:p>
        </w:tc>
        <w:tc>
          <w:tcPr>
            <w:tcW w:w="10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5</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6</w:t>
            </w:r>
          </w:p>
        </w:tc>
        <w:tc>
          <w:tcPr>
            <w:tcW w:w="7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7</w:t>
            </w:r>
          </w:p>
        </w:tc>
        <w:tc>
          <w:tcPr>
            <w:tcW w:w="9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8</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9</w:t>
            </w:r>
          </w:p>
        </w:tc>
        <w:tc>
          <w:tcPr>
            <w:tcW w:w="11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10</w:t>
            </w:r>
          </w:p>
        </w:tc>
        <w:tc>
          <w:tcPr>
            <w:tcW w:w="6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11</w:t>
            </w:r>
          </w:p>
        </w:tc>
        <w:tc>
          <w:tcPr>
            <w:tcW w:w="14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12</w:t>
            </w:r>
          </w:p>
        </w:tc>
      </w:tr>
      <w:tr>
        <w:tblPrEx>
          <w:tblLayout w:type="fixed"/>
          <w:tblCellMar>
            <w:top w:w="15" w:type="dxa"/>
            <w:left w:w="15" w:type="dxa"/>
            <w:bottom w:w="15" w:type="dxa"/>
            <w:right w:w="15" w:type="dxa"/>
          </w:tblCellMar>
        </w:tblPrEx>
        <w:tc>
          <w:tcPr>
            <w:tcW w:w="45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eastAsia" w:eastAsia="仿宋" w:cs="Times New Roman"/>
                <w:b w:val="0"/>
                <w:bCs w:val="0"/>
                <w:i w:val="0"/>
                <w:iCs w:val="0"/>
                <w:smallCaps w:val="0"/>
                <w:color w:val="000000"/>
                <w:kern w:val="0"/>
                <w:sz w:val="18"/>
                <w:szCs w:val="18"/>
                <w:lang w:val="en-US" w:eastAsia="zh-CN"/>
              </w:rPr>
              <w:t>0</w:t>
            </w:r>
            <w:r>
              <w:rPr>
                <w:rFonts w:hint="default" w:ascii="Times New Roman" w:hAnsi="Times New Roman" w:eastAsia="仿宋" w:cs="Times New Roman"/>
                <w:b w:val="0"/>
                <w:bCs w:val="0"/>
                <w:i w:val="0"/>
                <w:iCs w:val="0"/>
                <w:smallCaps w:val="0"/>
                <w:color w:val="000000"/>
                <w:kern w:val="0"/>
                <w:sz w:val="18"/>
                <w:szCs w:val="18"/>
              </w:rPr>
              <w:t> </w:t>
            </w:r>
          </w:p>
        </w:tc>
        <w:tc>
          <w:tcPr>
            <w:tcW w:w="8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eastAsia" w:eastAsia="仿宋" w:cs="Times New Roman"/>
                <w:b w:val="0"/>
                <w:bCs w:val="0"/>
                <w:i w:val="0"/>
                <w:iCs w:val="0"/>
                <w:smallCaps w:val="0"/>
                <w:color w:val="000000"/>
                <w:kern w:val="0"/>
                <w:sz w:val="18"/>
                <w:szCs w:val="18"/>
                <w:lang w:val="en-US" w:eastAsia="zh-CN"/>
              </w:rPr>
              <w:t>0</w:t>
            </w:r>
            <w:r>
              <w:rPr>
                <w:rFonts w:hint="default" w:ascii="Times New Roman" w:hAnsi="Times New Roman" w:eastAsia="仿宋" w:cs="Times New Roman"/>
                <w:b w:val="0"/>
                <w:bCs w:val="0"/>
                <w:i w:val="0"/>
                <w:iCs w:val="0"/>
                <w:smallCaps w:val="0"/>
                <w:color w:val="000000"/>
                <w:kern w:val="0"/>
                <w:sz w:val="18"/>
                <w:szCs w:val="18"/>
              </w:rPr>
              <w:t> </w:t>
            </w:r>
          </w:p>
        </w:tc>
        <w:tc>
          <w:tcPr>
            <w:tcW w:w="7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eastAsia" w:eastAsia="仿宋" w:cs="Times New Roman"/>
                <w:b w:val="0"/>
                <w:bCs w:val="0"/>
                <w:i w:val="0"/>
                <w:iCs w:val="0"/>
                <w:smallCaps w:val="0"/>
                <w:color w:val="000000"/>
                <w:kern w:val="0"/>
                <w:sz w:val="18"/>
                <w:szCs w:val="18"/>
                <w:lang w:val="en-US" w:eastAsia="zh-CN"/>
              </w:rPr>
              <w:t>0</w:t>
            </w:r>
            <w:r>
              <w:rPr>
                <w:rFonts w:hint="default" w:ascii="Times New Roman" w:hAnsi="Times New Roman" w:eastAsia="仿宋" w:cs="Times New Roman"/>
                <w:b w:val="0"/>
                <w:bCs w:val="0"/>
                <w:i w:val="0"/>
                <w:iCs w:val="0"/>
                <w:smallCaps w:val="0"/>
                <w:color w:val="000000"/>
                <w:kern w:val="0"/>
                <w:sz w:val="18"/>
                <w:szCs w:val="18"/>
              </w:rPr>
              <w:t> </w:t>
            </w:r>
          </w:p>
        </w:tc>
        <w:tc>
          <w:tcPr>
            <w:tcW w:w="8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eastAsia" w:eastAsia="仿宋" w:cs="Times New Roman"/>
                <w:b w:val="0"/>
                <w:bCs w:val="0"/>
                <w:i w:val="0"/>
                <w:iCs w:val="0"/>
                <w:smallCaps w:val="0"/>
                <w:color w:val="000000"/>
                <w:kern w:val="0"/>
                <w:sz w:val="18"/>
                <w:szCs w:val="18"/>
                <w:lang w:val="en-US" w:eastAsia="zh-CN"/>
              </w:rPr>
              <w:t>0</w:t>
            </w:r>
            <w:r>
              <w:rPr>
                <w:rFonts w:hint="default" w:ascii="Times New Roman" w:hAnsi="Times New Roman" w:eastAsia="仿宋" w:cs="Times New Roman"/>
                <w:b w:val="0"/>
                <w:bCs w:val="0"/>
                <w:i w:val="0"/>
                <w:iCs w:val="0"/>
                <w:smallCaps w:val="0"/>
                <w:color w:val="000000"/>
                <w:kern w:val="0"/>
                <w:sz w:val="18"/>
                <w:szCs w:val="18"/>
              </w:rPr>
              <w:t> </w:t>
            </w:r>
          </w:p>
        </w:tc>
        <w:tc>
          <w:tcPr>
            <w:tcW w:w="10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eastAsia" w:eastAsia="仿宋" w:cs="Times New Roman"/>
                <w:b w:val="0"/>
                <w:bCs w:val="0"/>
                <w:i w:val="0"/>
                <w:iCs w:val="0"/>
                <w:smallCaps w:val="0"/>
                <w:color w:val="000000"/>
                <w:kern w:val="0"/>
                <w:sz w:val="18"/>
                <w:szCs w:val="18"/>
                <w:lang w:val="en-US" w:eastAsia="zh-CN"/>
              </w:rPr>
              <w:t>0</w:t>
            </w:r>
            <w:r>
              <w:rPr>
                <w:rFonts w:hint="default" w:ascii="Times New Roman" w:hAnsi="Times New Roman" w:eastAsia="仿宋" w:cs="Times New Roman"/>
                <w:b w:val="0"/>
                <w:bCs w:val="0"/>
                <w:i w:val="0"/>
                <w:iCs w:val="0"/>
                <w:smallCaps w:val="0"/>
                <w:color w:val="000000"/>
                <w:kern w:val="0"/>
                <w:sz w:val="18"/>
                <w:szCs w:val="18"/>
              </w:rPr>
              <w:t> </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eastAsia" w:eastAsia="仿宋" w:cs="Times New Roman"/>
                <w:b w:val="0"/>
                <w:bCs w:val="0"/>
                <w:i w:val="0"/>
                <w:iCs w:val="0"/>
                <w:smallCaps w:val="0"/>
                <w:color w:val="000000"/>
                <w:kern w:val="0"/>
                <w:sz w:val="18"/>
                <w:szCs w:val="18"/>
                <w:lang w:val="en-US" w:eastAsia="zh-CN"/>
              </w:rPr>
              <w:t>0</w:t>
            </w:r>
            <w:r>
              <w:rPr>
                <w:rFonts w:hint="default" w:ascii="Times New Roman" w:hAnsi="Times New Roman" w:eastAsia="仿宋" w:cs="Times New Roman"/>
                <w:b w:val="0"/>
                <w:bCs w:val="0"/>
                <w:i w:val="0"/>
                <w:iCs w:val="0"/>
                <w:smallCaps w:val="0"/>
                <w:color w:val="000000"/>
                <w:kern w:val="0"/>
                <w:sz w:val="18"/>
                <w:szCs w:val="18"/>
              </w:rPr>
              <w:t> </w:t>
            </w:r>
          </w:p>
        </w:tc>
        <w:tc>
          <w:tcPr>
            <w:tcW w:w="7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eastAsia" w:eastAsia="仿宋" w:cs="Times New Roman"/>
                <w:b w:val="0"/>
                <w:bCs w:val="0"/>
                <w:i w:val="0"/>
                <w:iCs w:val="0"/>
                <w:smallCaps w:val="0"/>
                <w:color w:val="000000"/>
                <w:kern w:val="0"/>
                <w:sz w:val="18"/>
                <w:szCs w:val="18"/>
                <w:lang w:val="en-US" w:eastAsia="zh-CN"/>
              </w:rPr>
              <w:t>0</w:t>
            </w:r>
            <w:r>
              <w:rPr>
                <w:rFonts w:hint="default" w:ascii="Times New Roman" w:hAnsi="Times New Roman" w:eastAsia="仿宋" w:cs="Times New Roman"/>
                <w:b w:val="0"/>
                <w:bCs w:val="0"/>
                <w:i w:val="0"/>
                <w:iCs w:val="0"/>
                <w:smallCaps w:val="0"/>
                <w:color w:val="000000"/>
                <w:kern w:val="0"/>
                <w:sz w:val="18"/>
                <w:szCs w:val="18"/>
              </w:rPr>
              <w:t> </w:t>
            </w:r>
          </w:p>
        </w:tc>
        <w:tc>
          <w:tcPr>
            <w:tcW w:w="97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eastAsia" w:eastAsia="仿宋" w:cs="Times New Roman"/>
                <w:b w:val="0"/>
                <w:bCs w:val="0"/>
                <w:i w:val="0"/>
                <w:iCs w:val="0"/>
                <w:smallCaps w:val="0"/>
                <w:color w:val="000000"/>
                <w:kern w:val="0"/>
                <w:sz w:val="18"/>
                <w:szCs w:val="18"/>
                <w:lang w:val="en-US" w:eastAsia="zh-CN"/>
              </w:rPr>
              <w:t>0</w:t>
            </w:r>
            <w:r>
              <w:rPr>
                <w:rFonts w:hint="default" w:ascii="Times New Roman" w:hAnsi="Times New Roman" w:eastAsia="仿宋" w:cs="Times New Roman"/>
                <w:b w:val="0"/>
                <w:bCs w:val="0"/>
                <w:i w:val="0"/>
                <w:iCs w:val="0"/>
                <w:smallCaps w:val="0"/>
                <w:color w:val="000000"/>
                <w:kern w:val="0"/>
                <w:sz w:val="18"/>
                <w:szCs w:val="18"/>
              </w:rPr>
              <w:t> </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eastAsia" w:eastAsia="仿宋" w:cs="Times New Roman"/>
                <w:b w:val="0"/>
                <w:bCs w:val="0"/>
                <w:i w:val="0"/>
                <w:iCs w:val="0"/>
                <w:smallCaps w:val="0"/>
                <w:color w:val="000000"/>
                <w:kern w:val="0"/>
                <w:sz w:val="18"/>
                <w:szCs w:val="18"/>
                <w:lang w:val="en-US" w:eastAsia="zh-CN"/>
              </w:rPr>
              <w:t>0</w:t>
            </w:r>
            <w:r>
              <w:rPr>
                <w:rFonts w:hint="default" w:ascii="Times New Roman" w:hAnsi="Times New Roman" w:eastAsia="仿宋" w:cs="Times New Roman"/>
                <w:b w:val="0"/>
                <w:bCs w:val="0"/>
                <w:i w:val="0"/>
                <w:iCs w:val="0"/>
                <w:smallCaps w:val="0"/>
                <w:color w:val="000000"/>
                <w:kern w:val="0"/>
                <w:sz w:val="18"/>
                <w:szCs w:val="18"/>
              </w:rPr>
              <w:t> </w:t>
            </w:r>
          </w:p>
        </w:tc>
        <w:tc>
          <w:tcPr>
            <w:tcW w:w="115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eastAsia" w:eastAsia="仿宋" w:cs="Times New Roman"/>
                <w:b w:val="0"/>
                <w:bCs w:val="0"/>
                <w:i w:val="0"/>
                <w:iCs w:val="0"/>
                <w:smallCaps w:val="0"/>
                <w:color w:val="000000"/>
                <w:kern w:val="0"/>
                <w:sz w:val="18"/>
                <w:szCs w:val="18"/>
                <w:lang w:val="en-US" w:eastAsia="zh-CN"/>
              </w:rPr>
              <w:t>0</w:t>
            </w:r>
            <w:r>
              <w:rPr>
                <w:rFonts w:hint="default" w:ascii="Times New Roman" w:hAnsi="Times New Roman" w:eastAsia="仿宋" w:cs="Times New Roman"/>
                <w:b w:val="0"/>
                <w:bCs w:val="0"/>
                <w:i w:val="0"/>
                <w:iCs w:val="0"/>
                <w:smallCaps w:val="0"/>
                <w:color w:val="000000"/>
                <w:kern w:val="0"/>
                <w:sz w:val="18"/>
                <w:szCs w:val="18"/>
              </w:rPr>
              <w:t> </w:t>
            </w:r>
          </w:p>
        </w:tc>
        <w:tc>
          <w:tcPr>
            <w:tcW w:w="61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eastAsia" w:eastAsia="仿宋" w:cs="Times New Roman"/>
                <w:b w:val="0"/>
                <w:bCs w:val="0"/>
                <w:i w:val="0"/>
                <w:iCs w:val="0"/>
                <w:smallCaps w:val="0"/>
                <w:color w:val="000000"/>
                <w:kern w:val="0"/>
                <w:sz w:val="18"/>
                <w:szCs w:val="18"/>
                <w:lang w:val="en-US" w:eastAsia="zh-CN"/>
              </w:rPr>
              <w:t>0</w:t>
            </w:r>
            <w:r>
              <w:rPr>
                <w:rFonts w:hint="default" w:ascii="Times New Roman" w:hAnsi="Times New Roman" w:eastAsia="仿宋" w:cs="Times New Roman"/>
                <w:b w:val="0"/>
                <w:bCs w:val="0"/>
                <w:i w:val="0"/>
                <w:iCs w:val="0"/>
                <w:smallCaps w:val="0"/>
                <w:color w:val="000000"/>
                <w:kern w:val="0"/>
                <w:sz w:val="18"/>
                <w:szCs w:val="18"/>
              </w:rPr>
              <w:t> </w:t>
            </w:r>
          </w:p>
        </w:tc>
        <w:tc>
          <w:tcPr>
            <w:tcW w:w="14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eastAsia" w:eastAsia="仿宋" w:cs="Times New Roman"/>
                <w:b w:val="0"/>
                <w:bCs w:val="0"/>
                <w:i w:val="0"/>
                <w:iCs w:val="0"/>
                <w:smallCaps w:val="0"/>
                <w:color w:val="000000"/>
                <w:kern w:val="0"/>
                <w:sz w:val="18"/>
                <w:szCs w:val="18"/>
                <w:lang w:val="en-US" w:eastAsia="zh-CN"/>
              </w:rPr>
              <w:t>0</w:t>
            </w: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258" w:type="dxa"/>
            <w:gridSpan w:val="12"/>
            <w:noWrap w:val="0"/>
            <w:tcMar>
              <w:top w:w="20" w:type="dxa"/>
              <w:left w:w="20" w:type="dxa"/>
              <w:bottom w:w="20" w:type="dxa"/>
              <w:right w:w="20" w:type="dxa"/>
            </w:tcMar>
            <w:vAlign w:val="center"/>
          </w:tcPr>
          <w:p>
            <w:pPr>
              <w:widowControl/>
              <w:spacing w:line="375" w:lineRule="atLeast"/>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pStyle w:val="6"/>
        <w:keepNext w:val="0"/>
        <w:keepLines w:val="0"/>
        <w:spacing w:before="100" w:after="100" w:line="240" w:lineRule="auto"/>
        <w:ind w:left="0" w:right="0" w:firstLine="640" w:firstLineChars="200"/>
        <w:rPr>
          <w:rFonts w:hint="eastAsia" w:ascii="黑体" w:hAnsi="黑体" w:eastAsia="黑体" w:cs="黑体"/>
          <w:kern w:val="0"/>
          <w:sz w:val="32"/>
          <w:szCs w:val="32"/>
        </w:rPr>
      </w:pPr>
      <w:r>
        <w:rPr>
          <w:rFonts w:ascii="仿宋" w:hAnsi="仿宋" w:eastAsia="仿宋" w:cs="仿宋"/>
          <w:b w:val="0"/>
          <w:bCs w:val="0"/>
          <w:i w:val="0"/>
          <w:iCs w:val="0"/>
          <w:caps w:val="0"/>
          <w:smallCaps w:val="0"/>
          <w:color w:val="000000"/>
          <w:kern w:val="0"/>
          <w:sz w:val="32"/>
          <w:szCs w:val="32"/>
          <w:lang w:eastAsia="zh-CN"/>
        </w:rPr>
        <w:t>本单位</w:t>
      </w:r>
      <w:r>
        <w:rPr>
          <w:rFonts w:ascii="仿宋" w:hAnsi="仿宋" w:eastAsia="仿宋" w:cs="仿宋"/>
          <w:b w:val="0"/>
          <w:bCs w:val="0"/>
          <w:i w:val="0"/>
          <w:iCs w:val="0"/>
          <w:caps w:val="0"/>
          <w:smallCaps w:val="0"/>
          <w:color w:val="000000"/>
          <w:kern w:val="0"/>
          <w:sz w:val="32"/>
          <w:szCs w:val="32"/>
          <w:lang w:val="en-US" w:eastAsia="zh-CN"/>
        </w:rPr>
        <w:t>2024年度没有使用一般公共预算财政拨款安排的“三公”经费支出。</w:t>
      </w:r>
    </w:p>
    <w:p>
      <w:pPr>
        <w:pStyle w:val="6"/>
        <w:keepNext w:val="0"/>
        <w:keepLines w:val="0"/>
        <w:spacing w:before="100" w:after="100" w:line="240" w:lineRule="auto"/>
        <w:ind w:left="0" w:right="0" w:firstLine="0" w:firstLineChars="0"/>
        <w:rPr>
          <w:rFonts w:hint="eastAsia" w:ascii="黑体" w:hAnsi="黑体" w:eastAsia="黑体" w:cs="黑体"/>
          <w:b/>
          <w:bCs/>
          <w:kern w:val="0"/>
          <w:sz w:val="32"/>
          <w:szCs w:val="32"/>
        </w:rPr>
      </w:pPr>
      <w:bookmarkStart w:id="58" w:name="_Toc256000045"/>
      <w:bookmarkStart w:id="59" w:name="_Toc256000076"/>
      <w:bookmarkStart w:id="60" w:name="_Toc256000107"/>
      <w:bookmarkStart w:id="61" w:name="_Toc256000014"/>
      <w:r>
        <w:rPr>
          <w:rFonts w:hint="eastAsia" w:ascii="黑体" w:hAnsi="黑体" w:eastAsia="黑体" w:cs="黑体"/>
          <w:b/>
          <w:spacing w:val="0"/>
          <w:sz w:val="32"/>
          <w:szCs w:val="32"/>
        </w:rPr>
        <w:t>八、政府性基金预算财政拨款收入支出决算表</w:t>
      </w:r>
      <w:bookmarkEnd w:id="58"/>
      <w:bookmarkEnd w:id="59"/>
      <w:bookmarkEnd w:id="60"/>
      <w:bookmarkEnd w:id="61"/>
    </w:p>
    <w:p>
      <w:pPr>
        <w:pStyle w:val="2"/>
      </w:pPr>
    </w:p>
    <w:tbl>
      <w:tblPr>
        <w:tblStyle w:val="23"/>
        <w:tblpPr w:leftFromText="180" w:rightFromText="180" w:vertAnchor="text" w:horzAnchor="page" w:tblpX="773" w:tblpY="32"/>
        <w:tblOverlap w:val="never"/>
        <w:tblW w:w="10226" w:type="dxa"/>
        <w:tblInd w:w="0" w:type="dxa"/>
        <w:tblLayout w:type="fixed"/>
        <w:tblCellMar>
          <w:top w:w="15" w:type="dxa"/>
          <w:left w:w="15" w:type="dxa"/>
          <w:bottom w:w="15" w:type="dxa"/>
          <w:right w:w="15" w:type="dxa"/>
        </w:tblCellMar>
      </w:tblPr>
      <w:tblGrid>
        <w:gridCol w:w="917"/>
        <w:gridCol w:w="1539"/>
        <w:gridCol w:w="741"/>
        <w:gridCol w:w="960"/>
        <w:gridCol w:w="870"/>
        <w:gridCol w:w="1764"/>
        <w:gridCol w:w="1485"/>
        <w:gridCol w:w="1950"/>
      </w:tblGrid>
      <w:tr>
        <w:tblPrEx>
          <w:tblLayout w:type="fixed"/>
          <w:tblCellMar>
            <w:top w:w="15" w:type="dxa"/>
            <w:left w:w="15" w:type="dxa"/>
            <w:bottom w:w="15" w:type="dxa"/>
            <w:right w:w="15" w:type="dxa"/>
          </w:tblCellMar>
        </w:tblPrEx>
        <w:trPr>
          <w:tblHeader/>
        </w:trPr>
        <w:tc>
          <w:tcPr>
            <w:tcW w:w="10226" w:type="dxa"/>
            <w:gridSpan w:val="8"/>
            <w:noWrap w:val="0"/>
            <w:tcMar>
              <w:top w:w="20" w:type="dxa"/>
              <w:left w:w="20" w:type="dxa"/>
              <w:bottom w:w="20" w:type="dxa"/>
              <w:right w:w="20" w:type="dxa"/>
            </w:tcMar>
            <w:vAlign w:val="center"/>
          </w:tcPr>
          <w:p>
            <w:pPr>
              <w:widowControl/>
              <w:spacing w:line="900" w:lineRule="atLeast"/>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32"/>
                <w:szCs w:val="32"/>
              </w:rPr>
              <w:t>政府性基金预算财政拨款收入支出决算表</w:t>
            </w:r>
          </w:p>
        </w:tc>
      </w:tr>
      <w:tr>
        <w:tblPrEx>
          <w:tblLayout w:type="fixed"/>
          <w:tblCellMar>
            <w:top w:w="15" w:type="dxa"/>
            <w:left w:w="15" w:type="dxa"/>
            <w:bottom w:w="15" w:type="dxa"/>
            <w:right w:w="15" w:type="dxa"/>
          </w:tblCellMar>
        </w:tblPrEx>
        <w:trPr>
          <w:tblHeader/>
        </w:trPr>
        <w:tc>
          <w:tcPr>
            <w:tcW w:w="91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53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74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96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87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76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48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95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4157"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部门/单位：厦门市东渡第二小学</w:t>
            </w:r>
          </w:p>
        </w:tc>
        <w:tc>
          <w:tcPr>
            <w:tcW w:w="87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2024年度</w:t>
            </w:r>
          </w:p>
        </w:tc>
        <w:tc>
          <w:tcPr>
            <w:tcW w:w="176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48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95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blHeader/>
        </w:trPr>
        <w:tc>
          <w:tcPr>
            <w:tcW w:w="24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项目</w:t>
            </w:r>
          </w:p>
        </w:tc>
        <w:tc>
          <w:tcPr>
            <w:tcW w:w="741"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xml:space="preserve">年初结转和结余 </w:t>
            </w:r>
          </w:p>
        </w:tc>
        <w:tc>
          <w:tcPr>
            <w:tcW w:w="96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本年收入</w:t>
            </w:r>
          </w:p>
        </w:tc>
        <w:tc>
          <w:tcPr>
            <w:tcW w:w="4119"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本年支出</w:t>
            </w:r>
          </w:p>
        </w:tc>
        <w:tc>
          <w:tcPr>
            <w:tcW w:w="195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年末结转和结余</w:t>
            </w:r>
          </w:p>
        </w:tc>
      </w:tr>
      <w:tr>
        <w:tblPrEx>
          <w:tblLayout w:type="fixed"/>
          <w:tblCellMar>
            <w:top w:w="15" w:type="dxa"/>
            <w:left w:w="15" w:type="dxa"/>
            <w:bottom w:w="15" w:type="dxa"/>
            <w:right w:w="15" w:type="dxa"/>
          </w:tblCellMar>
        </w:tblPrEx>
        <w:trPr>
          <w:tblHeader/>
        </w:trPr>
        <w:tc>
          <w:tcPr>
            <w:tcW w:w="91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支出功能分类科目编码</w:t>
            </w:r>
          </w:p>
        </w:tc>
        <w:tc>
          <w:tcPr>
            <w:tcW w:w="1539"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科目名称</w:t>
            </w:r>
          </w:p>
        </w:tc>
        <w:tc>
          <w:tcPr>
            <w:tcW w:w="741" w:type="dxa"/>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960" w:type="dxa"/>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87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小计</w:t>
            </w:r>
          </w:p>
        </w:tc>
        <w:tc>
          <w:tcPr>
            <w:tcW w:w="176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xml:space="preserve">基本支出 </w:t>
            </w:r>
          </w:p>
        </w:tc>
        <w:tc>
          <w:tcPr>
            <w:tcW w:w="148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项目支出</w:t>
            </w:r>
          </w:p>
        </w:tc>
        <w:tc>
          <w:tcPr>
            <w:tcW w:w="1950" w:type="dxa"/>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trPr>
        <w:tc>
          <w:tcPr>
            <w:tcW w:w="917" w:type="dxa"/>
            <w:vMerge w:val="continue"/>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1539" w:type="dxa"/>
            <w:vMerge w:val="continue"/>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741" w:type="dxa"/>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960" w:type="dxa"/>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870" w:type="dxa"/>
            <w:vMerge w:val="continue"/>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1764" w:type="dxa"/>
            <w:vMerge w:val="continue"/>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1485" w:type="dxa"/>
            <w:vMerge w:val="continue"/>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1950" w:type="dxa"/>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24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栏次</w:t>
            </w:r>
          </w:p>
        </w:tc>
        <w:tc>
          <w:tcPr>
            <w:tcW w:w="7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w:t>
            </w:r>
          </w:p>
        </w:tc>
        <w:tc>
          <w:tcPr>
            <w:tcW w:w="17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4</w:t>
            </w:r>
          </w:p>
        </w:tc>
        <w:tc>
          <w:tcPr>
            <w:tcW w:w="14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5</w:t>
            </w:r>
          </w:p>
        </w:tc>
        <w:tc>
          <w:tcPr>
            <w:tcW w:w="19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6</w:t>
            </w:r>
          </w:p>
        </w:tc>
      </w:tr>
      <w:tr>
        <w:tblPrEx>
          <w:tblLayout w:type="fixed"/>
          <w:tblCellMar>
            <w:top w:w="15" w:type="dxa"/>
            <w:left w:w="15" w:type="dxa"/>
            <w:bottom w:w="15" w:type="dxa"/>
            <w:right w:w="15" w:type="dxa"/>
          </w:tblCellMar>
        </w:tblPrEx>
        <w:tc>
          <w:tcPr>
            <w:tcW w:w="24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合计</w:t>
            </w:r>
          </w:p>
        </w:tc>
        <w:tc>
          <w:tcPr>
            <w:tcW w:w="7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0.37</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0.37</w:t>
            </w:r>
          </w:p>
        </w:tc>
        <w:tc>
          <w:tcPr>
            <w:tcW w:w="17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4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0.37</w:t>
            </w:r>
          </w:p>
        </w:tc>
        <w:tc>
          <w:tcPr>
            <w:tcW w:w="19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229</w:t>
            </w:r>
          </w:p>
        </w:tc>
        <w:tc>
          <w:tcPr>
            <w:tcW w:w="15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其他支出</w:t>
            </w:r>
          </w:p>
        </w:tc>
        <w:tc>
          <w:tcPr>
            <w:tcW w:w="7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0.37</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0.37</w:t>
            </w:r>
          </w:p>
        </w:tc>
        <w:tc>
          <w:tcPr>
            <w:tcW w:w="17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4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0.37</w:t>
            </w:r>
          </w:p>
        </w:tc>
        <w:tc>
          <w:tcPr>
            <w:tcW w:w="19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22960</w:t>
            </w:r>
          </w:p>
        </w:tc>
        <w:tc>
          <w:tcPr>
            <w:tcW w:w="15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彩票公益金安排的支出</w:t>
            </w:r>
          </w:p>
        </w:tc>
        <w:tc>
          <w:tcPr>
            <w:tcW w:w="7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0.37</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0.37</w:t>
            </w:r>
          </w:p>
        </w:tc>
        <w:tc>
          <w:tcPr>
            <w:tcW w:w="17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4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0.37</w:t>
            </w:r>
          </w:p>
        </w:tc>
        <w:tc>
          <w:tcPr>
            <w:tcW w:w="19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2296003</w:t>
            </w:r>
          </w:p>
        </w:tc>
        <w:tc>
          <w:tcPr>
            <w:tcW w:w="153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用于体育事业的彩票公益金支出</w:t>
            </w:r>
          </w:p>
        </w:tc>
        <w:tc>
          <w:tcPr>
            <w:tcW w:w="7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9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0.37</w:t>
            </w:r>
          </w:p>
        </w:tc>
        <w:tc>
          <w:tcPr>
            <w:tcW w:w="8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0.37</w:t>
            </w:r>
          </w:p>
        </w:tc>
        <w:tc>
          <w:tcPr>
            <w:tcW w:w="176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48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0.37</w:t>
            </w:r>
          </w:p>
        </w:tc>
        <w:tc>
          <w:tcPr>
            <w:tcW w:w="195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226" w:type="dxa"/>
            <w:gridSpan w:val="8"/>
            <w:noWrap w:val="0"/>
            <w:tcMar>
              <w:top w:w="20" w:type="dxa"/>
              <w:left w:w="20" w:type="dxa"/>
              <w:bottom w:w="20" w:type="dxa"/>
              <w:right w:w="20" w:type="dxa"/>
            </w:tcMar>
            <w:vAlign w:val="center"/>
          </w:tcPr>
          <w:p>
            <w:pPr>
              <w:widowControl/>
              <w:spacing w:line="375" w:lineRule="atLeast"/>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注：本表反映部门本年度政府性基金预算财政拨款收入、支出及结转和结余情况。</w:t>
            </w:r>
          </w:p>
        </w:tc>
      </w:tr>
    </w:tbl>
    <w:p>
      <w:pPr>
        <w:pStyle w:val="6"/>
        <w:keepNext w:val="0"/>
        <w:keepLines w:val="0"/>
        <w:spacing w:before="100" w:after="100" w:line="240" w:lineRule="auto"/>
        <w:ind w:left="0" w:right="0" w:firstLine="0" w:firstLineChars="0"/>
        <w:rPr>
          <w:rFonts w:hint="default" w:ascii="Times New Roman" w:hAnsi="Times New Roman" w:eastAsia="仿宋" w:cs="Times New Roman"/>
          <w:b/>
          <w:bCs/>
          <w:kern w:val="0"/>
          <w:sz w:val="18"/>
          <w:szCs w:val="18"/>
        </w:rPr>
      </w:pPr>
      <w:bookmarkStart w:id="62" w:name="_Toc256000015"/>
      <w:bookmarkStart w:id="63" w:name="_Toc256000077"/>
      <w:bookmarkStart w:id="64" w:name="_Toc256000108"/>
      <w:bookmarkStart w:id="65" w:name="_Toc256000046"/>
      <w:r>
        <w:rPr>
          <w:rFonts w:hint="eastAsia" w:ascii="黑体" w:hAnsi="黑体" w:eastAsia="黑体" w:cs="黑体"/>
          <w:b/>
          <w:spacing w:val="0"/>
          <w:sz w:val="32"/>
          <w:szCs w:val="32"/>
        </w:rPr>
        <w:t>九、国有资本经营预算财政拨款支出决算表</w:t>
      </w:r>
      <w:bookmarkEnd w:id="62"/>
      <w:bookmarkEnd w:id="63"/>
      <w:bookmarkEnd w:id="64"/>
      <w:bookmarkEnd w:id="65"/>
    </w:p>
    <w:p>
      <w:pPr>
        <w:rPr>
          <w:rFonts w:hint="default" w:ascii="Times New Roman" w:hAnsi="Times New Roman" w:eastAsia="仿宋" w:cs="Times New Roman"/>
          <w:sz w:val="18"/>
          <w:szCs w:val="18"/>
        </w:rPr>
      </w:pPr>
    </w:p>
    <w:tbl>
      <w:tblPr>
        <w:tblStyle w:val="23"/>
        <w:tblW w:w="9407" w:type="dxa"/>
        <w:tblInd w:w="20" w:type="dxa"/>
        <w:tblLayout w:type="fixed"/>
        <w:tblCellMar>
          <w:top w:w="15" w:type="dxa"/>
          <w:left w:w="15" w:type="dxa"/>
          <w:bottom w:w="15" w:type="dxa"/>
          <w:right w:w="15" w:type="dxa"/>
        </w:tblCellMar>
      </w:tblPr>
      <w:tblGrid>
        <w:gridCol w:w="1067"/>
        <w:gridCol w:w="1170"/>
        <w:gridCol w:w="1755"/>
        <w:gridCol w:w="2760"/>
        <w:gridCol w:w="2655"/>
      </w:tblGrid>
      <w:tr>
        <w:tblPrEx>
          <w:tblLayout w:type="fixed"/>
          <w:tblCellMar>
            <w:top w:w="15" w:type="dxa"/>
            <w:left w:w="15" w:type="dxa"/>
            <w:bottom w:w="15" w:type="dxa"/>
            <w:right w:w="15" w:type="dxa"/>
          </w:tblCellMar>
        </w:tblPrEx>
        <w:trPr>
          <w:tblHeader/>
        </w:trPr>
        <w:tc>
          <w:tcPr>
            <w:tcW w:w="9407" w:type="dxa"/>
            <w:gridSpan w:val="5"/>
            <w:noWrap w:val="0"/>
            <w:tcMar>
              <w:top w:w="20" w:type="dxa"/>
              <w:left w:w="20" w:type="dxa"/>
              <w:bottom w:w="20" w:type="dxa"/>
              <w:right w:w="20" w:type="dxa"/>
            </w:tcMar>
            <w:vAlign w:val="center"/>
          </w:tcPr>
          <w:p>
            <w:pPr>
              <w:widowControl/>
              <w:spacing w:line="900" w:lineRule="atLeast"/>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32"/>
                <w:szCs w:val="32"/>
              </w:rPr>
              <w:t>国有资本经营预算财政拨款支出决算表</w:t>
            </w:r>
          </w:p>
        </w:tc>
      </w:tr>
      <w:tr>
        <w:tblPrEx>
          <w:tblLayout w:type="fixed"/>
          <w:tblCellMar>
            <w:top w:w="15" w:type="dxa"/>
            <w:left w:w="15" w:type="dxa"/>
            <w:bottom w:w="15" w:type="dxa"/>
            <w:right w:w="15" w:type="dxa"/>
          </w:tblCellMar>
        </w:tblPrEx>
        <w:trPr>
          <w:tblHeader/>
        </w:trPr>
        <w:tc>
          <w:tcPr>
            <w:tcW w:w="106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17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17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276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26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2237"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部门/单位：厦门市东渡第二小学</w:t>
            </w:r>
          </w:p>
        </w:tc>
        <w:tc>
          <w:tcPr>
            <w:tcW w:w="17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2024年度</w:t>
            </w:r>
          </w:p>
        </w:tc>
        <w:tc>
          <w:tcPr>
            <w:tcW w:w="276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26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c>
          <w:tcPr>
            <w:tcW w:w="2237"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项目</w:t>
            </w:r>
          </w:p>
        </w:tc>
        <w:tc>
          <w:tcPr>
            <w:tcW w:w="7170"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本年支出</w:t>
            </w:r>
          </w:p>
        </w:tc>
      </w:tr>
      <w:tr>
        <w:tblPrEx>
          <w:tblLayout w:type="fixed"/>
          <w:tblCellMar>
            <w:top w:w="15" w:type="dxa"/>
            <w:left w:w="15" w:type="dxa"/>
            <w:bottom w:w="15" w:type="dxa"/>
            <w:right w:w="15" w:type="dxa"/>
          </w:tblCellMar>
        </w:tblPrEx>
        <w:trPr>
          <w:tblHeader/>
        </w:trPr>
        <w:tc>
          <w:tcPr>
            <w:tcW w:w="106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科目代码</w:t>
            </w:r>
          </w:p>
        </w:tc>
        <w:tc>
          <w:tcPr>
            <w:tcW w:w="117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科目名称</w:t>
            </w:r>
          </w:p>
        </w:tc>
        <w:tc>
          <w:tcPr>
            <w:tcW w:w="1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合计</w:t>
            </w:r>
          </w:p>
        </w:tc>
        <w:tc>
          <w:tcPr>
            <w:tcW w:w="276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基本支出</w:t>
            </w:r>
          </w:p>
        </w:tc>
        <w:tc>
          <w:tcPr>
            <w:tcW w:w="26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项目支出</w:t>
            </w:r>
          </w:p>
        </w:tc>
      </w:tr>
      <w:tr>
        <w:tblPrEx>
          <w:tblLayout w:type="fixed"/>
          <w:tblCellMar>
            <w:top w:w="15" w:type="dxa"/>
            <w:left w:w="15" w:type="dxa"/>
            <w:bottom w:w="15" w:type="dxa"/>
            <w:right w:w="15" w:type="dxa"/>
          </w:tblCellMar>
        </w:tblPrEx>
        <w:trPr>
          <w:tblHeader/>
        </w:trPr>
        <w:tc>
          <w:tcPr>
            <w:tcW w:w="1067" w:type="dxa"/>
            <w:vMerge w:val="continue"/>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1170" w:type="dxa"/>
            <w:vMerge w:val="continue"/>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1755" w:type="dxa"/>
            <w:vMerge w:val="continue"/>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2760" w:type="dxa"/>
            <w:vMerge w:val="continue"/>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2655" w:type="dxa"/>
            <w:vMerge w:val="continue"/>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trPr>
        <w:tc>
          <w:tcPr>
            <w:tcW w:w="1067" w:type="dxa"/>
            <w:vMerge w:val="continue"/>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1170" w:type="dxa"/>
            <w:vMerge w:val="continue"/>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1755" w:type="dxa"/>
            <w:vMerge w:val="continue"/>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2760" w:type="dxa"/>
            <w:vMerge w:val="continue"/>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c>
          <w:tcPr>
            <w:tcW w:w="2655" w:type="dxa"/>
            <w:vMerge w:val="continue"/>
            <w:tcBorders>
              <w:top w:val="single" w:color="000000" w:sz="6" w:space="0"/>
              <w:left w:val="single" w:color="000000" w:sz="6" w:space="0"/>
              <w:bottom w:val="single" w:color="000000" w:sz="6" w:space="0"/>
              <w:right w:val="single" w:color="000000" w:sz="6" w:space="0"/>
            </w:tcBorders>
            <w:vAlign w:val="center"/>
          </w:tcPr>
          <w:p>
            <w:pPr>
              <w:rPr>
                <w:rFonts w:hint="default" w:ascii="Times New Roman" w:hAnsi="Times New Roman" w:eastAsia="仿宋"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2237"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栏次</w:t>
            </w:r>
          </w:p>
        </w:tc>
        <w:tc>
          <w:tcPr>
            <w:tcW w:w="1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1</w:t>
            </w:r>
          </w:p>
        </w:tc>
        <w:tc>
          <w:tcPr>
            <w:tcW w:w="27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2</w:t>
            </w:r>
          </w:p>
        </w:tc>
        <w:tc>
          <w:tcPr>
            <w:tcW w:w="26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3</w:t>
            </w:r>
          </w:p>
        </w:tc>
      </w:tr>
      <w:tr>
        <w:tblPrEx>
          <w:tblLayout w:type="fixed"/>
          <w:tblCellMar>
            <w:top w:w="15" w:type="dxa"/>
            <w:left w:w="15" w:type="dxa"/>
            <w:bottom w:w="15" w:type="dxa"/>
            <w:right w:w="15" w:type="dxa"/>
          </w:tblCellMar>
        </w:tblPrEx>
        <w:tc>
          <w:tcPr>
            <w:tcW w:w="2237"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合计</w:t>
            </w:r>
          </w:p>
        </w:tc>
        <w:tc>
          <w:tcPr>
            <w:tcW w:w="1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276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c>
          <w:tcPr>
            <w:tcW w:w="26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407" w:type="dxa"/>
            <w:gridSpan w:val="5"/>
            <w:noWrap w:val="0"/>
            <w:tcMar>
              <w:top w:w="20" w:type="dxa"/>
              <w:left w:w="20" w:type="dxa"/>
              <w:bottom w:w="20" w:type="dxa"/>
              <w:right w:w="20" w:type="dxa"/>
            </w:tcMar>
            <w:vAlign w:val="center"/>
          </w:tcPr>
          <w:p>
            <w:pPr>
              <w:widowControl/>
              <w:spacing w:line="375" w:lineRule="atLeast"/>
              <w:jc w:val="left"/>
              <w:rPr>
                <w:rFonts w:hint="default" w:ascii="Times New Roman" w:hAnsi="Times New Roman" w:eastAsia="仿宋" w:cs="Times New Roman"/>
                <w:b w:val="0"/>
                <w:bCs w:val="0"/>
                <w:i w:val="0"/>
                <w:iCs w:val="0"/>
                <w:smallCaps w:val="0"/>
                <w:color w:val="000000"/>
                <w:kern w:val="0"/>
                <w:sz w:val="18"/>
                <w:szCs w:val="18"/>
              </w:rPr>
            </w:pPr>
            <w:r>
              <w:rPr>
                <w:rFonts w:hint="default" w:ascii="Times New Roman" w:hAnsi="Times New Roman" w:eastAsia="仿宋" w:cs="Times New Roman"/>
                <w:b w:val="0"/>
                <w:bCs w:val="0"/>
                <w:i w:val="0"/>
                <w:iCs w:val="0"/>
                <w:smallCaps w:val="0"/>
                <w:color w:val="000000"/>
                <w:kern w:val="0"/>
                <w:sz w:val="18"/>
                <w:szCs w:val="18"/>
              </w:rPr>
              <w:t>注：本表反映部门本年度国有资本经营预算财政拨款支出情况。</w:t>
            </w:r>
          </w:p>
        </w:tc>
      </w:tr>
    </w:tbl>
    <w:p>
      <w:pPr>
        <w:pStyle w:val="29"/>
        <w:widowControl/>
        <w:bidi w:val="0"/>
        <w:spacing w:before="240" w:after="240"/>
        <w:ind w:firstLine="640"/>
        <w:jc w:val="both"/>
        <w:rPr>
          <w:rFonts w:hint="eastAsia" w:ascii="仿宋" w:hAnsi="仿宋" w:eastAsia="仿宋" w:cs="仿宋"/>
          <w:kern w:val="0"/>
          <w:sz w:val="32"/>
          <w:szCs w:val="32"/>
          <w:lang w:eastAsia="zh-CN"/>
        </w:rPr>
      </w:pPr>
      <w:bookmarkStart w:id="66" w:name="_Toc256000078"/>
      <w:bookmarkStart w:id="67" w:name="_Toc256000047"/>
      <w:bookmarkStart w:id="68" w:name="_Toc256000109"/>
      <w:bookmarkStart w:id="69" w:name="_Toc256000016"/>
      <w:r>
        <w:rPr>
          <w:rFonts w:ascii="仿宋" w:hAnsi="仿宋" w:eastAsia="仿宋" w:cs="仿宋"/>
          <w:kern w:val="0"/>
          <w:sz w:val="32"/>
          <w:szCs w:val="32"/>
        </w:rPr>
        <w:t>本</w:t>
      </w:r>
      <w:r>
        <w:rPr>
          <w:rFonts w:ascii="仿宋" w:hAnsi="仿宋" w:eastAsia="仿宋" w:cs="仿宋"/>
          <w:kern w:val="0"/>
          <w:sz w:val="32"/>
          <w:szCs w:val="32"/>
          <w:lang w:eastAsia="zh-CN"/>
        </w:rPr>
        <w:t>单位</w:t>
      </w:r>
      <w:r>
        <w:rPr>
          <w:rFonts w:ascii="仿宋" w:hAnsi="仿宋" w:eastAsia="仿宋" w:cs="仿宋"/>
          <w:kern w:val="0"/>
          <w:sz w:val="32"/>
          <w:szCs w:val="32"/>
        </w:rPr>
        <w:t>202</w:t>
      </w:r>
      <w:r>
        <w:rPr>
          <w:rFonts w:ascii="仿宋" w:hAnsi="仿宋" w:eastAsia="仿宋" w:cs="仿宋"/>
          <w:kern w:val="0"/>
          <w:sz w:val="32"/>
          <w:szCs w:val="32"/>
          <w:lang w:val="en-US" w:eastAsia="zh-CN"/>
        </w:rPr>
        <w:t>4</w:t>
      </w:r>
      <w:r>
        <w:rPr>
          <w:rFonts w:ascii="仿宋" w:hAnsi="仿宋" w:eastAsia="仿宋" w:cs="仿宋"/>
          <w:kern w:val="0"/>
          <w:sz w:val="32"/>
          <w:szCs w:val="32"/>
        </w:rPr>
        <w:t>年度没有使用国有资本经营预算财政拨款安排的</w:t>
      </w:r>
      <w:r>
        <w:rPr>
          <w:rFonts w:ascii="仿宋" w:hAnsi="仿宋" w:eastAsia="仿宋" w:cs="仿宋"/>
          <w:kern w:val="0"/>
          <w:sz w:val="32"/>
          <w:szCs w:val="32"/>
          <w:lang w:eastAsia="zh-CN"/>
        </w:rPr>
        <w:t>支出。</w:t>
      </w:r>
    </w:p>
    <w:p>
      <w:pPr>
        <w:pStyle w:val="4"/>
        <w:keepNext w:val="0"/>
        <w:keepLines w:val="0"/>
        <w:spacing w:before="100" w:after="100" w:line="240" w:lineRule="auto"/>
        <w:ind w:left="0" w:right="0" w:firstLine="0" w:firstLineChars="0"/>
        <w:jc w:val="center"/>
        <w:rPr>
          <w:rFonts w:ascii="黑体" w:hAnsi="黑体" w:eastAsia="黑体" w:cs="黑体"/>
          <w:b/>
          <w:spacing w:val="0"/>
          <w:sz w:val="44"/>
          <w:szCs w:val="44"/>
        </w:rPr>
      </w:pPr>
      <w:r>
        <w:rPr>
          <w:rFonts w:ascii="黑体" w:hAnsi="黑体" w:eastAsia="黑体" w:cs="黑体"/>
          <w:b/>
          <w:spacing w:val="0"/>
          <w:sz w:val="44"/>
          <w:szCs w:val="44"/>
        </w:rPr>
        <w:t>第三部分</w:t>
      </w:r>
      <w:bookmarkEnd w:id="66"/>
      <w:bookmarkEnd w:id="67"/>
      <w:bookmarkEnd w:id="68"/>
      <w:bookmarkEnd w:id="69"/>
      <w:bookmarkStart w:id="70" w:name="_Toc256000079"/>
      <w:bookmarkStart w:id="71" w:name="_Toc256000017"/>
      <w:bookmarkStart w:id="72" w:name="_Toc256000110"/>
      <w:bookmarkStart w:id="73" w:name="_Toc256000048"/>
    </w:p>
    <w:p>
      <w:pPr>
        <w:pStyle w:val="4"/>
        <w:keepNext w:val="0"/>
        <w:keepLines w:val="0"/>
        <w:spacing w:before="100" w:after="100" w:line="240" w:lineRule="auto"/>
        <w:ind w:left="0" w:right="0" w:firstLine="0" w:firstLineChars="0"/>
        <w:jc w:val="center"/>
        <w:rPr>
          <w:rFonts w:ascii="Times New Roman" w:hAnsi="Times New Roman" w:eastAsia="Times New Roman" w:cs="Times New Roman"/>
          <w:kern w:val="0"/>
          <w:sz w:val="24"/>
        </w:rPr>
      </w:pPr>
      <w:r>
        <w:rPr>
          <w:rFonts w:ascii="黑体" w:hAnsi="黑体" w:eastAsia="黑体" w:cs="黑体"/>
          <w:b/>
          <w:spacing w:val="0"/>
          <w:sz w:val="44"/>
          <w:szCs w:val="44"/>
        </w:rPr>
        <w:t>2024年度决算情况说明</w:t>
      </w:r>
      <w:bookmarkEnd w:id="70"/>
      <w:bookmarkEnd w:id="71"/>
      <w:bookmarkEnd w:id="72"/>
      <w:bookmarkEnd w:id="73"/>
    </w:p>
    <w:p>
      <w:pPr>
        <w:pStyle w:val="6"/>
        <w:keepNext w:val="0"/>
        <w:keepLines w:val="0"/>
        <w:spacing w:before="100" w:after="100" w:line="600" w:lineRule="atLeast"/>
        <w:ind w:left="0" w:right="0" w:firstLine="640" w:firstLineChars="0"/>
        <w:jc w:val="both"/>
        <w:rPr>
          <w:rFonts w:ascii="Times New Roman" w:hAnsi="Times New Roman" w:eastAsia="Times New Roman" w:cs="Times New Roman"/>
          <w:b/>
          <w:bCs/>
          <w:kern w:val="0"/>
          <w:sz w:val="28"/>
          <w:szCs w:val="28"/>
        </w:rPr>
      </w:pPr>
      <w:bookmarkStart w:id="74" w:name="_Toc256000018"/>
      <w:bookmarkStart w:id="75" w:name="_Toc256000049"/>
      <w:bookmarkStart w:id="76" w:name="_Toc256000111"/>
      <w:bookmarkStart w:id="77" w:name="_Toc256000080"/>
      <w:r>
        <w:rPr>
          <w:rFonts w:ascii="黑体" w:hAnsi="黑体" w:eastAsia="黑体" w:cs="黑体"/>
          <w:b/>
          <w:spacing w:val="0"/>
        </w:rPr>
        <w:t>一、收入支出决算总体情况说明</w:t>
      </w:r>
      <w:bookmarkEnd w:id="74"/>
      <w:bookmarkEnd w:id="75"/>
      <w:bookmarkEnd w:id="76"/>
      <w:bookmarkEnd w:id="77"/>
    </w:p>
    <w:p>
      <w:pPr>
        <w:pStyle w:val="29"/>
        <w:widowControl/>
        <w:spacing w:before="100" w:after="100" w:line="600" w:lineRule="atLeast"/>
        <w:ind w:left="0" w:right="0" w:firstLine="640"/>
        <w:jc w:val="both"/>
        <w:rPr>
          <w:rFonts w:ascii="Times New Roman" w:hAnsi="Times New Roman" w:eastAsia="Times New Roman" w:cs="Times New Roman"/>
          <w:kern w:val="0"/>
          <w:sz w:val="24"/>
        </w:rPr>
      </w:pPr>
      <w:r>
        <w:rPr>
          <w:rFonts w:ascii="楷体_GB2312" w:hAnsi="楷体_GB2312" w:eastAsia="楷体_GB2312" w:cs="楷体_GB2312"/>
          <w:spacing w:val="0"/>
          <w:kern w:val="0"/>
          <w:sz w:val="32"/>
          <w:szCs w:val="32"/>
        </w:rPr>
        <w:t>（一）收入支出决算总体情况说明</w:t>
      </w:r>
    </w:p>
    <w:p>
      <w:pPr>
        <w:pStyle w:val="29"/>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2024年度本单位收入总计2835.63万元，支出总计2835.63万元，与上年决算数相比，各增加151.14万元，各增长5.63%。主要是</w:t>
      </w:r>
      <w:r>
        <w:rPr>
          <w:rFonts w:hint="eastAsia" w:ascii="仿宋" w:hAnsi="仿宋" w:eastAsia="仿宋" w:cs="仿宋"/>
          <w:kern w:val="0"/>
          <w:sz w:val="32"/>
          <w:szCs w:val="32"/>
          <w:lang w:eastAsia="zh-CN"/>
        </w:rPr>
        <w:t>本年度采购修缮项目较多。</w:t>
      </w:r>
    </w:p>
    <w:p>
      <w:pPr>
        <w:pStyle w:val="29"/>
        <w:widowControl/>
        <w:spacing w:before="100" w:after="100" w:line="600" w:lineRule="atLeast"/>
        <w:ind w:left="0" w:right="0" w:firstLine="640"/>
        <w:jc w:val="both"/>
        <w:rPr>
          <w:rFonts w:ascii="Times New Roman" w:hAnsi="Times New Roman" w:eastAsia="Times New Roman" w:cs="Times New Roman"/>
          <w:kern w:val="0"/>
          <w:sz w:val="24"/>
        </w:rPr>
      </w:pPr>
      <w:r>
        <w:rPr>
          <w:rFonts w:ascii="楷体_GB2312" w:hAnsi="楷体_GB2312" w:eastAsia="楷体_GB2312" w:cs="楷体_GB2312"/>
          <w:spacing w:val="0"/>
          <w:kern w:val="0"/>
          <w:sz w:val="32"/>
          <w:szCs w:val="32"/>
        </w:rPr>
        <w:t>（二）收入决算情况说明</w:t>
      </w:r>
    </w:p>
    <w:p>
      <w:pPr>
        <w:pStyle w:val="29"/>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2024年度收入2835.63万元，比上年决算数</w:t>
      </w:r>
      <w:r>
        <w:rPr>
          <w:rFonts w:ascii="仿宋" w:hAnsi="仿宋" w:eastAsia="仿宋" w:cs="仿宋"/>
          <w:kern w:val="0"/>
          <w:sz w:val="32"/>
          <w:szCs w:val="32"/>
        </w:rPr>
        <w:t>增加</w:t>
      </w:r>
      <w:r>
        <w:rPr>
          <w:rFonts w:ascii="仿宋" w:hAnsi="仿宋" w:eastAsia="仿宋" w:cs="仿宋"/>
          <w:spacing w:val="0"/>
          <w:kern w:val="0"/>
          <w:sz w:val="32"/>
          <w:szCs w:val="32"/>
        </w:rPr>
        <w:t>151.14万元，</w:t>
      </w:r>
      <w:r>
        <w:rPr>
          <w:rFonts w:ascii="仿宋" w:hAnsi="仿宋" w:eastAsia="仿宋" w:cs="仿宋"/>
          <w:kern w:val="0"/>
          <w:sz w:val="32"/>
          <w:szCs w:val="32"/>
        </w:rPr>
        <w:t>增长</w:t>
      </w:r>
      <w:r>
        <w:rPr>
          <w:rFonts w:ascii="仿宋" w:hAnsi="仿宋" w:eastAsia="仿宋" w:cs="仿宋"/>
          <w:spacing w:val="0"/>
          <w:kern w:val="0"/>
          <w:sz w:val="32"/>
          <w:szCs w:val="32"/>
        </w:rPr>
        <w:t>5.63%，具体情况如下：</w:t>
      </w:r>
    </w:p>
    <w:p>
      <w:pPr>
        <w:pStyle w:val="29"/>
        <w:widowControl/>
        <w:spacing w:before="100" w:after="100" w:line="600" w:lineRule="atLeast"/>
        <w:ind w:left="160" w:right="0" w:firstLine="480"/>
        <w:jc w:val="both"/>
        <w:rPr>
          <w:rFonts w:ascii="Times New Roman" w:hAnsi="Times New Roman" w:eastAsia="Times New Roman" w:cs="Times New Roman"/>
          <w:kern w:val="0"/>
          <w:sz w:val="24"/>
        </w:rPr>
      </w:pPr>
      <w:r>
        <w:rPr>
          <w:rFonts w:ascii="仿宋" w:hAnsi="仿宋" w:eastAsia="仿宋" w:cs="仿宋"/>
          <w:spacing w:val="0"/>
          <w:kern w:val="0"/>
          <w:sz w:val="32"/>
          <w:szCs w:val="32"/>
        </w:rPr>
        <w:t>1.一般公共预算财政拨款收入2835.26万元。</w:t>
      </w:r>
    </w:p>
    <w:p>
      <w:pPr>
        <w:pStyle w:val="29"/>
        <w:widowControl/>
        <w:spacing w:before="100" w:after="100" w:line="600" w:lineRule="atLeast"/>
        <w:ind w:left="160" w:right="0" w:firstLine="480"/>
        <w:jc w:val="both"/>
        <w:rPr>
          <w:rFonts w:ascii="Times New Roman" w:hAnsi="Times New Roman" w:eastAsia="Times New Roman" w:cs="Times New Roman"/>
          <w:kern w:val="0"/>
          <w:sz w:val="24"/>
        </w:rPr>
      </w:pPr>
      <w:r>
        <w:rPr>
          <w:rFonts w:ascii="仿宋" w:hAnsi="仿宋" w:eastAsia="仿宋" w:cs="仿宋"/>
          <w:spacing w:val="0"/>
          <w:kern w:val="0"/>
          <w:sz w:val="32"/>
          <w:szCs w:val="32"/>
        </w:rPr>
        <w:t>2.政府性基金预算财政拨款收入0.37万元。</w:t>
      </w:r>
    </w:p>
    <w:p>
      <w:pPr>
        <w:pStyle w:val="29"/>
        <w:widowControl/>
        <w:spacing w:before="100" w:after="100" w:line="600" w:lineRule="atLeast"/>
        <w:ind w:left="160" w:right="0" w:firstLine="480"/>
        <w:jc w:val="both"/>
        <w:rPr>
          <w:rFonts w:ascii="Times New Roman" w:hAnsi="Times New Roman" w:eastAsia="Times New Roman" w:cs="Times New Roman"/>
          <w:kern w:val="0"/>
          <w:sz w:val="24"/>
        </w:rPr>
      </w:pPr>
      <w:r>
        <w:rPr>
          <w:rFonts w:ascii="仿宋" w:hAnsi="仿宋" w:eastAsia="仿宋" w:cs="仿宋"/>
          <w:spacing w:val="0"/>
          <w:kern w:val="0"/>
          <w:sz w:val="32"/>
          <w:szCs w:val="32"/>
        </w:rPr>
        <w:t>3.国有资本经营预算财政拨款收入0万元。</w:t>
      </w:r>
    </w:p>
    <w:p>
      <w:pPr>
        <w:pStyle w:val="29"/>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4.上级补助收入0万元。</w:t>
      </w:r>
    </w:p>
    <w:p>
      <w:pPr>
        <w:pStyle w:val="29"/>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5.事业收入0万元。</w:t>
      </w:r>
    </w:p>
    <w:p>
      <w:pPr>
        <w:pStyle w:val="29"/>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6.经营收入0万元。</w:t>
      </w:r>
    </w:p>
    <w:p>
      <w:pPr>
        <w:pStyle w:val="29"/>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7.附属单位上缴收入0万元。</w:t>
      </w:r>
    </w:p>
    <w:p>
      <w:pPr>
        <w:pStyle w:val="29"/>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8.其他收入0万元。</w:t>
      </w:r>
    </w:p>
    <w:p>
      <w:pPr>
        <w:pStyle w:val="29"/>
        <w:widowControl/>
        <w:spacing w:before="100" w:after="100" w:line="600" w:lineRule="atLeast"/>
        <w:ind w:left="0" w:right="0" w:firstLine="640"/>
        <w:jc w:val="both"/>
        <w:rPr>
          <w:rFonts w:ascii="Times New Roman" w:hAnsi="Times New Roman" w:eastAsia="Times New Roman" w:cs="Times New Roman"/>
          <w:kern w:val="0"/>
          <w:sz w:val="24"/>
        </w:rPr>
      </w:pPr>
      <w:r>
        <w:rPr>
          <w:rFonts w:ascii="楷体_GB2312" w:hAnsi="楷体_GB2312" w:eastAsia="楷体_GB2312" w:cs="楷体_GB2312"/>
          <w:spacing w:val="0"/>
          <w:kern w:val="0"/>
          <w:sz w:val="32"/>
          <w:szCs w:val="32"/>
        </w:rPr>
        <w:t>（三）支出决算情况说明</w:t>
      </w:r>
    </w:p>
    <w:p>
      <w:pPr>
        <w:pStyle w:val="29"/>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2024年度支出2835.63万元，比上年决算数增加151.14万元，增长5.63%，具体情况如下：</w:t>
      </w:r>
    </w:p>
    <w:p>
      <w:pPr>
        <w:pStyle w:val="29"/>
        <w:widowControl/>
        <w:spacing w:before="100" w:after="100" w:line="600" w:lineRule="atLeast"/>
        <w:ind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1.基本支出2431.22万元。其中，人员支出2202.53万元，公用支出228.69万元。</w:t>
      </w:r>
    </w:p>
    <w:p>
      <w:pPr>
        <w:pStyle w:val="29"/>
        <w:widowControl/>
        <w:spacing w:before="240" w:after="240"/>
        <w:ind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2.项目支出404.41万元。</w:t>
      </w:r>
    </w:p>
    <w:p>
      <w:pPr>
        <w:pStyle w:val="29"/>
        <w:widowControl/>
        <w:spacing w:before="100" w:after="100" w:line="600" w:lineRule="atLeast"/>
        <w:ind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3.上缴上级支出0万元。</w:t>
      </w:r>
    </w:p>
    <w:p>
      <w:pPr>
        <w:pStyle w:val="29"/>
        <w:widowControl/>
        <w:spacing w:before="100" w:after="100" w:line="600" w:lineRule="atLeast"/>
        <w:ind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4.经营支出0万元。</w:t>
      </w:r>
    </w:p>
    <w:p>
      <w:pPr>
        <w:pStyle w:val="29"/>
        <w:widowControl/>
        <w:spacing w:before="100" w:after="100" w:line="600" w:lineRule="atLeast"/>
        <w:ind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5.对附属单位补助支出0万元。</w:t>
      </w:r>
    </w:p>
    <w:p>
      <w:pPr>
        <w:pStyle w:val="6"/>
        <w:keepNext w:val="0"/>
        <w:keepLines w:val="0"/>
        <w:spacing w:before="100" w:after="100" w:line="240" w:lineRule="auto"/>
        <w:ind w:left="0" w:right="0" w:firstLine="480" w:firstLineChars="0"/>
        <w:jc w:val="both"/>
        <w:rPr>
          <w:rFonts w:ascii="Times New Roman" w:hAnsi="Times New Roman" w:eastAsia="Times New Roman" w:cs="Times New Roman"/>
          <w:b/>
          <w:bCs/>
          <w:kern w:val="0"/>
          <w:sz w:val="28"/>
          <w:szCs w:val="28"/>
        </w:rPr>
      </w:pPr>
      <w:bookmarkStart w:id="78" w:name="_Toc256000081"/>
      <w:bookmarkStart w:id="79" w:name="_Toc256000019"/>
      <w:bookmarkStart w:id="80" w:name="_Toc256000050"/>
      <w:bookmarkStart w:id="81" w:name="_Toc256000112"/>
      <w:r>
        <w:rPr>
          <w:rFonts w:ascii="黑体" w:hAnsi="黑体" w:eastAsia="黑体" w:cs="黑体"/>
          <w:b/>
          <w:spacing w:val="0"/>
        </w:rPr>
        <w:t>二、财政拨款收入支出决算总体情况说明</w:t>
      </w:r>
      <w:bookmarkEnd w:id="78"/>
      <w:bookmarkEnd w:id="79"/>
      <w:bookmarkEnd w:id="80"/>
      <w:bookmarkEnd w:id="81"/>
    </w:p>
    <w:p>
      <w:pPr>
        <w:pStyle w:val="29"/>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2024年度财政拨款收入总计2835.63万元，支出总计2835.63万元，与上年决算数相比，各增加151.14万元，增长5.63%，主要是：</w:t>
      </w:r>
      <w:r>
        <w:rPr>
          <w:rFonts w:hint="eastAsia" w:ascii="仿宋" w:hAnsi="仿宋" w:eastAsia="仿宋" w:cs="仿宋"/>
          <w:kern w:val="0"/>
          <w:sz w:val="32"/>
          <w:szCs w:val="32"/>
          <w:lang w:eastAsia="zh-CN"/>
        </w:rPr>
        <w:t>本年度采购修缮项目较多。</w:t>
      </w:r>
    </w:p>
    <w:p>
      <w:pPr>
        <w:pStyle w:val="6"/>
        <w:keepNext w:val="0"/>
        <w:keepLines w:val="0"/>
        <w:spacing w:before="100" w:after="100" w:line="600" w:lineRule="atLeast"/>
        <w:ind w:left="0" w:right="0" w:firstLine="640" w:firstLineChars="0"/>
        <w:jc w:val="both"/>
        <w:rPr>
          <w:rFonts w:ascii="Times New Roman" w:hAnsi="Times New Roman" w:eastAsia="Times New Roman" w:cs="Times New Roman"/>
          <w:b/>
          <w:bCs/>
          <w:kern w:val="0"/>
          <w:sz w:val="28"/>
          <w:szCs w:val="28"/>
        </w:rPr>
      </w:pPr>
      <w:bookmarkStart w:id="82" w:name="_Toc256000051"/>
      <w:bookmarkStart w:id="83" w:name="_Toc256000113"/>
      <w:bookmarkStart w:id="84" w:name="_Toc256000020"/>
      <w:bookmarkStart w:id="85" w:name="_Toc256000082"/>
      <w:r>
        <w:rPr>
          <w:rFonts w:ascii="黑体" w:hAnsi="黑体" w:eastAsia="黑体" w:cs="黑体"/>
          <w:b/>
          <w:spacing w:val="0"/>
        </w:rPr>
        <w:t>三、一般公共预算拨款支出决算情况说明</w:t>
      </w:r>
      <w:bookmarkEnd w:id="82"/>
      <w:bookmarkEnd w:id="83"/>
      <w:bookmarkEnd w:id="84"/>
      <w:bookmarkEnd w:id="85"/>
    </w:p>
    <w:p>
      <w:pPr>
        <w:pStyle w:val="29"/>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2024年一般公共预算支出2835.26万元，比上年决算数增加170.40万元，增长6.39%，具体情况如下(按</w:t>
      </w:r>
      <w:r>
        <w:rPr>
          <w:rStyle w:val="31"/>
          <w:rFonts w:ascii="仿宋" w:hAnsi="仿宋" w:eastAsia="仿宋" w:cs="仿宋"/>
          <w:spacing w:val="0"/>
          <w:kern w:val="0"/>
          <w:sz w:val="32"/>
          <w:szCs w:val="32"/>
        </w:rPr>
        <w:t>项级科目</w:t>
      </w:r>
      <w:r>
        <w:rPr>
          <w:rFonts w:ascii="仿宋" w:hAnsi="仿宋" w:eastAsia="仿宋" w:cs="仿宋"/>
          <w:spacing w:val="0"/>
          <w:kern w:val="0"/>
          <w:sz w:val="32"/>
          <w:szCs w:val="32"/>
        </w:rPr>
        <w:t>分类统计)：</w:t>
      </w:r>
    </w:p>
    <w:p>
      <w:pPr>
        <w:pStyle w:val="29"/>
        <w:widowControl/>
        <w:spacing w:before="100" w:after="100" w:line="600" w:lineRule="atLeast"/>
        <w:ind w:left="0" w:right="0" w:firstLine="640" w:firstLineChars="200"/>
        <w:jc w:val="both"/>
        <w:rPr>
          <w:rFonts w:hint="eastAsia" w:ascii="仿宋" w:hAnsi="仿宋" w:eastAsia="仿宋" w:cs="仿宋"/>
          <w:spacing w:val="0"/>
          <w:kern w:val="0"/>
          <w:sz w:val="32"/>
          <w:szCs w:val="32"/>
        </w:rPr>
      </w:pPr>
      <w:r>
        <w:rPr>
          <w:rFonts w:ascii="仿宋" w:hAnsi="仿宋" w:eastAsia="仿宋" w:cs="仿宋"/>
          <w:spacing w:val="0"/>
          <w:kern w:val="0"/>
          <w:sz w:val="32"/>
          <w:szCs w:val="32"/>
        </w:rPr>
        <w:t>（一）2050202 小学教育1,917.20万元，较上年决算数减少28.87万元，下降1.48%。主要原因是</w:t>
      </w:r>
      <w:bookmarkStart w:id="126" w:name="_GoBack"/>
      <w:bookmarkEnd w:id="126"/>
      <w:r>
        <w:rPr>
          <w:rFonts w:hint="eastAsia" w:ascii="仿宋" w:hAnsi="仿宋" w:eastAsia="仿宋" w:cs="仿宋"/>
          <w:spacing w:val="0"/>
          <w:kern w:val="0"/>
          <w:sz w:val="32"/>
          <w:szCs w:val="32"/>
          <w:lang w:eastAsia="zh-CN"/>
        </w:rPr>
        <w:t>教师调动，职称有变化。</w:t>
      </w:r>
      <w:r>
        <w:rPr>
          <w:rFonts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ascii="仿宋" w:hAnsi="仿宋" w:eastAsia="仿宋" w:cs="仿宋"/>
          <w:spacing w:val="0"/>
          <w:kern w:val="0"/>
          <w:sz w:val="32"/>
          <w:szCs w:val="32"/>
        </w:rPr>
        <w:t>（二）2050299 其他普通教育支出163.39万元，较上年决算数增加24.63万元，增长17.75%。主要原因是</w:t>
      </w:r>
      <w:r>
        <w:rPr>
          <w:rFonts w:hint="eastAsia" w:ascii="仿宋" w:hAnsi="仿宋" w:eastAsia="仿宋" w:cs="仿宋"/>
          <w:spacing w:val="0"/>
          <w:kern w:val="0"/>
          <w:sz w:val="32"/>
          <w:szCs w:val="32"/>
        </w:rPr>
        <w:t>学校采购维修支出增加。</w:t>
      </w:r>
      <w:r>
        <w:rPr>
          <w:rFonts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ascii="仿宋" w:hAnsi="仿宋" w:eastAsia="仿宋" w:cs="仿宋"/>
          <w:spacing w:val="0"/>
          <w:kern w:val="0"/>
          <w:sz w:val="32"/>
          <w:szCs w:val="32"/>
        </w:rPr>
        <w:t>（三）2050999 其他教育费附加安排的支出291.67万元，较上年决算数增加227.44万元，增长354.12%。主要原因是</w:t>
      </w:r>
      <w:r>
        <w:rPr>
          <w:rFonts w:hint="eastAsia" w:ascii="仿宋" w:hAnsi="仿宋" w:eastAsia="仿宋" w:cs="仿宋"/>
          <w:spacing w:val="0"/>
          <w:kern w:val="0"/>
          <w:sz w:val="32"/>
          <w:szCs w:val="32"/>
        </w:rPr>
        <w:t>本项目安排的采购维修支出</w:t>
      </w:r>
      <w:r>
        <w:rPr>
          <w:rFonts w:hint="eastAsia" w:ascii="仿宋" w:hAnsi="仿宋" w:eastAsia="仿宋" w:cs="仿宋"/>
          <w:spacing w:val="0"/>
          <w:kern w:val="0"/>
          <w:sz w:val="32"/>
          <w:szCs w:val="32"/>
          <w:lang w:eastAsia="zh-CN"/>
        </w:rPr>
        <w:t>增加</w:t>
      </w:r>
      <w:r>
        <w:rPr>
          <w:rFonts w:hint="eastAsia" w:ascii="仿宋" w:hAnsi="仿宋" w:eastAsia="仿宋" w:cs="仿宋"/>
          <w:spacing w:val="0"/>
          <w:kern w:val="0"/>
          <w:sz w:val="32"/>
          <w:szCs w:val="32"/>
        </w:rPr>
        <w:t>。</w:t>
      </w:r>
    </w:p>
    <w:p>
      <w:pPr>
        <w:pStyle w:val="29"/>
        <w:widowControl/>
        <w:spacing w:before="100" w:after="100" w:line="600" w:lineRule="atLeast"/>
        <w:ind w:left="0" w:right="0" w:firstLine="640" w:firstLineChars="200"/>
        <w:jc w:val="both"/>
        <w:rPr>
          <w:rFonts w:hint="eastAsia" w:ascii="仿宋" w:hAnsi="仿宋" w:eastAsia="仿宋" w:cs="仿宋"/>
          <w:color w:val="auto"/>
          <w:spacing w:val="0"/>
          <w:kern w:val="0"/>
          <w:sz w:val="32"/>
          <w:szCs w:val="32"/>
          <w:lang w:val="en-US" w:eastAsia="zh-CN"/>
        </w:rPr>
      </w:pPr>
      <w:r>
        <w:rPr>
          <w:rFonts w:ascii="仿宋" w:hAnsi="仿宋" w:eastAsia="仿宋" w:cs="仿宋"/>
          <w:spacing w:val="0"/>
          <w:kern w:val="0"/>
          <w:sz w:val="32"/>
          <w:szCs w:val="32"/>
        </w:rPr>
        <w:t>（四）2080502 事业单位离退休131.16万元，较上年决算数</w:t>
      </w:r>
      <w:r>
        <w:rPr>
          <w:rFonts w:ascii="仿宋" w:hAnsi="仿宋" w:eastAsia="仿宋" w:cs="仿宋"/>
          <w:color w:val="auto"/>
          <w:spacing w:val="0"/>
          <w:kern w:val="0"/>
          <w:sz w:val="32"/>
          <w:szCs w:val="32"/>
        </w:rPr>
        <w:t>减少8.30万元，下降5.95%。主要原因是</w:t>
      </w:r>
      <w:r>
        <w:rPr>
          <w:rFonts w:hint="eastAsia" w:ascii="仿宋" w:hAnsi="仿宋" w:eastAsia="仿宋" w:cs="仿宋"/>
          <w:color w:val="auto"/>
          <w:spacing w:val="0"/>
          <w:kern w:val="0"/>
          <w:sz w:val="32"/>
          <w:szCs w:val="32"/>
          <w:lang w:val="en-US" w:eastAsia="zh-CN"/>
        </w:rPr>
        <w:t>2023年有新增退休人员一次性职业年金支出，2024年没有该项目支出。</w:t>
      </w:r>
    </w:p>
    <w:p>
      <w:pPr>
        <w:pStyle w:val="29"/>
        <w:widowControl/>
        <w:spacing w:before="100" w:after="100" w:line="600" w:lineRule="atLeast"/>
        <w:ind w:left="0" w:right="0" w:firstLine="640" w:firstLineChars="200"/>
        <w:jc w:val="both"/>
        <w:rPr>
          <w:rFonts w:hint="eastAsia" w:ascii="仿宋" w:hAnsi="仿宋" w:eastAsia="仿宋" w:cs="仿宋"/>
          <w:spacing w:val="0"/>
          <w:kern w:val="0"/>
          <w:sz w:val="32"/>
          <w:szCs w:val="32"/>
          <w:lang w:val="en-US" w:eastAsia="zh-CN"/>
        </w:rPr>
      </w:pPr>
      <w:r>
        <w:rPr>
          <w:rFonts w:ascii="仿宋" w:hAnsi="仿宋" w:eastAsia="仿宋" w:cs="仿宋"/>
          <w:spacing w:val="0"/>
          <w:kern w:val="0"/>
          <w:sz w:val="32"/>
          <w:szCs w:val="32"/>
        </w:rPr>
        <w:t>（五）2080505 机关事业单位基本养老保险缴费支出154.56万元，较上年决算数增加4.62万元，增长3.08%。主要原因是</w:t>
      </w:r>
      <w:r>
        <w:rPr>
          <w:rFonts w:hint="eastAsia" w:ascii="仿宋" w:hAnsi="仿宋" w:eastAsia="仿宋" w:cs="仿宋"/>
          <w:spacing w:val="0"/>
          <w:kern w:val="0"/>
          <w:sz w:val="32"/>
          <w:szCs w:val="32"/>
          <w:lang w:eastAsia="zh-CN"/>
        </w:rPr>
        <w:t>缴费人员增加及缴费基数比例调整。</w:t>
      </w:r>
      <w:r>
        <w:rPr>
          <w:rFonts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ascii="仿宋" w:hAnsi="仿宋" w:eastAsia="仿宋" w:cs="仿宋"/>
          <w:spacing w:val="0"/>
          <w:kern w:val="0"/>
          <w:sz w:val="32"/>
          <w:szCs w:val="32"/>
        </w:rPr>
        <w:t>（六）2080506 机关事业单位职业年金缴费支出77.28万元，较上年决算数减少52.11万元，下降40.27%。主要原因是</w:t>
      </w:r>
      <w:r>
        <w:rPr>
          <w:rFonts w:hint="eastAsia" w:ascii="仿宋" w:hAnsi="仿宋" w:eastAsia="仿宋" w:cs="仿宋"/>
          <w:spacing w:val="0"/>
          <w:kern w:val="0"/>
          <w:sz w:val="32"/>
          <w:szCs w:val="32"/>
          <w:lang w:val="en-US" w:eastAsia="zh-CN"/>
        </w:rPr>
        <w:t>2023年有新增退休人员，一次性补贴发放较多，本年度没有，以及从2023年开始新增机关事业单位职业年金项目支出，一次性补缴的职业年金支出较多。</w:t>
      </w:r>
    </w:p>
    <w:p>
      <w:pPr>
        <w:pStyle w:val="29"/>
        <w:widowControl/>
        <w:spacing w:before="100" w:after="100" w:line="600" w:lineRule="atLeast"/>
        <w:ind w:right="0" w:firstLine="320" w:firstLineChars="100"/>
        <w:jc w:val="both"/>
        <w:rPr>
          <w:rFonts w:ascii="Times New Roman" w:hAnsi="Times New Roman" w:eastAsia="Times New Roman" w:cs="Times New Roman"/>
          <w:kern w:val="0"/>
          <w:sz w:val="24"/>
        </w:rPr>
      </w:pPr>
      <w:r>
        <w:rPr>
          <w:rFonts w:hint="eastAsia" w:ascii="仿宋" w:hAnsi="仿宋" w:eastAsia="仿宋" w:cs="仿宋"/>
          <w:spacing w:val="0"/>
          <w:kern w:val="0"/>
          <w:sz w:val="32"/>
          <w:szCs w:val="32"/>
          <w:lang w:val="en-US" w:eastAsia="zh-CN"/>
        </w:rPr>
        <w:t xml:space="preserve">  </w:t>
      </w:r>
      <w:r>
        <w:rPr>
          <w:rFonts w:ascii="仿宋" w:hAnsi="仿宋" w:eastAsia="仿宋" w:cs="仿宋"/>
          <w:spacing w:val="0"/>
          <w:kern w:val="0"/>
          <w:sz w:val="32"/>
          <w:szCs w:val="32"/>
        </w:rPr>
        <w:t>（七）2101102 事业单位医疗66.17万元，较上年决算数增加1.98万元，增长3.08%。主要原因是</w:t>
      </w:r>
      <w:r>
        <w:rPr>
          <w:rFonts w:hint="eastAsia" w:ascii="仿宋" w:hAnsi="仿宋" w:eastAsia="仿宋" w:cs="仿宋"/>
          <w:spacing w:val="0"/>
          <w:kern w:val="0"/>
          <w:sz w:val="32"/>
          <w:szCs w:val="32"/>
          <w:lang w:eastAsia="zh-CN"/>
        </w:rPr>
        <w:t>缴费人员增加及缴费基数比例调整。</w:t>
      </w:r>
      <w:r>
        <w:rPr>
          <w:rFonts w:ascii="仿宋" w:hAnsi="仿宋" w:eastAsia="仿宋" w:cs="仿宋"/>
          <w:spacing w:val="0"/>
          <w:kern w:val="0"/>
          <w:sz w:val="32"/>
          <w:szCs w:val="32"/>
        </w:rPr>
        <w:br w:type="textWrapping"/>
      </w:r>
      <w:r>
        <w:rPr>
          <w:rFonts w:hint="eastAsia" w:ascii="仿宋" w:hAnsi="仿宋" w:eastAsia="仿宋" w:cs="仿宋"/>
          <w:spacing w:val="0"/>
          <w:kern w:val="0"/>
          <w:sz w:val="32"/>
          <w:szCs w:val="32"/>
          <w:lang w:val="en-US" w:eastAsia="zh-CN"/>
        </w:rPr>
        <w:t xml:space="preserve">    </w:t>
      </w:r>
      <w:r>
        <w:rPr>
          <w:rFonts w:ascii="仿宋" w:hAnsi="仿宋" w:eastAsia="仿宋" w:cs="仿宋"/>
          <w:spacing w:val="0"/>
          <w:kern w:val="0"/>
          <w:sz w:val="32"/>
          <w:szCs w:val="32"/>
        </w:rPr>
        <w:t>（八）2101199 其他行政事业单位医疗支出33.81万元，较上年决算数增加1.01万元，增长3.08%。主要原因是</w:t>
      </w:r>
      <w:r>
        <w:rPr>
          <w:rFonts w:hint="eastAsia" w:ascii="仿宋" w:hAnsi="仿宋" w:eastAsia="仿宋" w:cs="仿宋"/>
          <w:spacing w:val="0"/>
          <w:kern w:val="0"/>
          <w:sz w:val="32"/>
          <w:szCs w:val="32"/>
          <w:lang w:eastAsia="zh-CN"/>
        </w:rPr>
        <w:t>缴费人员增加及缴费基数比例调整。</w:t>
      </w:r>
    </w:p>
    <w:p>
      <w:pPr>
        <w:pStyle w:val="6"/>
        <w:keepNext w:val="0"/>
        <w:keepLines w:val="0"/>
        <w:spacing w:before="100" w:after="100" w:line="600" w:lineRule="atLeast"/>
        <w:ind w:left="0" w:right="0" w:firstLine="640" w:firstLineChars="0"/>
        <w:jc w:val="both"/>
        <w:rPr>
          <w:rFonts w:ascii="Times New Roman" w:hAnsi="Times New Roman" w:eastAsia="Times New Roman" w:cs="Times New Roman"/>
          <w:b/>
          <w:bCs/>
          <w:kern w:val="0"/>
          <w:sz w:val="28"/>
          <w:szCs w:val="28"/>
        </w:rPr>
      </w:pPr>
      <w:bookmarkStart w:id="86" w:name="_Toc256000114"/>
      <w:bookmarkStart w:id="87" w:name="_Toc256000052"/>
      <w:bookmarkStart w:id="88" w:name="_Toc256000083"/>
      <w:bookmarkStart w:id="89" w:name="_Toc256000021"/>
      <w:r>
        <w:rPr>
          <w:rFonts w:ascii="黑体" w:hAnsi="黑体" w:eastAsia="黑体" w:cs="黑体"/>
          <w:b/>
          <w:spacing w:val="0"/>
        </w:rPr>
        <w:t>四、政府性基金预算财政拨款支出决算情况说明</w:t>
      </w:r>
      <w:bookmarkEnd w:id="86"/>
      <w:bookmarkEnd w:id="87"/>
      <w:bookmarkEnd w:id="88"/>
      <w:bookmarkEnd w:id="89"/>
    </w:p>
    <w:p>
      <w:pPr>
        <w:pStyle w:val="29"/>
        <w:widowControl/>
        <w:spacing w:before="100" w:after="100" w:line="600" w:lineRule="atLeast"/>
        <w:ind w:left="0" w:right="0" w:firstLine="704"/>
        <w:jc w:val="both"/>
        <w:rPr>
          <w:rFonts w:ascii="Times New Roman" w:hAnsi="Times New Roman" w:eastAsia="Times New Roman" w:cs="Times New Roman"/>
          <w:kern w:val="0"/>
          <w:sz w:val="24"/>
        </w:rPr>
      </w:pPr>
      <w:r>
        <w:rPr>
          <w:rFonts w:ascii="仿宋" w:hAnsi="仿宋" w:eastAsia="仿宋" w:cs="仿宋"/>
          <w:spacing w:val="0"/>
          <w:kern w:val="0"/>
          <w:sz w:val="32"/>
          <w:szCs w:val="32"/>
        </w:rPr>
        <w:t>2024年度政府性基金支出0.37万元，比上年决算数减少19.25万元，下降98.09%，具体情况如下(按项级科目统计)：</w:t>
      </w:r>
    </w:p>
    <w:p>
      <w:pPr>
        <w:pStyle w:val="29"/>
        <w:widowControl/>
        <w:spacing w:before="100" w:after="100" w:line="600" w:lineRule="atLeast"/>
        <w:ind w:left="0" w:right="0" w:firstLine="640" w:firstLineChars="200"/>
        <w:jc w:val="both"/>
        <w:rPr>
          <w:rFonts w:ascii="Times New Roman" w:hAnsi="Times New Roman" w:eastAsia="Times New Roman" w:cs="Times New Roman"/>
          <w:kern w:val="0"/>
          <w:sz w:val="24"/>
        </w:rPr>
      </w:pPr>
      <w:r>
        <w:rPr>
          <w:rFonts w:ascii="仿宋" w:hAnsi="仿宋" w:eastAsia="仿宋" w:cs="仿宋"/>
          <w:spacing w:val="0"/>
          <w:kern w:val="0"/>
          <w:sz w:val="32"/>
          <w:szCs w:val="32"/>
        </w:rPr>
        <w:t>2296003 用于体育事业的彩票公益金支出0.37万元，较上年决算数减少19.25万元，下降98.09%。主要原因是</w:t>
      </w:r>
      <w:r>
        <w:rPr>
          <w:rFonts w:hint="eastAsia" w:ascii="仿宋" w:hAnsi="仿宋" w:eastAsia="仿宋" w:cs="仿宋"/>
          <w:spacing w:val="0"/>
          <w:kern w:val="0"/>
          <w:sz w:val="32"/>
          <w:szCs w:val="32"/>
          <w:lang w:val="en-US" w:eastAsia="zh-CN"/>
        </w:rPr>
        <w:t>2023</w:t>
      </w:r>
      <w:r>
        <w:rPr>
          <w:rFonts w:hint="eastAsia" w:ascii="仿宋" w:hAnsi="仿宋" w:eastAsia="仿宋" w:cs="仿宋"/>
          <w:spacing w:val="0"/>
          <w:kern w:val="0"/>
          <w:sz w:val="32"/>
          <w:szCs w:val="32"/>
        </w:rPr>
        <w:t>年有</w:t>
      </w:r>
      <w:r>
        <w:rPr>
          <w:rFonts w:hint="eastAsia" w:ascii="仿宋" w:hAnsi="仿宋" w:eastAsia="仿宋" w:cs="仿宋"/>
          <w:spacing w:val="0"/>
          <w:kern w:val="0"/>
          <w:sz w:val="32"/>
          <w:szCs w:val="32"/>
          <w:lang w:eastAsia="zh-CN"/>
        </w:rPr>
        <w:t>较多</w:t>
      </w:r>
      <w:r>
        <w:rPr>
          <w:rFonts w:hint="eastAsia" w:ascii="仿宋" w:hAnsi="仿宋" w:eastAsia="仿宋" w:cs="仿宋"/>
          <w:spacing w:val="0"/>
          <w:kern w:val="0"/>
          <w:sz w:val="32"/>
          <w:szCs w:val="32"/>
        </w:rPr>
        <w:t>项目支出的安排，</w:t>
      </w:r>
      <w:r>
        <w:rPr>
          <w:rFonts w:hint="eastAsia" w:ascii="仿宋" w:hAnsi="仿宋" w:eastAsia="仿宋" w:cs="仿宋"/>
          <w:spacing w:val="0"/>
          <w:kern w:val="0"/>
          <w:sz w:val="32"/>
          <w:szCs w:val="32"/>
          <w:lang w:val="en-US" w:eastAsia="zh-CN"/>
        </w:rPr>
        <w:t>2024</w:t>
      </w:r>
      <w:r>
        <w:rPr>
          <w:rFonts w:hint="eastAsia" w:ascii="仿宋" w:hAnsi="仿宋" w:eastAsia="仿宋" w:cs="仿宋"/>
          <w:spacing w:val="0"/>
          <w:kern w:val="0"/>
          <w:sz w:val="32"/>
          <w:szCs w:val="32"/>
        </w:rPr>
        <w:t>年安排的支出大幅</w:t>
      </w:r>
      <w:r>
        <w:rPr>
          <w:rFonts w:hint="eastAsia" w:ascii="仿宋" w:hAnsi="仿宋" w:eastAsia="仿宋" w:cs="仿宋"/>
          <w:spacing w:val="0"/>
          <w:kern w:val="0"/>
          <w:sz w:val="32"/>
          <w:szCs w:val="32"/>
          <w:lang w:eastAsia="zh-CN"/>
        </w:rPr>
        <w:t>减少</w:t>
      </w:r>
      <w:r>
        <w:rPr>
          <w:rFonts w:hint="eastAsia" w:ascii="仿宋" w:hAnsi="仿宋" w:eastAsia="仿宋" w:cs="仿宋"/>
          <w:spacing w:val="0"/>
          <w:kern w:val="0"/>
          <w:sz w:val="32"/>
          <w:szCs w:val="32"/>
        </w:rPr>
        <w:t>。</w:t>
      </w:r>
    </w:p>
    <w:p>
      <w:pPr>
        <w:pStyle w:val="6"/>
        <w:keepNext w:val="0"/>
        <w:keepLines w:val="0"/>
        <w:spacing w:before="100" w:after="100" w:line="600" w:lineRule="atLeast"/>
        <w:ind w:left="0" w:right="0" w:firstLine="640" w:firstLineChars="0"/>
        <w:jc w:val="both"/>
        <w:rPr>
          <w:rFonts w:ascii="Times New Roman" w:hAnsi="Times New Roman" w:eastAsia="Times New Roman" w:cs="Times New Roman"/>
          <w:b/>
          <w:bCs/>
          <w:kern w:val="0"/>
          <w:sz w:val="28"/>
          <w:szCs w:val="28"/>
        </w:rPr>
      </w:pPr>
      <w:bookmarkStart w:id="90" w:name="_Toc256000022"/>
      <w:bookmarkStart w:id="91" w:name="_Toc256000053"/>
      <w:bookmarkStart w:id="92" w:name="_Toc256000115"/>
      <w:bookmarkStart w:id="93" w:name="_Toc256000084"/>
      <w:r>
        <w:rPr>
          <w:rFonts w:ascii="黑体" w:hAnsi="黑体" w:eastAsia="黑体" w:cs="黑体"/>
          <w:b/>
          <w:spacing w:val="0"/>
        </w:rPr>
        <w:t>五、国有资本经营预算财政拨款支出决算情况说明</w:t>
      </w:r>
      <w:bookmarkEnd w:id="90"/>
      <w:bookmarkEnd w:id="91"/>
      <w:bookmarkEnd w:id="92"/>
      <w:bookmarkEnd w:id="93"/>
    </w:p>
    <w:p>
      <w:pPr>
        <w:pStyle w:val="29"/>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2024年度国有资本经营预算支出0万元，比上年决算数增加0万元，增长0%，具体情况如下(按项级科目统计)：</w:t>
      </w:r>
    </w:p>
    <w:p>
      <w:pPr>
        <w:pStyle w:val="29"/>
        <w:widowControl/>
        <w:spacing w:before="240" w:after="240" w:line="600" w:lineRule="atLeast"/>
        <w:ind w:firstLine="640"/>
        <w:jc w:val="both"/>
        <w:rPr>
          <w:rFonts w:ascii="仿宋" w:hAnsi="仿宋" w:eastAsia="仿宋" w:cs="仿宋"/>
          <w:kern w:val="0"/>
          <w:sz w:val="32"/>
          <w:szCs w:val="32"/>
        </w:rPr>
      </w:pPr>
      <w:bookmarkStart w:id="94" w:name="_Toc256000085"/>
      <w:bookmarkStart w:id="95" w:name="_Toc256000023"/>
      <w:bookmarkStart w:id="96" w:name="_Toc256000054"/>
      <w:bookmarkStart w:id="97" w:name="_Toc256000116"/>
      <w:r>
        <w:rPr>
          <w:rFonts w:ascii="仿宋" w:hAnsi="仿宋" w:eastAsia="仿宋" w:cs="仿宋"/>
          <w:kern w:val="0"/>
          <w:sz w:val="32"/>
          <w:szCs w:val="32"/>
        </w:rPr>
        <w:t>本</w:t>
      </w:r>
      <w:r>
        <w:rPr>
          <w:rFonts w:hint="eastAsia" w:ascii="仿宋" w:hAnsi="仿宋" w:eastAsia="仿宋" w:cs="仿宋"/>
          <w:kern w:val="0"/>
          <w:sz w:val="32"/>
          <w:szCs w:val="32"/>
          <w:lang w:eastAsia="zh-CN"/>
        </w:rPr>
        <w:t>单位</w:t>
      </w:r>
      <w:r>
        <w:rPr>
          <w:rFonts w:ascii="仿宋" w:hAnsi="仿宋" w:eastAsia="仿宋" w:cs="仿宋"/>
          <w:kern w:val="0"/>
          <w:sz w:val="32"/>
          <w:szCs w:val="32"/>
        </w:rPr>
        <w:t>202</w:t>
      </w:r>
      <w:r>
        <w:rPr>
          <w:rFonts w:hint="eastAsia" w:ascii="仿宋" w:hAnsi="仿宋" w:eastAsia="仿宋" w:cs="仿宋"/>
          <w:kern w:val="0"/>
          <w:sz w:val="32"/>
          <w:szCs w:val="32"/>
          <w:lang w:val="en-US" w:eastAsia="zh-CN"/>
        </w:rPr>
        <w:t>4</w:t>
      </w:r>
      <w:r>
        <w:rPr>
          <w:rFonts w:ascii="仿宋" w:hAnsi="仿宋" w:eastAsia="仿宋" w:cs="仿宋"/>
          <w:kern w:val="0"/>
          <w:sz w:val="32"/>
          <w:szCs w:val="32"/>
        </w:rPr>
        <w:t>年度没有使用国有资本经营预算财政拨款安排的支出。</w:t>
      </w:r>
    </w:p>
    <w:p>
      <w:pPr>
        <w:pStyle w:val="6"/>
        <w:keepNext w:val="0"/>
        <w:keepLines w:val="0"/>
        <w:spacing w:before="100" w:after="100" w:line="600" w:lineRule="atLeast"/>
        <w:ind w:left="0" w:right="0" w:firstLine="640" w:firstLineChars="0"/>
        <w:jc w:val="both"/>
        <w:rPr>
          <w:rFonts w:ascii="Times New Roman" w:hAnsi="Times New Roman" w:eastAsia="Times New Roman" w:cs="Times New Roman"/>
          <w:b/>
          <w:bCs/>
          <w:kern w:val="0"/>
          <w:sz w:val="28"/>
          <w:szCs w:val="28"/>
        </w:rPr>
      </w:pPr>
      <w:r>
        <w:rPr>
          <w:rFonts w:ascii="黑体" w:hAnsi="黑体" w:eastAsia="黑体" w:cs="黑体"/>
          <w:b/>
          <w:spacing w:val="0"/>
        </w:rPr>
        <w:t>六、一般公共预算财政拨款基本支出决算情况说明</w:t>
      </w:r>
      <w:bookmarkEnd w:id="94"/>
      <w:bookmarkEnd w:id="95"/>
      <w:bookmarkEnd w:id="96"/>
      <w:bookmarkEnd w:id="97"/>
    </w:p>
    <w:p>
      <w:pPr>
        <w:pStyle w:val="29"/>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2024年度一般公共预算财政拨款基本支出2431.22万元，其中：</w:t>
      </w:r>
    </w:p>
    <w:p>
      <w:pPr>
        <w:pStyle w:val="29"/>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一）人员经费2202.53万元，主要包括：基本工资、津贴补贴、奖金、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p>
    <w:p>
      <w:pPr>
        <w:pStyle w:val="29"/>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二）公用经费228.69万元，主要包括：办公费、印刷费、咨询费、手续费、水费、电费、邮电费、取暖费、物业管理费、差旅费、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pStyle w:val="6"/>
        <w:keepNext w:val="0"/>
        <w:keepLines w:val="0"/>
        <w:spacing w:before="100" w:after="100" w:line="600" w:lineRule="atLeast"/>
        <w:ind w:left="0" w:right="0" w:firstLine="640" w:firstLineChars="0"/>
        <w:jc w:val="both"/>
        <w:rPr>
          <w:rFonts w:ascii="Times New Roman" w:hAnsi="Times New Roman" w:eastAsia="Times New Roman" w:cs="Times New Roman"/>
          <w:b/>
          <w:bCs/>
          <w:kern w:val="0"/>
          <w:sz w:val="28"/>
          <w:szCs w:val="28"/>
        </w:rPr>
      </w:pPr>
      <w:bookmarkStart w:id="98" w:name="_Toc256000086"/>
      <w:bookmarkStart w:id="99" w:name="_Toc256000024"/>
      <w:bookmarkStart w:id="100" w:name="_Toc256000117"/>
      <w:bookmarkStart w:id="101" w:name="_Toc256000055"/>
      <w:r>
        <w:rPr>
          <w:rFonts w:ascii="黑体" w:hAnsi="黑体" w:eastAsia="黑体" w:cs="黑体"/>
          <w:b/>
          <w:spacing w:val="0"/>
        </w:rPr>
        <w:t>七、一般公共预算拨款“三公”经费支出决算情况说明</w:t>
      </w:r>
      <w:bookmarkEnd w:id="98"/>
      <w:bookmarkEnd w:id="99"/>
      <w:bookmarkEnd w:id="100"/>
      <w:bookmarkEnd w:id="101"/>
    </w:p>
    <w:p>
      <w:pPr>
        <w:pStyle w:val="29"/>
        <w:keepNext w:val="0"/>
        <w:keepLines w:val="0"/>
        <w:pageBreakBefore w:val="0"/>
        <w:widowControl/>
        <w:kinsoku/>
        <w:wordWrap/>
        <w:overflowPunct/>
        <w:topLinePunct w:val="0"/>
        <w:autoSpaceDE/>
        <w:autoSpaceDN/>
        <w:bidi w:val="0"/>
        <w:adjustRightInd/>
        <w:snapToGrid/>
        <w:spacing w:before="100" w:after="100" w:line="560" w:lineRule="exact"/>
        <w:ind w:left="0" w:right="0" w:firstLine="704"/>
        <w:jc w:val="both"/>
        <w:textAlignment w:val="auto"/>
        <w:rPr>
          <w:rFonts w:ascii="Times New Roman" w:hAnsi="Times New Roman" w:eastAsia="Times New Roman" w:cs="Times New Roman"/>
          <w:kern w:val="0"/>
          <w:sz w:val="32"/>
          <w:szCs w:val="32"/>
        </w:rPr>
      </w:pPr>
      <w:r>
        <w:rPr>
          <w:rFonts w:ascii="仿宋" w:hAnsi="仿宋" w:eastAsia="仿宋" w:cs="仿宋"/>
          <w:spacing w:val="0"/>
          <w:kern w:val="0"/>
          <w:sz w:val="32"/>
          <w:szCs w:val="32"/>
        </w:rPr>
        <w:t>2024年度一般公共预算拨款“三公”经费支出0万元，完成全年预算的 0%；较上年增加0万元，增长0%。主要原因是</w:t>
      </w:r>
      <w:r>
        <w:rPr>
          <w:rFonts w:hint="eastAsia" w:ascii="仿宋" w:hAnsi="仿宋" w:eastAsia="仿宋" w:cs="仿宋"/>
          <w:kern w:val="0"/>
          <w:sz w:val="32"/>
          <w:szCs w:val="32"/>
          <w:shd w:val="clear" w:color="auto" w:fill="FFFFFF"/>
          <w:lang w:eastAsia="zh-CN"/>
        </w:rPr>
        <w:t>本单位没有使用“三公”经费支出</w:t>
      </w:r>
      <w:r>
        <w:rPr>
          <w:rFonts w:ascii="仿宋" w:hAnsi="仿宋" w:eastAsia="仿宋" w:cs="仿宋"/>
          <w:spacing w:val="0"/>
          <w:kern w:val="0"/>
          <w:sz w:val="32"/>
          <w:szCs w:val="32"/>
        </w:rPr>
        <w:t>。具体情况如下：</w:t>
      </w:r>
    </w:p>
    <w:p>
      <w:pPr>
        <w:pStyle w:val="29"/>
        <w:keepNext w:val="0"/>
        <w:keepLines w:val="0"/>
        <w:pageBreakBefore w:val="0"/>
        <w:widowControl/>
        <w:numPr>
          <w:ilvl w:val="0"/>
          <w:numId w:val="0"/>
        </w:numPr>
        <w:kinsoku/>
        <w:wordWrap/>
        <w:overflowPunct/>
        <w:topLinePunct w:val="0"/>
        <w:autoSpaceDE/>
        <w:autoSpaceDN/>
        <w:bidi w:val="0"/>
        <w:adjustRightInd/>
        <w:snapToGrid/>
        <w:spacing w:before="240" w:after="240" w:line="560" w:lineRule="exact"/>
        <w:ind w:firstLine="640" w:firstLineChars="200"/>
        <w:jc w:val="both"/>
        <w:textAlignment w:val="auto"/>
        <w:rPr>
          <w:rFonts w:ascii="Times New Roman" w:hAnsi="Times New Roman" w:eastAsia="Times New Roman" w:cs="Times New Roman"/>
          <w:kern w:val="0"/>
          <w:sz w:val="32"/>
          <w:szCs w:val="32"/>
        </w:rPr>
      </w:pPr>
      <w:r>
        <w:rPr>
          <w:rFonts w:ascii="仿宋" w:hAnsi="仿宋" w:eastAsia="仿宋" w:cs="仿宋"/>
          <w:spacing w:val="0"/>
          <w:kern w:val="0"/>
          <w:sz w:val="32"/>
          <w:szCs w:val="32"/>
        </w:rPr>
        <w:t>（一）因公出国（境）费支出0万元，完成全年预算的 0%；较上年增加0万元，增长0%。全年安排本单位组织的出国团组0 个，</w:t>
      </w:r>
      <w:r>
        <w:rPr>
          <w:rFonts w:hint="eastAsia" w:ascii="仿宋" w:hAnsi="仿宋" w:eastAsia="仿宋" w:cs="仿宋"/>
          <w:spacing w:val="0"/>
          <w:kern w:val="0"/>
          <w:sz w:val="32"/>
          <w:szCs w:val="32"/>
        </w:rPr>
        <w:t>参加其他单位出国团组个；全年因公出国（境）累计0人次。主要是</w:t>
      </w:r>
      <w:r>
        <w:rPr>
          <w:rFonts w:hint="eastAsia" w:ascii="仿宋" w:hAnsi="仿宋" w:eastAsia="仿宋" w:cs="仿宋"/>
          <w:color w:val="000000"/>
          <w:kern w:val="0"/>
          <w:sz w:val="32"/>
          <w:szCs w:val="32"/>
          <w:lang w:val="en-US" w:eastAsia="zh-CN" w:bidi="ar"/>
        </w:rPr>
        <w:t>本单位没有组织出国团组及参加其他部门出国团组。</w:t>
      </w:r>
    </w:p>
    <w:p>
      <w:pPr>
        <w:pStyle w:val="29"/>
        <w:keepNext w:val="0"/>
        <w:keepLines w:val="0"/>
        <w:pageBreakBefore w:val="0"/>
        <w:widowControl/>
        <w:kinsoku/>
        <w:wordWrap/>
        <w:overflowPunct/>
        <w:topLinePunct w:val="0"/>
        <w:autoSpaceDE/>
        <w:autoSpaceDN/>
        <w:bidi w:val="0"/>
        <w:adjustRightInd/>
        <w:snapToGrid/>
        <w:spacing w:before="100" w:after="100" w:line="560" w:lineRule="exact"/>
        <w:ind w:left="0" w:right="0" w:firstLine="645"/>
        <w:jc w:val="both"/>
        <w:textAlignment w:val="auto"/>
        <w:rPr>
          <w:rFonts w:ascii="Times New Roman" w:hAnsi="Times New Roman" w:eastAsia="Times New Roman" w:cs="Times New Roman"/>
          <w:kern w:val="0"/>
          <w:sz w:val="32"/>
          <w:szCs w:val="32"/>
        </w:rPr>
      </w:pPr>
      <w:r>
        <w:rPr>
          <w:rFonts w:ascii="仿宋" w:hAnsi="仿宋" w:eastAsia="仿宋" w:cs="仿宋"/>
          <w:spacing w:val="0"/>
          <w:kern w:val="0"/>
          <w:sz w:val="32"/>
          <w:szCs w:val="32"/>
        </w:rPr>
        <w:t>（二）公务用车购置及运行费支出0万元，完成全年预算的0%；较上年增加0万元，增长0%</w:t>
      </w:r>
      <w:r>
        <w:rPr>
          <w:rFonts w:hint="eastAsia" w:ascii="仿宋" w:hAnsi="仿宋" w:eastAsia="仿宋" w:cs="仿宋"/>
          <w:spacing w:val="0"/>
          <w:kern w:val="0"/>
          <w:sz w:val="32"/>
          <w:szCs w:val="32"/>
          <w:lang w:eastAsia="zh-CN"/>
        </w:rPr>
        <w:t>。主要原因是</w:t>
      </w:r>
      <w:r>
        <w:rPr>
          <w:rFonts w:hint="eastAsia" w:ascii="仿宋" w:hAnsi="仿宋" w:eastAsia="仿宋" w:cs="仿宋"/>
          <w:color w:val="000000"/>
          <w:kern w:val="0"/>
          <w:sz w:val="32"/>
          <w:szCs w:val="32"/>
          <w:lang w:val="en-US" w:eastAsia="zh-CN" w:bidi="ar"/>
        </w:rPr>
        <w:t>本单位没有购置</w:t>
      </w:r>
      <w:r>
        <w:rPr>
          <w:rFonts w:hint="default" w:ascii="仿宋" w:hAnsi="仿宋" w:eastAsia="仿宋" w:cs="仿宋"/>
          <w:color w:val="000000"/>
          <w:kern w:val="0"/>
          <w:sz w:val="32"/>
          <w:szCs w:val="32"/>
          <w:lang w:val="en-US" w:eastAsia="zh-CN" w:bidi="ar"/>
        </w:rPr>
        <w:t>公务</w:t>
      </w:r>
      <w:r>
        <w:rPr>
          <w:rFonts w:hint="eastAsia" w:ascii="仿宋" w:hAnsi="仿宋" w:eastAsia="仿宋" w:cs="仿宋"/>
          <w:color w:val="000000"/>
          <w:kern w:val="0"/>
          <w:sz w:val="32"/>
          <w:szCs w:val="32"/>
          <w:lang w:val="en-US" w:eastAsia="zh-CN" w:bidi="ar"/>
        </w:rPr>
        <w:t>用车</w:t>
      </w:r>
      <w:r>
        <w:rPr>
          <w:rFonts w:hint="default" w:ascii="仿宋" w:hAnsi="仿宋" w:eastAsia="仿宋" w:cs="仿宋"/>
          <w:color w:val="000000"/>
          <w:kern w:val="0"/>
          <w:sz w:val="32"/>
          <w:szCs w:val="32"/>
          <w:lang w:val="en-US" w:eastAsia="zh-CN" w:bidi="ar"/>
        </w:rPr>
        <w:t>及运行维护费支出。</w:t>
      </w:r>
      <w:r>
        <w:rPr>
          <w:rFonts w:ascii="仿宋" w:hAnsi="仿宋" w:eastAsia="仿宋" w:cs="仿宋"/>
          <w:spacing w:val="0"/>
          <w:kern w:val="0"/>
          <w:sz w:val="32"/>
          <w:szCs w:val="32"/>
        </w:rPr>
        <w:t>其中：</w:t>
      </w:r>
    </w:p>
    <w:p>
      <w:pPr>
        <w:pStyle w:val="29"/>
        <w:keepNext w:val="0"/>
        <w:keepLines w:val="0"/>
        <w:pageBreakBefore w:val="0"/>
        <w:widowControl/>
        <w:kinsoku/>
        <w:wordWrap/>
        <w:overflowPunct/>
        <w:topLinePunct w:val="0"/>
        <w:autoSpaceDE/>
        <w:autoSpaceDN/>
        <w:bidi w:val="0"/>
        <w:adjustRightInd/>
        <w:snapToGrid/>
        <w:spacing w:before="100" w:after="100" w:line="560" w:lineRule="exact"/>
        <w:ind w:left="0" w:right="0" w:firstLine="645"/>
        <w:jc w:val="both"/>
        <w:textAlignment w:val="auto"/>
        <w:rPr>
          <w:rFonts w:hint="default" w:ascii="仿宋" w:hAnsi="仿宋" w:eastAsia="仿宋" w:cs="仿宋"/>
          <w:kern w:val="0"/>
          <w:sz w:val="32"/>
          <w:szCs w:val="32"/>
          <w:lang w:val="en-US" w:eastAsia="zh-CN"/>
        </w:rPr>
      </w:pPr>
      <w:r>
        <w:rPr>
          <w:rFonts w:ascii="仿宋" w:hAnsi="仿宋" w:eastAsia="仿宋" w:cs="仿宋"/>
          <w:spacing w:val="0"/>
          <w:kern w:val="0"/>
          <w:sz w:val="32"/>
          <w:szCs w:val="32"/>
        </w:rPr>
        <w:t>公务用车购置费支出0万元，完成全年预算的0%；较上年增加0万元，增长0%。2024年公务用车购置0辆，主要是</w:t>
      </w:r>
      <w:r>
        <w:rPr>
          <w:rFonts w:hint="eastAsia" w:ascii="仿宋" w:hAnsi="仿宋" w:eastAsia="仿宋" w:cs="仿宋"/>
          <w:kern w:val="0"/>
          <w:sz w:val="32"/>
          <w:szCs w:val="32"/>
          <w:lang w:val="en-US" w:eastAsia="zh-CN"/>
        </w:rPr>
        <w:t>本单位</w:t>
      </w:r>
      <w:r>
        <w:rPr>
          <w:rFonts w:hint="default" w:ascii="仿宋" w:hAnsi="仿宋" w:eastAsia="仿宋" w:cs="仿宋"/>
          <w:kern w:val="0"/>
          <w:sz w:val="32"/>
          <w:szCs w:val="32"/>
          <w:lang w:val="en-US" w:eastAsia="zh-CN"/>
        </w:rPr>
        <w:t>没有购置公务用车。</w:t>
      </w:r>
    </w:p>
    <w:p>
      <w:pPr>
        <w:pStyle w:val="29"/>
        <w:keepNext w:val="0"/>
        <w:keepLines w:val="0"/>
        <w:pageBreakBefore w:val="0"/>
        <w:widowControl/>
        <w:kinsoku/>
        <w:wordWrap/>
        <w:overflowPunct/>
        <w:topLinePunct w:val="0"/>
        <w:autoSpaceDE/>
        <w:autoSpaceDN/>
        <w:bidi w:val="0"/>
        <w:adjustRightInd/>
        <w:snapToGrid/>
        <w:spacing w:before="100" w:after="100" w:line="560" w:lineRule="exact"/>
        <w:ind w:left="0" w:right="0" w:firstLine="645"/>
        <w:jc w:val="both"/>
        <w:textAlignment w:val="auto"/>
        <w:rPr>
          <w:rFonts w:ascii="Times New Roman" w:hAnsi="Times New Roman" w:eastAsia="Times New Roman" w:cs="Times New Roman"/>
          <w:kern w:val="0"/>
          <w:sz w:val="32"/>
          <w:szCs w:val="32"/>
        </w:rPr>
      </w:pPr>
      <w:r>
        <w:rPr>
          <w:rFonts w:ascii="仿宋" w:hAnsi="仿宋" w:eastAsia="仿宋" w:cs="仿宋"/>
          <w:spacing w:val="0"/>
          <w:kern w:val="0"/>
          <w:sz w:val="32"/>
          <w:szCs w:val="32"/>
        </w:rPr>
        <w:t>公务用车运行费支出0万元，完成全年预算的0%；较上年增加0万元，增长0%。主要是</w:t>
      </w:r>
      <w:r>
        <w:rPr>
          <w:rFonts w:hint="eastAsia" w:ascii="仿宋" w:hAnsi="仿宋" w:eastAsia="仿宋" w:cs="仿宋"/>
          <w:color w:val="000000"/>
          <w:kern w:val="0"/>
          <w:sz w:val="32"/>
          <w:szCs w:val="32"/>
          <w:lang w:val="en-US" w:eastAsia="zh-CN" w:bidi="ar"/>
        </w:rPr>
        <w:t>本单位没有公务用车运行维</w:t>
      </w:r>
      <w:r>
        <w:rPr>
          <w:rFonts w:hint="default" w:ascii="仿宋" w:hAnsi="仿宋" w:eastAsia="仿宋" w:cs="仿宋"/>
          <w:color w:val="000000"/>
          <w:kern w:val="0"/>
          <w:sz w:val="32"/>
          <w:szCs w:val="32"/>
          <w:lang w:val="en-US" w:eastAsia="zh-CN" w:bidi="ar"/>
        </w:rPr>
        <w:t>护费的支出。</w:t>
      </w:r>
      <w:r>
        <w:rPr>
          <w:rFonts w:ascii="仿宋" w:hAnsi="仿宋" w:eastAsia="仿宋" w:cs="仿宋"/>
          <w:spacing w:val="0"/>
          <w:kern w:val="0"/>
          <w:sz w:val="32"/>
          <w:szCs w:val="32"/>
        </w:rPr>
        <w:t>截至2024年12月31日，本单位公务用车保有量为0 辆。</w:t>
      </w:r>
    </w:p>
    <w:p>
      <w:pPr>
        <w:pStyle w:val="29"/>
        <w:keepNext w:val="0"/>
        <w:keepLines w:val="0"/>
        <w:pageBreakBefore w:val="0"/>
        <w:widowControl/>
        <w:kinsoku/>
        <w:wordWrap/>
        <w:overflowPunct/>
        <w:topLinePunct w:val="0"/>
        <w:autoSpaceDE/>
        <w:autoSpaceDN/>
        <w:bidi w:val="0"/>
        <w:adjustRightInd/>
        <w:snapToGrid/>
        <w:spacing w:before="100" w:after="100" w:line="560" w:lineRule="exact"/>
        <w:ind w:left="0" w:right="0" w:firstLine="645"/>
        <w:jc w:val="both"/>
        <w:textAlignment w:val="auto"/>
        <w:rPr>
          <w:rFonts w:ascii="Times New Roman" w:hAnsi="Times New Roman" w:eastAsia="Times New Roman" w:cs="Times New Roman"/>
          <w:kern w:val="0"/>
          <w:sz w:val="32"/>
          <w:szCs w:val="32"/>
        </w:rPr>
      </w:pPr>
      <w:r>
        <w:rPr>
          <w:rFonts w:ascii="仿宋" w:hAnsi="仿宋" w:eastAsia="仿宋" w:cs="仿宋"/>
          <w:spacing w:val="0"/>
          <w:kern w:val="0"/>
          <w:sz w:val="32"/>
          <w:szCs w:val="32"/>
        </w:rPr>
        <w:t>（三）公务接待费支出0万元，完成全年预算的 0%；较上年增加0万元，增长0%。主要是</w:t>
      </w:r>
      <w:r>
        <w:rPr>
          <w:rFonts w:hint="eastAsia" w:ascii="仿宋" w:hAnsi="仿宋" w:eastAsia="仿宋" w:cs="仿宋"/>
          <w:color w:val="000000"/>
          <w:kern w:val="0"/>
          <w:sz w:val="32"/>
          <w:szCs w:val="32"/>
          <w:lang w:val="en-US" w:eastAsia="zh-CN" w:bidi="ar"/>
        </w:rPr>
        <w:t>本单位没有公务接待活动。</w:t>
      </w:r>
      <w:r>
        <w:rPr>
          <w:rFonts w:ascii="仿宋" w:hAnsi="仿宋" w:eastAsia="仿宋" w:cs="仿宋"/>
          <w:spacing w:val="0"/>
          <w:kern w:val="0"/>
          <w:sz w:val="32"/>
          <w:szCs w:val="32"/>
        </w:rPr>
        <w:t>累计接待0批次、0人次。</w:t>
      </w:r>
    </w:p>
    <w:p>
      <w:pPr>
        <w:pStyle w:val="6"/>
        <w:keepNext w:val="0"/>
        <w:keepLines w:val="0"/>
        <w:spacing w:before="100" w:after="100" w:line="600" w:lineRule="atLeast"/>
        <w:ind w:left="0" w:right="0" w:firstLine="640" w:firstLineChars="0"/>
        <w:jc w:val="both"/>
        <w:rPr>
          <w:rFonts w:ascii="Times New Roman" w:hAnsi="Times New Roman" w:eastAsia="Times New Roman" w:cs="Times New Roman"/>
          <w:b/>
          <w:bCs/>
          <w:kern w:val="0"/>
          <w:sz w:val="28"/>
          <w:szCs w:val="28"/>
        </w:rPr>
      </w:pPr>
      <w:bookmarkStart w:id="102" w:name="_Toc256000087"/>
      <w:bookmarkStart w:id="103" w:name="_Toc256000025"/>
      <w:bookmarkStart w:id="104" w:name="_Toc256000118"/>
      <w:bookmarkStart w:id="105" w:name="_Toc256000056"/>
      <w:r>
        <w:rPr>
          <w:rFonts w:ascii="黑体" w:hAnsi="黑体" w:eastAsia="黑体" w:cs="黑体"/>
          <w:b/>
          <w:spacing w:val="0"/>
        </w:rPr>
        <w:t>八、预算绩效情况说明</w:t>
      </w:r>
      <w:bookmarkEnd w:id="102"/>
      <w:bookmarkEnd w:id="103"/>
      <w:bookmarkEnd w:id="104"/>
      <w:bookmarkEnd w:id="105"/>
    </w:p>
    <w:p>
      <w:pPr>
        <w:pStyle w:val="29"/>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根据预算绩效管理要求，本单位组织对2024年度</w:t>
      </w:r>
      <w:r>
        <w:rPr>
          <w:rFonts w:hint="eastAsia" w:ascii="仿宋" w:hAnsi="仿宋" w:eastAsia="仿宋" w:cs="仿宋"/>
          <w:spacing w:val="0"/>
          <w:kern w:val="0"/>
          <w:sz w:val="32"/>
          <w:szCs w:val="32"/>
          <w:lang w:val="en-US" w:eastAsia="zh-CN"/>
        </w:rPr>
        <w:t>1</w:t>
      </w:r>
      <w:r>
        <w:rPr>
          <w:rFonts w:ascii="仿宋" w:hAnsi="仿宋" w:eastAsia="仿宋" w:cs="仿宋"/>
          <w:spacing w:val="0"/>
          <w:kern w:val="0"/>
          <w:sz w:val="32"/>
          <w:szCs w:val="32"/>
        </w:rPr>
        <w:t>个项目实施单位自评，</w:t>
      </w:r>
      <w:r>
        <w:rPr>
          <w:rFonts w:hint="eastAsia" w:ascii="仿宋" w:hAnsi="仿宋" w:eastAsia="仿宋" w:cs="仿宋"/>
          <w:spacing w:val="0"/>
          <w:kern w:val="0"/>
          <w:sz w:val="32"/>
          <w:szCs w:val="32"/>
          <w:lang w:eastAsia="zh-CN"/>
        </w:rPr>
        <w:t>项目名称为</w:t>
      </w:r>
      <w:r>
        <w:rPr>
          <w:rFonts w:hint="eastAsia" w:ascii="仿宋" w:hAnsi="仿宋" w:eastAsia="仿宋" w:cs="仿宋"/>
          <w:spacing w:val="0"/>
          <w:kern w:val="0"/>
          <w:sz w:val="32"/>
          <w:szCs w:val="32"/>
        </w:rPr>
        <w:t>义务教育阶段家庭经济困难学生营养餐补助</w:t>
      </w:r>
      <w:r>
        <w:rPr>
          <w:rFonts w:ascii="仿宋" w:hAnsi="仿宋" w:eastAsia="仿宋" w:cs="仿宋"/>
          <w:spacing w:val="0"/>
          <w:kern w:val="0"/>
          <w:sz w:val="32"/>
          <w:szCs w:val="32"/>
        </w:rPr>
        <w:t>，涉及财政拨款资金共计</w:t>
      </w:r>
      <w:r>
        <w:rPr>
          <w:rFonts w:hint="eastAsia" w:ascii="仿宋" w:hAnsi="仿宋" w:eastAsia="仿宋" w:cs="仿宋"/>
          <w:spacing w:val="0"/>
          <w:kern w:val="0"/>
          <w:sz w:val="32"/>
          <w:szCs w:val="32"/>
          <w:lang w:val="en-US" w:eastAsia="zh-CN"/>
        </w:rPr>
        <w:t>0.2136</w:t>
      </w:r>
      <w:r>
        <w:rPr>
          <w:rFonts w:ascii="仿宋" w:hAnsi="仿宋" w:eastAsia="仿宋" w:cs="仿宋"/>
          <w:spacing w:val="0"/>
          <w:kern w:val="0"/>
          <w:sz w:val="32"/>
          <w:szCs w:val="32"/>
        </w:rPr>
        <w:t>万元。（《项目支出绩效自评表》详见附件）</w:t>
      </w:r>
    </w:p>
    <w:p>
      <w:pPr>
        <w:pStyle w:val="6"/>
        <w:keepNext w:val="0"/>
        <w:keepLines w:val="0"/>
        <w:spacing w:before="100" w:after="100" w:line="600" w:lineRule="atLeast"/>
        <w:ind w:left="0" w:right="0" w:firstLine="640" w:firstLineChars="0"/>
        <w:jc w:val="both"/>
        <w:rPr>
          <w:rFonts w:ascii="Times New Roman" w:hAnsi="Times New Roman" w:eastAsia="Times New Roman" w:cs="Times New Roman"/>
          <w:b/>
          <w:bCs/>
          <w:kern w:val="0"/>
          <w:sz w:val="28"/>
          <w:szCs w:val="28"/>
        </w:rPr>
      </w:pPr>
      <w:bookmarkStart w:id="106" w:name="_Toc256000119"/>
      <w:bookmarkStart w:id="107" w:name="_Toc256000057"/>
      <w:bookmarkStart w:id="108" w:name="_Toc256000026"/>
      <w:bookmarkStart w:id="109" w:name="_Toc256000088"/>
      <w:r>
        <w:rPr>
          <w:rFonts w:ascii="黑体" w:hAnsi="黑体" w:eastAsia="黑体" w:cs="黑体"/>
          <w:b/>
          <w:spacing w:val="0"/>
        </w:rPr>
        <w:t>九、其他重要事项说明</w:t>
      </w:r>
      <w:bookmarkEnd w:id="106"/>
      <w:bookmarkEnd w:id="107"/>
      <w:bookmarkEnd w:id="108"/>
      <w:bookmarkEnd w:id="109"/>
    </w:p>
    <w:p>
      <w:pPr>
        <w:pStyle w:val="29"/>
        <w:widowControl/>
        <w:spacing w:before="100" w:after="100" w:line="600" w:lineRule="atLeast"/>
        <w:ind w:left="0" w:right="0" w:firstLine="643"/>
        <w:jc w:val="both"/>
        <w:rPr>
          <w:rFonts w:ascii="Times New Roman" w:hAnsi="Times New Roman" w:eastAsia="Times New Roman" w:cs="Times New Roman"/>
          <w:kern w:val="0"/>
          <w:sz w:val="24"/>
        </w:rPr>
      </w:pPr>
      <w:r>
        <w:rPr>
          <w:rFonts w:ascii="楷体" w:hAnsi="楷体" w:eastAsia="楷体" w:cs="楷体"/>
          <w:spacing w:val="0"/>
          <w:kern w:val="0"/>
          <w:sz w:val="32"/>
          <w:szCs w:val="32"/>
        </w:rPr>
        <w:t>（一）机关运行经费</w:t>
      </w:r>
    </w:p>
    <w:p>
      <w:pPr>
        <w:pStyle w:val="29"/>
        <w:widowControl/>
        <w:spacing w:before="100" w:after="100" w:line="600" w:lineRule="atLeast"/>
        <w:ind w:left="0" w:right="0" w:firstLine="640"/>
        <w:jc w:val="both"/>
        <w:rPr>
          <w:rFonts w:ascii="Times New Roman" w:hAnsi="Times New Roman" w:eastAsia="Times New Roman" w:cs="Times New Roman"/>
          <w:kern w:val="0"/>
          <w:sz w:val="24"/>
        </w:rPr>
      </w:pPr>
      <w:r>
        <w:rPr>
          <w:rFonts w:ascii="仿宋" w:hAnsi="仿宋" w:eastAsia="仿宋" w:cs="仿宋"/>
          <w:spacing w:val="0"/>
          <w:kern w:val="0"/>
          <w:sz w:val="32"/>
          <w:szCs w:val="32"/>
        </w:rPr>
        <w:t>2024年度机关运行经费支出0万元，比上年决算数增加0万元，增长0%，主要原因是:</w:t>
      </w:r>
      <w:r>
        <w:rPr>
          <w:rFonts w:hint="eastAsia" w:ascii="仿宋" w:hAnsi="仿宋" w:eastAsia="仿宋" w:cs="仿宋"/>
          <w:spacing w:val="0"/>
          <w:kern w:val="0"/>
          <w:sz w:val="32"/>
          <w:szCs w:val="32"/>
        </w:rPr>
        <w:t>本单位为事业单位没有机关运行经费。</w:t>
      </w:r>
    </w:p>
    <w:p>
      <w:pPr>
        <w:pStyle w:val="29"/>
        <w:widowControl/>
        <w:spacing w:before="100" w:after="100" w:line="600" w:lineRule="atLeast"/>
        <w:ind w:left="0" w:right="0" w:firstLine="643"/>
        <w:jc w:val="both"/>
        <w:rPr>
          <w:rFonts w:ascii="Times New Roman" w:hAnsi="Times New Roman" w:eastAsia="Times New Roman" w:cs="Times New Roman"/>
          <w:kern w:val="0"/>
          <w:sz w:val="24"/>
        </w:rPr>
      </w:pPr>
      <w:r>
        <w:rPr>
          <w:rStyle w:val="31"/>
          <w:rFonts w:ascii="楷体" w:hAnsi="楷体" w:eastAsia="楷体" w:cs="楷体"/>
          <w:b/>
          <w:bCs/>
          <w:spacing w:val="0"/>
          <w:kern w:val="0"/>
          <w:sz w:val="32"/>
          <w:szCs w:val="32"/>
        </w:rPr>
        <w:t>（二）政府采购情况</w:t>
      </w:r>
    </w:p>
    <w:p>
      <w:pPr>
        <w:pStyle w:val="29"/>
        <w:widowControl/>
        <w:spacing w:before="100" w:after="100" w:line="600" w:lineRule="atLeast"/>
        <w:ind w:left="0" w:right="0" w:firstLine="640"/>
        <w:jc w:val="both"/>
        <w:rPr>
          <w:rFonts w:hint="eastAsia" w:ascii="Times New Roman" w:hAnsi="Times New Roman" w:eastAsia="仿宋" w:cs="Times New Roman"/>
          <w:kern w:val="0"/>
          <w:sz w:val="24"/>
          <w:lang w:eastAsia="zh-CN"/>
        </w:rPr>
      </w:pPr>
      <w:r>
        <w:rPr>
          <w:rFonts w:ascii="仿宋" w:hAnsi="仿宋" w:eastAsia="仿宋" w:cs="仿宋"/>
          <w:spacing w:val="0"/>
          <w:kern w:val="0"/>
          <w:sz w:val="32"/>
          <w:szCs w:val="32"/>
        </w:rPr>
        <w:t>本单位2024年度政府采购支出总额0万元，其中：政府采购货物支出0万元、政府采购工程支出0万元、政府采购服务支出0万元。授予中小企业合同金额0万元，占政府采购支出总额的0%，其中：授予小微企业合同金额0万元，占授予中小企业合同金额的0%；货物采购授予中小企业合同金额占货物支出金额的%，工程采购授予中小企业合同金额占工程支出金额的</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%，服务采购授予中小企业合同金额占服务支出金额的</w:t>
      </w:r>
      <w:r>
        <w:rPr>
          <w:rFonts w:hint="eastAsia" w:ascii="仿宋" w:hAnsi="仿宋" w:eastAsia="仿宋" w:cs="仿宋"/>
          <w:spacing w:val="0"/>
          <w:kern w:val="0"/>
          <w:sz w:val="32"/>
          <w:szCs w:val="32"/>
          <w:lang w:val="en-US" w:eastAsia="zh-CN"/>
        </w:rPr>
        <w:t>0</w:t>
      </w:r>
      <w:r>
        <w:rPr>
          <w:rFonts w:ascii="仿宋" w:hAnsi="仿宋" w:eastAsia="仿宋" w:cs="仿宋"/>
          <w:spacing w:val="0"/>
          <w:kern w:val="0"/>
          <w:sz w:val="32"/>
          <w:szCs w:val="32"/>
        </w:rPr>
        <w:t>%</w:t>
      </w:r>
      <w:r>
        <w:rPr>
          <w:rFonts w:hint="eastAsia" w:ascii="仿宋" w:hAnsi="仿宋" w:eastAsia="仿宋" w:cs="仿宋"/>
          <w:spacing w:val="0"/>
          <w:kern w:val="0"/>
          <w:sz w:val="32"/>
          <w:szCs w:val="32"/>
          <w:lang w:eastAsia="zh-CN"/>
        </w:rPr>
        <w:t>。主要原因是：</w:t>
      </w:r>
      <w:r>
        <w:rPr>
          <w:rFonts w:hint="eastAsia" w:ascii="仿宋" w:hAnsi="仿宋" w:eastAsia="仿宋" w:cs="仿宋"/>
          <w:spacing w:val="0"/>
          <w:kern w:val="0"/>
          <w:sz w:val="32"/>
          <w:szCs w:val="32"/>
        </w:rPr>
        <w:t>本单位2024年度没有政府采购支出</w:t>
      </w:r>
      <w:r>
        <w:rPr>
          <w:rFonts w:hint="eastAsia" w:ascii="仿宋" w:hAnsi="仿宋" w:eastAsia="仿宋" w:cs="仿宋"/>
          <w:spacing w:val="0"/>
          <w:kern w:val="0"/>
          <w:sz w:val="32"/>
          <w:szCs w:val="32"/>
          <w:lang w:eastAsia="zh-CN"/>
        </w:rPr>
        <w:t>。</w:t>
      </w:r>
    </w:p>
    <w:p>
      <w:pPr>
        <w:pStyle w:val="29"/>
        <w:widowControl/>
        <w:spacing w:before="100" w:after="100" w:line="600" w:lineRule="atLeast"/>
        <w:ind w:left="0" w:right="0" w:firstLine="707"/>
        <w:jc w:val="both"/>
        <w:rPr>
          <w:rFonts w:ascii="Times New Roman" w:hAnsi="Times New Roman" w:eastAsia="Times New Roman" w:cs="Times New Roman"/>
          <w:kern w:val="0"/>
          <w:sz w:val="24"/>
        </w:rPr>
      </w:pPr>
      <w:r>
        <w:rPr>
          <w:rStyle w:val="31"/>
          <w:rFonts w:ascii="楷体" w:hAnsi="楷体" w:eastAsia="楷体" w:cs="楷体"/>
          <w:b/>
          <w:bCs/>
          <w:spacing w:val="0"/>
          <w:kern w:val="0"/>
          <w:sz w:val="32"/>
          <w:szCs w:val="32"/>
        </w:rPr>
        <w:t>（三）国有资产占用使用情况</w:t>
      </w:r>
    </w:p>
    <w:p>
      <w:pPr>
        <w:pStyle w:val="29"/>
        <w:widowControl/>
        <w:spacing w:before="100" w:after="100" w:line="600" w:lineRule="atLeast"/>
        <w:ind w:left="0" w:right="0" w:firstLine="704"/>
        <w:jc w:val="both"/>
      </w:pPr>
      <w:r>
        <w:rPr>
          <w:rFonts w:ascii="仿宋" w:hAnsi="仿宋" w:eastAsia="仿宋" w:cs="仿宋"/>
          <w:spacing w:val="0"/>
          <w:kern w:val="0"/>
          <w:sz w:val="32"/>
          <w:szCs w:val="32"/>
        </w:rPr>
        <w:t>截至2024年12月31日，本单位共有车辆0 辆，其中：副部（省）级以上领导用车0 辆、主要领导干部用车0 辆、机要通信用车0辆、应急保障用车0辆、执法执勤用车0辆、特种专业技术用车0辆、离退休干部用车0辆、其他用车0辆，其他用车主要是；单位价值100万元以上设备（不含车辆）0台（套）。</w:t>
      </w:r>
    </w:p>
    <w:p>
      <w:pPr>
        <w:pStyle w:val="4"/>
        <w:keepNext w:val="0"/>
        <w:keepLines w:val="0"/>
        <w:spacing w:before="100" w:after="100" w:line="240" w:lineRule="auto"/>
        <w:ind w:left="0" w:right="0" w:firstLine="0" w:firstLineChars="0"/>
        <w:jc w:val="center"/>
        <w:rPr>
          <w:rFonts w:ascii="黑体" w:hAnsi="黑体" w:eastAsia="黑体" w:cs="黑体"/>
          <w:b/>
          <w:spacing w:val="0"/>
          <w:sz w:val="44"/>
          <w:szCs w:val="44"/>
        </w:rPr>
      </w:pPr>
      <w:bookmarkStart w:id="110" w:name="_Toc256000120"/>
      <w:bookmarkStart w:id="111" w:name="_Toc256000027"/>
      <w:bookmarkStart w:id="112" w:name="_Toc256000058"/>
      <w:bookmarkStart w:id="113" w:name="_Toc256000089"/>
      <w:r>
        <w:rPr>
          <w:rFonts w:ascii="黑体" w:hAnsi="黑体" w:eastAsia="黑体" w:cs="黑体"/>
          <w:b/>
          <w:spacing w:val="0"/>
          <w:sz w:val="44"/>
          <w:szCs w:val="44"/>
        </w:rPr>
        <w:t>第四部分</w:t>
      </w:r>
      <w:bookmarkEnd w:id="110"/>
      <w:bookmarkEnd w:id="111"/>
      <w:bookmarkEnd w:id="112"/>
      <w:bookmarkEnd w:id="113"/>
      <w:bookmarkStart w:id="114" w:name="_Toc256000090"/>
      <w:bookmarkStart w:id="115" w:name="_Toc256000121"/>
      <w:bookmarkStart w:id="116" w:name="_Toc256000059"/>
      <w:bookmarkStart w:id="117" w:name="_Toc256000028"/>
    </w:p>
    <w:p>
      <w:pPr>
        <w:pStyle w:val="4"/>
        <w:keepNext w:val="0"/>
        <w:keepLines w:val="0"/>
        <w:spacing w:before="100" w:after="100" w:line="240" w:lineRule="auto"/>
        <w:ind w:left="0" w:right="0" w:firstLine="0" w:firstLineChars="0"/>
        <w:jc w:val="center"/>
        <w:rPr>
          <w:rFonts w:ascii="Times New Roman" w:hAnsi="Times New Roman" w:eastAsia="Times New Roman" w:cs="Times New Roman"/>
          <w:kern w:val="0"/>
          <w:sz w:val="44"/>
          <w:szCs w:val="44"/>
        </w:rPr>
      </w:pPr>
      <w:r>
        <w:rPr>
          <w:rFonts w:ascii="黑体" w:hAnsi="黑体" w:eastAsia="黑体" w:cs="黑体"/>
          <w:b/>
          <w:spacing w:val="0"/>
          <w:sz w:val="44"/>
          <w:szCs w:val="44"/>
        </w:rPr>
        <w:t>名词解释</w:t>
      </w:r>
      <w:bookmarkEnd w:id="114"/>
      <w:bookmarkEnd w:id="115"/>
      <w:bookmarkEnd w:id="116"/>
      <w:bookmarkEnd w:id="117"/>
    </w:p>
    <w:p>
      <w:pPr>
        <w:pStyle w:val="29"/>
        <w:widowControl/>
        <w:spacing w:before="100" w:after="100" w:line="600" w:lineRule="atLeast"/>
        <w:ind w:left="0" w:right="0" w:firstLine="710"/>
        <w:jc w:val="both"/>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一、财政拨款收入：</w:t>
      </w:r>
      <w:r>
        <w:rPr>
          <w:rFonts w:ascii="仿宋" w:hAnsi="仿宋" w:eastAsia="仿宋" w:cs="仿宋"/>
          <w:spacing w:val="0"/>
          <w:kern w:val="0"/>
          <w:sz w:val="32"/>
          <w:szCs w:val="32"/>
        </w:rPr>
        <w:t>指单位从本级财政单位取得的财政预算资金，包括一般公共预算财政拨款、政府性基金预算财政拨款和国有资本经营预算财政拨款。</w:t>
      </w:r>
    </w:p>
    <w:p>
      <w:pPr>
        <w:pStyle w:val="29"/>
        <w:widowControl/>
        <w:spacing w:before="100" w:after="100" w:line="600" w:lineRule="atLeast"/>
        <w:ind w:left="0" w:right="0" w:firstLine="710"/>
        <w:jc w:val="both"/>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二、事业收入：</w:t>
      </w:r>
      <w:r>
        <w:rPr>
          <w:rFonts w:ascii="仿宋" w:hAnsi="仿宋" w:eastAsia="仿宋" w:cs="仿宋"/>
          <w:spacing w:val="0"/>
          <w:kern w:val="0"/>
          <w:sz w:val="32"/>
          <w:szCs w:val="32"/>
        </w:rPr>
        <w:t>指事业单位开展专业业务活动及辅助活动所取得的收入。</w:t>
      </w:r>
    </w:p>
    <w:p>
      <w:pPr>
        <w:pStyle w:val="29"/>
        <w:widowControl/>
        <w:spacing w:before="100" w:after="100" w:line="600" w:lineRule="atLeast"/>
        <w:ind w:left="0" w:right="0" w:firstLine="710"/>
        <w:jc w:val="both"/>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三、经营收入：</w:t>
      </w:r>
      <w:r>
        <w:rPr>
          <w:rFonts w:ascii="仿宋" w:hAnsi="仿宋" w:eastAsia="仿宋" w:cs="仿宋"/>
          <w:spacing w:val="0"/>
          <w:kern w:val="0"/>
          <w:sz w:val="32"/>
          <w:szCs w:val="32"/>
        </w:rPr>
        <w:t>指事业单位在专业业务活动及其辅助活动之外开展非独立核算经营活动取得的收入。</w:t>
      </w:r>
    </w:p>
    <w:p>
      <w:pPr>
        <w:pStyle w:val="29"/>
        <w:widowControl/>
        <w:spacing w:before="100" w:after="100" w:line="600" w:lineRule="atLeast"/>
        <w:ind w:left="0" w:right="0" w:firstLine="710"/>
        <w:jc w:val="both"/>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四、其他收入：</w:t>
      </w:r>
      <w:r>
        <w:rPr>
          <w:rFonts w:ascii="仿宋" w:hAnsi="仿宋" w:eastAsia="仿宋" w:cs="仿宋"/>
          <w:spacing w:val="0"/>
          <w:kern w:val="0"/>
          <w:sz w:val="32"/>
          <w:szCs w:val="32"/>
        </w:rPr>
        <w:t>指除上述“财政拨款收入”“事业收入”</w:t>
      </w:r>
      <w:r>
        <w:rPr>
          <w:rFonts w:ascii="宋体" w:hAnsi="宋体" w:cs="宋体"/>
          <w:spacing w:val="0"/>
          <w:kern w:val="0"/>
          <w:szCs w:val="21"/>
        </w:rPr>
        <w:t> </w:t>
      </w:r>
      <w:r>
        <w:rPr>
          <w:rFonts w:ascii="仿宋" w:hAnsi="仿宋" w:eastAsia="仿宋" w:cs="仿宋"/>
          <w:spacing w:val="0"/>
          <w:kern w:val="0"/>
          <w:sz w:val="32"/>
          <w:szCs w:val="32"/>
        </w:rPr>
        <w:t>“上级补助收入”“附属单位上缴收入”“经营收入”等以外取得的各项收入。主要是事业单位固定资产出租收入等。</w:t>
      </w:r>
    </w:p>
    <w:p>
      <w:pPr>
        <w:pStyle w:val="29"/>
        <w:widowControl/>
        <w:spacing w:before="100" w:after="100" w:line="600" w:lineRule="atLeast"/>
        <w:ind w:left="0" w:right="0" w:firstLine="710"/>
        <w:jc w:val="both"/>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五、使用非财政拨款结余：</w:t>
      </w:r>
      <w:r>
        <w:rPr>
          <w:rFonts w:ascii="仿宋" w:hAnsi="仿宋" w:eastAsia="仿宋" w:cs="仿宋"/>
          <w:spacing w:val="0"/>
          <w:kern w:val="0"/>
          <w:sz w:val="32"/>
          <w:szCs w:val="32"/>
        </w:rPr>
        <w:t>指事业单位使用以前年度积累的非财政拨款结余弥补当年收支差额的金额。</w:t>
      </w:r>
    </w:p>
    <w:p>
      <w:pPr>
        <w:pStyle w:val="29"/>
        <w:widowControl/>
        <w:spacing w:before="100" w:after="100" w:line="600" w:lineRule="atLeast"/>
        <w:ind w:left="0" w:right="0" w:firstLine="710"/>
        <w:jc w:val="both"/>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六、年初结转和结余：</w:t>
      </w:r>
      <w:r>
        <w:rPr>
          <w:rFonts w:ascii="仿宋" w:hAnsi="仿宋" w:eastAsia="仿宋" w:cs="仿宋"/>
          <w:spacing w:val="0"/>
          <w:kern w:val="0"/>
          <w:sz w:val="32"/>
          <w:szCs w:val="32"/>
        </w:rPr>
        <w:t>指单位以前年度尚未完成、结转到本年仍按原规定用途继续使用的资金，或项目已完成等产生的结余资金。</w:t>
      </w:r>
    </w:p>
    <w:p>
      <w:pPr>
        <w:pStyle w:val="30"/>
        <w:widowControl/>
        <w:spacing w:before="100" w:after="100" w:line="600" w:lineRule="atLeast"/>
        <w:ind w:left="0" w:right="0" w:firstLine="640"/>
        <w:jc w:val="both"/>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七、结余分配：</w:t>
      </w:r>
      <w:r>
        <w:rPr>
          <w:rFonts w:ascii="仿宋" w:hAnsi="仿宋" w:eastAsia="仿宋" w:cs="仿宋"/>
          <w:spacing w:val="0"/>
          <w:kern w:val="0"/>
          <w:sz w:val="32"/>
          <w:szCs w:val="32"/>
        </w:rPr>
        <w:t>指事业单位按照会计制度规定缴纳的所得税、提取的专用结余以及转入非财政拨款结余的金额等。</w:t>
      </w:r>
    </w:p>
    <w:p>
      <w:pPr>
        <w:pStyle w:val="30"/>
        <w:widowControl/>
        <w:spacing w:before="100" w:after="100" w:line="600" w:lineRule="atLeast"/>
        <w:ind w:left="0" w:right="0" w:firstLine="640"/>
        <w:jc w:val="both"/>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八、年末结转和结余：</w:t>
      </w:r>
      <w:r>
        <w:rPr>
          <w:rFonts w:ascii="仿宋" w:hAnsi="仿宋" w:eastAsia="仿宋" w:cs="仿宋"/>
          <w:spacing w:val="0"/>
          <w:kern w:val="0"/>
          <w:sz w:val="32"/>
          <w:szCs w:val="32"/>
        </w:rPr>
        <w:t>指单位按有关规定结转到下年或以后年度继续使用的资金，或项目已完成等产生的结余资金。</w:t>
      </w:r>
    </w:p>
    <w:p>
      <w:pPr>
        <w:pStyle w:val="30"/>
        <w:widowControl/>
        <w:spacing w:before="100" w:after="100" w:line="600" w:lineRule="atLeast"/>
        <w:ind w:left="0" w:right="0" w:firstLine="640"/>
        <w:jc w:val="both"/>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九、基本支出：</w:t>
      </w:r>
      <w:r>
        <w:rPr>
          <w:rFonts w:ascii="仿宋" w:hAnsi="仿宋" w:eastAsia="仿宋" w:cs="仿宋"/>
          <w:spacing w:val="0"/>
          <w:kern w:val="0"/>
          <w:sz w:val="32"/>
          <w:szCs w:val="32"/>
        </w:rPr>
        <w:t>指为保障机构正常运转、完成日常工作任务而发生的人员支出和公用支出。</w:t>
      </w:r>
    </w:p>
    <w:p>
      <w:pPr>
        <w:pStyle w:val="30"/>
        <w:widowControl/>
        <w:spacing w:before="100" w:after="100" w:line="600" w:lineRule="atLeast"/>
        <w:ind w:left="0" w:right="0" w:firstLine="640"/>
        <w:jc w:val="both"/>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十、项目支出：</w:t>
      </w:r>
      <w:r>
        <w:rPr>
          <w:rFonts w:ascii="仿宋" w:hAnsi="仿宋" w:eastAsia="仿宋" w:cs="仿宋"/>
          <w:spacing w:val="0"/>
          <w:kern w:val="0"/>
          <w:sz w:val="32"/>
          <w:szCs w:val="32"/>
        </w:rPr>
        <w:t>指在基本支出之外为完成特定行政任务和事业发展目标所发生的支出。</w:t>
      </w:r>
    </w:p>
    <w:p>
      <w:pPr>
        <w:pStyle w:val="30"/>
        <w:widowControl/>
        <w:spacing w:before="100" w:after="100" w:line="600" w:lineRule="atLeast"/>
        <w:ind w:left="0" w:right="0" w:firstLine="640"/>
        <w:jc w:val="both"/>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十一、经营支出：</w:t>
      </w:r>
      <w:r>
        <w:rPr>
          <w:rFonts w:ascii="仿宋" w:hAnsi="仿宋" w:eastAsia="仿宋" w:cs="仿宋"/>
          <w:spacing w:val="0"/>
          <w:kern w:val="0"/>
          <w:sz w:val="32"/>
          <w:szCs w:val="32"/>
        </w:rPr>
        <w:t>指事业单位在专业业务活动及其辅助活动之外开展非独立核算经营活动发生的支出。</w:t>
      </w:r>
    </w:p>
    <w:p>
      <w:pPr>
        <w:pStyle w:val="30"/>
        <w:widowControl/>
        <w:spacing w:before="100" w:after="100" w:line="600" w:lineRule="atLeast"/>
        <w:ind w:left="0" w:right="0" w:firstLine="640"/>
        <w:jc w:val="both"/>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十二、“三公”经费：</w:t>
      </w:r>
      <w:r>
        <w:rPr>
          <w:rFonts w:ascii="仿宋" w:hAnsi="仿宋" w:eastAsia="仿宋" w:cs="仿宋"/>
          <w:spacing w:val="0"/>
          <w:kern w:val="0"/>
          <w:sz w:val="32"/>
          <w:szCs w:val="32"/>
        </w:rPr>
        <w:t>纳入本级财政预决算管理的“三公”经费，是指本级单位用一般公共预算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牌照费）及燃料费、维修费、过桥过路费、保险费、安全奖励费用等支出；公务接待费反映单位按规定开支的各类公务接待（含外宾接待）支出。</w:t>
      </w:r>
    </w:p>
    <w:p>
      <w:pPr>
        <w:pStyle w:val="30"/>
        <w:widowControl/>
        <w:spacing w:before="100" w:after="100" w:line="600" w:lineRule="atLeast"/>
        <w:ind w:left="0" w:right="0" w:firstLine="640"/>
        <w:jc w:val="both"/>
        <w:rPr>
          <w:rFonts w:ascii="Times New Roman" w:hAnsi="Times New Roman" w:eastAsia="Times New Roman" w:cs="Times New Roman"/>
          <w:kern w:val="0"/>
          <w:sz w:val="24"/>
        </w:rPr>
      </w:pPr>
      <w:r>
        <w:rPr>
          <w:rStyle w:val="31"/>
          <w:rFonts w:ascii="仿宋" w:hAnsi="仿宋" w:eastAsia="仿宋" w:cs="仿宋"/>
          <w:b/>
          <w:bCs/>
          <w:spacing w:val="0"/>
          <w:kern w:val="0"/>
          <w:sz w:val="32"/>
          <w:szCs w:val="32"/>
        </w:rPr>
        <w:t>十三、机关运行经费：</w:t>
      </w:r>
      <w:r>
        <w:rPr>
          <w:rFonts w:ascii="仿宋" w:hAnsi="仿宋" w:eastAsia="仿宋" w:cs="仿宋"/>
          <w:spacing w:val="0"/>
          <w:kern w:val="0"/>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r>
        <w:rPr>
          <w:rFonts w:hint="eastAsia" w:ascii="仿宋" w:hAnsi="仿宋" w:eastAsia="仿宋" w:cs="仿宋"/>
          <w:spacing w:val="0"/>
          <w:kern w:val="0"/>
          <w:sz w:val="32"/>
          <w:szCs w:val="32"/>
          <w:lang w:eastAsia="zh-CN"/>
        </w:rPr>
        <w:t>。</w:t>
      </w:r>
    </w:p>
    <w:p>
      <w:pPr>
        <w:pStyle w:val="29"/>
        <w:widowControl/>
        <w:spacing w:before="240" w:after="240"/>
        <w:jc w:val="left"/>
        <w:rPr>
          <w:rFonts w:ascii="Times New Roman" w:hAnsi="Times New Roman" w:eastAsia="Times New Roman" w:cs="Times New Roman"/>
          <w:kern w:val="0"/>
          <w:sz w:val="24"/>
        </w:rPr>
      </w:pPr>
    </w:p>
    <w:p>
      <w:pPr>
        <w:pStyle w:val="4"/>
        <w:keepNext w:val="0"/>
        <w:keepLines w:val="0"/>
        <w:spacing w:before="299" w:after="299" w:line="240" w:lineRule="auto"/>
        <w:ind w:firstLine="0" w:firstLineChars="0"/>
        <w:jc w:val="center"/>
        <w:rPr>
          <w:rFonts w:hint="eastAsia" w:ascii="黑体" w:hAnsi="黑体" w:eastAsia="黑体" w:cs="黑体"/>
          <w:b/>
          <w:sz w:val="44"/>
          <w:szCs w:val="44"/>
          <w:lang w:val="en-US" w:eastAsia="zh-CN"/>
        </w:rPr>
      </w:pPr>
      <w:bookmarkStart w:id="118" w:name="_Toc256000122"/>
      <w:bookmarkStart w:id="119" w:name="_Toc256000091"/>
      <w:bookmarkStart w:id="120" w:name="_Toc256000060"/>
      <w:bookmarkStart w:id="121" w:name="_Toc256000029"/>
      <w:r>
        <w:rPr>
          <w:rFonts w:ascii="黑体" w:hAnsi="黑体" w:eastAsia="黑体" w:cs="黑体"/>
          <w:b/>
          <w:sz w:val="44"/>
          <w:szCs w:val="44"/>
        </w:rPr>
        <w:t>第五部分</w:t>
      </w:r>
      <w:bookmarkEnd w:id="118"/>
      <w:bookmarkEnd w:id="119"/>
      <w:bookmarkEnd w:id="120"/>
      <w:bookmarkEnd w:id="121"/>
      <w:bookmarkStart w:id="122" w:name="_Toc256000092"/>
      <w:bookmarkStart w:id="123" w:name="_Toc256000030"/>
      <w:bookmarkStart w:id="124" w:name="_Toc256000061"/>
      <w:bookmarkStart w:id="125" w:name="_Toc256000123"/>
      <w:r>
        <w:rPr>
          <w:rFonts w:hint="eastAsia" w:ascii="黑体" w:hAnsi="黑体" w:eastAsia="黑体" w:cs="黑体"/>
          <w:b/>
          <w:sz w:val="44"/>
          <w:szCs w:val="44"/>
          <w:lang w:val="en-US" w:eastAsia="zh-CN"/>
        </w:rPr>
        <w:t xml:space="preserve"> </w:t>
      </w:r>
    </w:p>
    <w:p>
      <w:pPr>
        <w:pStyle w:val="4"/>
        <w:keepNext w:val="0"/>
        <w:keepLines w:val="0"/>
        <w:spacing w:before="299" w:after="299" w:line="240" w:lineRule="auto"/>
        <w:ind w:firstLine="0" w:firstLineChars="0"/>
        <w:jc w:val="center"/>
        <w:rPr>
          <w:rFonts w:ascii="黑体" w:hAnsi="黑体" w:eastAsia="黑体" w:cs="黑体"/>
          <w:b/>
          <w:sz w:val="44"/>
          <w:szCs w:val="44"/>
        </w:rPr>
      </w:pPr>
      <w:r>
        <w:rPr>
          <w:rFonts w:ascii="黑体" w:hAnsi="黑体" w:eastAsia="黑体" w:cs="黑体"/>
          <w:b/>
          <w:sz w:val="44"/>
          <w:szCs w:val="44"/>
        </w:rPr>
        <w:t>附件</w:t>
      </w:r>
      <w:bookmarkEnd w:id="122"/>
      <w:bookmarkEnd w:id="123"/>
      <w:bookmarkEnd w:id="124"/>
      <w:bookmarkEnd w:id="125"/>
    </w:p>
    <w:p>
      <w:pPr>
        <w:pStyle w:val="5"/>
      </w:pPr>
    </w:p>
    <w:tbl>
      <w:tblPr>
        <w:tblStyle w:val="23"/>
        <w:tblW w:w="10496" w:type="dxa"/>
        <w:tblInd w:w="0" w:type="dxa"/>
        <w:shd w:val="clear" w:color="auto" w:fill="auto"/>
        <w:tblLayout w:type="fixed"/>
        <w:tblCellMar>
          <w:top w:w="0" w:type="dxa"/>
          <w:left w:w="0" w:type="dxa"/>
          <w:bottom w:w="0" w:type="dxa"/>
          <w:right w:w="0" w:type="dxa"/>
        </w:tblCellMar>
      </w:tblPr>
      <w:tblGrid>
        <w:gridCol w:w="309"/>
        <w:gridCol w:w="620"/>
        <w:gridCol w:w="1200"/>
        <w:gridCol w:w="1788"/>
        <w:gridCol w:w="694"/>
        <w:gridCol w:w="796"/>
        <w:gridCol w:w="1579"/>
        <w:gridCol w:w="857"/>
        <w:gridCol w:w="664"/>
        <w:gridCol w:w="342"/>
        <w:gridCol w:w="1647"/>
      </w:tblGrid>
      <w:tr>
        <w:tblPrEx>
          <w:shd w:val="clear" w:color="auto" w:fill="auto"/>
          <w:tblLayout w:type="fixed"/>
          <w:tblCellMar>
            <w:top w:w="0" w:type="dxa"/>
            <w:left w:w="0" w:type="dxa"/>
            <w:bottom w:w="0" w:type="dxa"/>
            <w:right w:w="0" w:type="dxa"/>
          </w:tblCellMar>
        </w:tblPrEx>
        <w:trPr>
          <w:trHeight w:val="360" w:hRule="atLeast"/>
        </w:trPr>
        <w:tc>
          <w:tcPr>
            <w:tcW w:w="929" w:type="dxa"/>
            <w:gridSpan w:val="2"/>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项目名称</w:t>
            </w:r>
          </w:p>
        </w:tc>
        <w:tc>
          <w:tcPr>
            <w:tcW w:w="1200"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义务教育阶段家庭经济困难学生营养餐补助</w:t>
            </w:r>
          </w:p>
        </w:tc>
        <w:tc>
          <w:tcPr>
            <w:tcW w:w="1788" w:type="dxa"/>
            <w:tcBorders>
              <w:top w:val="single" w:color="000000" w:sz="4" w:space="0"/>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694" w:type="dxa"/>
            <w:tcBorders>
              <w:top w:val="single" w:color="000000" w:sz="4" w:space="0"/>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796" w:type="dxa"/>
            <w:tcBorders>
              <w:top w:val="single" w:color="000000" w:sz="4" w:space="0"/>
              <w:left w:val="nil"/>
              <w:bottom w:val="single" w:color="000000" w:sz="4" w:space="0"/>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自评年度</w:t>
            </w: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2024年1月1日-2024年12月31日</w:t>
            </w:r>
          </w:p>
        </w:tc>
      </w:tr>
      <w:tr>
        <w:tblPrEx>
          <w:tblLayout w:type="fixed"/>
          <w:tblCellMar>
            <w:top w:w="0" w:type="dxa"/>
            <w:left w:w="0" w:type="dxa"/>
            <w:bottom w:w="0" w:type="dxa"/>
            <w:right w:w="0" w:type="dxa"/>
          </w:tblCellMar>
        </w:tblPrEx>
        <w:trPr>
          <w:trHeight w:val="360" w:hRule="atLeast"/>
        </w:trPr>
        <w:tc>
          <w:tcPr>
            <w:tcW w:w="92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主管部门</w:t>
            </w:r>
          </w:p>
        </w:tc>
        <w:tc>
          <w:tcPr>
            <w:tcW w:w="4478"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湖里区教育局</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实施单位</w:t>
            </w:r>
          </w:p>
        </w:tc>
        <w:tc>
          <w:tcPr>
            <w:tcW w:w="186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shd w:val="clear"/>
                <w:lang w:val="en-US" w:eastAsia="zh-CN" w:bidi="ar"/>
              </w:rPr>
              <w:t>厦门市东渡第二小学</w:t>
            </w:r>
          </w:p>
        </w:tc>
        <w:tc>
          <w:tcPr>
            <w:tcW w:w="16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tblLayout w:type="fixed"/>
          <w:tblCellMar>
            <w:top w:w="0" w:type="dxa"/>
            <w:left w:w="0" w:type="dxa"/>
            <w:bottom w:w="0" w:type="dxa"/>
            <w:right w:w="0" w:type="dxa"/>
          </w:tblCellMar>
        </w:tblPrEx>
        <w:trPr>
          <w:trHeight w:val="660" w:hRule="atLeast"/>
        </w:trPr>
        <w:tc>
          <w:tcPr>
            <w:tcW w:w="92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年度预算执行情况</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1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年初预算数</w:t>
            </w: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已调整数</w:t>
            </w:r>
          </w:p>
        </w:tc>
        <w:tc>
          <w:tcPr>
            <w:tcW w:w="7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调整后预算数</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全年执行数</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执行率</w:t>
            </w:r>
          </w:p>
        </w:tc>
        <w:tc>
          <w:tcPr>
            <w:tcW w:w="664"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设置分值</w:t>
            </w: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得分</w:t>
            </w:r>
          </w:p>
        </w:tc>
        <w:tc>
          <w:tcPr>
            <w:tcW w:w="16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存在问题及原因</w:t>
            </w:r>
          </w:p>
        </w:tc>
      </w:tr>
      <w:tr>
        <w:tblPrEx>
          <w:tblLayout w:type="fixed"/>
          <w:tblCellMar>
            <w:top w:w="0" w:type="dxa"/>
            <w:left w:w="0" w:type="dxa"/>
            <w:bottom w:w="0" w:type="dxa"/>
            <w:right w:w="0" w:type="dxa"/>
          </w:tblCellMar>
        </w:tblPrEx>
        <w:trPr>
          <w:trHeight w:val="330" w:hRule="atLeast"/>
        </w:trPr>
        <w:tc>
          <w:tcPr>
            <w:tcW w:w="92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年度资金总额</w:t>
            </w:r>
          </w:p>
        </w:tc>
        <w:tc>
          <w:tcPr>
            <w:tcW w:w="1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0.72</w:t>
            </w: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7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0.72</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0.2136</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29.67%</w:t>
            </w:r>
          </w:p>
        </w:tc>
        <w:tc>
          <w:tcPr>
            <w:tcW w:w="664"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16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申请困难生未全部在校用餐</w:t>
            </w:r>
          </w:p>
        </w:tc>
      </w:tr>
      <w:tr>
        <w:tblPrEx>
          <w:tblLayout w:type="fixed"/>
          <w:tblCellMar>
            <w:top w:w="0" w:type="dxa"/>
            <w:left w:w="0" w:type="dxa"/>
            <w:bottom w:w="0" w:type="dxa"/>
            <w:right w:w="0" w:type="dxa"/>
          </w:tblCellMar>
        </w:tblPrEx>
        <w:trPr>
          <w:trHeight w:val="330" w:hRule="atLeast"/>
        </w:trPr>
        <w:tc>
          <w:tcPr>
            <w:tcW w:w="92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其中：当年财政拨款</w:t>
            </w:r>
          </w:p>
        </w:tc>
        <w:tc>
          <w:tcPr>
            <w:tcW w:w="1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0.72</w:t>
            </w: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7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0.72</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0.2136</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29.67%</w:t>
            </w:r>
          </w:p>
        </w:tc>
        <w:tc>
          <w:tcPr>
            <w:tcW w:w="664"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16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无</w:t>
            </w:r>
          </w:p>
        </w:tc>
      </w:tr>
      <w:tr>
        <w:tblPrEx>
          <w:tblLayout w:type="fixed"/>
          <w:tblCellMar>
            <w:top w:w="0" w:type="dxa"/>
            <w:left w:w="0" w:type="dxa"/>
            <w:bottom w:w="0" w:type="dxa"/>
            <w:right w:w="0" w:type="dxa"/>
          </w:tblCellMar>
        </w:tblPrEx>
        <w:trPr>
          <w:trHeight w:val="330" w:hRule="atLeast"/>
        </w:trPr>
        <w:tc>
          <w:tcPr>
            <w:tcW w:w="92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 xml:space="preserve">     上年结转资金</w:t>
            </w:r>
          </w:p>
        </w:tc>
        <w:tc>
          <w:tcPr>
            <w:tcW w:w="1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7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664"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16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tblLayout w:type="fixed"/>
          <w:tblCellMar>
            <w:top w:w="0" w:type="dxa"/>
            <w:left w:w="0" w:type="dxa"/>
            <w:bottom w:w="0" w:type="dxa"/>
            <w:right w:w="0" w:type="dxa"/>
          </w:tblCellMar>
        </w:tblPrEx>
        <w:trPr>
          <w:trHeight w:val="330" w:hRule="atLeast"/>
        </w:trPr>
        <w:tc>
          <w:tcPr>
            <w:tcW w:w="92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 xml:space="preserve">     其他资金</w:t>
            </w:r>
          </w:p>
        </w:tc>
        <w:tc>
          <w:tcPr>
            <w:tcW w:w="1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7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664"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p>
        </w:tc>
        <w:tc>
          <w:tcPr>
            <w:tcW w:w="16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r>
      <w:tr>
        <w:tblPrEx>
          <w:tblLayout w:type="fixed"/>
          <w:tblCellMar>
            <w:top w:w="0" w:type="dxa"/>
            <w:left w:w="0" w:type="dxa"/>
            <w:bottom w:w="0" w:type="dxa"/>
            <w:right w:w="0" w:type="dxa"/>
          </w:tblCellMar>
        </w:tblPrEx>
        <w:trPr>
          <w:trHeight w:val="375" w:hRule="atLeast"/>
        </w:trPr>
        <w:tc>
          <w:tcPr>
            <w:tcW w:w="30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年度</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总体</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目标</w:t>
            </w:r>
          </w:p>
        </w:tc>
        <w:tc>
          <w:tcPr>
            <w:tcW w:w="5098"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预期目标</w:t>
            </w:r>
          </w:p>
        </w:tc>
        <w:tc>
          <w:tcPr>
            <w:tcW w:w="5089"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实际完成情况</w:t>
            </w:r>
          </w:p>
        </w:tc>
      </w:tr>
      <w:tr>
        <w:tblPrEx>
          <w:tblLayout w:type="fixed"/>
          <w:tblCellMar>
            <w:top w:w="0" w:type="dxa"/>
            <w:left w:w="0" w:type="dxa"/>
            <w:bottom w:w="0" w:type="dxa"/>
            <w:right w:w="0" w:type="dxa"/>
          </w:tblCellMar>
        </w:tblPrEx>
        <w:trPr>
          <w:trHeight w:val="27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5098"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厦门市教育局等五部门关于印发《厦门市学生资助资金管理实施办法》的通知（厦教发〔2022〕83号）及厦门市教育局等八部门关于印发《厦门市家庭经济困难学生认定办法》的通知（厦教规【2022】3号）等文件，对义务教育阶段公办校（学校提供午餐）家庭经济困难学生营养餐补助，确保补助工作顺利实施。</w:t>
            </w:r>
          </w:p>
        </w:tc>
        <w:tc>
          <w:tcPr>
            <w:tcW w:w="5089"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2024年完成春、秋两季关于我区义务教育阶段公办校（学校提供午餐）家庭经济困难学生营养餐补助对象审核及资金下拨。</w:t>
            </w:r>
          </w:p>
        </w:tc>
      </w:tr>
      <w:tr>
        <w:tblPrEx>
          <w:tblLayout w:type="fixed"/>
          <w:tblCellMar>
            <w:top w:w="0" w:type="dxa"/>
            <w:left w:w="0" w:type="dxa"/>
            <w:bottom w:w="0" w:type="dxa"/>
            <w:right w:w="0" w:type="dxa"/>
          </w:tblCellMar>
        </w:tblPrEx>
        <w:trPr>
          <w:trHeight w:val="156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5098"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5089"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tblLayout w:type="fixed"/>
          <w:tblCellMar>
            <w:top w:w="0" w:type="dxa"/>
            <w:left w:w="0" w:type="dxa"/>
            <w:bottom w:w="0" w:type="dxa"/>
            <w:right w:w="0" w:type="dxa"/>
          </w:tblCellMar>
        </w:tblPrEx>
        <w:trPr>
          <w:trHeight w:val="675" w:hRule="atLeast"/>
        </w:trPr>
        <w:tc>
          <w:tcPr>
            <w:tcW w:w="3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二级指标</w:t>
            </w:r>
          </w:p>
        </w:tc>
        <w:tc>
          <w:tcPr>
            <w:tcW w:w="1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三级指标</w:t>
            </w:r>
          </w:p>
        </w:tc>
        <w:tc>
          <w:tcPr>
            <w:tcW w:w="6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指标类型</w:t>
            </w:r>
          </w:p>
        </w:tc>
        <w:tc>
          <w:tcPr>
            <w:tcW w:w="7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绩效目标值</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实际完成值</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完成比例</w:t>
            </w:r>
          </w:p>
        </w:tc>
        <w:tc>
          <w:tcPr>
            <w:tcW w:w="664"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设置分值</w:t>
            </w: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得分</w:t>
            </w:r>
          </w:p>
        </w:tc>
        <w:tc>
          <w:tcPr>
            <w:tcW w:w="16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存在问题及原因</w:t>
            </w:r>
          </w:p>
        </w:tc>
      </w:tr>
      <w:tr>
        <w:tblPrEx>
          <w:tblLayout w:type="fixed"/>
          <w:tblCellMar>
            <w:top w:w="0" w:type="dxa"/>
            <w:left w:w="0" w:type="dxa"/>
            <w:bottom w:w="0" w:type="dxa"/>
            <w:right w:w="0" w:type="dxa"/>
          </w:tblCellMar>
        </w:tblPrEx>
        <w:trPr>
          <w:trHeight w:val="450" w:hRule="atLeast"/>
        </w:trPr>
        <w:tc>
          <w:tcPr>
            <w:tcW w:w="30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绩</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效</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指</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标</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完</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成</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情</w:t>
            </w:r>
            <w:r>
              <w:rPr>
                <w:rFonts w:hint="eastAsia" w:ascii="宋体" w:hAnsi="宋体" w:eastAsia="宋体" w:cs="宋体"/>
                <w:b/>
                <w:i w:val="0"/>
                <w:color w:val="000000"/>
                <w:kern w:val="0"/>
                <w:sz w:val="24"/>
                <w:szCs w:val="24"/>
                <w:u w:val="none"/>
                <w:lang w:val="en-US" w:eastAsia="zh-CN" w:bidi="ar"/>
              </w:rPr>
              <w:br w:type="textWrapping"/>
            </w:r>
            <w:r>
              <w:rPr>
                <w:rFonts w:hint="eastAsia" w:ascii="宋体" w:hAnsi="宋体" w:eastAsia="宋体" w:cs="宋体"/>
                <w:b/>
                <w:i w:val="0"/>
                <w:color w:val="000000"/>
                <w:kern w:val="0"/>
                <w:sz w:val="24"/>
                <w:szCs w:val="24"/>
                <w:u w:val="none"/>
                <w:lang w:val="en-US" w:eastAsia="zh-CN" w:bidi="ar"/>
              </w:rPr>
              <w:t>况</w:t>
            </w:r>
          </w:p>
        </w:tc>
        <w:tc>
          <w:tcPr>
            <w:tcW w:w="62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1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审核义务教育阶段受助学生</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定量</w:t>
            </w:r>
          </w:p>
        </w:tc>
        <w:tc>
          <w:tcPr>
            <w:tcW w:w="7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大于等于21人</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21人</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100.00%</w:t>
            </w: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16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无</w:t>
            </w:r>
          </w:p>
        </w:tc>
      </w:tr>
      <w:tr>
        <w:tblPrEx>
          <w:tblLayout w:type="fixed"/>
          <w:tblCellMar>
            <w:top w:w="0" w:type="dxa"/>
            <w:left w:w="0" w:type="dxa"/>
            <w:bottom w:w="0" w:type="dxa"/>
            <w:right w:w="0" w:type="dxa"/>
          </w:tblCellMar>
        </w:tblPrEx>
        <w:trPr>
          <w:trHeight w:val="45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1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全年营养餐补助学生</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定量</w:t>
            </w:r>
          </w:p>
        </w:tc>
        <w:tc>
          <w:tcPr>
            <w:tcW w:w="7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大于等于4人</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4人</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100.00%</w:t>
            </w: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16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无</w:t>
            </w:r>
          </w:p>
        </w:tc>
      </w:tr>
      <w:tr>
        <w:tblPrEx>
          <w:tblLayout w:type="fixed"/>
          <w:tblCellMar>
            <w:top w:w="0" w:type="dxa"/>
            <w:left w:w="0" w:type="dxa"/>
            <w:bottom w:w="0" w:type="dxa"/>
            <w:right w:w="0" w:type="dxa"/>
          </w:tblCellMar>
        </w:tblPrEx>
        <w:trPr>
          <w:trHeight w:val="450"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成本指标</w:t>
            </w:r>
          </w:p>
        </w:tc>
        <w:tc>
          <w:tcPr>
            <w:tcW w:w="1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营养餐发放标准</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定量</w:t>
            </w:r>
          </w:p>
        </w:tc>
        <w:tc>
          <w:tcPr>
            <w:tcW w:w="7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6元/餐</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6元/餐</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100.00%</w:t>
            </w: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16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无</w:t>
            </w:r>
          </w:p>
        </w:tc>
      </w:tr>
      <w:tr>
        <w:tblPrEx>
          <w:tblLayout w:type="fixed"/>
          <w:tblCellMar>
            <w:top w:w="0" w:type="dxa"/>
            <w:left w:w="0" w:type="dxa"/>
            <w:bottom w:w="0" w:type="dxa"/>
            <w:right w:w="0" w:type="dxa"/>
          </w:tblCellMar>
        </w:tblPrEx>
        <w:trPr>
          <w:trHeight w:val="615"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时效指标</w:t>
            </w:r>
          </w:p>
        </w:tc>
        <w:tc>
          <w:tcPr>
            <w:tcW w:w="1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义务教育困难生资助资金下拨及时率</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定量</w:t>
            </w:r>
          </w:p>
        </w:tc>
        <w:tc>
          <w:tcPr>
            <w:tcW w:w="7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100.00%</w:t>
            </w: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16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无</w:t>
            </w:r>
          </w:p>
        </w:tc>
      </w:tr>
      <w:tr>
        <w:tblPrEx>
          <w:tblLayout w:type="fixed"/>
          <w:tblCellMar>
            <w:top w:w="0" w:type="dxa"/>
            <w:left w:w="0" w:type="dxa"/>
            <w:bottom w:w="0" w:type="dxa"/>
            <w:right w:w="0" w:type="dxa"/>
          </w:tblCellMar>
        </w:tblPrEx>
        <w:trPr>
          <w:trHeight w:val="615"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620"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社会效益指标</w:t>
            </w:r>
          </w:p>
        </w:tc>
        <w:tc>
          <w:tcPr>
            <w:tcW w:w="1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改善受助学生学习生活质量</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定性</w:t>
            </w:r>
          </w:p>
        </w:tc>
        <w:tc>
          <w:tcPr>
            <w:tcW w:w="7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有所改善</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有所改善</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100.00%</w:t>
            </w: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w:t>
            </w: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w:t>
            </w:r>
          </w:p>
        </w:tc>
        <w:tc>
          <w:tcPr>
            <w:tcW w:w="16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无</w:t>
            </w:r>
          </w:p>
        </w:tc>
      </w:tr>
      <w:tr>
        <w:tblPrEx>
          <w:tblLayout w:type="fixed"/>
          <w:tblCellMar>
            <w:top w:w="0" w:type="dxa"/>
            <w:left w:w="0" w:type="dxa"/>
            <w:bottom w:w="0" w:type="dxa"/>
            <w:right w:w="0" w:type="dxa"/>
          </w:tblCellMar>
        </w:tblPrEx>
        <w:trPr>
          <w:trHeight w:val="615" w:hRule="atLeast"/>
        </w:trPr>
        <w:tc>
          <w:tcPr>
            <w:tcW w:w="3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24"/>
                <w:szCs w:val="24"/>
                <w:u w:val="none"/>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满意度</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指标</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服务对象满意度指标</w:t>
            </w:r>
          </w:p>
        </w:tc>
        <w:tc>
          <w:tcPr>
            <w:tcW w:w="17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受资助对象满意度</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20"/>
                <w:szCs w:val="20"/>
                <w:u w:val="none"/>
              </w:rPr>
            </w:pPr>
            <w:r>
              <w:rPr>
                <w:rFonts w:ascii="宋体" w:hAnsi="宋体" w:eastAsia="宋体" w:cs="宋体"/>
                <w:i w:val="0"/>
                <w:color w:val="000000"/>
                <w:kern w:val="0"/>
                <w:sz w:val="20"/>
                <w:szCs w:val="20"/>
                <w:u w:val="none"/>
                <w:lang w:val="en-US" w:eastAsia="zh-CN" w:bidi="ar"/>
              </w:rPr>
              <w:t>定量</w:t>
            </w:r>
          </w:p>
        </w:tc>
        <w:tc>
          <w:tcPr>
            <w:tcW w:w="7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大于等于90%</w:t>
            </w:r>
          </w:p>
        </w:tc>
        <w:tc>
          <w:tcPr>
            <w:tcW w:w="15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95%</w:t>
            </w:r>
          </w:p>
        </w:tc>
        <w:tc>
          <w:tcPr>
            <w:tcW w:w="85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100.00%</w:t>
            </w: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shd w:val="clear"/>
                <w:lang w:val="en-US" w:eastAsia="zh-CN" w:bidi="ar"/>
              </w:rPr>
              <w:t>1</w:t>
            </w:r>
            <w:r>
              <w:rPr>
                <w:rFonts w:hint="eastAsia" w:ascii="宋体" w:hAnsi="宋体" w:eastAsia="宋体" w:cs="宋体"/>
                <w:i w:val="0"/>
                <w:color w:val="000000"/>
                <w:kern w:val="0"/>
                <w:sz w:val="24"/>
                <w:szCs w:val="24"/>
                <w:u w:val="none"/>
                <w:lang w:val="en-US" w:eastAsia="zh-CN" w:bidi="ar"/>
              </w:rPr>
              <w:t>0</w:t>
            </w:r>
          </w:p>
        </w:tc>
        <w:tc>
          <w:tcPr>
            <w:tcW w:w="16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无</w:t>
            </w:r>
          </w:p>
        </w:tc>
      </w:tr>
      <w:tr>
        <w:tblPrEx>
          <w:tblLayout w:type="fixed"/>
          <w:tblCellMar>
            <w:top w:w="0" w:type="dxa"/>
            <w:left w:w="0" w:type="dxa"/>
            <w:bottom w:w="0" w:type="dxa"/>
            <w:right w:w="0" w:type="dxa"/>
          </w:tblCellMar>
        </w:tblPrEx>
        <w:trPr>
          <w:trHeight w:val="540" w:hRule="atLeast"/>
        </w:trPr>
        <w:tc>
          <w:tcPr>
            <w:tcW w:w="7843"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总分</w:t>
            </w: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100</w:t>
            </w: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93</w:t>
            </w:r>
          </w:p>
        </w:tc>
        <w:tc>
          <w:tcPr>
            <w:tcW w:w="16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r>
      <w:bookmarkEnd w:id="4"/>
    </w:tbl>
    <w:p>
      <w:pPr>
        <w:widowControl/>
        <w:spacing w:before="240" w:after="240"/>
        <w:jc w:val="left"/>
        <w:rPr>
          <w:rFonts w:ascii="Times New Roman" w:hAnsi="Times New Roman" w:eastAsia="Times New Roman" w:cs="Times New Roman"/>
          <w:vanish/>
          <w:kern w:val="0"/>
          <w:sz w:val="24"/>
        </w:rPr>
      </w:pPr>
    </w:p>
    <w:sectPr>
      <w:footerReference r:id="rId6" w:type="default"/>
      <w:pgSz w:w="11906" w:h="16838"/>
      <w:pgMar w:top="1984" w:right="1083" w:bottom="1984" w:left="1083" w:header="0" w:footer="720" w:gutter="0"/>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w:t>
    </w:r>
    <w:r>
      <w:rPr>
        <w:rFonts w:ascii="宋体" w:hAnsi="宋体" w:eastAsia="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w:t>
    </w:r>
    <w:r>
      <w:rPr>
        <w:rFonts w:ascii="宋体" w:hAnsi="宋体" w:eastAsia="宋体" w:cs="宋体"/>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5</w:t>
    </w:r>
    <w:r>
      <w:rPr>
        <w:rFonts w:ascii="宋体" w:hAnsi="宋体" w:eastAsia="宋体" w:cs="宋体"/>
        <w:sz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44</w:t>
    </w:r>
    <w:r>
      <w:rPr>
        <w:rFonts w:ascii="宋体" w:hAnsi="宋体" w:eastAsia="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27E16C"/>
    <w:multiLevelType w:val="singleLevel"/>
    <w:tmpl w:val="8327E16C"/>
    <w:lvl w:ilvl="0" w:tentative="0">
      <w:start w:val="3"/>
      <w:numFmt w:val="chineseCounting"/>
      <w:suff w:val="nothing"/>
      <w:lvlText w:val="%1、"/>
      <w:lvlJc w:val="left"/>
      <w:rPr>
        <w:rFonts w:hint="eastAsia"/>
      </w:rPr>
    </w:lvl>
  </w:abstractNum>
  <w:abstractNum w:abstractNumId="1">
    <w:nsid w:val="8CAA4BEA"/>
    <w:multiLevelType w:val="singleLevel"/>
    <w:tmpl w:val="8CAA4BEA"/>
    <w:lvl w:ilvl="0" w:tentative="0">
      <w:start w:val="4"/>
      <w:numFmt w:val="chineseCounting"/>
      <w:suff w:val="nothing"/>
      <w:lvlText w:val="%1、"/>
      <w:lvlJc w:val="left"/>
      <w:pPr>
        <w:ind w:left="90" w:leftChars="0" w:firstLine="0" w:firstLineChars="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2CB0C3A"/>
    <w:rsid w:val="04C70192"/>
    <w:rsid w:val="1A092018"/>
    <w:rsid w:val="1E5268F4"/>
    <w:rsid w:val="1FE17C2F"/>
    <w:rsid w:val="23A436CA"/>
    <w:rsid w:val="27577394"/>
    <w:rsid w:val="2B3F33E2"/>
    <w:rsid w:val="2C4A785B"/>
    <w:rsid w:val="35201D67"/>
    <w:rsid w:val="3EFF74F7"/>
    <w:rsid w:val="406D66B3"/>
    <w:rsid w:val="4285092B"/>
    <w:rsid w:val="46B90DBA"/>
    <w:rsid w:val="4759124C"/>
    <w:rsid w:val="49ED7351"/>
    <w:rsid w:val="4B7F43C1"/>
    <w:rsid w:val="4EFB566A"/>
    <w:rsid w:val="59994F4C"/>
    <w:rsid w:val="5E4B46F6"/>
    <w:rsid w:val="5F71061E"/>
    <w:rsid w:val="623D6271"/>
    <w:rsid w:val="651F5936"/>
    <w:rsid w:val="70EB7C3C"/>
    <w:rsid w:val="72960458"/>
    <w:rsid w:val="73F82FF3"/>
    <w:rsid w:val="75C263BE"/>
    <w:rsid w:val="77861B36"/>
    <w:rsid w:val="7B271150"/>
    <w:rsid w:val="7B5D3F4F"/>
    <w:rsid w:val="7B823B92"/>
    <w:rsid w:val="7C647C0E"/>
    <w:rsid w:val="7C8A20A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rFonts w:eastAsia="仿宋"/>
      <w:bCs/>
      <w:kern w:val="44"/>
      <w:sz w:val="32"/>
      <w:szCs w:val="44"/>
    </w:rPr>
  </w:style>
  <w:style w:type="paragraph" w:styleId="4">
    <w:name w:val="heading 2"/>
    <w:basedOn w:val="5"/>
    <w:next w:val="5"/>
    <w:qFormat/>
    <w:uiPriority w:val="0"/>
    <w:pPr>
      <w:keepNext/>
      <w:keepLines/>
      <w:spacing w:before="260" w:after="260" w:line="416" w:lineRule="auto"/>
      <w:outlineLvl w:val="1"/>
    </w:pPr>
    <w:rPr>
      <w:rFonts w:ascii="Arial" w:hAnsi="Arial" w:eastAsia="仿宋"/>
      <w:bCs/>
      <w:sz w:val="32"/>
      <w:szCs w:val="32"/>
    </w:rPr>
  </w:style>
  <w:style w:type="paragraph" w:styleId="6">
    <w:name w:val="heading 3"/>
    <w:basedOn w:val="5"/>
    <w:next w:val="5"/>
    <w:link w:val="28"/>
    <w:qFormat/>
    <w:uiPriority w:val="0"/>
    <w:pPr>
      <w:keepNext/>
      <w:keepLines/>
      <w:spacing w:before="260" w:after="260" w:line="416" w:lineRule="auto"/>
      <w:outlineLvl w:val="2"/>
    </w:pPr>
    <w:rPr>
      <w:rFonts w:eastAsia="仿宋"/>
      <w:bCs/>
      <w:sz w:val="32"/>
      <w:szCs w:val="32"/>
    </w:rPr>
  </w:style>
  <w:style w:type="paragraph" w:styleId="7">
    <w:name w:val="heading 4"/>
    <w:basedOn w:val="1"/>
    <w:next w:val="1"/>
    <w:link w:val="24"/>
    <w:qFormat/>
    <w:uiPriority w:val="0"/>
    <w:pPr>
      <w:keepNext/>
      <w:keepLines/>
      <w:spacing w:before="280" w:after="290" w:line="376" w:lineRule="auto"/>
      <w:outlineLvl w:val="3"/>
    </w:pPr>
    <w:rPr>
      <w:rFonts w:ascii="Cambria" w:hAnsi="Cambria" w:eastAsia="仿宋"/>
      <w:bCs/>
      <w:sz w:val="32"/>
      <w:szCs w:val="28"/>
    </w:rPr>
  </w:style>
  <w:style w:type="character" w:default="1" w:styleId="20">
    <w:name w:val="Default Paragraph Font"/>
    <w:semiHidden/>
    <w:unhideWhenUsed/>
    <w:qFormat/>
    <w:uiPriority w:val="1"/>
  </w:style>
  <w:style w:type="table" w:default="1" w:styleId="23">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0"/>
    <w:pPr>
      <w:spacing w:before="0" w:beforeAutospacing="0" w:after="120" w:afterAutospacing="0"/>
      <w:ind w:left="0" w:right="0"/>
      <w:jc w:val="left"/>
    </w:pPr>
    <w:rPr>
      <w:rFonts w:hint="eastAsia" w:ascii="宋体" w:hAnsi="宋体" w:eastAsia="宋体" w:cs="宋体"/>
      <w:kern w:val="0"/>
      <w:sz w:val="24"/>
      <w:szCs w:val="24"/>
      <w:lang w:val="en-US" w:eastAsia="zh-CN" w:bidi="ar"/>
    </w:rPr>
  </w:style>
  <w:style w:type="paragraph" w:styleId="5">
    <w:name w:val="No Spacing"/>
    <w:link w:val="25"/>
    <w:qFormat/>
    <w:uiPriority w:val="0"/>
    <w:pPr>
      <w:ind w:firstLine="200" w:firstLineChars="200"/>
    </w:pPr>
    <w:rPr>
      <w:rFonts w:ascii="Times New Roman" w:hAnsi="Times New Roman" w:eastAsia="仿宋_GB2312" w:cs="Times New Roman"/>
      <w:sz w:val="30"/>
      <w:szCs w:val="22"/>
      <w:lang w:val="en-US" w:eastAsia="zh-CN" w:bidi="ar-SA"/>
    </w:rPr>
  </w:style>
  <w:style w:type="paragraph" w:styleId="8">
    <w:name w:val="toc 7"/>
    <w:basedOn w:val="1"/>
    <w:next w:val="1"/>
    <w:qFormat/>
    <w:uiPriority w:val="0"/>
    <w:pPr>
      <w:ind w:left="1260"/>
      <w:jc w:val="left"/>
    </w:pPr>
    <w:rPr>
      <w:sz w:val="20"/>
      <w:szCs w:val="20"/>
    </w:rPr>
  </w:style>
  <w:style w:type="paragraph" w:styleId="9">
    <w:name w:val="Document Map"/>
    <w:basedOn w:val="1"/>
    <w:qFormat/>
    <w:uiPriority w:val="0"/>
    <w:pPr>
      <w:shd w:val="clear" w:color="auto" w:fill="000080"/>
    </w:pPr>
  </w:style>
  <w:style w:type="paragraph" w:styleId="10">
    <w:name w:val="toc 5"/>
    <w:basedOn w:val="1"/>
    <w:next w:val="1"/>
    <w:qFormat/>
    <w:uiPriority w:val="0"/>
    <w:pPr>
      <w:ind w:left="840"/>
      <w:jc w:val="left"/>
    </w:pPr>
    <w:rPr>
      <w:sz w:val="20"/>
      <w:szCs w:val="20"/>
    </w:rPr>
  </w:style>
  <w:style w:type="paragraph" w:styleId="11">
    <w:name w:val="toc 3"/>
    <w:next w:val="6"/>
    <w:qFormat/>
    <w:uiPriority w:val="0"/>
    <w:pPr>
      <w:adjustRightInd w:val="0"/>
      <w:snapToGrid w:val="0"/>
      <w:spacing w:line="360" w:lineRule="auto"/>
      <w:ind w:firstLine="400" w:firstLineChars="400"/>
      <w:jc w:val="left"/>
    </w:pPr>
    <w:rPr>
      <w:rFonts w:ascii="Times New Roman" w:hAnsi="Times New Roman" w:eastAsia="仿宋" w:cs="Times New Roman"/>
      <w:sz w:val="32"/>
      <w:szCs w:val="20"/>
      <w:lang w:val="en-US" w:eastAsia="en-US" w:bidi="ar-SA"/>
    </w:rPr>
  </w:style>
  <w:style w:type="paragraph" w:styleId="12">
    <w:name w:val="toc 8"/>
    <w:basedOn w:val="1"/>
    <w:next w:val="1"/>
    <w:qFormat/>
    <w:uiPriority w:val="0"/>
    <w:pPr>
      <w:ind w:left="1470"/>
      <w:jc w:val="left"/>
    </w:pPr>
    <w:rPr>
      <w:sz w:val="20"/>
      <w:szCs w:val="20"/>
    </w:rPr>
  </w:style>
  <w:style w:type="paragraph" w:styleId="13">
    <w:name w:val="footer"/>
    <w:basedOn w:val="1"/>
    <w:link w:val="26"/>
    <w:qFormat/>
    <w:uiPriority w:val="0"/>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toc 1"/>
    <w:next w:val="5"/>
    <w:qFormat/>
    <w:uiPriority w:val="0"/>
    <w:pPr>
      <w:adjustRightInd w:val="0"/>
      <w:snapToGrid w:val="0"/>
      <w:spacing w:line="360" w:lineRule="auto"/>
      <w:jc w:val="left"/>
    </w:pPr>
    <w:rPr>
      <w:rFonts w:ascii="Times New Roman" w:hAnsi="Times New Roman" w:eastAsia="仿宋" w:cs="Times New Roman"/>
      <w:bCs/>
      <w:sz w:val="32"/>
      <w:szCs w:val="20"/>
      <w:lang w:val="en-US" w:eastAsia="en-US" w:bidi="ar-SA"/>
    </w:rPr>
  </w:style>
  <w:style w:type="paragraph" w:styleId="16">
    <w:name w:val="toc 4"/>
    <w:basedOn w:val="1"/>
    <w:next w:val="1"/>
    <w:qFormat/>
    <w:uiPriority w:val="0"/>
    <w:pPr>
      <w:ind w:left="630"/>
      <w:jc w:val="left"/>
    </w:pPr>
    <w:rPr>
      <w:sz w:val="20"/>
      <w:szCs w:val="20"/>
    </w:rPr>
  </w:style>
  <w:style w:type="paragraph" w:styleId="17">
    <w:name w:val="toc 6"/>
    <w:basedOn w:val="1"/>
    <w:next w:val="1"/>
    <w:qFormat/>
    <w:uiPriority w:val="0"/>
    <w:pPr>
      <w:ind w:left="1050"/>
      <w:jc w:val="left"/>
    </w:pPr>
    <w:rPr>
      <w:sz w:val="20"/>
      <w:szCs w:val="20"/>
    </w:rPr>
  </w:style>
  <w:style w:type="paragraph" w:styleId="18">
    <w:name w:val="toc 2"/>
    <w:next w:val="5"/>
    <w:qFormat/>
    <w:uiPriority w:val="0"/>
    <w:pPr>
      <w:adjustRightInd w:val="0"/>
      <w:snapToGrid w:val="0"/>
      <w:spacing w:line="360" w:lineRule="auto"/>
      <w:ind w:firstLine="200" w:firstLineChars="200"/>
      <w:jc w:val="left"/>
    </w:pPr>
    <w:rPr>
      <w:rFonts w:ascii="Times New Roman" w:hAnsi="Times New Roman" w:eastAsia="仿宋" w:cs="Times New Roman"/>
      <w:iCs/>
      <w:sz w:val="32"/>
      <w:szCs w:val="20"/>
      <w:lang w:val="en-US" w:eastAsia="en-US" w:bidi="ar-SA"/>
    </w:rPr>
  </w:style>
  <w:style w:type="paragraph" w:styleId="19">
    <w:name w:val="toc 9"/>
    <w:basedOn w:val="1"/>
    <w:next w:val="1"/>
    <w:qFormat/>
    <w:uiPriority w:val="0"/>
    <w:pPr>
      <w:ind w:left="1680"/>
      <w:jc w:val="left"/>
    </w:pPr>
    <w:rPr>
      <w:sz w:val="20"/>
      <w:szCs w:val="20"/>
    </w:rPr>
  </w:style>
  <w:style w:type="character" w:styleId="21">
    <w:name w:val="page number"/>
    <w:basedOn w:val="20"/>
    <w:qFormat/>
    <w:uiPriority w:val="0"/>
  </w:style>
  <w:style w:type="character" w:styleId="22">
    <w:name w:val="Hyperlink"/>
    <w:qFormat/>
    <w:uiPriority w:val="0"/>
    <w:rPr>
      <w:rFonts w:ascii="宋体" w:hAnsi="宋体" w:eastAsia="仿宋" w:cs="Times New Roman"/>
      <w:kern w:val="2"/>
      <w:sz w:val="32"/>
      <w:szCs w:val="32"/>
      <w:lang w:val="en-US" w:eastAsia="zh-CN" w:bidi="ar-SA"/>
    </w:rPr>
  </w:style>
  <w:style w:type="character" w:customStyle="1" w:styleId="24">
    <w:name w:val="标题 4 字符"/>
    <w:basedOn w:val="20"/>
    <w:link w:val="7"/>
    <w:qFormat/>
    <w:uiPriority w:val="0"/>
    <w:rPr>
      <w:rFonts w:ascii="Cambria" w:hAnsi="Cambria" w:eastAsia="仿宋"/>
      <w:bCs/>
      <w:kern w:val="2"/>
      <w:sz w:val="32"/>
      <w:szCs w:val="28"/>
    </w:rPr>
  </w:style>
  <w:style w:type="character" w:customStyle="1" w:styleId="25">
    <w:name w:val="无间隔 字符"/>
    <w:link w:val="5"/>
    <w:qFormat/>
    <w:locked/>
    <w:uiPriority w:val="0"/>
    <w:rPr>
      <w:rFonts w:eastAsia="仿宋_GB2312"/>
      <w:sz w:val="30"/>
      <w:szCs w:val="22"/>
      <w:lang w:bidi="ar-SA"/>
    </w:rPr>
  </w:style>
  <w:style w:type="character" w:customStyle="1" w:styleId="26">
    <w:name w:val="页脚 字符"/>
    <w:basedOn w:val="20"/>
    <w:link w:val="13"/>
    <w:qFormat/>
    <w:uiPriority w:val="0"/>
    <w:rPr>
      <w:kern w:val="2"/>
      <w:sz w:val="18"/>
      <w:szCs w:val="18"/>
    </w:rPr>
  </w:style>
  <w:style w:type="paragraph" w:styleId="27">
    <w:name w:val="List Paragraph"/>
    <w:basedOn w:val="1"/>
    <w:qFormat/>
    <w:uiPriority w:val="0"/>
    <w:pPr>
      <w:ind w:firstLine="420" w:firstLineChars="200"/>
    </w:pPr>
  </w:style>
  <w:style w:type="character" w:customStyle="1" w:styleId="28">
    <w:name w:val="标题 3 字符"/>
    <w:basedOn w:val="20"/>
    <w:link w:val="6"/>
    <w:qFormat/>
    <w:uiPriority w:val="0"/>
    <w:rPr>
      <w:rFonts w:eastAsia="仿宋"/>
      <w:bCs/>
      <w:kern w:val="2"/>
      <w:sz w:val="32"/>
      <w:szCs w:val="32"/>
    </w:rPr>
  </w:style>
  <w:style w:type="paragraph" w:customStyle="1" w:styleId="29">
    <w:name w:val="MsoNormal"/>
    <w:basedOn w:val="1"/>
    <w:qFormat/>
    <w:uiPriority w:val="0"/>
  </w:style>
  <w:style w:type="paragraph" w:customStyle="1" w:styleId="30">
    <w:name w:val="p"/>
    <w:basedOn w:val="1"/>
    <w:qFormat/>
    <w:uiPriority w:val="0"/>
  </w:style>
  <w:style w:type="character" w:customStyle="1" w:styleId="31">
    <w:name w:val="15"/>
    <w:basedOn w:val="20"/>
    <w:qFormat/>
    <w:uiPriority w:val="0"/>
  </w:style>
  <w:style w:type="paragraph" w:customStyle="1" w:styleId="32">
    <w:name w:val="1.正文"/>
    <w:basedOn w:val="1"/>
    <w:qFormat/>
    <w:uiPriority w:val="0"/>
    <w:pPr>
      <w:spacing w:before="0" w:beforeAutospacing="0" w:after="0" w:afterAutospacing="0"/>
      <w:ind w:left="0" w:right="0"/>
      <w:jc w:val="left"/>
    </w:pPr>
    <w:rPr>
      <w:rFonts w:hint="eastAsia" w:ascii="宋体" w:hAnsi="Times New Roman"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7559B6-2DC7-41B5-818F-6E7F243775C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44</Pages>
  <Words>20</Words>
  <Characters>35</Characters>
  <Lines>1</Lines>
  <Paragraphs>1</Paragraphs>
  <TotalTime>0</TotalTime>
  <ScaleCrop>false</ScaleCrop>
  <LinksUpToDate>false</LinksUpToDate>
  <CharactersWithSpaces>35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2022-03-23T12:40:00Z</dcterms:created>
  <dc:creator>Administrator</dc:creator>
  <cp:lastModifiedBy>Administrator</cp:lastModifiedBy>
  <cp:lastPrinted>2025-07-07T02:03:00Z</cp:lastPrinted>
  <dcterms:modified xsi:type="dcterms:W3CDTF">2025-12-05T03:41:37Z</dcterms:modified>
  <dc:title>××年度××部门/单位</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51EA75710E61423394694D1476351CDD_13</vt:lpwstr>
  </property>
  <property fmtid="{D5CDD505-2E9C-101B-9397-08002B2CF9AE}" pid="3" name="KSOProductBuildVer">
    <vt:lpwstr>2052-11.8.2.8053</vt:lpwstr>
  </property>
  <property fmtid="{D5CDD505-2E9C-101B-9397-08002B2CF9AE}" pid="4" name="KSOTemplateDocerSaveRecord">
    <vt:lpwstr>eyJoZGlkIjoiMGU0NWVkNDhlOTkyOTEzYmI4NjBkNjJlZWJjYTAyZDQiLCJ1c2VySWQiOiI0MjEyNzUxNjYifQ==</vt:lpwstr>
  </property>
</Properties>
</file>