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pPr>
    </w:p>
    <w:p>
      <w:pPr>
        <w:spacing w:line="360" w:lineRule="auto"/>
        <w:jc w:val="center"/>
        <w:rPr>
          <w:rFonts w:ascii="宋体" w:hAnsi="宋体"/>
          <w:sz w:val="24"/>
        </w:rPr>
      </w:pPr>
    </w:p>
    <w:p>
      <w:pPr>
        <w:spacing w:line="360" w:lineRule="auto"/>
        <w:jc w:val="center"/>
        <w:rPr>
          <w:rFonts w:ascii="宋体" w:hAnsi="宋体"/>
          <w:sz w:val="24"/>
        </w:rPr>
      </w:pPr>
    </w:p>
    <w:p>
      <w:pPr>
        <w:spacing w:line="360" w:lineRule="auto"/>
        <w:jc w:val="center"/>
        <w:rPr>
          <w:rFonts w:ascii="宋体" w:hAnsi="宋体"/>
          <w:sz w:val="24"/>
        </w:rPr>
      </w:pPr>
    </w:p>
    <w:p>
      <w:pPr>
        <w:widowControl/>
        <w:jc w:val="center"/>
        <w:rPr>
          <w:sz w:val="32"/>
          <w:szCs w:val="32"/>
          <w:highlight w:val="none"/>
        </w:rPr>
      </w:pPr>
    </w:p>
    <w:p>
      <w:pPr>
        <w:widowControl/>
        <w:jc w:val="both"/>
        <w:rPr>
          <w:sz w:val="84"/>
          <w:szCs w:val="84"/>
          <w:highlight w:val="none"/>
        </w:rPr>
      </w:pP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lang w:val="en-US" w:eastAsia="zh-CN"/>
        </w:rPr>
        <w:t>2024</w:t>
      </w:r>
      <w:r>
        <w:rPr>
          <w:rFonts w:hint="eastAsia" w:ascii="方正小标宋简体" w:eastAsia="方正小标宋简体"/>
          <w:b/>
          <w:bCs/>
          <w:sz w:val="84"/>
          <w:szCs w:val="84"/>
          <w:highlight w:val="none"/>
        </w:rPr>
        <w:t>年度</w:t>
      </w:r>
    </w:p>
    <w:p>
      <w:pPr>
        <w:widowControl/>
        <w:jc w:val="center"/>
        <w:rPr>
          <w:rFonts w:hint="eastAsia" w:ascii="方正小标宋简体" w:eastAsia="方正小标宋简体"/>
          <w:b/>
          <w:bCs/>
          <w:sz w:val="84"/>
          <w:szCs w:val="84"/>
          <w:highlight w:val="none"/>
        </w:rPr>
      </w:pPr>
      <w:r>
        <w:rPr>
          <w:rFonts w:hint="eastAsia" w:ascii="方正小标宋简体" w:eastAsia="方正小标宋简体"/>
          <w:b/>
          <w:bCs/>
          <w:sz w:val="84"/>
          <w:szCs w:val="84"/>
          <w:highlight w:val="none"/>
        </w:rPr>
        <w:t>厦门市乌石浦小学</w:t>
      </w:r>
    </w:p>
    <w:p>
      <w:pPr>
        <w:widowControl/>
        <w:jc w:val="center"/>
        <w:rPr>
          <w:rFonts w:hint="eastAsia" w:ascii="方正小标宋简体" w:eastAsia="方正小标宋简体"/>
          <w:b/>
          <w:bCs/>
          <w:sz w:val="84"/>
          <w:szCs w:val="84"/>
          <w:highlight w:val="none"/>
          <w:lang w:val="en-US" w:eastAsia="zh-CN"/>
        </w:rPr>
        <w:sectPr>
          <w:footerReference r:id="rId3" w:type="default"/>
          <w:pgSz w:w="11906" w:h="16838"/>
          <w:pgMar w:top="1440" w:right="1083" w:bottom="1440" w:left="1083" w:header="0" w:footer="720" w:gutter="0"/>
          <w:pgBorders>
            <w:top w:val="none" w:sz="0" w:space="0"/>
            <w:left w:val="none" w:sz="0" w:space="0"/>
            <w:bottom w:val="none" w:sz="0" w:space="0"/>
            <w:right w:val="none" w:sz="0" w:space="0"/>
          </w:pgBorders>
          <w:pgNumType w:fmt="decimal"/>
          <w:cols w:space="0" w:num="1"/>
          <w:rtlGutter w:val="0"/>
          <w:docGrid w:type="lines" w:linePitch="317" w:charSpace="0"/>
        </w:sectPr>
      </w:pPr>
      <w:r>
        <w:rPr>
          <w:rFonts w:hint="eastAsia" w:ascii="方正小标宋简体" w:eastAsia="方正小标宋简体"/>
          <w:b/>
          <w:bCs/>
          <w:sz w:val="84"/>
          <w:szCs w:val="84"/>
          <w:highlight w:val="none"/>
          <w:lang w:val="en-US" w:eastAsia="zh-CN"/>
        </w:rPr>
        <w:t>单位</w:t>
      </w:r>
      <w:r>
        <w:rPr>
          <w:rFonts w:hint="eastAsia" w:ascii="方正小标宋简体" w:eastAsia="方正小标宋简体"/>
          <w:b/>
          <w:bCs/>
          <w:sz w:val="84"/>
          <w:szCs w:val="84"/>
          <w:highlight w:val="none"/>
        </w:rPr>
        <w:t>决算</w:t>
      </w:r>
    </w:p>
    <w:sdt>
      <w:sdtPr>
        <w:rPr>
          <w:rFonts w:hint="eastAsia" w:ascii="仿宋" w:hAnsi="仿宋" w:eastAsia="仿宋" w:cs="仿宋"/>
          <w:b/>
          <w:bCs/>
          <w:kern w:val="0"/>
          <w:sz w:val="32"/>
          <w:szCs w:val="32"/>
          <w:lang w:val="en-US" w:eastAsia="zh-CN"/>
        </w:rPr>
        <w:id w:val="147456983"/>
        <w15:color w:val="DBDBDB"/>
        <w:docPartObj>
          <w:docPartGallery w:val="Table of Contents"/>
          <w:docPartUnique/>
        </w:docPartObj>
      </w:sdtPr>
      <w:sdtEndPr>
        <w:rPr>
          <w:rFonts w:hint="eastAsia" w:ascii="宋体" w:hAnsi="宋体" w:eastAsia="宋体" w:cs="Times New Roman"/>
          <w:b/>
          <w:bCs/>
          <w:kern w:val="2"/>
          <w:sz w:val="18"/>
          <w:szCs w:val="18"/>
          <w:lang w:val="en-US" w:eastAsia="zh-CN" w:bidi="ar-SA"/>
        </w:rPr>
      </w:sdtEndPr>
      <w:sdtContent>
        <w:p>
          <w:pPr>
            <w:widowControl/>
            <w:spacing w:before="0" w:beforeLines="0" w:after="0" w:afterLines="0" w:line="240" w:lineRule="auto"/>
            <w:ind w:left="0" w:leftChars="0" w:right="0" w:rightChars="0" w:firstLine="0" w:firstLineChars="0"/>
            <w:jc w:val="center"/>
            <w:rPr>
              <w:rFonts w:hint="eastAsia" w:ascii="仿宋" w:hAnsi="仿宋" w:eastAsia="仿宋" w:cs="仿宋"/>
              <w:b/>
              <w:bCs/>
              <w:kern w:val="0"/>
              <w:sz w:val="32"/>
              <w:szCs w:val="32"/>
            </w:rPr>
          </w:pPr>
          <w:r>
            <w:rPr>
              <w:rFonts w:hint="eastAsia" w:ascii="仿宋" w:hAnsi="仿宋" w:eastAsia="仿宋" w:cs="仿宋"/>
              <w:b/>
              <w:bCs/>
              <w:kern w:val="0"/>
              <w:sz w:val="32"/>
              <w:szCs w:val="32"/>
            </w:rPr>
            <w:t>目录</w:t>
          </w:r>
        </w:p>
        <w:p>
          <w:pPr>
            <w:pStyle w:val="19"/>
            <w:tabs>
              <w:tab w:val="right" w:leader="dot" w:pos="9730"/>
            </w:tabs>
            <w:rPr>
              <w:rFonts w:asciiTheme="minorHAnsi" w:hAnsiTheme="minorHAnsi"/>
              <w:sz w:val="32"/>
              <w:szCs w:val="32"/>
            </w:rPr>
          </w:pPr>
          <w:r>
            <w:rPr>
              <w:rFonts w:hint="eastAsia" w:ascii="仿宋" w:hAnsi="仿宋" w:eastAsia="仿宋" w:cs="仿宋"/>
              <w:b w:val="0"/>
              <w:bCs/>
              <w:kern w:val="2"/>
              <w:sz w:val="32"/>
              <w:szCs w:val="32"/>
              <w:lang w:val="en-US" w:eastAsia="zh-CN" w:bidi="ar-SA"/>
            </w:rPr>
            <w:fldChar w:fldCharType="begin"/>
          </w:r>
          <w:r>
            <w:rPr>
              <w:rFonts w:hint="eastAsia" w:ascii="仿宋" w:hAnsi="仿宋" w:eastAsia="仿宋" w:cs="仿宋"/>
              <w:b w:val="0"/>
              <w:bCs/>
              <w:kern w:val="2"/>
              <w:sz w:val="32"/>
              <w:szCs w:val="32"/>
              <w:lang w:val="en-US" w:eastAsia="zh-CN" w:bidi="ar-SA"/>
            </w:rPr>
            <w:instrText xml:space="preserve">TOC \o "1-3" \h \u </w:instrText>
          </w:r>
          <w:r>
            <w:rPr>
              <w:rFonts w:hint="eastAsia" w:ascii="仿宋" w:hAnsi="仿宋" w:eastAsia="仿宋" w:cs="仿宋"/>
              <w:b w:val="0"/>
              <w:bCs/>
              <w:kern w:val="2"/>
              <w:sz w:val="32"/>
              <w:szCs w:val="32"/>
              <w:lang w:val="en-US" w:eastAsia="zh-CN" w:bidi="ar-SA"/>
            </w:rPr>
            <w:fldChar w:fldCharType="separate"/>
          </w:r>
          <w:r>
            <w:rPr>
              <w:sz w:val="32"/>
              <w:szCs w:val="32"/>
            </w:rPr>
            <w:fldChar w:fldCharType="begin"/>
          </w:r>
          <w:r>
            <w:rPr>
              <w:sz w:val="32"/>
              <w:szCs w:val="32"/>
            </w:rPr>
            <w:instrText xml:space="preserve"> HYPERLINK \l "_Toc256000093" </w:instrText>
          </w:r>
          <w:r>
            <w:rPr>
              <w:sz w:val="32"/>
              <w:szCs w:val="32"/>
            </w:rPr>
            <w:fldChar w:fldCharType="separate"/>
          </w:r>
          <w:r>
            <w:rPr>
              <w:rStyle w:val="23"/>
              <w:rFonts w:ascii="黑体" w:hAnsi="黑体" w:eastAsia="黑体" w:cs="黑体"/>
              <w:sz w:val="32"/>
              <w:szCs w:val="32"/>
            </w:rPr>
            <w:t>第一部分</w:t>
          </w:r>
          <w:r>
            <w:rPr>
              <w:sz w:val="32"/>
              <w:szCs w:val="32"/>
            </w:rPr>
            <w:tab/>
          </w:r>
          <w:r>
            <w:rPr>
              <w:sz w:val="32"/>
              <w:szCs w:val="32"/>
            </w:rPr>
            <w:fldChar w:fldCharType="begin"/>
          </w:r>
          <w:r>
            <w:rPr>
              <w:sz w:val="32"/>
              <w:szCs w:val="32"/>
            </w:rPr>
            <w:instrText xml:space="preserve"> PAGEREF _Toc256000093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"_Toc256000094" </w:instrText>
          </w:r>
          <w:r>
            <w:rPr>
              <w:sz w:val="32"/>
              <w:szCs w:val="32"/>
            </w:rPr>
            <w:fldChar w:fldCharType="separate"/>
          </w:r>
          <w:r>
            <w:rPr>
              <w:rStyle w:val="23"/>
              <w:rFonts w:ascii="黑体" w:hAnsi="黑体" w:eastAsia="黑体" w:cs="黑体"/>
              <w:sz w:val="32"/>
              <w:szCs w:val="32"/>
            </w:rPr>
            <w:t>单位概况</w:t>
          </w:r>
          <w:r>
            <w:rPr>
              <w:sz w:val="32"/>
              <w:szCs w:val="32"/>
            </w:rPr>
            <w:tab/>
          </w:r>
          <w:r>
            <w:rPr>
              <w:sz w:val="32"/>
              <w:szCs w:val="32"/>
            </w:rPr>
            <w:fldChar w:fldCharType="begin"/>
          </w:r>
          <w:r>
            <w:rPr>
              <w:sz w:val="32"/>
              <w:szCs w:val="32"/>
            </w:rPr>
            <w:instrText xml:space="preserve"> PAGEREF _Toc256000094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"_Toc256000095" </w:instrText>
          </w:r>
          <w:r>
            <w:rPr>
              <w:sz w:val="32"/>
              <w:szCs w:val="32"/>
            </w:rPr>
            <w:fldChar w:fldCharType="separate"/>
          </w:r>
          <w:r>
            <w:rPr>
              <w:rStyle w:val="23"/>
              <w:rFonts w:ascii="黑体" w:hAnsi="黑体" w:eastAsia="黑体" w:cs="黑体"/>
              <w:sz w:val="32"/>
              <w:szCs w:val="32"/>
            </w:rPr>
            <w:t>一、单位主要职责</w:t>
          </w:r>
          <w:r>
            <w:rPr>
              <w:sz w:val="32"/>
              <w:szCs w:val="32"/>
            </w:rPr>
            <w:tab/>
          </w:r>
          <w:r>
            <w:rPr>
              <w:sz w:val="32"/>
              <w:szCs w:val="32"/>
            </w:rPr>
            <w:fldChar w:fldCharType="begin"/>
          </w:r>
          <w:r>
            <w:rPr>
              <w:sz w:val="32"/>
              <w:szCs w:val="32"/>
            </w:rPr>
            <w:instrText xml:space="preserve"> PAGEREF _Toc256000095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"_Toc256000096" </w:instrText>
          </w:r>
          <w:r>
            <w:rPr>
              <w:sz w:val="32"/>
              <w:szCs w:val="32"/>
            </w:rPr>
            <w:fldChar w:fldCharType="separate"/>
          </w:r>
          <w:r>
            <w:rPr>
              <w:rStyle w:val="23"/>
              <w:rFonts w:ascii="黑体" w:hAnsi="黑体" w:eastAsia="黑体" w:cs="黑体"/>
              <w:sz w:val="32"/>
              <w:szCs w:val="32"/>
            </w:rPr>
            <w:t>二、单位基本情况</w:t>
          </w:r>
          <w:r>
            <w:rPr>
              <w:sz w:val="32"/>
              <w:szCs w:val="32"/>
            </w:rPr>
            <w:tab/>
          </w:r>
          <w:r>
            <w:rPr>
              <w:sz w:val="32"/>
              <w:szCs w:val="32"/>
            </w:rPr>
            <w:fldChar w:fldCharType="begin"/>
          </w:r>
          <w:r>
            <w:rPr>
              <w:sz w:val="32"/>
              <w:szCs w:val="32"/>
            </w:rPr>
            <w:instrText xml:space="preserve"> PAGEREF _Toc256000096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"_Toc256000097" </w:instrText>
          </w:r>
          <w:r>
            <w:rPr>
              <w:sz w:val="32"/>
              <w:szCs w:val="32"/>
            </w:rPr>
            <w:fldChar w:fldCharType="separate"/>
          </w:r>
          <w:r>
            <w:rPr>
              <w:rStyle w:val="23"/>
              <w:rFonts w:ascii="黑体" w:hAnsi="黑体" w:eastAsia="黑体" w:cs="黑体"/>
              <w:sz w:val="32"/>
              <w:szCs w:val="32"/>
            </w:rPr>
            <w:t>三、单位主要工作总结</w:t>
          </w:r>
          <w:r>
            <w:rPr>
              <w:sz w:val="32"/>
              <w:szCs w:val="32"/>
            </w:rPr>
            <w:tab/>
          </w:r>
          <w:r>
            <w:rPr>
              <w:sz w:val="32"/>
              <w:szCs w:val="32"/>
            </w:rPr>
            <w:fldChar w:fldCharType="begin"/>
          </w:r>
          <w:r>
            <w:rPr>
              <w:sz w:val="32"/>
              <w:szCs w:val="32"/>
            </w:rPr>
            <w:instrText xml:space="preserve"> PAGEREF _Toc256000097 \h </w:instrText>
          </w:r>
          <w:r>
            <w:rPr>
              <w:sz w:val="32"/>
              <w:szCs w:val="32"/>
            </w:rPr>
            <w:fldChar w:fldCharType="separate"/>
          </w:r>
          <w:r>
            <w:rPr>
              <w:sz w:val="32"/>
              <w:szCs w:val="32"/>
            </w:rPr>
            <w:t>4</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"_Toc256000098" </w:instrText>
          </w:r>
          <w:r>
            <w:rPr>
              <w:sz w:val="32"/>
              <w:szCs w:val="32"/>
            </w:rPr>
            <w:fldChar w:fldCharType="separate"/>
          </w:r>
          <w:r>
            <w:rPr>
              <w:rStyle w:val="23"/>
              <w:rFonts w:ascii="黑体" w:hAnsi="黑体" w:eastAsia="黑体" w:cs="黑体"/>
              <w:sz w:val="32"/>
              <w:szCs w:val="32"/>
            </w:rPr>
            <w:t>第二部分</w:t>
          </w:r>
          <w:r>
            <w:rPr>
              <w:sz w:val="32"/>
              <w:szCs w:val="32"/>
            </w:rPr>
            <w:tab/>
          </w:r>
          <w:r>
            <w:rPr>
              <w:sz w:val="32"/>
              <w:szCs w:val="32"/>
            </w:rPr>
            <w:fldChar w:fldCharType="begin"/>
          </w:r>
          <w:r>
            <w:rPr>
              <w:sz w:val="32"/>
              <w:szCs w:val="32"/>
            </w:rPr>
            <w:instrText xml:space="preserve"> PAGEREF _Toc256000098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"_Toc256000099" </w:instrText>
          </w:r>
          <w:r>
            <w:rPr>
              <w:sz w:val="32"/>
              <w:szCs w:val="32"/>
            </w:rPr>
            <w:fldChar w:fldCharType="separate"/>
          </w:r>
          <w:r>
            <w:rPr>
              <w:rStyle w:val="23"/>
              <w:rFonts w:ascii="黑体" w:hAnsi="黑体" w:eastAsia="黑体" w:cs="黑体"/>
              <w:sz w:val="32"/>
              <w:szCs w:val="32"/>
            </w:rPr>
            <w:t>2024年度决算表</w:t>
          </w:r>
          <w:r>
            <w:rPr>
              <w:sz w:val="32"/>
              <w:szCs w:val="32"/>
            </w:rPr>
            <w:tab/>
          </w:r>
          <w:r>
            <w:rPr>
              <w:sz w:val="32"/>
              <w:szCs w:val="32"/>
            </w:rPr>
            <w:fldChar w:fldCharType="begin"/>
          </w:r>
          <w:r>
            <w:rPr>
              <w:sz w:val="32"/>
              <w:szCs w:val="32"/>
            </w:rPr>
            <w:instrText xml:space="preserve"> PAGEREF _Toc256000099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"_Toc256000100" </w:instrText>
          </w:r>
          <w:r>
            <w:rPr>
              <w:sz w:val="32"/>
              <w:szCs w:val="32"/>
            </w:rPr>
            <w:fldChar w:fldCharType="separate"/>
          </w:r>
          <w:r>
            <w:rPr>
              <w:rStyle w:val="23"/>
              <w:rFonts w:ascii="黑体" w:hAnsi="黑体" w:eastAsia="黑体" w:cs="黑体"/>
              <w:sz w:val="32"/>
              <w:szCs w:val="32"/>
            </w:rPr>
            <w:t>一、收入支出决算总表</w:t>
          </w:r>
          <w:r>
            <w:rPr>
              <w:sz w:val="32"/>
              <w:szCs w:val="32"/>
            </w:rPr>
            <w:tab/>
          </w:r>
          <w:r>
            <w:rPr>
              <w:sz w:val="32"/>
              <w:szCs w:val="32"/>
            </w:rPr>
            <w:fldChar w:fldCharType="begin"/>
          </w:r>
          <w:r>
            <w:rPr>
              <w:sz w:val="32"/>
              <w:szCs w:val="32"/>
            </w:rPr>
            <w:instrText xml:space="preserve"> PAGEREF _Toc256000100 \h </w:instrText>
          </w:r>
          <w:r>
            <w:rPr>
              <w:sz w:val="32"/>
              <w:szCs w:val="32"/>
            </w:rPr>
            <w:fldChar w:fldCharType="separate"/>
          </w:r>
          <w:r>
            <w:rPr>
              <w:sz w:val="32"/>
              <w:szCs w:val="32"/>
            </w:rPr>
            <w:t>5</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"_Toc256000101" </w:instrText>
          </w:r>
          <w:r>
            <w:rPr>
              <w:sz w:val="32"/>
              <w:szCs w:val="32"/>
            </w:rPr>
            <w:fldChar w:fldCharType="separate"/>
          </w:r>
          <w:r>
            <w:rPr>
              <w:rStyle w:val="23"/>
              <w:rFonts w:ascii="黑体" w:hAnsi="黑体" w:eastAsia="黑体" w:cs="黑体"/>
              <w:sz w:val="32"/>
              <w:szCs w:val="32"/>
            </w:rPr>
            <w:t>二、收入决算表</w:t>
          </w:r>
          <w:r>
            <w:rPr>
              <w:sz w:val="32"/>
              <w:szCs w:val="32"/>
            </w:rPr>
            <w:tab/>
          </w:r>
          <w:r>
            <w:rPr>
              <w:sz w:val="32"/>
              <w:szCs w:val="32"/>
            </w:rPr>
            <w:fldChar w:fldCharType="begin"/>
          </w:r>
          <w:r>
            <w:rPr>
              <w:sz w:val="32"/>
              <w:szCs w:val="32"/>
            </w:rPr>
            <w:instrText xml:space="preserve"> PAGEREF _Toc256000101 \h </w:instrText>
          </w:r>
          <w:r>
            <w:rPr>
              <w:sz w:val="32"/>
              <w:szCs w:val="32"/>
            </w:rPr>
            <w:fldChar w:fldCharType="separate"/>
          </w:r>
          <w:r>
            <w:rPr>
              <w:sz w:val="32"/>
              <w:szCs w:val="32"/>
            </w:rPr>
            <w:t>6</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"_Toc256000102" </w:instrText>
          </w:r>
          <w:r>
            <w:rPr>
              <w:sz w:val="32"/>
              <w:szCs w:val="32"/>
            </w:rPr>
            <w:fldChar w:fldCharType="separate"/>
          </w:r>
          <w:r>
            <w:rPr>
              <w:rStyle w:val="23"/>
              <w:rFonts w:ascii="黑体" w:hAnsi="黑体" w:eastAsia="黑体" w:cs="黑体"/>
              <w:sz w:val="32"/>
              <w:szCs w:val="32"/>
            </w:rPr>
            <w:t>三、支出决算表</w:t>
          </w:r>
          <w:r>
            <w:rPr>
              <w:sz w:val="32"/>
              <w:szCs w:val="32"/>
            </w:rPr>
            <w:tab/>
          </w:r>
          <w:r>
            <w:rPr>
              <w:sz w:val="32"/>
              <w:szCs w:val="32"/>
            </w:rPr>
            <w:fldChar w:fldCharType="begin"/>
          </w:r>
          <w:r>
            <w:rPr>
              <w:sz w:val="32"/>
              <w:szCs w:val="32"/>
            </w:rPr>
            <w:instrText xml:space="preserve"> PAGEREF _Toc256000102 \h </w:instrText>
          </w:r>
          <w:r>
            <w:rPr>
              <w:sz w:val="32"/>
              <w:szCs w:val="32"/>
            </w:rPr>
            <w:fldChar w:fldCharType="separate"/>
          </w:r>
          <w:r>
            <w:rPr>
              <w:sz w:val="32"/>
              <w:szCs w:val="32"/>
            </w:rPr>
            <w:t>8</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"_Toc256000103" </w:instrText>
          </w:r>
          <w:r>
            <w:rPr>
              <w:sz w:val="32"/>
              <w:szCs w:val="32"/>
            </w:rPr>
            <w:fldChar w:fldCharType="separate"/>
          </w:r>
          <w:r>
            <w:rPr>
              <w:rStyle w:val="23"/>
              <w:rFonts w:ascii="黑体" w:hAnsi="黑体" w:eastAsia="黑体" w:cs="黑体"/>
              <w:sz w:val="32"/>
              <w:szCs w:val="32"/>
            </w:rPr>
            <w:t>四、财政拨款收入支出决算总表</w:t>
          </w:r>
          <w:r>
            <w:rPr>
              <w:sz w:val="32"/>
              <w:szCs w:val="32"/>
            </w:rPr>
            <w:tab/>
          </w:r>
          <w:r>
            <w:rPr>
              <w:sz w:val="32"/>
              <w:szCs w:val="32"/>
            </w:rPr>
            <w:fldChar w:fldCharType="begin"/>
          </w:r>
          <w:r>
            <w:rPr>
              <w:sz w:val="32"/>
              <w:szCs w:val="32"/>
            </w:rPr>
            <w:instrText xml:space="preserve"> PAGEREF _Toc256000103 \h </w:instrText>
          </w:r>
          <w:r>
            <w:rPr>
              <w:sz w:val="32"/>
              <w:szCs w:val="32"/>
            </w:rPr>
            <w:fldChar w:fldCharType="separate"/>
          </w:r>
          <w:r>
            <w:rPr>
              <w:sz w:val="32"/>
              <w:szCs w:val="32"/>
            </w:rPr>
            <w:t>9</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"_Toc256000104" </w:instrText>
          </w:r>
          <w:r>
            <w:rPr>
              <w:sz w:val="32"/>
              <w:szCs w:val="32"/>
            </w:rPr>
            <w:fldChar w:fldCharType="separate"/>
          </w:r>
          <w:r>
            <w:rPr>
              <w:rStyle w:val="23"/>
              <w:rFonts w:ascii="黑体" w:hAnsi="黑体" w:eastAsia="黑体" w:cs="黑体"/>
              <w:sz w:val="32"/>
              <w:szCs w:val="32"/>
            </w:rPr>
            <w:t>五、一般公共预算财政拨款支出决算表</w:t>
          </w:r>
          <w:r>
            <w:rPr>
              <w:sz w:val="32"/>
              <w:szCs w:val="32"/>
            </w:rPr>
            <w:tab/>
          </w:r>
          <w:r>
            <w:rPr>
              <w:sz w:val="32"/>
              <w:szCs w:val="32"/>
            </w:rPr>
            <w:fldChar w:fldCharType="begin"/>
          </w:r>
          <w:r>
            <w:rPr>
              <w:sz w:val="32"/>
              <w:szCs w:val="32"/>
            </w:rPr>
            <w:instrText xml:space="preserve"> PAGEREF _Toc256000104 \h </w:instrText>
          </w:r>
          <w:r>
            <w:rPr>
              <w:sz w:val="32"/>
              <w:szCs w:val="32"/>
            </w:rPr>
            <w:fldChar w:fldCharType="separate"/>
          </w:r>
          <w:r>
            <w:rPr>
              <w:sz w:val="32"/>
              <w:szCs w:val="32"/>
            </w:rPr>
            <w:t>11</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"_Toc256000105" </w:instrText>
          </w:r>
          <w:r>
            <w:rPr>
              <w:sz w:val="32"/>
              <w:szCs w:val="32"/>
            </w:rPr>
            <w:fldChar w:fldCharType="separate"/>
          </w:r>
          <w:r>
            <w:rPr>
              <w:rStyle w:val="23"/>
              <w:rFonts w:ascii="黑体" w:hAnsi="黑体" w:eastAsia="黑体" w:cs="黑体"/>
              <w:sz w:val="32"/>
              <w:szCs w:val="32"/>
            </w:rPr>
            <w:t>六、一般公共预算财政拨款基本支出决算表</w:t>
          </w:r>
          <w:r>
            <w:rPr>
              <w:sz w:val="32"/>
              <w:szCs w:val="32"/>
            </w:rPr>
            <w:tab/>
          </w:r>
          <w:r>
            <w:rPr>
              <w:sz w:val="32"/>
              <w:szCs w:val="32"/>
            </w:rPr>
            <w:fldChar w:fldCharType="begin"/>
          </w:r>
          <w:r>
            <w:rPr>
              <w:sz w:val="32"/>
              <w:szCs w:val="32"/>
            </w:rPr>
            <w:instrText xml:space="preserve"> PAGEREF _Toc256000105 \h </w:instrText>
          </w:r>
          <w:r>
            <w:rPr>
              <w:sz w:val="32"/>
              <w:szCs w:val="32"/>
            </w:rPr>
            <w:fldChar w:fldCharType="separate"/>
          </w:r>
          <w:r>
            <w:rPr>
              <w:sz w:val="32"/>
              <w:szCs w:val="32"/>
            </w:rPr>
            <w:t>12</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"_Toc256000106" </w:instrText>
          </w:r>
          <w:r>
            <w:rPr>
              <w:sz w:val="32"/>
              <w:szCs w:val="32"/>
            </w:rPr>
            <w:fldChar w:fldCharType="separate"/>
          </w:r>
          <w:r>
            <w:rPr>
              <w:rStyle w:val="23"/>
              <w:rFonts w:ascii="黑体" w:hAnsi="黑体" w:eastAsia="黑体" w:cs="黑体"/>
              <w:sz w:val="32"/>
              <w:szCs w:val="32"/>
            </w:rPr>
            <w:t>七、一般公共预算财政拨款“三公”经费支出决算表</w:t>
          </w:r>
          <w:r>
            <w:rPr>
              <w:sz w:val="32"/>
              <w:szCs w:val="32"/>
            </w:rPr>
            <w:tab/>
          </w:r>
          <w:r>
            <w:rPr>
              <w:sz w:val="32"/>
              <w:szCs w:val="32"/>
            </w:rPr>
            <w:fldChar w:fldCharType="begin"/>
          </w:r>
          <w:r>
            <w:rPr>
              <w:sz w:val="32"/>
              <w:szCs w:val="32"/>
            </w:rPr>
            <w:instrText xml:space="preserve"> PAGEREF _Toc256000106 \h </w:instrText>
          </w:r>
          <w:r>
            <w:rPr>
              <w:sz w:val="32"/>
              <w:szCs w:val="32"/>
            </w:rPr>
            <w:fldChar w:fldCharType="separate"/>
          </w:r>
          <w:r>
            <w:rPr>
              <w:sz w:val="32"/>
              <w:szCs w:val="32"/>
            </w:rPr>
            <w:t>13</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"_Toc256000107" </w:instrText>
          </w:r>
          <w:r>
            <w:rPr>
              <w:sz w:val="32"/>
              <w:szCs w:val="32"/>
            </w:rPr>
            <w:fldChar w:fldCharType="separate"/>
          </w:r>
          <w:r>
            <w:rPr>
              <w:rStyle w:val="23"/>
              <w:rFonts w:ascii="黑体" w:hAnsi="黑体" w:eastAsia="黑体" w:cs="黑体"/>
              <w:sz w:val="32"/>
              <w:szCs w:val="32"/>
            </w:rPr>
            <w:t>八、政府性基金预算财政拨款收入支出决算表</w:t>
          </w:r>
          <w:r>
            <w:rPr>
              <w:sz w:val="32"/>
              <w:szCs w:val="32"/>
            </w:rPr>
            <w:tab/>
          </w:r>
          <w:r>
            <w:rPr>
              <w:sz w:val="32"/>
              <w:szCs w:val="32"/>
            </w:rPr>
            <w:fldChar w:fldCharType="begin"/>
          </w:r>
          <w:r>
            <w:rPr>
              <w:sz w:val="32"/>
              <w:szCs w:val="32"/>
            </w:rPr>
            <w:instrText xml:space="preserve"> PAGEREF _Toc256000107 \h </w:instrText>
          </w:r>
          <w:r>
            <w:rPr>
              <w:sz w:val="32"/>
              <w:szCs w:val="32"/>
            </w:rPr>
            <w:fldChar w:fldCharType="separate"/>
          </w:r>
          <w:r>
            <w:rPr>
              <w:sz w:val="32"/>
              <w:szCs w:val="32"/>
            </w:rPr>
            <w:t>14</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"_Toc256000108" </w:instrText>
          </w:r>
          <w:r>
            <w:rPr>
              <w:sz w:val="32"/>
              <w:szCs w:val="32"/>
            </w:rPr>
            <w:fldChar w:fldCharType="separate"/>
          </w:r>
          <w:r>
            <w:rPr>
              <w:rStyle w:val="23"/>
              <w:rFonts w:ascii="黑体" w:hAnsi="黑体" w:eastAsia="黑体" w:cs="黑体"/>
              <w:sz w:val="32"/>
              <w:szCs w:val="32"/>
            </w:rPr>
            <w:t>九、国有资本经营预算财政拨款支出决算表</w:t>
          </w:r>
          <w:r>
            <w:rPr>
              <w:sz w:val="32"/>
              <w:szCs w:val="32"/>
            </w:rPr>
            <w:tab/>
          </w:r>
          <w:r>
            <w:rPr>
              <w:sz w:val="32"/>
              <w:szCs w:val="32"/>
            </w:rPr>
            <w:fldChar w:fldCharType="begin"/>
          </w:r>
          <w:r>
            <w:rPr>
              <w:sz w:val="32"/>
              <w:szCs w:val="32"/>
            </w:rPr>
            <w:instrText xml:space="preserve"> PAGEREF _Toc256000108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"_Toc256000109" </w:instrText>
          </w:r>
          <w:r>
            <w:rPr>
              <w:sz w:val="32"/>
              <w:szCs w:val="32"/>
            </w:rPr>
            <w:fldChar w:fldCharType="separate"/>
          </w:r>
          <w:r>
            <w:rPr>
              <w:rStyle w:val="23"/>
              <w:rFonts w:ascii="黑体" w:hAnsi="黑体" w:eastAsia="黑体" w:cs="黑体"/>
              <w:sz w:val="32"/>
              <w:szCs w:val="32"/>
            </w:rPr>
            <w:t>第三部分</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6</w:t>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"_Toc256000110" </w:instrText>
          </w:r>
          <w:r>
            <w:rPr>
              <w:sz w:val="32"/>
              <w:szCs w:val="32"/>
            </w:rPr>
            <w:fldChar w:fldCharType="separate"/>
          </w:r>
          <w:r>
            <w:rPr>
              <w:rStyle w:val="23"/>
              <w:rFonts w:ascii="黑体" w:hAnsi="黑体" w:eastAsia="黑体" w:cs="黑体"/>
              <w:sz w:val="32"/>
              <w:szCs w:val="32"/>
            </w:rPr>
            <w:t>2024年度决算情况说明</w:t>
          </w:r>
          <w:r>
            <w:rPr>
              <w:sz w:val="32"/>
              <w:szCs w:val="32"/>
            </w:rPr>
            <w:tab/>
          </w:r>
          <w:r>
            <w:rPr>
              <w:rFonts w:hint="eastAsia"/>
              <w:sz w:val="32"/>
              <w:szCs w:val="32"/>
              <w:lang w:val="en-US" w:eastAsia="zh-CN"/>
            </w:rPr>
            <w:t>1</w:t>
          </w:r>
          <w:r>
            <w:rPr>
              <w:sz w:val="32"/>
              <w:szCs w:val="32"/>
            </w:rPr>
            <w:fldChar w:fldCharType="end"/>
          </w:r>
          <w:r>
            <w:rPr>
              <w:rFonts w:hint="eastAsia"/>
              <w:sz w:val="32"/>
              <w:szCs w:val="32"/>
              <w:lang w:val="en-US" w:eastAsia="zh-CN"/>
            </w:rPr>
            <w:t>6</w:t>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"_Toc256000111" </w:instrText>
          </w:r>
          <w:r>
            <w:rPr>
              <w:sz w:val="32"/>
              <w:szCs w:val="32"/>
            </w:rPr>
            <w:fldChar w:fldCharType="separate"/>
          </w:r>
          <w:r>
            <w:rPr>
              <w:rStyle w:val="23"/>
              <w:rFonts w:ascii="黑体" w:hAnsi="黑体" w:eastAsia="黑体" w:cs="黑体"/>
              <w:sz w:val="32"/>
              <w:szCs w:val="32"/>
            </w:rPr>
            <w:t>一、收入支出决算总体情况说明</w:t>
          </w:r>
          <w:r>
            <w:rPr>
              <w:sz w:val="32"/>
              <w:szCs w:val="32"/>
            </w:rPr>
            <w:tab/>
          </w:r>
          <w:r>
            <w:rPr>
              <w:sz w:val="32"/>
              <w:szCs w:val="32"/>
            </w:rPr>
            <w:fldChar w:fldCharType="begin"/>
          </w:r>
          <w:r>
            <w:rPr>
              <w:sz w:val="32"/>
              <w:szCs w:val="32"/>
            </w:rPr>
            <w:instrText xml:space="preserve"> PAGEREF _Toc256000111 \h </w:instrText>
          </w:r>
          <w:r>
            <w:rPr>
              <w:sz w:val="32"/>
              <w:szCs w:val="32"/>
            </w:rPr>
            <w:fldChar w:fldCharType="separate"/>
          </w:r>
          <w:r>
            <w:rPr>
              <w:sz w:val="32"/>
              <w:szCs w:val="32"/>
            </w:rPr>
            <w:t>15</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"_Toc256000112" </w:instrText>
          </w:r>
          <w:r>
            <w:rPr>
              <w:sz w:val="32"/>
              <w:szCs w:val="32"/>
            </w:rPr>
            <w:fldChar w:fldCharType="separate"/>
          </w:r>
          <w:r>
            <w:rPr>
              <w:rStyle w:val="23"/>
              <w:rFonts w:ascii="黑体" w:hAnsi="黑体" w:eastAsia="黑体" w:cs="黑体"/>
              <w:sz w:val="32"/>
              <w:szCs w:val="32"/>
            </w:rPr>
            <w:t>二、财政拨款收入支出决算总体情况说明</w:t>
          </w:r>
          <w:r>
            <w:rPr>
              <w:sz w:val="32"/>
              <w:szCs w:val="32"/>
            </w:rPr>
            <w:tab/>
          </w:r>
          <w:r>
            <w:rPr>
              <w:sz w:val="32"/>
              <w:szCs w:val="32"/>
            </w:rPr>
            <w:fldChar w:fldCharType="begin"/>
          </w:r>
          <w:r>
            <w:rPr>
              <w:sz w:val="32"/>
              <w:szCs w:val="32"/>
            </w:rPr>
            <w:instrText xml:space="preserve"> PAGEREF _Toc256000112 \h </w:instrText>
          </w:r>
          <w:r>
            <w:rPr>
              <w:sz w:val="32"/>
              <w:szCs w:val="32"/>
            </w:rPr>
            <w:fldChar w:fldCharType="separate"/>
          </w:r>
          <w:r>
            <w:rPr>
              <w:sz w:val="32"/>
              <w:szCs w:val="32"/>
            </w:rPr>
            <w:t>16</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"_Toc256000113" </w:instrText>
          </w:r>
          <w:r>
            <w:rPr>
              <w:sz w:val="32"/>
              <w:szCs w:val="32"/>
            </w:rPr>
            <w:fldChar w:fldCharType="separate"/>
          </w:r>
          <w:r>
            <w:rPr>
              <w:rStyle w:val="23"/>
              <w:rFonts w:ascii="黑体" w:hAnsi="黑体" w:eastAsia="黑体" w:cs="黑体"/>
              <w:sz w:val="32"/>
              <w:szCs w:val="32"/>
            </w:rPr>
            <w:t>三、一般公共预算拨款支出决算情况说明</w:t>
          </w:r>
          <w:r>
            <w:rPr>
              <w:sz w:val="32"/>
              <w:szCs w:val="32"/>
            </w:rPr>
            <w:tab/>
          </w:r>
          <w:r>
            <w:rPr>
              <w:sz w:val="32"/>
              <w:szCs w:val="32"/>
            </w:rPr>
            <w:fldChar w:fldCharType="begin"/>
          </w:r>
          <w:r>
            <w:rPr>
              <w:sz w:val="32"/>
              <w:szCs w:val="32"/>
            </w:rPr>
            <w:instrText xml:space="preserve"> PAGEREF _Toc256000113 \h </w:instrText>
          </w:r>
          <w:r>
            <w:rPr>
              <w:sz w:val="32"/>
              <w:szCs w:val="32"/>
            </w:rPr>
            <w:fldChar w:fldCharType="separate"/>
          </w:r>
          <w:r>
            <w:rPr>
              <w:sz w:val="32"/>
              <w:szCs w:val="32"/>
            </w:rPr>
            <w:t>17</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"_Toc256000114" </w:instrText>
          </w:r>
          <w:r>
            <w:rPr>
              <w:sz w:val="32"/>
              <w:szCs w:val="32"/>
            </w:rPr>
            <w:fldChar w:fldCharType="separate"/>
          </w:r>
          <w:r>
            <w:rPr>
              <w:rStyle w:val="23"/>
              <w:rFonts w:ascii="黑体" w:hAnsi="黑体" w:eastAsia="黑体" w:cs="黑体"/>
              <w:sz w:val="32"/>
              <w:szCs w:val="32"/>
            </w:rPr>
            <w:t>四、政府性基金预算财政拨款支出决算情况说明</w:t>
          </w:r>
          <w:r>
            <w:rPr>
              <w:sz w:val="32"/>
              <w:szCs w:val="32"/>
            </w:rPr>
            <w:tab/>
          </w:r>
          <w:r>
            <w:rPr>
              <w:sz w:val="32"/>
              <w:szCs w:val="32"/>
            </w:rPr>
            <w:fldChar w:fldCharType="begin"/>
          </w:r>
          <w:r>
            <w:rPr>
              <w:sz w:val="32"/>
              <w:szCs w:val="32"/>
            </w:rPr>
            <w:instrText xml:space="preserve"> PAGEREF _Toc256000114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"_Toc256000115" </w:instrText>
          </w:r>
          <w:r>
            <w:rPr>
              <w:sz w:val="32"/>
              <w:szCs w:val="32"/>
            </w:rPr>
            <w:fldChar w:fldCharType="separate"/>
          </w:r>
          <w:r>
            <w:rPr>
              <w:rStyle w:val="23"/>
              <w:rFonts w:ascii="黑体" w:hAnsi="黑体" w:eastAsia="黑体" w:cs="黑体"/>
              <w:sz w:val="32"/>
              <w:szCs w:val="32"/>
            </w:rPr>
            <w:t>五、国有资本经营预算财政拨款支出决算情况说明</w:t>
          </w:r>
          <w:r>
            <w:rPr>
              <w:sz w:val="32"/>
              <w:szCs w:val="32"/>
            </w:rPr>
            <w:tab/>
          </w:r>
          <w:r>
            <w:rPr>
              <w:sz w:val="32"/>
              <w:szCs w:val="32"/>
            </w:rPr>
            <w:fldChar w:fldCharType="begin"/>
          </w:r>
          <w:r>
            <w:rPr>
              <w:sz w:val="32"/>
              <w:szCs w:val="32"/>
            </w:rPr>
            <w:instrText xml:space="preserve"> PAGEREF _Toc256000115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"_Toc256000116" </w:instrText>
          </w:r>
          <w:r>
            <w:rPr>
              <w:sz w:val="32"/>
              <w:szCs w:val="32"/>
            </w:rPr>
            <w:fldChar w:fldCharType="separate"/>
          </w:r>
          <w:r>
            <w:rPr>
              <w:rStyle w:val="23"/>
              <w:rFonts w:ascii="黑体" w:hAnsi="黑体" w:eastAsia="黑体" w:cs="黑体"/>
              <w:sz w:val="32"/>
              <w:szCs w:val="32"/>
            </w:rPr>
            <w:t>六、一般公共预算财政拨款基本支出决算情况说明</w:t>
          </w:r>
          <w:r>
            <w:rPr>
              <w:sz w:val="32"/>
              <w:szCs w:val="32"/>
            </w:rPr>
            <w:tab/>
          </w:r>
          <w:r>
            <w:rPr>
              <w:sz w:val="32"/>
              <w:szCs w:val="32"/>
            </w:rPr>
            <w:fldChar w:fldCharType="begin"/>
          </w:r>
          <w:r>
            <w:rPr>
              <w:sz w:val="32"/>
              <w:szCs w:val="32"/>
            </w:rPr>
            <w:instrText xml:space="preserve"> PAGEREF _Toc256000116 \h </w:instrText>
          </w:r>
          <w:r>
            <w:rPr>
              <w:sz w:val="32"/>
              <w:szCs w:val="32"/>
            </w:rPr>
            <w:fldChar w:fldCharType="separate"/>
          </w:r>
          <w:r>
            <w:rPr>
              <w:sz w:val="32"/>
              <w:szCs w:val="32"/>
            </w:rPr>
            <w:t>18</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"_Toc256000117" </w:instrText>
          </w:r>
          <w:r>
            <w:rPr>
              <w:sz w:val="32"/>
              <w:szCs w:val="32"/>
            </w:rPr>
            <w:fldChar w:fldCharType="separate"/>
          </w:r>
          <w:r>
            <w:rPr>
              <w:rStyle w:val="23"/>
              <w:rFonts w:ascii="黑体" w:hAnsi="黑体" w:eastAsia="黑体" w:cs="黑体"/>
              <w:sz w:val="32"/>
              <w:szCs w:val="32"/>
            </w:rPr>
            <w:t>七、一般公共预算拨款“三公”经费支出决算情况说明</w:t>
          </w:r>
          <w:r>
            <w:rPr>
              <w:sz w:val="32"/>
              <w:szCs w:val="32"/>
            </w:rPr>
            <w:tab/>
          </w:r>
          <w:r>
            <w:rPr>
              <w:sz w:val="32"/>
              <w:szCs w:val="32"/>
            </w:rPr>
            <w:fldChar w:fldCharType="begin"/>
          </w:r>
          <w:r>
            <w:rPr>
              <w:sz w:val="32"/>
              <w:szCs w:val="32"/>
            </w:rPr>
            <w:instrText xml:space="preserve"> PAGEREF _Toc256000117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"_Toc256000118" </w:instrText>
          </w:r>
          <w:r>
            <w:rPr>
              <w:sz w:val="32"/>
              <w:szCs w:val="32"/>
            </w:rPr>
            <w:fldChar w:fldCharType="separate"/>
          </w:r>
          <w:r>
            <w:rPr>
              <w:rStyle w:val="23"/>
              <w:rFonts w:ascii="黑体" w:hAnsi="黑体" w:eastAsia="黑体" w:cs="黑体"/>
              <w:sz w:val="32"/>
              <w:szCs w:val="32"/>
            </w:rPr>
            <w:t>八、预算绩效情况说明</w:t>
          </w:r>
          <w:r>
            <w:rPr>
              <w:sz w:val="32"/>
              <w:szCs w:val="32"/>
            </w:rPr>
            <w:tab/>
          </w:r>
          <w:r>
            <w:rPr>
              <w:sz w:val="32"/>
              <w:szCs w:val="32"/>
            </w:rPr>
            <w:fldChar w:fldCharType="begin"/>
          </w:r>
          <w:r>
            <w:rPr>
              <w:sz w:val="32"/>
              <w:szCs w:val="32"/>
            </w:rPr>
            <w:instrText xml:space="preserve"> PAGEREF _Toc256000118 \h </w:instrText>
          </w:r>
          <w:r>
            <w:rPr>
              <w:sz w:val="32"/>
              <w:szCs w:val="32"/>
            </w:rPr>
            <w:fldChar w:fldCharType="separate"/>
          </w:r>
          <w:r>
            <w:rPr>
              <w:sz w:val="32"/>
              <w:szCs w:val="32"/>
            </w:rPr>
            <w:t>19</w:t>
          </w:r>
          <w:r>
            <w:rPr>
              <w:sz w:val="32"/>
              <w:szCs w:val="32"/>
            </w:rPr>
            <w:fldChar w:fldCharType="end"/>
          </w:r>
          <w:r>
            <w:rPr>
              <w:sz w:val="32"/>
              <w:szCs w:val="32"/>
            </w:rPr>
            <w:fldChar w:fldCharType="end"/>
          </w:r>
        </w:p>
        <w:p>
          <w:pPr>
            <w:pStyle w:val="12"/>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"_Toc256000119" </w:instrText>
          </w:r>
          <w:r>
            <w:rPr>
              <w:sz w:val="32"/>
              <w:szCs w:val="32"/>
            </w:rPr>
            <w:fldChar w:fldCharType="separate"/>
          </w:r>
          <w:r>
            <w:rPr>
              <w:rStyle w:val="23"/>
              <w:rFonts w:ascii="黑体" w:hAnsi="黑体" w:eastAsia="黑体" w:cs="黑体"/>
              <w:sz w:val="32"/>
              <w:szCs w:val="32"/>
            </w:rPr>
            <w:t>九、其他重要事项说明</w:t>
          </w:r>
          <w:r>
            <w:rPr>
              <w:sz w:val="32"/>
              <w:szCs w:val="32"/>
            </w:rPr>
            <w:tab/>
          </w:r>
          <w:r>
            <w:rPr>
              <w:sz w:val="32"/>
              <w:szCs w:val="32"/>
            </w:rPr>
            <w:fldChar w:fldCharType="begin"/>
          </w:r>
          <w:r>
            <w:rPr>
              <w:sz w:val="32"/>
              <w:szCs w:val="32"/>
            </w:rPr>
            <w:instrText xml:space="preserve"> PAGEREF _Toc256000119 \h </w:instrText>
          </w:r>
          <w:r>
            <w:rPr>
              <w:sz w:val="32"/>
              <w:szCs w:val="32"/>
            </w:rPr>
            <w:fldChar w:fldCharType="separate"/>
          </w:r>
          <w:r>
            <w:rPr>
              <w:sz w:val="32"/>
              <w:szCs w:val="32"/>
            </w:rPr>
            <w:t>20</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"_Toc256000120" </w:instrText>
          </w:r>
          <w:r>
            <w:rPr>
              <w:sz w:val="32"/>
              <w:szCs w:val="32"/>
            </w:rPr>
            <w:fldChar w:fldCharType="separate"/>
          </w:r>
          <w:r>
            <w:rPr>
              <w:rStyle w:val="23"/>
              <w:rFonts w:ascii="黑体" w:hAnsi="黑体" w:eastAsia="黑体" w:cs="黑体"/>
              <w:sz w:val="32"/>
              <w:szCs w:val="32"/>
            </w:rPr>
            <w:t>第四部分</w:t>
          </w:r>
          <w:r>
            <w:rPr>
              <w:sz w:val="32"/>
              <w:szCs w:val="32"/>
            </w:rPr>
            <w:tab/>
          </w:r>
          <w:r>
            <w:rPr>
              <w:sz w:val="32"/>
              <w:szCs w:val="32"/>
            </w:rPr>
            <w:fldChar w:fldCharType="begin"/>
          </w:r>
          <w:r>
            <w:rPr>
              <w:sz w:val="32"/>
              <w:szCs w:val="32"/>
            </w:rPr>
            <w:instrText xml:space="preserve"> PAGEREF _Toc256000120 \h </w:instrText>
          </w:r>
          <w:r>
            <w:rPr>
              <w:sz w:val="32"/>
              <w:szCs w:val="32"/>
            </w:rPr>
            <w:fldChar w:fldCharType="separate"/>
          </w:r>
          <w:r>
            <w:rPr>
              <w:sz w:val="32"/>
              <w:szCs w:val="32"/>
            </w:rPr>
            <w:t>20</w:t>
          </w:r>
          <w:r>
            <w:rPr>
              <w:sz w:val="32"/>
              <w:szCs w:val="32"/>
            </w:rPr>
            <w:fldChar w:fldCharType="end"/>
          </w:r>
          <w:r>
            <w:rPr>
              <w:sz w:val="32"/>
              <w:szCs w:val="32"/>
            </w:rPr>
            <w:fldChar w:fldCharType="end"/>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"_Toc256000121" </w:instrText>
          </w:r>
          <w:r>
            <w:rPr>
              <w:sz w:val="32"/>
              <w:szCs w:val="32"/>
            </w:rPr>
            <w:fldChar w:fldCharType="separate"/>
          </w:r>
          <w:r>
            <w:rPr>
              <w:rStyle w:val="23"/>
              <w:rFonts w:ascii="黑体" w:hAnsi="黑体" w:eastAsia="黑体" w:cs="黑体"/>
              <w:sz w:val="32"/>
              <w:szCs w:val="32"/>
            </w:rPr>
            <w:t>名词解释</w:t>
          </w:r>
          <w:r>
            <w:rPr>
              <w:sz w:val="32"/>
              <w:szCs w:val="32"/>
            </w:rPr>
            <w:tab/>
          </w:r>
          <w:r>
            <w:rPr>
              <w:sz w:val="32"/>
              <w:szCs w:val="32"/>
            </w:rPr>
            <w:fldChar w:fldCharType="begin"/>
          </w:r>
          <w:r>
            <w:rPr>
              <w:sz w:val="32"/>
              <w:szCs w:val="32"/>
            </w:rPr>
            <w:instrText xml:space="preserve"> PAGEREF _Toc256000121 \h </w:instrText>
          </w:r>
          <w:r>
            <w:rPr>
              <w:sz w:val="32"/>
              <w:szCs w:val="32"/>
            </w:rPr>
            <w:fldChar w:fldCharType="separate"/>
          </w:r>
          <w:r>
            <w:rPr>
              <w:sz w:val="32"/>
              <w:szCs w:val="32"/>
            </w:rPr>
            <w:t>21</w:t>
          </w:r>
          <w:r>
            <w:rPr>
              <w:sz w:val="32"/>
              <w:szCs w:val="32"/>
            </w:rPr>
            <w:fldChar w:fldCharType="end"/>
          </w:r>
          <w:r>
            <w:rPr>
              <w:sz w:val="32"/>
              <w:szCs w:val="32"/>
            </w:rPr>
            <w:fldChar w:fldCharType="end"/>
          </w:r>
        </w:p>
        <w:p>
          <w:pPr>
            <w:pStyle w:val="19"/>
            <w:tabs>
              <w:tab w:val="right" w:leader="dot" w:pos="9730"/>
            </w:tabs>
            <w:rPr>
              <w:rFonts w:hint="eastAsia" w:eastAsia="仿宋" w:asciiTheme="minorHAnsi" w:hAnsiTheme="minorHAnsi"/>
              <w:sz w:val="32"/>
              <w:szCs w:val="32"/>
              <w:lang w:val="en-US" w:eastAsia="zh-CN"/>
            </w:rPr>
          </w:pPr>
          <w:r>
            <w:rPr>
              <w:sz w:val="32"/>
              <w:szCs w:val="32"/>
            </w:rPr>
            <w:fldChar w:fldCharType="begin"/>
          </w:r>
          <w:r>
            <w:rPr>
              <w:sz w:val="32"/>
              <w:szCs w:val="32"/>
            </w:rPr>
            <w:instrText xml:space="preserve"> HYPERLINK \l "_Toc256000122" </w:instrText>
          </w:r>
          <w:r>
            <w:rPr>
              <w:sz w:val="32"/>
              <w:szCs w:val="32"/>
            </w:rPr>
            <w:fldChar w:fldCharType="separate"/>
          </w:r>
          <w:r>
            <w:rPr>
              <w:rStyle w:val="23"/>
              <w:rFonts w:ascii="黑体" w:hAnsi="黑体" w:eastAsia="黑体" w:cs="黑体"/>
              <w:sz w:val="32"/>
              <w:szCs w:val="32"/>
            </w:rPr>
            <w:t>第五部分</w:t>
          </w:r>
          <w:r>
            <w:rPr>
              <w:sz w:val="32"/>
              <w:szCs w:val="32"/>
            </w:rPr>
            <w:tab/>
          </w:r>
          <w:r>
            <w:rPr>
              <w:rFonts w:hint="eastAsia"/>
              <w:sz w:val="32"/>
              <w:szCs w:val="32"/>
              <w:lang w:val="en-US" w:eastAsia="zh-CN"/>
            </w:rPr>
            <w:t>2</w:t>
          </w:r>
          <w:r>
            <w:rPr>
              <w:sz w:val="32"/>
              <w:szCs w:val="32"/>
            </w:rPr>
            <w:fldChar w:fldCharType="end"/>
          </w:r>
          <w:r>
            <w:rPr>
              <w:rFonts w:hint="eastAsia"/>
              <w:sz w:val="32"/>
              <w:szCs w:val="32"/>
              <w:lang w:val="en-US" w:eastAsia="zh-CN"/>
            </w:rPr>
            <w:t>3</w:t>
          </w:r>
        </w:p>
        <w:p>
          <w:pPr>
            <w:pStyle w:val="19"/>
            <w:tabs>
              <w:tab w:val="right" w:leader="dot" w:pos="9730"/>
            </w:tabs>
            <w:rPr>
              <w:rFonts w:asciiTheme="minorHAnsi" w:hAnsiTheme="minorHAnsi"/>
              <w:sz w:val="32"/>
              <w:szCs w:val="32"/>
            </w:rPr>
          </w:pPr>
          <w:r>
            <w:rPr>
              <w:sz w:val="32"/>
              <w:szCs w:val="32"/>
            </w:rPr>
            <w:fldChar w:fldCharType="begin"/>
          </w:r>
          <w:r>
            <w:rPr>
              <w:sz w:val="32"/>
              <w:szCs w:val="32"/>
            </w:rPr>
            <w:instrText xml:space="preserve"> HYPERLINK \l "_Toc256000123" </w:instrText>
          </w:r>
          <w:r>
            <w:rPr>
              <w:sz w:val="32"/>
              <w:szCs w:val="32"/>
            </w:rPr>
            <w:fldChar w:fldCharType="separate"/>
          </w:r>
          <w:r>
            <w:rPr>
              <w:rStyle w:val="23"/>
              <w:rFonts w:ascii="黑体" w:hAnsi="黑体" w:eastAsia="黑体" w:cs="黑体"/>
              <w:sz w:val="32"/>
              <w:szCs w:val="32"/>
            </w:rPr>
            <w:t>附件</w:t>
          </w:r>
          <w:r>
            <w:rPr>
              <w:sz w:val="32"/>
              <w:szCs w:val="32"/>
            </w:rPr>
            <w:tab/>
          </w:r>
          <w:r>
            <w:rPr>
              <w:sz w:val="32"/>
              <w:szCs w:val="32"/>
            </w:rPr>
            <w:fldChar w:fldCharType="begin"/>
          </w:r>
          <w:r>
            <w:rPr>
              <w:sz w:val="32"/>
              <w:szCs w:val="32"/>
            </w:rPr>
            <w:instrText xml:space="preserve"> PAGEREF _Toc256000123 \h </w:instrText>
          </w:r>
          <w:r>
            <w:rPr>
              <w:sz w:val="32"/>
              <w:szCs w:val="32"/>
            </w:rPr>
            <w:fldChar w:fldCharType="separate"/>
          </w:r>
          <w:r>
            <w:rPr>
              <w:sz w:val="32"/>
              <w:szCs w:val="32"/>
            </w:rPr>
            <w:t>23</w:t>
          </w:r>
          <w:r>
            <w:rPr>
              <w:sz w:val="32"/>
              <w:szCs w:val="32"/>
            </w:rPr>
            <w:fldChar w:fldCharType="end"/>
          </w:r>
          <w:r>
            <w:rPr>
              <w:sz w:val="32"/>
              <w:szCs w:val="32"/>
            </w:rPr>
            <w:fldChar w:fldCharType="end"/>
          </w:r>
        </w:p>
        <w:p>
          <w:pPr>
            <w:adjustRightInd w:val="0"/>
            <w:snapToGrid w:val="0"/>
            <w:rPr>
              <w:rFonts w:hint="eastAsia" w:ascii="仿宋" w:hAnsi="仿宋" w:eastAsia="仿宋" w:cs="仿宋"/>
              <w:b w:val="0"/>
              <w:bCs/>
              <w:kern w:val="2"/>
              <w:sz w:val="18"/>
              <w:szCs w:val="18"/>
              <w:lang w:val="en-US" w:eastAsia="zh-CN" w:bidi="ar-SA"/>
            </w:rPr>
            <w:sectPr>
              <w:footerReference r:id="rId4" w:type="default"/>
              <w:pgSz w:w="11906" w:h="16838"/>
              <w:pgMar w:top="1440" w:right="1083" w:bottom="1440" w:left="1083" w:header="0" w:footer="720" w:gutter="0"/>
              <w:cols w:space="0" w:num="1"/>
              <w:rtlGutter w:val="0"/>
              <w:docGrid w:type="lines" w:linePitch="317" w:charSpace="0"/>
            </w:sectPr>
          </w:pPr>
          <w:r>
            <w:rPr>
              <w:rFonts w:hint="eastAsia" w:ascii="仿宋" w:hAnsi="仿宋" w:eastAsia="仿宋" w:cs="仿宋"/>
              <w:b w:val="0"/>
              <w:bCs/>
              <w:kern w:val="2"/>
              <w:sz w:val="32"/>
              <w:szCs w:val="32"/>
              <w:lang w:val="en-US" w:eastAsia="zh-CN" w:bidi="ar-SA"/>
            </w:rPr>
            <w:fldChar w:fldCharType="end"/>
          </w:r>
        </w:p>
      </w:sdtContent>
    </w:sdt>
    <w:p>
      <w:pPr>
        <w:pStyle w:val="30"/>
        <w:widowControl/>
        <w:spacing w:before="100" w:after="100"/>
        <w:ind w:left="0" w:right="0" w:firstLine="0"/>
        <w:jc w:val="center"/>
        <w:rPr>
          <w:rFonts w:ascii="黑体" w:hAnsi="黑体" w:eastAsia="黑体" w:cs="黑体"/>
          <w:b/>
          <w:spacing w:val="0"/>
          <w:sz w:val="32"/>
          <w:szCs w:val="32"/>
        </w:rPr>
      </w:pPr>
      <w:bookmarkStart w:id="0" w:name="_Toc256000000"/>
      <w:bookmarkStart w:id="1" w:name="_Toc256000062"/>
      <w:bookmarkStart w:id="2" w:name="_Toc256000093"/>
      <w:bookmarkStart w:id="3" w:name="_Toc256000031"/>
      <w:bookmarkStart w:id="4" w:name="a000"/>
      <w:r>
        <w:rPr>
          <w:rFonts w:ascii="黑体" w:hAnsi="黑体" w:eastAsia="黑体" w:cs="黑体"/>
          <w:b/>
          <w:spacing w:val="0"/>
          <w:sz w:val="32"/>
          <w:szCs w:val="32"/>
        </w:rPr>
        <w:t>第一部分</w:t>
      </w:r>
      <w:bookmarkEnd w:id="0"/>
      <w:bookmarkEnd w:id="1"/>
      <w:bookmarkEnd w:id="2"/>
      <w:bookmarkEnd w:id="3"/>
      <w:bookmarkStart w:id="5" w:name="_Toc256000094"/>
      <w:bookmarkStart w:id="6" w:name="_Toc256000063"/>
      <w:bookmarkStart w:id="7" w:name="_Toc256000032"/>
      <w:bookmarkStart w:id="8" w:name="_Toc256000001"/>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单位概况</w:t>
      </w:r>
      <w:bookmarkEnd w:id="5"/>
      <w:bookmarkEnd w:id="6"/>
      <w:bookmarkEnd w:id="7"/>
      <w:bookmarkEnd w:id="8"/>
    </w:p>
    <w:p>
      <w:pPr>
        <w:pStyle w:val="31"/>
        <w:widowControl/>
        <w:spacing w:before="100" w:after="100"/>
        <w:ind w:left="0" w:right="0" w:firstLine="0"/>
        <w:jc w:val="center"/>
        <w:rPr>
          <w:rFonts w:ascii="Times New Roman" w:hAnsi="Times New Roman" w:eastAsia="Times New Roman" w:cs="Times New Roman"/>
          <w:kern w:val="0"/>
          <w:sz w:val="18"/>
          <w:szCs w:val="18"/>
        </w:rPr>
      </w:pPr>
    </w:p>
    <w:p>
      <w:pPr>
        <w:pStyle w:val="6"/>
        <w:keepNext w:val="0"/>
        <w:keepLines w:val="0"/>
        <w:spacing w:before="100" w:after="100" w:line="240" w:lineRule="auto"/>
        <w:ind w:left="0" w:right="0" w:firstLine="643" w:firstLineChars="200"/>
        <w:rPr>
          <w:rFonts w:ascii="Times New Roman" w:hAnsi="Times New Roman" w:eastAsia="Times New Roman" w:cs="Times New Roman"/>
          <w:b/>
          <w:bCs/>
          <w:kern w:val="0"/>
          <w:sz w:val="32"/>
          <w:szCs w:val="32"/>
        </w:rPr>
      </w:pPr>
      <w:bookmarkStart w:id="9" w:name="_Toc256000095"/>
      <w:bookmarkStart w:id="10" w:name="_Toc256000002"/>
      <w:bookmarkStart w:id="11" w:name="_Toc256000033"/>
      <w:bookmarkStart w:id="12" w:name="_Toc256000064"/>
      <w:r>
        <w:rPr>
          <w:rFonts w:ascii="黑体" w:hAnsi="黑体" w:eastAsia="黑体" w:cs="黑体"/>
          <w:b/>
          <w:spacing w:val="0"/>
          <w:sz w:val="32"/>
          <w:szCs w:val="32"/>
        </w:rPr>
        <w:t>一、单位主要职责</w:t>
      </w:r>
      <w:bookmarkEnd w:id="9"/>
      <w:bookmarkEnd w:id="10"/>
      <w:bookmarkEnd w:id="11"/>
      <w:bookmarkEnd w:id="12"/>
    </w:p>
    <w:p>
      <w:pPr>
        <w:keepNext w:val="0"/>
        <w:keepLines w:val="0"/>
        <w:widowControl/>
        <w:suppressLineNumbers w:val="0"/>
        <w:jc w:val="left"/>
        <w:rPr>
          <w:rFonts w:ascii="仿宋" w:hAnsi="仿宋" w:eastAsia="仿宋" w:cs="仿宋"/>
          <w:spacing w:val="0"/>
          <w:kern w:val="0"/>
          <w:sz w:val="32"/>
          <w:szCs w:val="32"/>
        </w:rPr>
      </w:pPr>
      <w:r>
        <w:rPr>
          <w:rFonts w:ascii="仿宋" w:hAnsi="仿宋" w:eastAsia="仿宋" w:cs="仿宋"/>
          <w:spacing w:val="0"/>
          <w:kern w:val="0"/>
          <w:sz w:val="32"/>
          <w:szCs w:val="32"/>
        </w:rPr>
        <w:t>厦门市乌石浦小学单位的主要职责是：</w:t>
      </w:r>
    </w:p>
    <w:p>
      <w:pPr>
        <w:keepNext w:val="0"/>
        <w:keepLines w:val="0"/>
        <w:widowControl/>
        <w:suppressLineNumbers w:val="0"/>
        <w:jc w:val="left"/>
        <w:rPr>
          <w:rFonts w:ascii="仿宋" w:hAnsi="仿宋" w:eastAsia="仿宋" w:cs="仿宋"/>
          <w:spacing w:val="0"/>
          <w:kern w:val="0"/>
          <w:sz w:val="32"/>
          <w:szCs w:val="32"/>
        </w:rPr>
      </w:pPr>
      <w:r>
        <w:rPr>
          <w:rFonts w:ascii="仿宋" w:hAnsi="仿宋" w:eastAsia="仿宋" w:cs="仿宋"/>
          <w:spacing w:val="0"/>
          <w:kern w:val="0"/>
          <w:sz w:val="32"/>
          <w:szCs w:val="32"/>
          <w:lang w:val="en-US" w:eastAsia="zh-CN"/>
        </w:rPr>
        <w:t xml:space="preserve">（一）实施小学义务教育。 </w:t>
      </w:r>
    </w:p>
    <w:p>
      <w:pPr>
        <w:keepNext w:val="0"/>
        <w:keepLines w:val="0"/>
        <w:widowControl/>
        <w:suppressLineNumbers w:val="0"/>
        <w:jc w:val="left"/>
        <w:rPr>
          <w:rFonts w:ascii="仿宋" w:hAnsi="仿宋" w:eastAsia="仿宋" w:cs="仿宋"/>
          <w:spacing w:val="0"/>
          <w:kern w:val="0"/>
          <w:sz w:val="32"/>
          <w:szCs w:val="32"/>
        </w:rPr>
      </w:pPr>
      <w:r>
        <w:rPr>
          <w:rFonts w:hint="eastAsia" w:ascii="仿宋" w:hAnsi="仿宋" w:eastAsia="仿宋" w:cs="仿宋"/>
          <w:spacing w:val="0"/>
          <w:kern w:val="0"/>
          <w:sz w:val="32"/>
          <w:szCs w:val="32"/>
          <w:lang w:val="en-US" w:eastAsia="zh-CN"/>
        </w:rPr>
        <w:t xml:space="preserve">（二）促进基础教育发展。 </w:t>
      </w:r>
    </w:p>
    <w:p>
      <w:pPr>
        <w:keepNext w:val="0"/>
        <w:keepLines w:val="0"/>
        <w:widowControl/>
        <w:suppressLineNumbers w:val="0"/>
        <w:jc w:val="left"/>
        <w:rPr>
          <w:rFonts w:ascii="Times New Roman" w:hAnsi="Times New Roman" w:eastAsia="Times New Roman" w:cs="Times New Roman"/>
          <w:kern w:val="0"/>
          <w:sz w:val="32"/>
          <w:szCs w:val="32"/>
        </w:rPr>
      </w:pPr>
      <w:r>
        <w:rPr>
          <w:rFonts w:hint="eastAsia" w:ascii="仿宋" w:hAnsi="仿宋" w:eastAsia="仿宋" w:cs="仿宋"/>
          <w:spacing w:val="0"/>
          <w:kern w:val="0"/>
          <w:sz w:val="32"/>
          <w:szCs w:val="32"/>
          <w:lang w:val="en-US" w:eastAsia="zh-CN"/>
        </w:rPr>
        <w:t>（三）贯彻落实党的教育方针。</w:t>
      </w:r>
    </w:p>
    <w:p>
      <w:pPr>
        <w:pStyle w:val="6"/>
        <w:keepNext w:val="0"/>
        <w:keepLines w:val="0"/>
        <w:spacing w:before="100" w:after="100" w:line="600" w:lineRule="atLeast"/>
        <w:ind w:left="0" w:right="0" w:firstLine="640" w:firstLineChars="0"/>
        <w:rPr>
          <w:rFonts w:ascii="Times New Roman" w:hAnsi="Times New Roman" w:eastAsia="Times New Roman" w:cs="Times New Roman"/>
          <w:b/>
          <w:bCs/>
          <w:kern w:val="0"/>
          <w:sz w:val="32"/>
          <w:szCs w:val="32"/>
        </w:rPr>
      </w:pPr>
      <w:bookmarkStart w:id="13" w:name="_Toc256000096"/>
      <w:bookmarkStart w:id="14" w:name="_Toc256000065"/>
      <w:bookmarkStart w:id="15" w:name="_Toc256000003"/>
      <w:bookmarkStart w:id="16" w:name="_Toc256000034"/>
      <w:r>
        <w:rPr>
          <w:rFonts w:ascii="黑体" w:hAnsi="黑体" w:eastAsia="黑体" w:cs="黑体"/>
          <w:b/>
          <w:spacing w:val="0"/>
          <w:sz w:val="32"/>
          <w:szCs w:val="32"/>
        </w:rPr>
        <w:t>二、单位基本情况</w:t>
      </w:r>
      <w:bookmarkEnd w:id="13"/>
      <w:bookmarkEnd w:id="14"/>
      <w:bookmarkEnd w:id="15"/>
      <w:bookmarkEnd w:id="16"/>
    </w:p>
    <w:p>
      <w:pPr>
        <w:pStyle w:val="30"/>
        <w:widowControl/>
        <w:spacing w:before="100" w:after="100" w:line="600" w:lineRule="atLeast"/>
        <w:ind w:left="0" w:right="0" w:firstLine="640"/>
        <w:jc w:val="both"/>
        <w:rPr>
          <w:rFonts w:ascii="Times New Roman" w:hAnsi="Times New Roman" w:eastAsia="Times New Roman" w:cs="Times New Roman"/>
          <w:kern w:val="0"/>
          <w:sz w:val="32"/>
          <w:szCs w:val="32"/>
        </w:rPr>
      </w:pPr>
      <w:r>
        <w:rPr>
          <w:rFonts w:ascii="仿宋" w:hAnsi="仿宋" w:eastAsia="仿宋" w:cs="仿宋"/>
          <w:spacing w:val="0"/>
          <w:kern w:val="0"/>
          <w:sz w:val="32"/>
          <w:szCs w:val="32"/>
        </w:rPr>
        <w:t>从决算单位构成看，本单位包括</w:t>
      </w:r>
      <w:r>
        <w:rPr>
          <w:rFonts w:hint="eastAsia" w:ascii="仿宋" w:hAnsi="仿宋" w:eastAsia="仿宋" w:cs="仿宋"/>
          <w:spacing w:val="0"/>
          <w:kern w:val="0"/>
          <w:sz w:val="32"/>
          <w:szCs w:val="32"/>
          <w:lang w:val="en-US" w:eastAsia="zh-CN"/>
        </w:rPr>
        <w:t>4</w:t>
      </w:r>
      <w:r>
        <w:rPr>
          <w:rFonts w:ascii="仿宋" w:hAnsi="仿宋" w:eastAsia="仿宋" w:cs="仿宋"/>
          <w:spacing w:val="0"/>
          <w:kern w:val="0"/>
          <w:sz w:val="32"/>
          <w:szCs w:val="32"/>
        </w:rPr>
        <w:t>个内设机构，</w:t>
      </w:r>
      <w:r>
        <w:rPr>
          <w:rFonts w:ascii="仿宋" w:hAnsi="仿宋" w:eastAsia="仿宋" w:cs="仿宋"/>
          <w:kern w:val="0"/>
          <w:sz w:val="32"/>
          <w:szCs w:val="32"/>
          <w:shd w:val="clear" w:fill="FFFFFF"/>
        </w:rPr>
        <w:t>无下属单位。</w:t>
      </w:r>
      <w:r>
        <w:rPr>
          <w:rFonts w:ascii="仿宋" w:hAnsi="仿宋" w:eastAsia="仿宋" w:cs="仿宋"/>
          <w:spacing w:val="0"/>
          <w:kern w:val="0"/>
          <w:sz w:val="32"/>
          <w:szCs w:val="32"/>
        </w:rPr>
        <w:t>其中：列入2024年决算编制范围的单位详细情况见下表:</w:t>
      </w:r>
    </w:p>
    <w:tbl>
      <w:tblPr>
        <w:tblStyle w:val="24"/>
        <w:tblW w:w="9058" w:type="dxa"/>
        <w:jc w:val="center"/>
        <w:tblInd w:w="68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3015"/>
        <w:gridCol w:w="6043"/>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3015" w:type="dxa"/>
            <w:tcBorders>
              <w:bottom w:val="single" w:color="auto" w:sz="4" w:space="0"/>
              <w:right w:val="inset" w:color="808080" w:sz="6" w:space="0"/>
            </w:tcBorders>
            <w:noWrap w:val="0"/>
            <w:tcMar>
              <w:top w:w="22" w:type="dxa"/>
              <w:left w:w="22" w:type="dxa"/>
              <w:bottom w:w="22" w:type="dxa"/>
              <w:right w:w="22" w:type="dxa"/>
            </w:tcMar>
            <w:vAlign w:val="center"/>
          </w:tcPr>
          <w:p>
            <w:pPr>
              <w:widowControl/>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序号</w:t>
            </w:r>
          </w:p>
        </w:tc>
        <w:tc>
          <w:tcPr>
            <w:tcW w:w="6043" w:type="dxa"/>
            <w:tcBorders>
              <w:left w:val="inset" w:color="808080" w:sz="6" w:space="0"/>
              <w:bottom w:val="single" w:color="auto" w:sz="4" w:space="0"/>
            </w:tcBorders>
            <w:noWrap w:val="0"/>
            <w:tcMar>
              <w:top w:w="22" w:type="dxa"/>
              <w:left w:w="22" w:type="dxa"/>
              <w:bottom w:w="22" w:type="dxa"/>
              <w:right w:w="22" w:type="dxa"/>
            </w:tcMar>
            <w:vAlign w:val="center"/>
          </w:tcPr>
          <w:p>
            <w:pPr>
              <w:widowControl/>
              <w:jc w:val="center"/>
              <w:rPr>
                <w:rFonts w:ascii="仿宋" w:hAnsi="仿宋" w:eastAsia="仿宋" w:cs="仿宋"/>
                <w:b w:val="0"/>
                <w:bCs w:val="0"/>
                <w:i w:val="0"/>
                <w:iCs w:val="0"/>
                <w:smallCaps w:val="0"/>
                <w:color w:val="000000"/>
                <w:spacing w:val="0"/>
                <w:kern w:val="0"/>
                <w:sz w:val="32"/>
                <w:szCs w:val="32"/>
              </w:rPr>
            </w:pPr>
            <w:r>
              <w:rPr>
                <w:rFonts w:ascii="仿宋" w:hAnsi="仿宋" w:eastAsia="仿宋" w:cs="仿宋"/>
                <w:b w:val="0"/>
                <w:bCs w:val="0"/>
                <w:i w:val="0"/>
                <w:iCs w:val="0"/>
                <w:smallCaps w:val="0"/>
                <w:color w:val="000000"/>
                <w:spacing w:val="0"/>
                <w:kern w:val="0"/>
                <w:sz w:val="32"/>
                <w:szCs w:val="32"/>
              </w:rPr>
              <w:t>单位名称</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Ex>
        <w:trPr>
          <w:trHeight w:val="0" w:hRule="atLeast"/>
          <w:tblHeader/>
          <w:jc w:val="center"/>
        </w:trPr>
        <w:tc>
          <w:tcPr>
            <w:tcW w:w="3015" w:type="dxa"/>
            <w:tcBorders>
              <w:top w:val="single" w:color="auto" w:sz="4" w:space="0"/>
              <w:right w:val="inset" w:color="808080" w:sz="6" w:space="0"/>
            </w:tcBorders>
            <w:noWrap w:val="0"/>
            <w:tcMar>
              <w:top w:w="22" w:type="dxa"/>
              <w:left w:w="22" w:type="dxa"/>
              <w:bottom w:w="22" w:type="dxa"/>
              <w:right w:w="22" w:type="dxa"/>
            </w:tcMar>
            <w:vAlign w:val="center"/>
          </w:tcPr>
          <w:p>
            <w:pPr>
              <w:widowControl/>
              <w:jc w:val="center"/>
              <w:rPr>
                <w:rFonts w:hint="eastAsia" w:ascii="仿宋" w:hAnsi="仿宋" w:eastAsia="仿宋" w:cs="仿宋"/>
                <w:b w:val="0"/>
                <w:bCs w:val="0"/>
                <w:i w:val="0"/>
                <w:iCs w:val="0"/>
                <w:smallCaps w:val="0"/>
                <w:color w:val="000000"/>
                <w:spacing w:val="0"/>
                <w:kern w:val="0"/>
                <w:sz w:val="32"/>
                <w:szCs w:val="32"/>
                <w:lang w:val="en-US" w:eastAsia="zh-CN"/>
              </w:rPr>
            </w:pPr>
            <w:bookmarkStart w:id="17" w:name="_Toc256000004"/>
            <w:bookmarkStart w:id="18" w:name="_Toc256000097"/>
            <w:bookmarkStart w:id="19" w:name="_Toc256000035"/>
            <w:bookmarkStart w:id="20" w:name="_Toc256000066"/>
            <w:r>
              <w:rPr>
                <w:rFonts w:hint="eastAsia" w:ascii="仿宋" w:hAnsi="仿宋" w:eastAsia="仿宋" w:cs="仿宋"/>
                <w:b w:val="0"/>
                <w:bCs w:val="0"/>
                <w:i w:val="0"/>
                <w:iCs w:val="0"/>
                <w:smallCaps w:val="0"/>
                <w:color w:val="000000"/>
                <w:spacing w:val="0"/>
                <w:kern w:val="0"/>
                <w:sz w:val="32"/>
                <w:szCs w:val="32"/>
                <w:lang w:val="en-US" w:eastAsia="zh-CN"/>
              </w:rPr>
              <w:t>1</w:t>
            </w:r>
          </w:p>
        </w:tc>
        <w:tc>
          <w:tcPr>
            <w:tcW w:w="6043" w:type="dxa"/>
            <w:tcBorders>
              <w:top w:val="single" w:color="auto" w:sz="4" w:space="0"/>
              <w:left w:val="inset" w:color="808080" w:sz="6" w:space="0"/>
            </w:tcBorders>
            <w:noWrap w:val="0"/>
            <w:tcMar>
              <w:top w:w="22" w:type="dxa"/>
              <w:left w:w="22" w:type="dxa"/>
              <w:bottom w:w="22" w:type="dxa"/>
              <w:right w:w="22" w:type="dxa"/>
            </w:tcMar>
            <w:vAlign w:val="center"/>
          </w:tcPr>
          <w:p>
            <w:pPr>
              <w:widowControl/>
              <w:jc w:val="center"/>
              <w:rPr>
                <w:rFonts w:hint="default" w:ascii="仿宋" w:hAnsi="仿宋" w:eastAsia="仿宋" w:cs="仿宋"/>
                <w:b w:val="0"/>
                <w:bCs w:val="0"/>
                <w:i w:val="0"/>
                <w:iCs w:val="0"/>
                <w:smallCaps w:val="0"/>
                <w:color w:val="000000"/>
                <w:spacing w:val="0"/>
                <w:kern w:val="0"/>
                <w:sz w:val="32"/>
                <w:szCs w:val="32"/>
                <w:lang w:val="en-US" w:eastAsia="zh-CN"/>
              </w:rPr>
            </w:pPr>
            <w:r>
              <w:rPr>
                <w:rFonts w:hint="eastAsia" w:ascii="仿宋" w:hAnsi="仿宋" w:eastAsia="仿宋" w:cs="仿宋"/>
                <w:b w:val="0"/>
                <w:bCs w:val="0"/>
                <w:i w:val="0"/>
                <w:iCs w:val="0"/>
                <w:smallCaps w:val="0"/>
                <w:color w:val="000000"/>
                <w:spacing w:val="0"/>
                <w:kern w:val="0"/>
                <w:sz w:val="32"/>
                <w:szCs w:val="32"/>
                <w:lang w:val="en-US" w:eastAsia="zh-CN"/>
              </w:rPr>
              <w:t>厦门市乌石浦小学</w:t>
            </w:r>
          </w:p>
        </w:tc>
      </w:tr>
    </w:tbl>
    <w:p>
      <w:pPr>
        <w:pStyle w:val="6"/>
        <w:keepNext w:val="0"/>
        <w:keepLines w:val="0"/>
        <w:spacing w:before="100" w:after="100" w:line="600" w:lineRule="atLeast"/>
        <w:ind w:left="0" w:right="0" w:firstLine="640" w:firstLineChars="0"/>
        <w:rPr>
          <w:rFonts w:hint="eastAsia" w:ascii="Times New Roman" w:hAnsi="Times New Roman" w:eastAsia="仿宋" w:cs="Times New Roman"/>
          <w:b/>
          <w:bCs/>
          <w:kern w:val="0"/>
          <w:sz w:val="32"/>
          <w:szCs w:val="32"/>
          <w:lang w:eastAsia="zh-CN"/>
        </w:rPr>
      </w:pPr>
      <w:r>
        <w:rPr>
          <w:rFonts w:ascii="黑体" w:hAnsi="黑体" w:eastAsia="黑体" w:cs="黑体"/>
          <w:b/>
          <w:spacing w:val="0"/>
          <w:sz w:val="32"/>
          <w:szCs w:val="32"/>
        </w:rPr>
        <w:t>三、单位主要工作总结</w:t>
      </w:r>
      <w:bookmarkEnd w:id="17"/>
      <w:bookmarkEnd w:id="18"/>
      <w:bookmarkEnd w:id="19"/>
      <w:bookmarkEnd w:id="20"/>
    </w:p>
    <w:p>
      <w:pPr>
        <w:keepNext w:val="0"/>
        <w:keepLines w:val="0"/>
        <w:pageBreakBefore w:val="0"/>
        <w:widowControl/>
        <w:suppressLineNumbers w:val="0"/>
        <w:kinsoku/>
        <w:wordWrap/>
        <w:overflowPunct/>
        <w:topLinePunct w:val="0"/>
        <w:autoSpaceDE/>
        <w:autoSpaceDN/>
        <w:bidi w:val="0"/>
        <w:adjustRightInd/>
        <w:snapToGrid/>
        <w:spacing w:before="0" w:beforeLines="60" w:after="0" w:afterLines="60" w:line="600" w:lineRule="atLeast"/>
        <w:ind w:firstLine="358" w:firstLineChars="112"/>
        <w:jc w:val="both"/>
        <w:textAlignment w:val="auto"/>
        <w:rPr>
          <w:rFonts w:hint="eastAsia" w:ascii="仿宋" w:hAnsi="仿宋" w:eastAsia="仿宋" w:cs="仿宋"/>
          <w:spacing w:val="0"/>
          <w:kern w:val="0"/>
          <w:sz w:val="32"/>
          <w:szCs w:val="32"/>
          <w:lang w:val="en-US" w:eastAsia="zh-CN" w:bidi="ar-SA"/>
        </w:rPr>
      </w:pPr>
      <w:r>
        <w:rPr>
          <w:rFonts w:ascii="仿宋" w:hAnsi="仿宋" w:eastAsia="仿宋" w:cs="仿宋"/>
          <w:spacing w:val="0"/>
          <w:kern w:val="0"/>
          <w:sz w:val="32"/>
          <w:szCs w:val="32"/>
          <w:lang w:val="en-US" w:eastAsia="zh-CN" w:bidi="ar-SA"/>
        </w:rPr>
        <w:t>2024年，厦门市乌石浦小学单位主要任务是：</w:t>
      </w:r>
      <w:r>
        <w:rPr>
          <w:rFonts w:hint="eastAsia" w:ascii="仿宋" w:hAnsi="仿宋" w:eastAsia="仿宋" w:cs="仿宋"/>
          <w:kern w:val="0"/>
          <w:sz w:val="32"/>
          <w:szCs w:val="32"/>
          <w:shd w:val="clear" w:fill="FFFFFF"/>
        </w:rPr>
        <w:t>通过教育教学，提高中小学生的知识水平、知识面，思维方式，提高智力水平。</w:t>
      </w:r>
      <w:r>
        <w:rPr>
          <w:rFonts w:ascii="仿宋" w:hAnsi="仿宋" w:eastAsia="仿宋" w:cs="仿宋"/>
          <w:spacing w:val="0"/>
          <w:kern w:val="0"/>
          <w:sz w:val="32"/>
          <w:szCs w:val="32"/>
          <w:lang w:val="en-US" w:eastAsia="zh-CN" w:bidi="ar-SA"/>
        </w:rPr>
        <w:t>义务教育阶段，全面</w:t>
      </w:r>
      <w:r>
        <w:rPr>
          <w:rFonts w:hint="eastAsia" w:ascii="仿宋" w:hAnsi="仿宋" w:eastAsia="仿宋" w:cs="仿宋"/>
          <w:spacing w:val="0"/>
          <w:kern w:val="0"/>
          <w:sz w:val="32"/>
          <w:szCs w:val="32"/>
          <w:lang w:val="en-US" w:eastAsia="zh-CN" w:bidi="ar-SA"/>
        </w:rPr>
        <w:t>实施素质教育，</w:t>
      </w:r>
      <w:r>
        <w:rPr>
          <w:rFonts w:hint="eastAsia" w:ascii="仿宋" w:hAnsi="仿宋" w:eastAsia="仿宋" w:cs="仿宋"/>
          <w:color w:val="auto"/>
          <w:kern w:val="0"/>
          <w:sz w:val="32"/>
          <w:szCs w:val="32"/>
          <w:shd w:val="clear" w:fill="FFFFFF"/>
          <w:lang w:eastAsia="zh-CN"/>
        </w:rPr>
        <w:t>校园环境提升改造</w:t>
      </w:r>
      <w:r>
        <w:rPr>
          <w:rFonts w:hint="eastAsia" w:ascii="仿宋" w:hAnsi="仿宋" w:eastAsia="仿宋" w:cs="仿宋"/>
          <w:spacing w:val="0"/>
          <w:kern w:val="0"/>
          <w:sz w:val="32"/>
          <w:szCs w:val="32"/>
          <w:lang w:val="en-US" w:eastAsia="zh-CN" w:bidi="ar-SA"/>
        </w:rPr>
        <w:t>。围绕上述任务，重点完成了以下工作：</w:t>
      </w:r>
    </w:p>
    <w:p>
      <w:pPr>
        <w:keepNext w:val="0"/>
        <w:keepLines w:val="0"/>
        <w:pageBreakBefore w:val="0"/>
        <w:widowControl/>
        <w:suppressLineNumbers w:val="0"/>
        <w:kinsoku/>
        <w:wordWrap/>
        <w:overflowPunct/>
        <w:topLinePunct w:val="0"/>
        <w:autoSpaceDE/>
        <w:autoSpaceDN/>
        <w:bidi w:val="0"/>
        <w:adjustRightInd/>
        <w:snapToGrid/>
        <w:spacing w:before="0" w:beforeLines="20" w:after="0" w:afterLines="20" w:line="600" w:lineRule="atLeast"/>
        <w:ind w:firstLine="358" w:firstLineChars="112"/>
        <w:jc w:val="both"/>
        <w:textAlignment w:val="auto"/>
        <w:rPr>
          <w:rFonts w:ascii="仿宋" w:hAnsi="仿宋" w:eastAsia="仿宋" w:cs="仿宋"/>
          <w:spacing w:val="0"/>
          <w:kern w:val="0"/>
          <w:sz w:val="32"/>
          <w:szCs w:val="32"/>
          <w:lang w:val="en-US" w:eastAsia="zh-CN" w:bidi="ar-SA"/>
        </w:rPr>
      </w:pPr>
      <w:r>
        <w:rPr>
          <w:rFonts w:ascii="仿宋" w:hAnsi="仿宋" w:eastAsia="仿宋" w:cs="仿宋"/>
          <w:spacing w:val="0"/>
          <w:kern w:val="0"/>
          <w:sz w:val="32"/>
          <w:szCs w:val="32"/>
          <w:lang w:val="en-US" w:eastAsia="zh-CN" w:bidi="ar-SA"/>
        </w:rPr>
        <w:t xml:space="preserve">（一）落实减负增效，全面实施素质教育。 </w:t>
      </w:r>
    </w:p>
    <w:p>
      <w:pPr>
        <w:keepNext w:val="0"/>
        <w:keepLines w:val="0"/>
        <w:pageBreakBefore w:val="0"/>
        <w:widowControl/>
        <w:suppressLineNumbers w:val="0"/>
        <w:kinsoku/>
        <w:wordWrap/>
        <w:overflowPunct/>
        <w:topLinePunct w:val="0"/>
        <w:autoSpaceDE/>
        <w:autoSpaceDN/>
        <w:bidi w:val="0"/>
        <w:adjustRightInd/>
        <w:snapToGrid/>
        <w:spacing w:before="0" w:beforeLines="20" w:after="0" w:afterLines="20" w:line="600" w:lineRule="atLeast"/>
        <w:ind w:firstLine="358" w:firstLineChars="112"/>
        <w:jc w:val="both"/>
        <w:textAlignment w:val="auto"/>
        <w:rPr>
          <w:rFonts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 xml:space="preserve">（二）加强师资队伍建设。 </w:t>
      </w:r>
    </w:p>
    <w:p>
      <w:pPr>
        <w:keepNext w:val="0"/>
        <w:keepLines w:val="0"/>
        <w:pageBreakBefore w:val="0"/>
        <w:widowControl/>
        <w:suppressLineNumbers w:val="0"/>
        <w:kinsoku/>
        <w:wordWrap/>
        <w:overflowPunct/>
        <w:topLinePunct w:val="0"/>
        <w:autoSpaceDE/>
        <w:autoSpaceDN/>
        <w:bidi w:val="0"/>
        <w:adjustRightInd/>
        <w:snapToGrid/>
        <w:spacing w:before="0" w:beforeLines="20" w:after="0" w:afterLines="20" w:line="600" w:lineRule="atLeast"/>
        <w:ind w:firstLine="358" w:firstLineChars="112"/>
        <w:jc w:val="both"/>
        <w:textAlignment w:val="auto"/>
        <w:rPr>
          <w:rFonts w:hint="default"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（三）</w:t>
      </w:r>
      <w:r>
        <w:rPr>
          <w:rFonts w:hint="eastAsia" w:ascii="仿宋" w:hAnsi="仿宋" w:eastAsia="仿宋" w:cs="仿宋"/>
          <w:b w:val="0"/>
          <w:color w:val="000000"/>
          <w:kern w:val="0"/>
          <w:sz w:val="32"/>
          <w:szCs w:val="32"/>
        </w:rPr>
        <w:t>注重和抓好</w:t>
      </w:r>
      <w:r>
        <w:rPr>
          <w:rFonts w:hint="eastAsia" w:ascii="仿宋" w:hAnsi="仿宋" w:eastAsia="仿宋" w:cs="仿宋"/>
          <w:sz w:val="32"/>
          <w:szCs w:val="32"/>
          <w:u w:val="none"/>
        </w:rPr>
        <w:fldChar w:fldCharType="begin"/>
      </w:r>
      <w:r>
        <w:rPr>
          <w:rFonts w:hint="eastAsia" w:ascii="仿宋" w:hAnsi="仿宋" w:eastAsia="仿宋" w:cs="仿宋"/>
          <w:sz w:val="32"/>
          <w:szCs w:val="32"/>
          <w:u w:val="none"/>
        </w:rPr>
        <w:instrText xml:space="preserve"> HYPERLINK "http://www.so.com/s?q=质量管理&amp;ie=utf-8&amp;src=internal_wenda_recommend_textn" </w:instrText>
      </w:r>
      <w:r>
        <w:rPr>
          <w:rFonts w:hint="eastAsia" w:ascii="仿宋" w:hAnsi="仿宋" w:eastAsia="仿宋" w:cs="仿宋"/>
          <w:sz w:val="32"/>
          <w:szCs w:val="32"/>
          <w:u w:val="none"/>
        </w:rPr>
        <w:fldChar w:fldCharType="separate"/>
      </w:r>
      <w:r>
        <w:rPr>
          <w:rStyle w:val="23"/>
          <w:rFonts w:hint="eastAsia" w:ascii="仿宋" w:hAnsi="仿宋" w:eastAsia="仿宋" w:cs="仿宋"/>
          <w:b w:val="0"/>
          <w:color w:val="000000"/>
          <w:sz w:val="32"/>
          <w:szCs w:val="32"/>
          <w:u w:val="none"/>
        </w:rPr>
        <w:t>质量管理</w:t>
      </w:r>
      <w:r>
        <w:rPr>
          <w:rFonts w:hint="eastAsia" w:ascii="仿宋" w:hAnsi="仿宋" w:eastAsia="仿宋" w:cs="仿宋"/>
          <w:sz w:val="32"/>
          <w:szCs w:val="32"/>
          <w:u w:val="none"/>
        </w:rPr>
        <w:fldChar w:fldCharType="end"/>
      </w:r>
      <w:r>
        <w:rPr>
          <w:rFonts w:hint="eastAsia" w:ascii="仿宋" w:hAnsi="仿宋" w:eastAsia="仿宋" w:cs="仿宋"/>
          <w:b w:val="0"/>
          <w:color w:val="000000"/>
          <w:kern w:val="0"/>
          <w:sz w:val="32"/>
          <w:szCs w:val="32"/>
          <w:u w:val="none"/>
        </w:rPr>
        <w:t>,不断提高工作</w:t>
      </w:r>
      <w:r>
        <w:rPr>
          <w:rFonts w:hint="eastAsia" w:ascii="仿宋" w:hAnsi="仿宋" w:eastAsia="仿宋" w:cs="仿宋"/>
          <w:sz w:val="32"/>
          <w:szCs w:val="32"/>
          <w:u w:val="none"/>
        </w:rPr>
        <w:fldChar w:fldCharType="begin"/>
      </w:r>
      <w:r>
        <w:rPr>
          <w:rFonts w:hint="eastAsia" w:ascii="仿宋" w:hAnsi="仿宋" w:eastAsia="仿宋" w:cs="仿宋"/>
          <w:sz w:val="32"/>
          <w:szCs w:val="32"/>
          <w:u w:val="none"/>
        </w:rPr>
        <w:instrText xml:space="preserve"> HYPERLINK "http://www.so.com/s?q=效益&amp;ie=utf-8&amp;src=internal_wenda_recommend_textn" </w:instrText>
      </w:r>
      <w:r>
        <w:rPr>
          <w:rFonts w:hint="eastAsia" w:ascii="仿宋" w:hAnsi="仿宋" w:eastAsia="仿宋" w:cs="仿宋"/>
          <w:sz w:val="32"/>
          <w:szCs w:val="32"/>
          <w:u w:val="none"/>
        </w:rPr>
        <w:fldChar w:fldCharType="separate"/>
      </w:r>
      <w:r>
        <w:rPr>
          <w:rStyle w:val="23"/>
          <w:rFonts w:hint="eastAsia" w:ascii="仿宋" w:hAnsi="仿宋" w:eastAsia="仿宋" w:cs="仿宋"/>
          <w:b w:val="0"/>
          <w:color w:val="000000"/>
          <w:sz w:val="32"/>
          <w:szCs w:val="32"/>
          <w:u w:val="none"/>
        </w:rPr>
        <w:t>效益</w:t>
      </w:r>
      <w:r>
        <w:rPr>
          <w:rFonts w:hint="eastAsia" w:ascii="仿宋" w:hAnsi="仿宋" w:eastAsia="仿宋" w:cs="仿宋"/>
          <w:sz w:val="32"/>
          <w:szCs w:val="32"/>
          <w:u w:val="none"/>
        </w:rPr>
        <w:fldChar w:fldCharType="end"/>
      </w:r>
      <w:r>
        <w:rPr>
          <w:rFonts w:hint="eastAsia" w:ascii="仿宋" w:hAnsi="仿宋" w:eastAsia="仿宋" w:cs="仿宋"/>
          <w:b w:val="0"/>
          <w:color w:val="000000"/>
          <w:kern w:val="0"/>
          <w:sz w:val="32"/>
          <w:szCs w:val="32"/>
          <w:u w:val="none"/>
        </w:rPr>
        <w:t>,要把各科教学质量,提高到新的</w:t>
      </w:r>
      <w:r>
        <w:rPr>
          <w:rFonts w:hint="eastAsia" w:ascii="仿宋" w:hAnsi="仿宋" w:eastAsia="仿宋" w:cs="仿宋"/>
          <w:sz w:val="32"/>
          <w:szCs w:val="32"/>
          <w:u w:val="none"/>
        </w:rPr>
        <w:fldChar w:fldCharType="begin"/>
      </w:r>
      <w:r>
        <w:rPr>
          <w:rFonts w:hint="eastAsia" w:ascii="仿宋" w:hAnsi="仿宋" w:eastAsia="仿宋" w:cs="仿宋"/>
          <w:sz w:val="32"/>
          <w:szCs w:val="32"/>
          <w:u w:val="none"/>
        </w:rPr>
        <w:instrText xml:space="preserve"> HYPERLINK "http://www.so.com/s?q=水平&amp;ie=utf-8&amp;src=internal_wenda_recommend_textn" </w:instrText>
      </w:r>
      <w:r>
        <w:rPr>
          <w:rFonts w:hint="eastAsia" w:ascii="仿宋" w:hAnsi="仿宋" w:eastAsia="仿宋" w:cs="仿宋"/>
          <w:sz w:val="32"/>
          <w:szCs w:val="32"/>
          <w:u w:val="none"/>
        </w:rPr>
        <w:fldChar w:fldCharType="separate"/>
      </w:r>
      <w:r>
        <w:rPr>
          <w:rStyle w:val="23"/>
          <w:rFonts w:hint="eastAsia" w:ascii="仿宋" w:hAnsi="仿宋" w:eastAsia="仿宋" w:cs="仿宋"/>
          <w:b w:val="0"/>
          <w:color w:val="000000"/>
          <w:sz w:val="32"/>
          <w:szCs w:val="32"/>
          <w:u w:val="none"/>
        </w:rPr>
        <w:t>水平</w:t>
      </w:r>
      <w:r>
        <w:rPr>
          <w:rFonts w:hint="eastAsia" w:ascii="仿宋" w:hAnsi="仿宋" w:eastAsia="仿宋" w:cs="仿宋"/>
          <w:sz w:val="32"/>
          <w:szCs w:val="32"/>
          <w:u w:val="none"/>
        </w:rPr>
        <w:fldChar w:fldCharType="end"/>
      </w:r>
      <w:r>
        <w:rPr>
          <w:rFonts w:hint="eastAsia" w:ascii="仿宋" w:hAnsi="仿宋" w:eastAsia="仿宋" w:cs="仿宋"/>
          <w:spacing w:val="0"/>
          <w:kern w:val="0"/>
          <w:sz w:val="32"/>
          <w:szCs w:val="32"/>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before="0" w:beforeLines="20" w:after="0" w:afterLines="20" w:line="600" w:lineRule="atLeast"/>
        <w:ind w:firstLine="358" w:firstLineChars="112"/>
        <w:jc w:val="both"/>
        <w:textAlignment w:val="auto"/>
        <w:rPr>
          <w:rFonts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 xml:space="preserve">（四）合理安排收支预算，严格预算管理。 </w:t>
      </w:r>
    </w:p>
    <w:p>
      <w:pPr>
        <w:keepNext w:val="0"/>
        <w:keepLines w:val="0"/>
        <w:pageBreakBefore w:val="0"/>
        <w:widowControl/>
        <w:suppressLineNumbers w:val="0"/>
        <w:kinsoku/>
        <w:wordWrap/>
        <w:overflowPunct/>
        <w:topLinePunct w:val="0"/>
        <w:autoSpaceDE/>
        <w:autoSpaceDN/>
        <w:bidi w:val="0"/>
        <w:adjustRightInd/>
        <w:snapToGrid/>
        <w:spacing w:before="0" w:beforeLines="20" w:after="0" w:afterLines="20" w:line="600" w:lineRule="atLeast"/>
        <w:ind w:firstLine="358" w:firstLineChars="112"/>
        <w:jc w:val="both"/>
        <w:textAlignment w:val="auto"/>
        <w:rPr>
          <w:rFonts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 xml:space="preserve">（五）加强对固定资产的管理。 </w:t>
      </w:r>
    </w:p>
    <w:p>
      <w:pPr>
        <w:keepNext w:val="0"/>
        <w:keepLines w:val="0"/>
        <w:pageBreakBefore w:val="0"/>
        <w:widowControl/>
        <w:suppressLineNumbers w:val="0"/>
        <w:kinsoku/>
        <w:wordWrap/>
        <w:overflowPunct/>
        <w:topLinePunct w:val="0"/>
        <w:autoSpaceDE/>
        <w:autoSpaceDN/>
        <w:bidi w:val="0"/>
        <w:adjustRightInd/>
        <w:snapToGrid/>
        <w:spacing w:before="0" w:beforeLines="20" w:after="0" w:afterLines="20" w:line="600" w:lineRule="atLeast"/>
        <w:ind w:firstLine="358" w:firstLineChars="112"/>
        <w:jc w:val="both"/>
        <w:textAlignment w:val="auto"/>
        <w:rPr>
          <w:rFonts w:ascii="仿宋" w:hAnsi="仿宋" w:eastAsia="仿宋" w:cs="仿宋"/>
          <w:spacing w:val="0"/>
          <w:kern w:val="0"/>
          <w:sz w:val="32"/>
          <w:szCs w:val="32"/>
          <w:lang w:val="en-US" w:eastAsia="zh-CN" w:bidi="ar-SA"/>
        </w:rPr>
      </w:pPr>
      <w:r>
        <w:rPr>
          <w:rFonts w:hint="eastAsia" w:ascii="仿宋" w:hAnsi="仿宋" w:eastAsia="仿宋" w:cs="仿宋"/>
          <w:spacing w:val="0"/>
          <w:kern w:val="0"/>
          <w:sz w:val="32"/>
          <w:szCs w:val="32"/>
          <w:lang w:val="en-US" w:eastAsia="zh-CN" w:bidi="ar-SA"/>
        </w:rPr>
        <w:t>（六）认真做好年终决算工作。</w:t>
      </w: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2"/>
          <w:szCs w:val="32"/>
        </w:rPr>
      </w:pPr>
      <w:bookmarkStart w:id="21" w:name="_Toc256000005"/>
      <w:bookmarkStart w:id="22" w:name="_Toc256000036"/>
      <w:bookmarkStart w:id="23" w:name="_Toc256000098"/>
      <w:bookmarkStart w:id="24" w:name="_Toc256000067"/>
      <w:r>
        <w:rPr>
          <w:rFonts w:ascii="黑体" w:hAnsi="黑体" w:eastAsia="黑体" w:cs="黑体"/>
          <w:b/>
          <w:spacing w:val="0"/>
          <w:sz w:val="32"/>
          <w:szCs w:val="32"/>
        </w:rPr>
        <w:t>第二部分</w:t>
      </w:r>
      <w:bookmarkEnd w:id="21"/>
      <w:bookmarkEnd w:id="22"/>
      <w:bookmarkEnd w:id="23"/>
      <w:bookmarkEnd w:id="24"/>
      <w:bookmarkStart w:id="25" w:name="_Toc256000037"/>
      <w:bookmarkStart w:id="26" w:name="_Toc256000006"/>
      <w:bookmarkStart w:id="27" w:name="_Toc256000068"/>
      <w:bookmarkStart w:id="28" w:name="_Toc256000099"/>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2024年度决算表</w:t>
      </w:r>
      <w:bookmarkEnd w:id="25"/>
      <w:bookmarkEnd w:id="26"/>
      <w:bookmarkEnd w:id="27"/>
      <w:bookmarkEnd w:id="28"/>
    </w:p>
    <w:p>
      <w:pPr>
        <w:pStyle w:val="31"/>
        <w:widowControl/>
        <w:spacing w:before="100" w:after="100"/>
        <w:ind w:left="0" w:right="0" w:firstLine="0"/>
        <w:jc w:val="center"/>
        <w:rPr>
          <w:rFonts w:ascii="Times New Roman" w:hAnsi="Times New Roman" w:eastAsia="Times New Roman" w:cs="Times New Roman"/>
          <w:kern w:val="0"/>
          <w:sz w:val="18"/>
          <w:szCs w:val="18"/>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bookmarkStart w:id="29" w:name="_Toc256000069"/>
      <w:bookmarkStart w:id="30" w:name="_Toc256000007"/>
      <w:bookmarkStart w:id="31" w:name="_Toc256000100"/>
      <w:bookmarkStart w:id="32" w:name="_Toc256000038"/>
      <w:r>
        <w:rPr>
          <w:rFonts w:ascii="黑体" w:hAnsi="黑体" w:eastAsia="黑体" w:cs="黑体"/>
          <w:b/>
          <w:spacing w:val="0"/>
          <w:sz w:val="32"/>
          <w:szCs w:val="32"/>
        </w:rPr>
        <w:t>一、收入支出决算总表</w:t>
      </w:r>
      <w:bookmarkEnd w:id="29"/>
      <w:bookmarkEnd w:id="30"/>
      <w:bookmarkEnd w:id="31"/>
      <w:bookmarkEnd w:id="32"/>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512"/>
        <w:gridCol w:w="1510"/>
        <w:gridCol w:w="1511"/>
        <w:gridCol w:w="1511"/>
        <w:gridCol w:w="1511"/>
        <w:gridCol w:w="1511"/>
      </w:tblGrid>
      <w:tr>
        <w:tblPrEx>
          <w:tblLayout w:type="fixed"/>
          <w:tblCellMar>
            <w:top w:w="15" w:type="dxa"/>
            <w:left w:w="15" w:type="dxa"/>
            <w:bottom w:w="15" w:type="dxa"/>
            <w:right w:w="15" w:type="dxa"/>
          </w:tblCellMar>
        </w:tblPrEx>
        <w:trPr>
          <w:trHeight w:val="0" w:hRule="atLeast"/>
          <w:tblHeader/>
          <w:jc w:val="center"/>
        </w:trPr>
        <w:tc>
          <w:tcPr>
            <w:tcW w:w="9066" w:type="dxa"/>
            <w:gridSpan w:val="6"/>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收入支出决算总表</w:t>
            </w:r>
          </w:p>
        </w:tc>
      </w:tr>
      <w:tr>
        <w:tblPrEx>
          <w:tblLayout w:type="fixed"/>
          <w:tblCellMar>
            <w:top w:w="15" w:type="dxa"/>
            <w:left w:w="15" w:type="dxa"/>
            <w:bottom w:w="15" w:type="dxa"/>
            <w:right w:w="15" w:type="dxa"/>
          </w:tblCellMar>
        </w:tblPrEx>
        <w:trPr>
          <w:trHeight w:val="0" w:hRule="atLeast"/>
          <w:tblHeader/>
          <w:jc w:val="center"/>
        </w:trPr>
        <w:tc>
          <w:tcPr>
            <w:tcW w:w="3022"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51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151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4533"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2,842.06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四、上级补助收入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五、事业收入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2,375.74</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六、经营收入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七、附属单位上缴收入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八、其他收入</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使用非财政拨款结余（含专用结余）</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结余分配</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51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0"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511"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w:t>
            </w:r>
            <w:r>
              <w:rPr>
                <w:rFonts w:ascii="Times New Roman" w:hAnsi="Times New Roman" w:eastAsia="Times New Roman" w:cs="Times New Roman"/>
                <w:b w:val="0"/>
                <w:bCs w:val="0"/>
                <w:i w:val="0"/>
                <w:iCs w:val="0"/>
                <w:smallCaps w:val="0"/>
                <w:color w:val="000000"/>
                <w:kern w:val="0"/>
                <w:sz w:val="18"/>
                <w:szCs w:val="18"/>
              </w:rPr>
              <w:t>1.</w:t>
            </w:r>
            <w:r>
              <w:rPr>
                <w:rFonts w:ascii="宋体" w:hAnsi="宋体" w:eastAsia="宋体" w:cs="宋体"/>
                <w:b w:val="0"/>
                <w:bCs w:val="0"/>
                <w:i w:val="0"/>
                <w:iCs w:val="0"/>
                <w:smallCaps w:val="0"/>
                <w:color w:val="000000"/>
                <w:kern w:val="0"/>
                <w:sz w:val="18"/>
                <w:szCs w:val="18"/>
              </w:rPr>
              <w:t>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本年度的总收支和年末结转结余情况。</w:t>
            </w:r>
          </w:p>
        </w:tc>
      </w:tr>
      <w:tr>
        <w:tblPrEx>
          <w:tblLayout w:type="fixed"/>
          <w:tblCellMar>
            <w:top w:w="15" w:type="dxa"/>
            <w:left w:w="15" w:type="dxa"/>
            <w:bottom w:w="15" w:type="dxa"/>
            <w:right w:w="15" w:type="dxa"/>
          </w:tblCellMar>
        </w:tblPrEx>
        <w:trPr>
          <w:trHeight w:val="0" w:hRule="atLeast"/>
          <w:jc w:val="center"/>
        </w:trPr>
        <w:tc>
          <w:tcPr>
            <w:tcW w:w="9066" w:type="dxa"/>
            <w:gridSpan w:val="6"/>
            <w:noWrap w:val="0"/>
            <w:tcMar>
              <w:top w:w="20" w:type="dxa"/>
              <w:left w:w="485"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r>
              <w:rPr>
                <w:rFonts w:ascii="宋体" w:hAnsi="宋体" w:eastAsia="宋体" w:cs="宋体"/>
                <w:b w:val="0"/>
                <w:bCs w:val="0"/>
                <w:i w:val="0"/>
                <w:iCs w:val="0"/>
                <w:smallCaps w:val="0"/>
                <w:color w:val="000000"/>
                <w:kern w:val="0"/>
                <w:sz w:val="18"/>
                <w:szCs w:val="18"/>
              </w:rPr>
              <w:t>本套报表金额单位转换时可能存在尾数误差。</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1"/>
        <w:widowControl/>
        <w:spacing w:before="100" w:after="100"/>
        <w:ind w:left="72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bookmarkStart w:id="33" w:name="_Toc256000101"/>
      <w:bookmarkStart w:id="34" w:name="_Toc256000070"/>
      <w:bookmarkStart w:id="35" w:name="_Toc256000008"/>
      <w:bookmarkStart w:id="36" w:name="_Toc256000039"/>
      <w:r>
        <w:rPr>
          <w:rFonts w:ascii="黑体" w:hAnsi="黑体" w:eastAsia="黑体" w:cs="黑体"/>
          <w:b/>
          <w:spacing w:val="0"/>
          <w:sz w:val="32"/>
          <w:szCs w:val="32"/>
        </w:rPr>
        <w:t>二、收入决算表</w:t>
      </w:r>
      <w:bookmarkEnd w:id="33"/>
      <w:bookmarkEnd w:id="34"/>
      <w:bookmarkEnd w:id="35"/>
      <w:bookmarkEnd w:id="36"/>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收入决算表</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财政拨款收入</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上级补助收入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经营收入</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附属单位上缴收入</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其他收入</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r>
      <w:tr>
        <w:tblPrEx>
          <w:tblLayout w:type="fixed"/>
          <w:tblCellMar>
            <w:top w:w="15" w:type="dxa"/>
            <w:left w:w="15" w:type="dxa"/>
            <w:bottom w:w="15" w:type="dxa"/>
            <w:right w:w="15" w:type="dxa"/>
          </w:tblCellMar>
        </w:tblPrEx>
        <w:trPr>
          <w:trHeight w:val="0" w:hRule="atLeast"/>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2,375.74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2,375.74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2,122.09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65.33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157.74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157.74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97.66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97.66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67.53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本年度取得的各项收入情况。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1"/>
        <w:widowControl/>
        <w:spacing w:before="100" w:after="100"/>
        <w:ind w:left="72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bookmarkStart w:id="37" w:name="_Toc256000009"/>
      <w:bookmarkStart w:id="38" w:name="_Toc256000040"/>
      <w:bookmarkStart w:id="39" w:name="_Toc256000071"/>
      <w:bookmarkStart w:id="40" w:name="_Toc256000102"/>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三、支出决算表</w:t>
      </w:r>
      <w:bookmarkEnd w:id="37"/>
      <w:bookmarkEnd w:id="38"/>
      <w:bookmarkEnd w:id="39"/>
      <w:bookmarkEnd w:id="40"/>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922"/>
        <w:gridCol w:w="855"/>
        <w:gridCol w:w="240"/>
        <w:gridCol w:w="1516"/>
        <w:gridCol w:w="922"/>
        <w:gridCol w:w="922"/>
        <w:gridCol w:w="923"/>
        <w:gridCol w:w="922"/>
        <w:gridCol w:w="922"/>
        <w:gridCol w:w="922"/>
      </w:tblGrid>
      <w:tr>
        <w:tblPrEx>
          <w:tblLayout w:type="fixed"/>
          <w:tblCellMar>
            <w:top w:w="15" w:type="dxa"/>
            <w:left w:w="15" w:type="dxa"/>
            <w:bottom w:w="15" w:type="dxa"/>
            <w:right w:w="15" w:type="dxa"/>
          </w:tblCellMar>
        </w:tblPrEx>
        <w:trPr>
          <w:trHeight w:val="0" w:hRule="atLeast"/>
          <w:tblHeader/>
          <w:jc w:val="center"/>
        </w:trPr>
        <w:tc>
          <w:tcPr>
            <w:tcW w:w="9066" w:type="dxa"/>
            <w:gridSpan w:val="10"/>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支出决算表</w:t>
            </w:r>
          </w:p>
        </w:tc>
      </w:tr>
      <w:tr>
        <w:tblPrEx>
          <w:tblLayout w:type="fixed"/>
          <w:tblCellMar>
            <w:top w:w="15" w:type="dxa"/>
            <w:left w:w="15" w:type="dxa"/>
            <w:bottom w:w="15" w:type="dxa"/>
            <w:right w:w="15" w:type="dxa"/>
          </w:tblCellMar>
        </w:tblPrEx>
        <w:trPr>
          <w:trHeight w:val="0" w:hRule="atLeast"/>
          <w:tblHeader/>
          <w:jc w:val="center"/>
        </w:trPr>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8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240"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51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455"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9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tblHeader/>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92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上缴上级支出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经营支出</w:t>
            </w:r>
          </w:p>
        </w:tc>
        <w:tc>
          <w:tcPr>
            <w:tcW w:w="9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对附属单位补助支出</w:t>
            </w:r>
          </w:p>
        </w:tc>
      </w:tr>
      <w:tr>
        <w:tblPrEx>
          <w:tblLayout w:type="fixed"/>
          <w:tblCellMar>
            <w:top w:w="15" w:type="dxa"/>
            <w:left w:w="15" w:type="dxa"/>
            <w:bottom w:w="15" w:type="dxa"/>
            <w:right w:w="15" w:type="dxa"/>
          </w:tblCellMar>
        </w:tblPrEx>
        <w:trPr>
          <w:trHeight w:val="312" w:hRule="atLeast"/>
          <w:tblHeader/>
          <w:jc w:val="center"/>
        </w:trPr>
        <w:tc>
          <w:tcPr>
            <w:tcW w:w="2017"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516"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2017"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516"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3"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922" w:type="dxa"/>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rPr>
          <w:trHeight w:val="0" w:hRule="atLeast"/>
          <w:jc w:val="center"/>
        </w:trPr>
        <w:tc>
          <w:tcPr>
            <w:tcW w:w="3533"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2,465.89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380.3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2,375.74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1,999.57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376.17</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2,122.09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1,999.57</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122.52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1,949.09</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1,949.09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50.49</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122.52</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65.33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65.33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157.74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157.74</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97.66</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97.66</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67.53</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67.53</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2017"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516"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9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10"/>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本年度各项支出情况。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1"/>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720" w:right="0" w:hanging="720" w:firstLineChars="0"/>
        <w:rPr>
          <w:rFonts w:ascii="Times New Roman" w:hAnsi="Times New Roman" w:eastAsia="Times New Roman" w:cs="Times New Roman"/>
          <w:b/>
          <w:bCs/>
          <w:kern w:val="0"/>
          <w:sz w:val="32"/>
          <w:szCs w:val="32"/>
        </w:rPr>
      </w:pPr>
      <w:bookmarkStart w:id="41" w:name="_Toc256000103"/>
      <w:bookmarkStart w:id="42" w:name="_Toc256000072"/>
      <w:bookmarkStart w:id="43" w:name="_Toc256000010"/>
      <w:bookmarkStart w:id="44" w:name="_Toc256000041"/>
      <w:r>
        <w:rPr>
          <w:rFonts w:ascii="黑体" w:hAnsi="黑体" w:eastAsia="黑体" w:cs="黑体"/>
          <w:b/>
          <w:spacing w:val="0"/>
          <w:sz w:val="32"/>
          <w:szCs w:val="32"/>
        </w:rPr>
        <w:t>四、财政拨款收入支出决算总表</w:t>
      </w:r>
      <w:bookmarkEnd w:id="41"/>
      <w:bookmarkEnd w:id="42"/>
      <w:bookmarkEnd w:id="43"/>
      <w:bookmarkEnd w:id="44"/>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007"/>
        <w:gridCol w:w="1007"/>
        <w:gridCol w:w="1007"/>
        <w:gridCol w:w="1007"/>
        <w:gridCol w:w="1"/>
        <w:gridCol w:w="1007"/>
        <w:gridCol w:w="1007"/>
        <w:gridCol w:w="1"/>
        <w:gridCol w:w="1007"/>
        <w:gridCol w:w="1007"/>
        <w:gridCol w:w="1"/>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12"/>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财政拨款收入支出决算总表</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3021"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收入</w:t>
            </w:r>
          </w:p>
        </w:tc>
        <w:tc>
          <w:tcPr>
            <w:tcW w:w="6045" w:type="dxa"/>
            <w:gridSpan w:val="9"/>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政府性基金预算财政拨款</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国有资本经营预算财政拨款</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一、一般公共服务支出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二、外交支出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四、公共安全支出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五、教育支出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2,375.74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2,375.74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六、科学技术支出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七、文化旅游体育与传媒支出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八、社会保障和就业支出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九、卫生健康支出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十、节能环保支出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十一、城乡社区支出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十二、农林水支出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十三、交通运输支出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十四、资源勘探工业信息等支出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十五、商业服务业等支出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十六、金融支出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十七、援助其他地区支出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十八、自然资源海洋气象等支出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十九、住房保障支出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二十、粮油物资储备支出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二十一、国有资本经营预算支出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二十二、灾害防治及应急管理支出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二十三、其他支出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二十四、债务还本支出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二十五、债务付息支出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二十六、抗疫特别国债安排的支出</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本年收入合计</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本年支出合计</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年末财政拨款结转和结余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一、一般公共预算财政拨款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二、政府性基金预算财政拨款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三、国有资本经营预算财政拨款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总计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2,846.19</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008"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12"/>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本年度一般公共预算财政拨款、政府性基金预算财政拨款和国有资本经营预算财政拨款的总收支和年末结转结余情况。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bookmarkStart w:id="45" w:name="_Toc256000011"/>
      <w:bookmarkStart w:id="46" w:name="_Toc256000104"/>
      <w:bookmarkStart w:id="47" w:name="_Toc256000042"/>
      <w:bookmarkStart w:id="48" w:name="_Toc256000073"/>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五、一般公共预算财政拨款支出决算表</w:t>
      </w:r>
      <w:bookmarkEnd w:id="45"/>
      <w:bookmarkEnd w:id="46"/>
      <w:bookmarkEnd w:id="47"/>
      <w:bookmarkEnd w:id="48"/>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133"/>
        <w:gridCol w:w="1322"/>
        <w:gridCol w:w="1323"/>
        <w:gridCol w:w="1322"/>
        <w:gridCol w:w="1322"/>
        <w:gridCol w:w="1322"/>
        <w:gridCol w:w="1322"/>
      </w:tblGrid>
      <w:tr>
        <w:tblPrEx>
          <w:tblLayout w:type="fixed"/>
          <w:tblCellMar>
            <w:top w:w="15" w:type="dxa"/>
            <w:left w:w="15" w:type="dxa"/>
            <w:bottom w:w="15" w:type="dxa"/>
            <w:right w:w="15" w:type="dxa"/>
          </w:tblCellMar>
        </w:tblPrEx>
        <w:trPr>
          <w:trHeight w:val="0" w:hRule="atLeast"/>
          <w:tblHeader/>
          <w:jc w:val="center"/>
        </w:trPr>
        <w:tc>
          <w:tcPr>
            <w:tcW w:w="9066" w:type="dxa"/>
            <w:gridSpan w:val="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一般公共预算财政拨款支出决算表</w:t>
            </w:r>
          </w:p>
        </w:tc>
      </w:tr>
      <w:tr>
        <w:tblPrEx>
          <w:tblLayout w:type="fixed"/>
          <w:tblCellMar>
            <w:top w:w="15" w:type="dxa"/>
            <w:left w:w="15" w:type="dxa"/>
            <w:bottom w:w="15" w:type="dxa"/>
            <w:right w:w="15" w:type="dxa"/>
          </w:tblCellMar>
        </w:tblPrEx>
        <w:trPr>
          <w:trHeight w:val="0" w:hRule="atLeast"/>
          <w:tblHeader/>
          <w:jc w:val="cent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6422" w:type="dxa"/>
            <w:gridSpan w:val="5"/>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322"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3966"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3778" w:type="dxa"/>
            <w:gridSpan w:val="3"/>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322"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3778" w:type="dxa"/>
            <w:gridSpan w:val="3"/>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510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2,842.06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2,465.89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376.17</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2,375.74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1,999.57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376.17</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普通教育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2,122.09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1,999.57</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122.52</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小学教育</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1,949.09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2050299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其他普通教育支出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50.49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122.52</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2050999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其他教育费附加安排的支出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253.65</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社会保障和就业支出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行政事业单位养老支出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320.73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事业单位离退休</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65.33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65.33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157.74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157.74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2080506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机关事业单位职业年金缴费支出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97.66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97.66</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卫生健康支出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行政事业单位医疗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102.04</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事业单位医疗</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67.53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67.53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2101199</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其他行政事业单位医疗支出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34.5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住房保障支出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住房改革支出</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778"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2210203</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购房补贴</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43.55</w:t>
            </w:r>
          </w:p>
        </w:tc>
        <w:tc>
          <w:tcPr>
            <w:tcW w:w="1322"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本年度一般公共预算财政拨款支出情况。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1"/>
        <w:widowControl/>
        <w:spacing w:before="100" w:after="100"/>
        <w:ind w:left="0" w:right="0" w:firstLine="0"/>
        <w:jc w:val="left"/>
        <w:rPr>
          <w:rFonts w:ascii="Times New Roman" w:hAnsi="Times New Roman" w:eastAsia="Times New Roman" w:cs="Times New Roman"/>
          <w:kern w:val="0"/>
          <w:sz w:val="18"/>
          <w:szCs w:val="18"/>
        </w:rPr>
      </w:pPr>
      <w:r>
        <w:rPr>
          <w:rFonts w:ascii="宋体" w:hAnsi="宋体" w:cs="宋体"/>
          <w:spacing w:val="0"/>
          <w:kern w:val="0"/>
          <w:sz w:val="18"/>
          <w:szCs w:val="18"/>
        </w:rPr>
        <w:t> </w:t>
      </w: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bookmarkStart w:id="49" w:name="_Toc256000012"/>
      <w:bookmarkStart w:id="50" w:name="_Toc256000043"/>
      <w:bookmarkStart w:id="51" w:name="_Toc256000105"/>
      <w:bookmarkStart w:id="52" w:name="_Toc256000074"/>
      <w:r>
        <w:rPr>
          <w:rFonts w:ascii="黑体" w:hAnsi="黑体" w:eastAsia="黑体" w:cs="黑体"/>
          <w:b/>
          <w:spacing w:val="0"/>
          <w:sz w:val="32"/>
          <w:szCs w:val="32"/>
        </w:rPr>
        <w:t>六、一般公共预算财政拨款基本支出决算表</w:t>
      </w:r>
      <w:bookmarkEnd w:id="49"/>
      <w:bookmarkEnd w:id="50"/>
      <w:bookmarkEnd w:id="51"/>
      <w:bookmarkEnd w:id="52"/>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W w:w="9066" w:type="dxa"/>
        <w:jc w:val="center"/>
        <w:tblInd w:w="0" w:type="dxa"/>
        <w:tblLayout w:type="fixed"/>
        <w:tblCellMar>
          <w:top w:w="15" w:type="dxa"/>
          <w:left w:w="15" w:type="dxa"/>
          <w:bottom w:w="15" w:type="dxa"/>
          <w:right w:w="15" w:type="dxa"/>
        </w:tblCellMar>
      </w:tblPr>
      <w:tblGrid>
        <w:gridCol w:w="1007"/>
        <w:gridCol w:w="1007"/>
        <w:gridCol w:w="1007"/>
        <w:gridCol w:w="1008"/>
        <w:gridCol w:w="1007"/>
        <w:gridCol w:w="1008"/>
        <w:gridCol w:w="1007"/>
        <w:gridCol w:w="1008"/>
        <w:gridCol w:w="1007"/>
      </w:tblGrid>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一般公共预算财政拨款基本支出决算表</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4029"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经济分类科目编码</w:t>
            </w:r>
          </w:p>
        </w:tc>
        <w:tc>
          <w:tcPr>
            <w:tcW w:w="1008"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007"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w:t>
            </w:r>
          </w:p>
        </w:tc>
      </w:tr>
      <w:tr>
        <w:tblPrEx>
          <w:tblLayout w:type="fixed"/>
          <w:tblCellMar>
            <w:top w:w="15" w:type="dxa"/>
            <w:left w:w="15" w:type="dxa"/>
            <w:bottom w:w="15" w:type="dxa"/>
            <w:right w:w="15" w:type="dxa"/>
          </w:tblCellMar>
        </w:tblPrEx>
        <w:trPr>
          <w:trHeight w:val="312" w:hRule="atLeast"/>
          <w:tblHeader/>
          <w:jc w:val="center"/>
        </w:trPr>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8"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007"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2,171.78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210.87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290.57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124.27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国外债务发行费用</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津贴补贴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430.4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印刷费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12.94</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648.18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咨询费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房屋建筑物购建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伙食补助费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手续费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办公设备购置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12.94</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绩效工资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水费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专用设备购置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机关事业单位基本养老保险缴费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157.74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基础设施建设</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职业年金缴费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97.66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邮电费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大型修缮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职工基本医疗保险缴费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67.53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取暖费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信息网络及软件购置更新</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公务员医疗补助缴费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物业管理费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物资储备</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其他社会保障缴费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46.46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差旅费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土地补偿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住房公积金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170.61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因公出国（境）费用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安置补助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维修（护）费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9.88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地上附着物和青苗补偿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30199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其他工资福利支出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142.57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租赁费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拆迁补偿</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会议费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离休费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培训费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15.16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31019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其他交通工具购置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退休费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文物和陈列品购置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退职（役）费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30218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专用材料费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31022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无形资产购置</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抚恤金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30224</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被装购置费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31099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生活补助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专用燃料费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救济费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30226</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劳务费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31201</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资本金注入</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医疗费补助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委托业务费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31203</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政府投资基金股权投资</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助学金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工会经费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38.58</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31204</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费用补贴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30309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奖励金</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4.68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30229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福利费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2.33</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31205</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利息补贴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个人农业生产补贴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31206</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其他资本性补助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30311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代缴社会保险费</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30239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其他交通费用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31299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其他对企业补助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30399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其他对个人和家庭的补助</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65.62</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30240</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税金及附加费用</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30299</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其他商品和服务支出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10.65</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39907</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国家赔偿费用支出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债务利息及费用支出</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39908</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对民间非营利组织和群众性自治组织补贴</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30701</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国内债务付息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39909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经常性赠与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30702</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国外债务付息</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39910</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资本性赠与</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39999</w:t>
            </w:r>
          </w:p>
        </w:tc>
        <w:tc>
          <w:tcPr>
            <w:tcW w:w="1008"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tblHeader/>
          <w:jc w:val="center"/>
        </w:trPr>
        <w:tc>
          <w:tcPr>
            <w:tcW w:w="2014"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人员经费合计</w:t>
            </w:r>
            <w:r>
              <w:rPr>
                <w:rFonts w:ascii="Times New Roman" w:hAnsi="Times New Roman" w:eastAsia="Times New Roman" w:cs="Times New Roman"/>
                <w:b w:val="0"/>
                <w:bCs w:val="0"/>
                <w:i w:val="0"/>
                <w:iCs w:val="0"/>
                <w:smallCaps w:val="0"/>
                <w:color w:val="000000"/>
                <w:kern w:val="0"/>
                <w:sz w:val="18"/>
                <w:szCs w:val="18"/>
              </w:rPr>
              <w:t xml:space="preserve"> </w:t>
            </w:r>
          </w:p>
        </w:tc>
        <w:tc>
          <w:tcPr>
            <w:tcW w:w="1007"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2,242.08</w:t>
            </w:r>
          </w:p>
        </w:tc>
        <w:tc>
          <w:tcPr>
            <w:tcW w:w="4030"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公用经费合计</w:t>
            </w:r>
          </w:p>
        </w:tc>
        <w:tc>
          <w:tcPr>
            <w:tcW w:w="2015"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223.81</w:t>
            </w:r>
          </w:p>
        </w:tc>
      </w:tr>
      <w:tr>
        <w:tblPrEx>
          <w:tblLayout w:type="fixed"/>
          <w:tblCellMar>
            <w:top w:w="15" w:type="dxa"/>
            <w:left w:w="15" w:type="dxa"/>
            <w:bottom w:w="15" w:type="dxa"/>
            <w:right w:w="15" w:type="dxa"/>
          </w:tblCellMar>
        </w:tblPrEx>
        <w:trPr>
          <w:trHeight w:val="0" w:hRule="atLeast"/>
          <w:tblHeader/>
          <w:jc w:val="center"/>
        </w:trPr>
        <w:tc>
          <w:tcPr>
            <w:tcW w:w="9066" w:type="dxa"/>
            <w:gridSpan w:val="9"/>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本年度一般公共预算财政拨款基本支出明细情况。</w:t>
            </w:r>
          </w:p>
        </w:tc>
      </w:tr>
    </w:tbl>
    <w:p>
      <w:pPr>
        <w:widowControl/>
        <w:jc w:val="left"/>
        <w:rPr>
          <w:rFonts w:ascii="Times New Roman" w:hAnsi="Times New Roman" w:eastAsia="Times New Roman" w:cs="Times New Roman"/>
          <w:kern w:val="0"/>
          <w:sz w:val="18"/>
          <w:szCs w:val="18"/>
        </w:rPr>
      </w:pPr>
      <w:r>
        <w:rPr>
          <w:rFonts w:ascii="Times New Roman" w:hAnsi="Times New Roman" w:eastAsia="Times New Roman" w:cs="Times New Roman"/>
          <w:kern w:val="0"/>
          <w:sz w:val="18"/>
          <w:szCs w:val="18"/>
        </w:rPr>
        <w:t> </w:t>
      </w:r>
    </w:p>
    <w:p>
      <w:pPr>
        <w:pStyle w:val="31"/>
        <w:widowControl/>
        <w:spacing w:before="100" w:after="100"/>
        <w:ind w:left="0" w:right="0" w:firstLine="0"/>
        <w:jc w:val="left"/>
        <w:rPr>
          <w:rFonts w:ascii="Times New Roman" w:hAnsi="Times New Roman" w:eastAsia="Times New Roman" w:cs="Times New Roman"/>
          <w:kern w:val="0"/>
          <w:sz w:val="18"/>
          <w:szCs w:val="18"/>
        </w:rPr>
      </w:pPr>
      <w:r>
        <w:rPr>
          <w:rFonts w:ascii="Times New Roman" w:hAnsi="Times New Roman" w:eastAsia="Times New Roman" w:cs="Times New Roman"/>
          <w:spacing w:val="0"/>
          <w:kern w:val="0"/>
          <w:sz w:val="18"/>
          <w:szCs w:val="18"/>
        </w:rPr>
        <w:t> </w:t>
      </w:r>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bookmarkStart w:id="53" w:name="_Toc256000013"/>
      <w:bookmarkStart w:id="54" w:name="_Toc256000106"/>
      <w:bookmarkStart w:id="55" w:name="_Toc256000075"/>
      <w:bookmarkStart w:id="56" w:name="_Toc256000044"/>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p>
    <w:p>
      <w:pPr>
        <w:pStyle w:val="6"/>
        <w:keepNext w:val="0"/>
        <w:keepLines w:val="0"/>
        <w:spacing w:before="100" w:after="100" w:line="240" w:lineRule="auto"/>
        <w:ind w:left="0" w:leftChars="0" w:right="0" w:firstLine="0" w:firstLineChars="0"/>
        <w:rPr>
          <w:rFonts w:ascii="黑体" w:hAnsi="黑体" w:eastAsia="黑体" w:cs="黑体"/>
          <w:b/>
          <w:spacing w:val="0"/>
          <w:sz w:val="32"/>
          <w:szCs w:val="32"/>
        </w:rPr>
      </w:pPr>
    </w:p>
    <w:p>
      <w:pPr>
        <w:pStyle w:val="6"/>
        <w:keepNext w:val="0"/>
        <w:keepLines w:val="0"/>
        <w:spacing w:before="100" w:after="100" w:line="240" w:lineRule="auto"/>
        <w:ind w:left="0" w:leftChars="0" w:right="0" w:firstLine="0" w:firstLineChars="0"/>
        <w:rPr>
          <w:rFonts w:ascii="Times New Roman" w:hAnsi="Times New Roman" w:eastAsia="Times New Roman" w:cs="Times New Roman"/>
          <w:b/>
          <w:bCs/>
          <w:kern w:val="0"/>
          <w:sz w:val="32"/>
          <w:szCs w:val="32"/>
        </w:rPr>
      </w:pPr>
      <w:r>
        <w:rPr>
          <w:rFonts w:ascii="黑体" w:hAnsi="黑体" w:eastAsia="黑体" w:cs="黑体"/>
          <w:b/>
          <w:spacing w:val="0"/>
          <w:sz w:val="32"/>
          <w:szCs w:val="32"/>
        </w:rPr>
        <w:t>七、一般公共预算财政拨款“三公”经费支出决算表</w:t>
      </w:r>
      <w:bookmarkEnd w:id="53"/>
      <w:bookmarkEnd w:id="54"/>
      <w:bookmarkEnd w:id="55"/>
      <w:bookmarkEnd w:id="56"/>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tbl>
      <w:tblPr>
        <w:tblStyle w:val="24"/>
        <w:tblpPr w:leftFromText="180" w:rightFromText="180" w:vertAnchor="text" w:horzAnchor="page" w:tblpXSpec="center" w:tblpY="16"/>
        <w:tblOverlap w:val="never"/>
        <w:tblW w:w="9066" w:type="dxa"/>
        <w:jc w:val="center"/>
        <w:tblInd w:w="0" w:type="dxa"/>
        <w:tblLayout w:type="fixed"/>
        <w:tblCellMar>
          <w:top w:w="15" w:type="dxa"/>
          <w:left w:w="15" w:type="dxa"/>
          <w:bottom w:w="15" w:type="dxa"/>
          <w:right w:w="15" w:type="dxa"/>
        </w:tblCellMar>
      </w:tblPr>
      <w:tblGrid>
        <w:gridCol w:w="755"/>
        <w:gridCol w:w="755"/>
        <w:gridCol w:w="755"/>
        <w:gridCol w:w="755"/>
        <w:gridCol w:w="1"/>
        <w:gridCol w:w="755"/>
        <w:gridCol w:w="755"/>
        <w:gridCol w:w="755"/>
        <w:gridCol w:w="1"/>
        <w:gridCol w:w="755"/>
        <w:gridCol w:w="1"/>
        <w:gridCol w:w="755"/>
        <w:gridCol w:w="1"/>
        <w:gridCol w:w="755"/>
        <w:gridCol w:w="755"/>
        <w:gridCol w:w="1"/>
        <w:gridCol w:w="756"/>
      </w:tblGrid>
      <w:tr>
        <w:tblPrEx>
          <w:tblLayout w:type="fixed"/>
          <w:tblCellMar>
            <w:top w:w="15" w:type="dxa"/>
            <w:left w:w="15" w:type="dxa"/>
            <w:bottom w:w="15" w:type="dxa"/>
            <w:right w:w="15" w:type="dxa"/>
          </w:tblCellMar>
        </w:tblPrEx>
        <w:trPr>
          <w:trHeight w:val="0" w:hRule="atLeast"/>
          <w:tblHeader/>
          <w:jc w:val="center"/>
        </w:trPr>
        <w:tc>
          <w:tcPr>
            <w:tcW w:w="9066" w:type="dxa"/>
            <w:gridSpan w:val="17"/>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一般公共预算财政拨款</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三公</w:t>
            </w:r>
            <w:r>
              <w:rPr>
                <w:rFonts w:ascii="Times New Roman" w:hAnsi="Times New Roman" w:eastAsia="Times New Roman" w:cs="Times New Roman"/>
                <w:b w:val="0"/>
                <w:bCs w:val="0"/>
                <w:i w:val="0"/>
                <w:iCs w:val="0"/>
                <w:smallCaps w:val="0"/>
                <w:color w:val="000000"/>
                <w:kern w:val="0"/>
                <w:sz w:val="32"/>
                <w:szCs w:val="32"/>
              </w:rPr>
              <w:t>”</w:t>
            </w:r>
            <w:r>
              <w:rPr>
                <w:rFonts w:ascii="宋体" w:hAnsi="宋体" w:eastAsia="宋体" w:cs="宋体"/>
                <w:b w:val="0"/>
                <w:bCs w:val="0"/>
                <w:i w:val="0"/>
                <w:iCs w:val="0"/>
                <w:smallCaps w:val="0"/>
                <w:color w:val="000000"/>
                <w:kern w:val="0"/>
                <w:sz w:val="32"/>
                <w:szCs w:val="32"/>
              </w:rPr>
              <w:t>经费支出决算</w:t>
            </w:r>
          </w:p>
        </w:tc>
      </w:tr>
      <w:tr>
        <w:tblPrEx>
          <w:tblLayout w:type="fixed"/>
          <w:tblCellMar>
            <w:top w:w="15" w:type="dxa"/>
            <w:left w:w="15" w:type="dxa"/>
            <w:bottom w:w="15" w:type="dxa"/>
            <w:right w:w="15" w:type="dxa"/>
          </w:tblCellMar>
        </w:tblPrEx>
        <w:trPr>
          <w:trHeight w:val="0" w:hRule="atLeast"/>
          <w:tblHeader/>
          <w:jc w:val="center"/>
        </w:trPr>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4531" w:type="dxa"/>
            <w:gridSpan w:val="7"/>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756"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4531" w:type="dxa"/>
            <w:gridSpan w:val="7"/>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预算数</w:t>
            </w:r>
          </w:p>
        </w:tc>
        <w:tc>
          <w:tcPr>
            <w:tcW w:w="4535" w:type="dxa"/>
            <w:gridSpan w:val="10"/>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决算数</w:t>
            </w:r>
          </w:p>
        </w:tc>
      </w:tr>
      <w:tr>
        <w:tblPrEx>
          <w:tblLayout w:type="fixed"/>
          <w:tblCellMar>
            <w:top w:w="15" w:type="dxa"/>
            <w:left w:w="15" w:type="dxa"/>
            <w:bottom w:w="15" w:type="dxa"/>
            <w:right w:w="15" w:type="dxa"/>
          </w:tblCellMar>
        </w:tblPrEx>
        <w:trPr>
          <w:trHeight w:val="0" w:hRule="atLeast"/>
          <w:tblHeader/>
          <w:jc w:val="center"/>
        </w:trPr>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6" w:type="dxa"/>
            <w:gridSpan w:val="4"/>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因公出国</w:t>
            </w:r>
            <w:r>
              <w:rPr>
                <w:rFonts w:ascii="Times New Roman" w:hAnsi="Times New Roman" w:eastAsia="Times New Roman" w:cs="Times New Roman"/>
                <w:b w:val="0"/>
                <w:bCs w:val="0"/>
                <w:i w:val="0"/>
                <w:iCs w:val="0"/>
                <w:smallCaps w:val="0"/>
                <w:color w:val="000000"/>
                <w:kern w:val="0"/>
                <w:sz w:val="18"/>
                <w:szCs w:val="18"/>
              </w:rPr>
              <w:t xml:space="preserve"> </w:t>
            </w:r>
            <w:r>
              <w:rPr>
                <w:rFonts w:ascii="宋体" w:hAnsi="宋体" w:eastAsia="宋体" w:cs="宋体"/>
                <w:b w:val="0"/>
                <w:bCs w:val="0"/>
                <w:i w:val="0"/>
                <w:iCs w:val="0"/>
                <w:smallCaps w:val="0"/>
                <w:color w:val="000000"/>
                <w:kern w:val="0"/>
                <w:sz w:val="18"/>
                <w:szCs w:val="18"/>
              </w:rPr>
              <w:t>（境）费</w:t>
            </w:r>
          </w:p>
        </w:tc>
        <w:tc>
          <w:tcPr>
            <w:tcW w:w="2267" w:type="dxa"/>
            <w:gridSpan w:val="5"/>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公务用车购置及运行维护费</w:t>
            </w:r>
          </w:p>
        </w:tc>
        <w:tc>
          <w:tcPr>
            <w:tcW w:w="757"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公务接待费</w:t>
            </w: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r>
              <w:rPr>
                <w:rFonts w:ascii="Times New Roman" w:hAnsi="Times New Roman" w:eastAsia="Times New Roman" w:cs="Times New Roman"/>
                <w:b w:val="0"/>
                <w:bCs w:val="0"/>
                <w:i w:val="0"/>
                <w:iCs w:val="0"/>
                <w:smallCaps w:val="0"/>
                <w:color w:val="000000"/>
                <w:kern w:val="0"/>
                <w:sz w:val="18"/>
                <w:szCs w:val="18"/>
              </w:rPr>
              <w:t xml:space="preserve"> </w:t>
            </w:r>
          </w:p>
        </w:tc>
        <w:tc>
          <w:tcPr>
            <w:tcW w:w="756" w:type="dxa"/>
            <w:gridSpan w:val="2"/>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公务用车购置费</w:t>
            </w:r>
          </w:p>
        </w:tc>
        <w:tc>
          <w:tcPr>
            <w:tcW w:w="755"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公务用车运行维护费</w:t>
            </w: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6"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5"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757" w:type="dxa"/>
            <w:gridSpan w:val="2"/>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7</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8</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9</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10</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11</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12</w:t>
            </w:r>
          </w:p>
        </w:tc>
      </w:tr>
      <w:tr>
        <w:tblPrEx>
          <w:tblLayout w:type="fixed"/>
          <w:tblCellMar>
            <w:top w:w="15" w:type="dxa"/>
            <w:left w:w="15" w:type="dxa"/>
            <w:bottom w:w="15" w:type="dxa"/>
            <w:right w:w="15" w:type="dxa"/>
          </w:tblCellMar>
        </w:tblPrEx>
        <w:trPr>
          <w:trHeight w:val="0" w:hRule="atLeast"/>
          <w:jc w:val="center"/>
        </w:trPr>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bookmarkStart w:id="113" w:name="_GoBack" w:colFirst="1" w:colLast="11"/>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5"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c>
          <w:tcPr>
            <w:tcW w:w="757"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hint="eastAsia" w:eastAsia="宋体" w:cs="Times New Roman"/>
                <w:b w:val="0"/>
                <w:bCs w:val="0"/>
                <w:i w:val="0"/>
                <w:iCs w:val="0"/>
                <w:smallCaps w:val="0"/>
                <w:color w:val="000000"/>
                <w:kern w:val="0"/>
                <w:sz w:val="18"/>
                <w:szCs w:val="18"/>
                <w:lang w:val="en-US" w:eastAsia="zh-CN"/>
              </w:rPr>
              <w:t>0</w:t>
            </w:r>
            <w:r>
              <w:rPr>
                <w:rFonts w:ascii="Times New Roman" w:hAnsi="Times New Roman" w:eastAsia="Times New Roman" w:cs="Times New Roman"/>
                <w:b w:val="0"/>
                <w:bCs w:val="0"/>
                <w:i w:val="0"/>
                <w:iCs w:val="0"/>
                <w:smallCaps w:val="0"/>
                <w:color w:val="000000"/>
                <w:kern w:val="0"/>
                <w:sz w:val="18"/>
                <w:szCs w:val="18"/>
              </w:rPr>
              <w:t> </w:t>
            </w:r>
          </w:p>
        </w:tc>
      </w:tr>
      <w:bookmarkEnd w:id="113"/>
      <w:tr>
        <w:tblPrEx>
          <w:tblLayout w:type="fixed"/>
          <w:tblCellMar>
            <w:top w:w="15" w:type="dxa"/>
            <w:left w:w="15" w:type="dxa"/>
            <w:bottom w:w="15" w:type="dxa"/>
            <w:right w:w="15" w:type="dxa"/>
          </w:tblCellMar>
        </w:tblPrEx>
        <w:trPr>
          <w:trHeight w:val="0" w:hRule="atLeast"/>
          <w:jc w:val="center"/>
        </w:trPr>
        <w:tc>
          <w:tcPr>
            <w:tcW w:w="9066" w:type="dxa"/>
            <w:gridSpan w:val="17"/>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本年度财政拨款</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经费支出预决算情况。其中，预算数为</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三公</w:t>
            </w:r>
            <w:r>
              <w:rPr>
                <w:rFonts w:ascii="Times New Roman" w:hAnsi="Times New Roman" w:eastAsia="Times New Roman" w:cs="Times New Roman"/>
                <w:b w:val="0"/>
                <w:bCs w:val="0"/>
                <w:i w:val="0"/>
                <w:iCs w:val="0"/>
                <w:smallCaps w:val="0"/>
                <w:color w:val="000000"/>
                <w:kern w:val="0"/>
                <w:sz w:val="18"/>
                <w:szCs w:val="18"/>
              </w:rPr>
              <w:t>”</w:t>
            </w:r>
            <w:r>
              <w:rPr>
                <w:rFonts w:ascii="宋体" w:hAnsi="宋体" w:eastAsia="宋体" w:cs="宋体"/>
                <w:b w:val="0"/>
                <w:bCs w:val="0"/>
                <w:i w:val="0"/>
                <w:iCs w:val="0"/>
                <w:smallCaps w:val="0"/>
                <w:color w:val="000000"/>
                <w:kern w:val="0"/>
                <w:sz w:val="18"/>
                <w:szCs w:val="18"/>
              </w:rPr>
              <w:t>经费全年预算数，反映按规定程序调整后的预算数；决算数是包括当年财政拨款和以前年度结转资金安排的实际支出。</w:t>
            </w:r>
          </w:p>
        </w:tc>
      </w:tr>
    </w:tbl>
    <w:p>
      <w:pPr>
        <w:pStyle w:val="30"/>
        <w:widowControl/>
        <w:bidi w:val="0"/>
        <w:spacing w:before="100" w:after="100"/>
        <w:ind w:right="0" w:firstLine="560" w:firstLineChars="200"/>
        <w:jc w:val="left"/>
        <w:rPr>
          <w:rFonts w:ascii="仿宋" w:hAnsi="仿宋" w:eastAsia="仿宋" w:cs="仿宋"/>
          <w:b w:val="0"/>
          <w:bCs w:val="0"/>
          <w:i w:val="0"/>
          <w:iCs w:val="0"/>
          <w:caps w:val="0"/>
          <w:smallCaps w:val="0"/>
          <w:color w:val="000000"/>
          <w:kern w:val="0"/>
          <w:sz w:val="28"/>
          <w:szCs w:val="28"/>
          <w:lang w:eastAsia="zh-CN"/>
        </w:rPr>
      </w:pPr>
    </w:p>
    <w:p>
      <w:pPr>
        <w:pStyle w:val="30"/>
        <w:widowControl/>
        <w:bidi w:val="0"/>
        <w:spacing w:before="100" w:after="100"/>
        <w:ind w:right="0" w:firstLine="560" w:firstLineChars="200"/>
        <w:jc w:val="left"/>
        <w:rPr>
          <w:rFonts w:ascii="宋体" w:hAnsi="宋体" w:cs="宋体"/>
          <w:kern w:val="0"/>
          <w:sz w:val="24"/>
        </w:rPr>
      </w:pPr>
      <w:r>
        <w:rPr>
          <w:rFonts w:ascii="仿宋" w:hAnsi="仿宋" w:eastAsia="仿宋" w:cs="仿宋"/>
          <w:b w:val="0"/>
          <w:bCs w:val="0"/>
          <w:i w:val="0"/>
          <w:iCs w:val="0"/>
          <w:caps w:val="0"/>
          <w:smallCaps w:val="0"/>
          <w:color w:val="000000"/>
          <w:kern w:val="0"/>
          <w:sz w:val="28"/>
          <w:szCs w:val="28"/>
          <w:lang w:eastAsia="zh-CN"/>
        </w:rPr>
        <w:t>本单位</w:t>
      </w:r>
      <w:r>
        <w:rPr>
          <w:rFonts w:ascii="仿宋" w:hAnsi="仿宋" w:eastAsia="仿宋" w:cs="仿宋"/>
          <w:b w:val="0"/>
          <w:bCs w:val="0"/>
          <w:i w:val="0"/>
          <w:iCs w:val="0"/>
          <w:caps w:val="0"/>
          <w:smallCaps w:val="0"/>
          <w:color w:val="000000"/>
          <w:kern w:val="0"/>
          <w:sz w:val="28"/>
          <w:szCs w:val="28"/>
          <w:lang w:val="en-US" w:eastAsia="zh-CN"/>
        </w:rPr>
        <w:t>2024年度没有使用一般公共预算财政拨款安排的“三公”经费支出。</w:t>
      </w:r>
    </w:p>
    <w:p>
      <w:pPr>
        <w:widowControl/>
        <w:jc w:val="left"/>
        <w:rPr>
          <w:rFonts w:ascii="Times New Roman" w:hAnsi="Times New Roman" w:eastAsia="Times New Roman" w:cs="Times New Roman"/>
          <w:kern w:val="0"/>
          <w:sz w:val="18"/>
          <w:szCs w:val="18"/>
        </w:rPr>
      </w:pPr>
    </w:p>
    <w:p>
      <w:pPr>
        <w:widowControl/>
        <w:jc w:val="left"/>
        <w:rPr>
          <w:rFonts w:ascii="Times New Roman" w:hAnsi="Times New Roman" w:eastAsia="Times New Roman" w:cs="Times New Roman"/>
          <w:kern w:val="0"/>
          <w:sz w:val="32"/>
          <w:szCs w:val="32"/>
        </w:rPr>
      </w:pPr>
      <w:r>
        <w:rPr>
          <w:rFonts w:ascii="Times New Roman" w:hAnsi="Times New Roman" w:eastAsia="Times New Roman" w:cs="Times New Roman"/>
          <w:kern w:val="0"/>
          <w:sz w:val="32"/>
          <w:szCs w:val="32"/>
        </w:rPr>
        <w:t> </w:t>
      </w:r>
      <w:bookmarkStart w:id="57" w:name="_Toc256000076"/>
      <w:bookmarkStart w:id="58" w:name="_Toc256000045"/>
      <w:bookmarkStart w:id="59" w:name="_Toc256000014"/>
      <w:bookmarkStart w:id="60" w:name="_Toc256000107"/>
    </w:p>
    <w:p>
      <w:pPr>
        <w:widowControl/>
        <w:jc w:val="left"/>
        <w:rPr>
          <w:rFonts w:ascii="Times New Roman" w:hAnsi="Times New Roman" w:eastAsia="Times New Roman" w:cs="Times New Roman"/>
          <w:b/>
          <w:bCs/>
          <w:kern w:val="0"/>
          <w:sz w:val="32"/>
          <w:szCs w:val="32"/>
        </w:rPr>
      </w:pPr>
      <w:r>
        <w:rPr>
          <w:rFonts w:ascii="黑体" w:hAnsi="黑体" w:eastAsia="黑体" w:cs="黑体"/>
          <w:b/>
          <w:spacing w:val="0"/>
          <w:sz w:val="32"/>
          <w:szCs w:val="32"/>
        </w:rPr>
        <w:t>八、政府性基金预算财政拨款收入支出决算表</w:t>
      </w:r>
      <w:bookmarkEnd w:id="57"/>
      <w:bookmarkEnd w:id="58"/>
      <w:bookmarkEnd w:id="59"/>
      <w:bookmarkEnd w:id="60"/>
    </w:p>
    <w:p>
      <w:pPr>
        <w:rPr>
          <w:sz w:val="32"/>
          <w:szCs w:val="32"/>
        </w:rPr>
      </w:pPr>
    </w:p>
    <w:tbl>
      <w:tblPr>
        <w:tblStyle w:val="24"/>
        <w:tblW w:w="9066" w:type="dxa"/>
        <w:tblInd w:w="0" w:type="dxa"/>
        <w:tblLayout w:type="fixed"/>
        <w:tblCellMar>
          <w:top w:w="15" w:type="dxa"/>
          <w:left w:w="15" w:type="dxa"/>
          <w:bottom w:w="15" w:type="dxa"/>
          <w:right w:w="15" w:type="dxa"/>
        </w:tblCellMar>
      </w:tblPr>
      <w:tblGrid>
        <w:gridCol w:w="1133"/>
        <w:gridCol w:w="1133"/>
        <w:gridCol w:w="1133"/>
        <w:gridCol w:w="1134"/>
        <w:gridCol w:w="1133"/>
        <w:gridCol w:w="1133"/>
        <w:gridCol w:w="1134"/>
        <w:gridCol w:w="1133"/>
      </w:tblGrid>
      <w:tr>
        <w:tblPrEx>
          <w:tblLayout w:type="fixed"/>
          <w:tblCellMar>
            <w:top w:w="15" w:type="dxa"/>
            <w:left w:w="15" w:type="dxa"/>
            <w:bottom w:w="15" w:type="dxa"/>
            <w:right w:w="15" w:type="dxa"/>
          </w:tblCellMar>
        </w:tblPrEx>
        <w:trPr>
          <w:tblHeader/>
        </w:trPr>
        <w:tc>
          <w:tcPr>
            <w:tcW w:w="9066" w:type="dxa"/>
            <w:gridSpan w:val="8"/>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政府性基金预算财政拨款收入支出决算表</w:t>
            </w:r>
          </w:p>
        </w:tc>
      </w:tr>
      <w:tr>
        <w:tblPrEx>
          <w:tblLayout w:type="fixed"/>
          <w:tblCellMar>
            <w:top w:w="15" w:type="dxa"/>
            <w:left w:w="15" w:type="dxa"/>
            <w:bottom w:w="15" w:type="dxa"/>
            <w:right w:w="15" w:type="dxa"/>
          </w:tblCellMar>
        </w:tblPrEx>
        <w:trPr>
          <w:tblHeader/>
        </w:trPr>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4533" w:type="dxa"/>
            <w:gridSpan w:val="4"/>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blHeader/>
        </w:trPr>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年初结转和结余</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本年收入</w:t>
            </w:r>
          </w:p>
        </w:tc>
        <w:tc>
          <w:tcPr>
            <w:tcW w:w="340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年末结转和结余</w:t>
            </w:r>
          </w:p>
        </w:tc>
      </w:tr>
      <w:tr>
        <w:tblPrEx>
          <w:tblLayout w:type="fixed"/>
          <w:tblCellMar>
            <w:top w:w="15" w:type="dxa"/>
            <w:left w:w="15" w:type="dxa"/>
            <w:bottom w:w="15" w:type="dxa"/>
            <w:right w:w="15" w:type="dxa"/>
          </w:tblCellMar>
        </w:tblPrEx>
        <w:trPr>
          <w:tblHeader/>
        </w:trPr>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支出功能分类科目编码</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小计</w:t>
            </w:r>
          </w:p>
        </w:tc>
        <w:tc>
          <w:tcPr>
            <w:tcW w:w="113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r>
              <w:rPr>
                <w:rFonts w:ascii="Times New Roman" w:hAnsi="Times New Roman" w:eastAsia="Times New Roman" w:cs="Times New Roman"/>
                <w:b w:val="0"/>
                <w:bCs w:val="0"/>
                <w:i w:val="0"/>
                <w:iCs w:val="0"/>
                <w:smallCaps w:val="0"/>
                <w:color w:val="000000"/>
                <w:kern w:val="0"/>
                <w:sz w:val="18"/>
                <w:szCs w:val="18"/>
              </w:rPr>
              <w:t xml:space="preserve"> </w:t>
            </w:r>
          </w:p>
        </w:tc>
        <w:tc>
          <w:tcPr>
            <w:tcW w:w="113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blHeader/>
        </w:trPr>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13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5</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6</w:t>
            </w:r>
          </w:p>
        </w:tc>
      </w:tr>
      <w:tr>
        <w:tblPrEx>
          <w:tblLayout w:type="fixed"/>
          <w:tblCellMar>
            <w:top w:w="15" w:type="dxa"/>
            <w:left w:w="15" w:type="dxa"/>
            <w:bottom w:w="15" w:type="dxa"/>
            <w:right w:w="15" w:type="dxa"/>
          </w:tblCellMar>
        </w:tblPrEx>
        <w:tc>
          <w:tcPr>
            <w:tcW w:w="226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其他支出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彩票公益金安排的支出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2296003</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用于体育事业的彩票公益金支出</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13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4.14</w:t>
            </w:r>
          </w:p>
        </w:tc>
        <w:tc>
          <w:tcPr>
            <w:tcW w:w="113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c>
          <w:tcPr>
            <w:tcW w:w="9066" w:type="dxa"/>
            <w:gridSpan w:val="8"/>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本年度政府性基金预算财政拨款收入、支出及结转和结余情况。</w:t>
            </w:r>
          </w:p>
        </w:tc>
      </w:tr>
    </w:tbl>
    <w:p>
      <w:pPr>
        <w:pStyle w:val="2"/>
        <w:rPr>
          <w:sz w:val="28"/>
          <w:szCs w:val="28"/>
        </w:rPr>
        <w:sectPr>
          <w:footerReference r:id="rId5" w:type="default"/>
          <w:pgSz w:w="11906" w:h="16383"/>
          <w:pgMar w:top="1417" w:right="1440" w:bottom="1417" w:left="1440" w:header="720" w:footer="720" w:gutter="0"/>
          <w:cols w:space="720" w:num="1"/>
        </w:sectPr>
      </w:pPr>
    </w:p>
    <w:p>
      <w:pPr>
        <w:widowControl/>
        <w:spacing w:before="240" w:after="240"/>
        <w:jc w:val="left"/>
        <w:rPr>
          <w:rFonts w:ascii="Times New Roman" w:hAnsi="Times New Roman" w:eastAsia="Times New Roman" w:cs="Times New Roman"/>
          <w:vanish/>
          <w:kern w:val="0"/>
          <w:sz w:val="18"/>
          <w:szCs w:val="18"/>
        </w:rPr>
      </w:pPr>
      <w:r>
        <w:rPr>
          <w:rFonts w:ascii="Times New Roman" w:hAnsi="Times New Roman" w:eastAsia="Times New Roman" w:cs="Times New Roman"/>
          <w:vanish/>
          <w:kern w:val="0"/>
          <w:sz w:val="18"/>
          <w:szCs w:val="18"/>
        </w:rPr>
        <w:t>word horizontal layout</w:t>
      </w:r>
    </w:p>
    <w:p>
      <w:pPr>
        <w:widowControl/>
        <w:jc w:val="left"/>
        <w:rPr>
          <w:rFonts w:ascii="黑体" w:hAnsi="黑体" w:eastAsia="黑体" w:cs="黑体"/>
          <w:b/>
          <w:spacing w:val="0"/>
          <w:sz w:val="32"/>
          <w:szCs w:val="32"/>
        </w:rPr>
      </w:pPr>
      <w:r>
        <w:rPr>
          <w:rFonts w:ascii="黑体" w:hAnsi="黑体" w:eastAsia="黑体" w:cs="黑体"/>
          <w:b/>
          <w:spacing w:val="0"/>
          <w:sz w:val="32"/>
          <w:szCs w:val="32"/>
        </w:rPr>
        <w:t> </w:t>
      </w:r>
      <w:bookmarkStart w:id="61" w:name="_Toc256000015"/>
      <w:bookmarkStart w:id="62" w:name="_Toc256000077"/>
      <w:bookmarkStart w:id="63" w:name="_Toc256000046"/>
      <w:bookmarkStart w:id="64" w:name="_Toc256000108"/>
      <w:r>
        <w:rPr>
          <w:rFonts w:hint="eastAsia" w:ascii="黑体" w:hAnsi="黑体" w:eastAsia="黑体" w:cs="黑体"/>
          <w:b/>
          <w:spacing w:val="0"/>
          <w:sz w:val="32"/>
          <w:szCs w:val="32"/>
          <w:lang w:eastAsia="zh-CN"/>
        </w:rPr>
        <w:t>九、</w:t>
      </w:r>
      <w:r>
        <w:rPr>
          <w:rFonts w:ascii="黑体" w:hAnsi="黑体" w:eastAsia="黑体" w:cs="黑体"/>
          <w:b/>
          <w:spacing w:val="0"/>
          <w:sz w:val="32"/>
          <w:szCs w:val="32"/>
        </w:rPr>
        <w:t>国有资本经营预算财政拨款支出决算表</w:t>
      </w:r>
      <w:bookmarkEnd w:id="61"/>
      <w:bookmarkEnd w:id="62"/>
      <w:bookmarkEnd w:id="63"/>
      <w:bookmarkEnd w:id="64"/>
    </w:p>
    <w:tbl>
      <w:tblPr>
        <w:tblStyle w:val="24"/>
        <w:tblW w:w="9066" w:type="dxa"/>
        <w:jc w:val="center"/>
        <w:tblInd w:w="0" w:type="dxa"/>
        <w:tblLayout w:type="fixed"/>
        <w:tblCellMar>
          <w:top w:w="15" w:type="dxa"/>
          <w:left w:w="15" w:type="dxa"/>
          <w:bottom w:w="15" w:type="dxa"/>
          <w:right w:w="15" w:type="dxa"/>
        </w:tblCellMar>
      </w:tblPr>
      <w:tblGrid>
        <w:gridCol w:w="1813"/>
        <w:gridCol w:w="1813"/>
        <w:gridCol w:w="1813"/>
        <w:gridCol w:w="1814"/>
        <w:gridCol w:w="1813"/>
      </w:tblGrid>
      <w:tr>
        <w:tblPrEx>
          <w:tblLayout w:type="fixed"/>
          <w:tblCellMar>
            <w:top w:w="15" w:type="dxa"/>
            <w:left w:w="15" w:type="dxa"/>
            <w:bottom w:w="15" w:type="dxa"/>
            <w:right w:w="15" w:type="dxa"/>
          </w:tblCellMar>
        </w:tblPrEx>
        <w:trPr>
          <w:trHeight w:val="0" w:hRule="atLeast"/>
          <w:tblHeader/>
          <w:jc w:val="center"/>
        </w:trPr>
        <w:tc>
          <w:tcPr>
            <w:tcW w:w="9066" w:type="dxa"/>
            <w:gridSpan w:val="5"/>
            <w:noWrap w:val="0"/>
            <w:tcMar>
              <w:top w:w="20" w:type="dxa"/>
              <w:left w:w="20" w:type="dxa"/>
              <w:bottom w:w="20" w:type="dxa"/>
              <w:right w:w="20" w:type="dxa"/>
            </w:tcMar>
            <w:vAlign w:val="center"/>
          </w:tcPr>
          <w:p>
            <w:pPr>
              <w:widowControl/>
              <w:spacing w:line="900" w:lineRule="atLeast"/>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32"/>
                <w:szCs w:val="32"/>
              </w:rPr>
              <w:t>国有资本经营预算财政拨款支出决算表</w:t>
            </w:r>
          </w:p>
        </w:tc>
      </w:tr>
      <w:tr>
        <w:tblPrEx>
          <w:tblLayout w:type="fixed"/>
          <w:tblCellMar>
            <w:top w:w="15" w:type="dxa"/>
            <w:left w:w="15" w:type="dxa"/>
            <w:bottom w:w="15" w:type="dxa"/>
            <w:right w:w="15" w:type="dxa"/>
          </w:tblCellMar>
        </w:tblPrEx>
        <w:trPr>
          <w:trHeight w:val="0" w:hRule="atLeast"/>
          <w:tblHeader/>
          <w:jc w:val="center"/>
        </w:trPr>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单位：厦门市乌石浦小学</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2024</w:t>
            </w:r>
            <w:r>
              <w:rPr>
                <w:rFonts w:ascii="宋体" w:hAnsi="宋体" w:eastAsia="宋体" w:cs="宋体"/>
                <w:b w:val="0"/>
                <w:bCs w:val="0"/>
                <w:i w:val="0"/>
                <w:iCs w:val="0"/>
                <w:smallCaps w:val="0"/>
                <w:color w:val="000000"/>
                <w:kern w:val="0"/>
                <w:sz w:val="18"/>
                <w:szCs w:val="18"/>
              </w:rPr>
              <w:t>年度</w:t>
            </w:r>
          </w:p>
        </w:tc>
        <w:tc>
          <w:tcPr>
            <w:tcW w:w="1814"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bottom"/>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D0D7E5" w:sz="6" w:space="0"/>
              <w:left w:val="single" w:color="D0D7E5" w:sz="6" w:space="0"/>
              <w:bottom w:val="single" w:color="D0D7E5" w:sz="6" w:space="0"/>
              <w:right w:val="single" w:color="D0D7E5"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金额单位：万元</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w:t>
            </w:r>
          </w:p>
        </w:tc>
        <w:tc>
          <w:tcPr>
            <w:tcW w:w="5440" w:type="dxa"/>
            <w:gridSpan w:val="3"/>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本年支出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科目代码</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科目名称</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4"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基本支出</w:t>
            </w:r>
          </w:p>
        </w:tc>
        <w:tc>
          <w:tcPr>
            <w:tcW w:w="1813" w:type="dxa"/>
            <w:vMerge w:val="restart"/>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项目支出</w:t>
            </w: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312" w:hRule="atLeast"/>
          <w:tblHeader/>
          <w:jc w:val="center"/>
        </w:trPr>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4"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c>
          <w:tcPr>
            <w:tcW w:w="1813" w:type="dxa"/>
            <w:vMerge w:val="continue"/>
            <w:tcBorders>
              <w:top w:val="single" w:color="000000" w:sz="6" w:space="0"/>
              <w:left w:val="single" w:color="000000" w:sz="6" w:space="0"/>
              <w:bottom w:val="single" w:color="000000" w:sz="6" w:space="0"/>
              <w:right w:val="single" w:color="000000" w:sz="6" w:space="0"/>
            </w:tcBorders>
            <w:vAlign w:val="center"/>
          </w:tcPr>
          <w:p>
            <w:pPr>
              <w:rPr>
                <w:rFonts w:ascii="Times New Roman" w:hAnsi="Times New Roman" w:eastAsia="Times New Roman" w:cs="Times New Roman"/>
                <w:b w:val="0"/>
                <w:bCs w:val="0"/>
                <w:i w:val="0"/>
                <w:iCs w:val="0"/>
                <w:smallCaps w:val="0"/>
                <w:color w:val="000000"/>
                <w:kern w:val="0"/>
                <w:sz w:val="18"/>
                <w:szCs w:val="18"/>
              </w:rPr>
            </w:pP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栏次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1</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2</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3</w:t>
            </w:r>
          </w:p>
        </w:tc>
      </w:tr>
      <w:tr>
        <w:tblPrEx>
          <w:tblLayout w:type="fixed"/>
          <w:tblCellMar>
            <w:top w:w="15" w:type="dxa"/>
            <w:left w:w="15" w:type="dxa"/>
            <w:bottom w:w="15" w:type="dxa"/>
            <w:right w:w="15" w:type="dxa"/>
          </w:tblCellMar>
        </w:tblPrEx>
        <w:trPr>
          <w:trHeight w:val="0" w:hRule="atLeast"/>
          <w:jc w:val="center"/>
        </w:trPr>
        <w:tc>
          <w:tcPr>
            <w:tcW w:w="3626" w:type="dxa"/>
            <w:gridSpan w:val="2"/>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center"/>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合计</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lef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4"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c>
          <w:tcPr>
            <w:tcW w:w="1813" w:type="dxa"/>
            <w:tcBorders>
              <w:top w:val="single" w:color="000000" w:sz="6" w:space="0"/>
              <w:left w:val="single" w:color="000000" w:sz="6" w:space="0"/>
              <w:bottom w:val="single" w:color="000000" w:sz="6" w:space="0"/>
              <w:right w:val="single" w:color="000000" w:sz="6" w:space="0"/>
            </w:tcBorders>
            <w:noWrap w:val="0"/>
            <w:tcMar>
              <w:top w:w="22" w:type="dxa"/>
              <w:left w:w="22" w:type="dxa"/>
              <w:bottom w:w="22" w:type="dxa"/>
              <w:right w:w="22" w:type="dxa"/>
            </w:tcMar>
            <w:vAlign w:val="center"/>
          </w:tcPr>
          <w:p>
            <w:pPr>
              <w:widowControl/>
              <w:jc w:val="right"/>
              <w:rPr>
                <w:rFonts w:ascii="Times New Roman" w:hAnsi="Times New Roman" w:eastAsia="Times New Roman" w:cs="Times New Roman"/>
                <w:b w:val="0"/>
                <w:bCs w:val="0"/>
                <w:i w:val="0"/>
                <w:iCs w:val="0"/>
                <w:smallCaps w:val="0"/>
                <w:color w:val="000000"/>
                <w:kern w:val="0"/>
                <w:sz w:val="18"/>
                <w:szCs w:val="18"/>
              </w:rPr>
            </w:pPr>
            <w:r>
              <w:rPr>
                <w:rFonts w:ascii="Times New Roman" w:hAnsi="Times New Roman" w:eastAsia="Times New Roman" w:cs="Times New Roman"/>
                <w:b w:val="0"/>
                <w:bCs w:val="0"/>
                <w:i w:val="0"/>
                <w:iCs w:val="0"/>
                <w:smallCaps w:val="0"/>
                <w:color w:val="000000"/>
                <w:kern w:val="0"/>
                <w:sz w:val="18"/>
                <w:szCs w:val="18"/>
              </w:rPr>
              <w:t> </w:t>
            </w:r>
          </w:p>
        </w:tc>
      </w:tr>
      <w:tr>
        <w:tblPrEx>
          <w:tblLayout w:type="fixed"/>
          <w:tblCellMar>
            <w:top w:w="15" w:type="dxa"/>
            <w:left w:w="15" w:type="dxa"/>
            <w:bottom w:w="15" w:type="dxa"/>
            <w:right w:w="15" w:type="dxa"/>
          </w:tblCellMar>
        </w:tblPrEx>
        <w:trPr>
          <w:trHeight w:val="0" w:hRule="atLeast"/>
          <w:jc w:val="center"/>
        </w:trPr>
        <w:tc>
          <w:tcPr>
            <w:tcW w:w="9066" w:type="dxa"/>
            <w:gridSpan w:val="5"/>
            <w:noWrap w:val="0"/>
            <w:tcMar>
              <w:top w:w="20" w:type="dxa"/>
              <w:left w:w="20" w:type="dxa"/>
              <w:bottom w:w="20" w:type="dxa"/>
              <w:right w:w="20" w:type="dxa"/>
            </w:tcMar>
            <w:vAlign w:val="center"/>
          </w:tcPr>
          <w:p>
            <w:pPr>
              <w:widowControl/>
              <w:spacing w:line="375" w:lineRule="atLeast"/>
              <w:jc w:val="left"/>
              <w:rPr>
                <w:rFonts w:ascii="Times New Roman" w:hAnsi="Times New Roman" w:eastAsia="Times New Roman" w:cs="Times New Roman"/>
                <w:b w:val="0"/>
                <w:bCs w:val="0"/>
                <w:i w:val="0"/>
                <w:iCs w:val="0"/>
                <w:smallCaps w:val="0"/>
                <w:color w:val="000000"/>
                <w:kern w:val="0"/>
                <w:sz w:val="18"/>
                <w:szCs w:val="18"/>
              </w:rPr>
            </w:pPr>
            <w:r>
              <w:rPr>
                <w:rFonts w:ascii="宋体" w:hAnsi="宋体" w:eastAsia="宋体" w:cs="宋体"/>
                <w:b w:val="0"/>
                <w:bCs w:val="0"/>
                <w:i w:val="0"/>
                <w:iCs w:val="0"/>
                <w:smallCaps w:val="0"/>
                <w:color w:val="000000"/>
                <w:kern w:val="0"/>
                <w:sz w:val="18"/>
                <w:szCs w:val="18"/>
              </w:rPr>
              <w:t>注：本表反映</w:t>
            </w:r>
            <w:r>
              <w:rPr>
                <w:rFonts w:hint="eastAsia" w:ascii="宋体" w:hAnsi="宋体" w:cs="宋体"/>
                <w:b w:val="0"/>
                <w:bCs w:val="0"/>
                <w:i w:val="0"/>
                <w:iCs w:val="0"/>
                <w:smallCaps w:val="0"/>
                <w:color w:val="000000"/>
                <w:kern w:val="0"/>
                <w:sz w:val="18"/>
                <w:szCs w:val="18"/>
                <w:lang w:eastAsia="zh-CN"/>
              </w:rPr>
              <w:t>单位</w:t>
            </w:r>
            <w:r>
              <w:rPr>
                <w:rFonts w:ascii="宋体" w:hAnsi="宋体" w:eastAsia="宋体" w:cs="宋体"/>
                <w:b w:val="0"/>
                <w:bCs w:val="0"/>
                <w:i w:val="0"/>
                <w:iCs w:val="0"/>
                <w:smallCaps w:val="0"/>
                <w:color w:val="000000"/>
                <w:kern w:val="0"/>
                <w:sz w:val="18"/>
                <w:szCs w:val="18"/>
              </w:rPr>
              <w:t>本年度国有资本经营预算财政拨款支出情况。</w:t>
            </w:r>
          </w:p>
        </w:tc>
      </w:tr>
    </w:tbl>
    <w:p>
      <w:pPr>
        <w:pStyle w:val="5"/>
        <w:numPr>
          <w:ilvl w:val="0"/>
          <w:numId w:val="0"/>
        </w:numPr>
      </w:pPr>
    </w:p>
    <w:p>
      <w:pPr>
        <w:pStyle w:val="30"/>
        <w:widowControl/>
        <w:bidi w:val="0"/>
        <w:spacing w:before="240" w:after="240"/>
        <w:ind w:firstLine="640" w:firstLineChars="200"/>
        <w:jc w:val="both"/>
        <w:rPr>
          <w:rFonts w:ascii="黑体" w:hAnsi="黑体" w:eastAsia="黑体" w:cs="黑体"/>
          <w:kern w:val="0"/>
          <w:sz w:val="32"/>
          <w:szCs w:val="32"/>
        </w:rPr>
      </w:pPr>
      <w:r>
        <w:rPr>
          <w:rFonts w:ascii="仿宋" w:hAnsi="仿宋" w:eastAsia="仿宋" w:cs="仿宋"/>
          <w:kern w:val="0"/>
          <w:sz w:val="32"/>
          <w:szCs w:val="32"/>
        </w:rPr>
        <w:t>本</w:t>
      </w:r>
      <w:r>
        <w:rPr>
          <w:rFonts w:ascii="仿宋" w:hAnsi="仿宋" w:eastAsia="仿宋" w:cs="仿宋"/>
          <w:kern w:val="0"/>
          <w:sz w:val="32"/>
          <w:szCs w:val="32"/>
          <w:lang w:eastAsia="zh-CN"/>
        </w:rPr>
        <w:t>单位</w:t>
      </w:r>
      <w:r>
        <w:rPr>
          <w:rFonts w:ascii="仿宋" w:hAnsi="仿宋" w:eastAsia="仿宋" w:cs="仿宋"/>
          <w:kern w:val="0"/>
          <w:sz w:val="32"/>
          <w:szCs w:val="32"/>
        </w:rPr>
        <w:t>202</w:t>
      </w:r>
      <w:r>
        <w:rPr>
          <w:rFonts w:ascii="仿宋" w:hAnsi="仿宋" w:eastAsia="仿宋" w:cs="仿宋"/>
          <w:kern w:val="0"/>
          <w:sz w:val="32"/>
          <w:szCs w:val="32"/>
          <w:lang w:val="en-US" w:eastAsia="zh-CN"/>
        </w:rPr>
        <w:t>4</w:t>
      </w:r>
      <w:r>
        <w:rPr>
          <w:rFonts w:ascii="仿宋" w:hAnsi="仿宋" w:eastAsia="仿宋" w:cs="仿宋"/>
          <w:kern w:val="0"/>
          <w:sz w:val="32"/>
          <w:szCs w:val="32"/>
        </w:rPr>
        <w:t>年度没有使用国有资本经营预算财政拨款安排的</w:t>
      </w:r>
      <w:r>
        <w:rPr>
          <w:rFonts w:ascii="仿宋" w:hAnsi="仿宋" w:eastAsia="仿宋" w:cs="仿宋"/>
          <w:kern w:val="0"/>
          <w:sz w:val="32"/>
          <w:szCs w:val="32"/>
          <w:lang w:eastAsia="zh-CN"/>
        </w:rPr>
        <w:t>支出。</w:t>
      </w:r>
    </w:p>
    <w:p>
      <w:pPr>
        <w:pStyle w:val="5"/>
        <w:numPr>
          <w:ilvl w:val="0"/>
          <w:numId w:val="0"/>
        </w:numPr>
      </w:pPr>
    </w:p>
    <w:p>
      <w:pPr>
        <w:pStyle w:val="4"/>
        <w:keepNext w:val="0"/>
        <w:keepLines w:val="0"/>
        <w:spacing w:before="100" w:after="100" w:line="240" w:lineRule="auto"/>
        <w:ind w:left="0" w:right="0" w:firstLine="0" w:firstLineChars="0"/>
        <w:jc w:val="center"/>
        <w:rPr>
          <w:rFonts w:ascii="黑体" w:hAnsi="黑体" w:eastAsia="黑体" w:cs="黑体"/>
          <w:b/>
          <w:spacing w:val="0"/>
          <w:sz w:val="32"/>
          <w:szCs w:val="32"/>
        </w:rPr>
      </w:pP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32"/>
          <w:szCs w:val="32"/>
        </w:rPr>
      </w:pPr>
      <w:r>
        <w:rPr>
          <w:rFonts w:ascii="黑体" w:hAnsi="黑体" w:eastAsia="黑体" w:cs="黑体"/>
          <w:b/>
          <w:spacing w:val="0"/>
          <w:sz w:val="32"/>
          <w:szCs w:val="32"/>
        </w:rPr>
        <w:t>第三部分</w:t>
      </w:r>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2024年度决算情况说明</w:t>
      </w:r>
    </w:p>
    <w:p>
      <w:pPr>
        <w:widowControl/>
        <w:ind w:firstLine="562" w:firstLineChars="200"/>
        <w:jc w:val="left"/>
        <w:rPr>
          <w:rFonts w:ascii="黑体" w:hAnsi="黑体" w:eastAsia="黑体" w:cs="黑体"/>
          <w:b/>
          <w:spacing w:val="0"/>
          <w:sz w:val="28"/>
          <w:szCs w:val="28"/>
        </w:rPr>
      </w:pPr>
      <w:bookmarkStart w:id="65" w:name="_Toc256000049"/>
      <w:bookmarkStart w:id="66" w:name="_Toc256000018"/>
      <w:bookmarkStart w:id="67" w:name="_Toc256000080"/>
      <w:bookmarkStart w:id="68" w:name="_Toc256000111"/>
    </w:p>
    <w:p>
      <w:pPr>
        <w:keepNext w:val="0"/>
        <w:keepLines w:val="0"/>
        <w:pageBreakBefore w:val="0"/>
        <w:widowControl/>
        <w:kinsoku/>
        <w:wordWrap/>
        <w:topLinePunct w:val="0"/>
        <w:autoSpaceDE/>
        <w:autoSpaceDN/>
        <w:bidi w:val="0"/>
        <w:adjustRightInd/>
        <w:snapToGrid/>
        <w:spacing w:line="520" w:lineRule="exact"/>
        <w:ind w:firstLine="562" w:firstLineChars="20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sz w:val="28"/>
          <w:szCs w:val="28"/>
        </w:rPr>
        <w:t>一、收入支出决算总体情况说明</w:t>
      </w:r>
      <w:bookmarkEnd w:id="65"/>
      <w:bookmarkEnd w:id="66"/>
      <w:bookmarkEnd w:id="67"/>
      <w:bookmarkEnd w:id="68"/>
    </w:p>
    <w:p>
      <w:pPr>
        <w:pStyle w:val="30"/>
        <w:keepNext w:val="0"/>
        <w:keepLines w:val="0"/>
        <w:pageBreakBefore w:val="0"/>
        <w:widowControl/>
        <w:kinsoku/>
        <w:wordWrap/>
        <w:topLinePunct w:val="0"/>
        <w:autoSpaceDE/>
        <w:autoSpaceDN/>
        <w:bidi w:val="0"/>
        <w:adjustRightInd/>
        <w:snapToGrid/>
        <w:spacing w:before="100" w:after="100" w:line="520" w:lineRule="exact"/>
        <w:ind w:right="0" w:firstLine="560" w:firstLineChars="200"/>
        <w:jc w:val="both"/>
        <w:textAlignment w:val="auto"/>
        <w:rPr>
          <w:rFonts w:ascii="Times New Roman" w:hAnsi="Times New Roman" w:eastAsia="Times New Roman" w:cs="Times New Roman"/>
          <w:kern w:val="0"/>
          <w:sz w:val="28"/>
          <w:szCs w:val="28"/>
        </w:rPr>
      </w:pPr>
      <w:r>
        <w:rPr>
          <w:rFonts w:ascii="楷体_GB2312" w:hAnsi="楷体_GB2312" w:eastAsia="楷体_GB2312" w:cs="楷体_GB2312"/>
          <w:spacing w:val="0"/>
          <w:kern w:val="0"/>
          <w:sz w:val="28"/>
          <w:szCs w:val="28"/>
        </w:rPr>
        <w:t>（一）收入支出决算总体情况说明</w:t>
      </w:r>
    </w:p>
    <w:p>
      <w:pPr>
        <w:keepNext w:val="0"/>
        <w:keepLines w:val="0"/>
        <w:pageBreakBefore w:val="0"/>
        <w:widowControl/>
        <w:suppressLineNumbers w:val="0"/>
        <w:kinsoku/>
        <w:wordWrap/>
        <w:topLinePunct w:val="0"/>
        <w:autoSpaceDE/>
        <w:autoSpaceDN/>
        <w:bidi w:val="0"/>
        <w:adjustRightInd/>
        <w:snapToGrid/>
        <w:spacing w:line="520" w:lineRule="exact"/>
        <w:ind w:firstLine="560" w:firstLineChars="200"/>
        <w:jc w:val="both"/>
        <w:textAlignment w:val="auto"/>
        <w:rPr>
          <w:rFonts w:ascii="仿宋" w:hAnsi="仿宋" w:eastAsia="仿宋" w:cs="仿宋"/>
          <w:spacing w:val="0"/>
          <w:kern w:val="0"/>
          <w:sz w:val="28"/>
          <w:szCs w:val="28"/>
          <w:lang w:val="en-US" w:eastAsia="zh-CN"/>
        </w:rPr>
      </w:pPr>
      <w:r>
        <w:rPr>
          <w:rFonts w:ascii="仿宋" w:hAnsi="仿宋" w:eastAsia="仿宋" w:cs="仿宋"/>
          <w:spacing w:val="0"/>
          <w:kern w:val="0"/>
          <w:sz w:val="28"/>
          <w:szCs w:val="28"/>
        </w:rPr>
        <w:t>2024年度本单位收入总计2846.19万元，支出总计2846.19万元，与上年决算数相比，各增加102.74万元，各增长3.74%。主要是</w:t>
      </w:r>
      <w:r>
        <w:rPr>
          <w:rFonts w:hint="eastAsia" w:ascii="仿宋" w:hAnsi="仿宋" w:eastAsia="仿宋" w:cs="仿宋"/>
          <w:spacing w:val="0"/>
          <w:kern w:val="0"/>
          <w:sz w:val="28"/>
          <w:szCs w:val="28"/>
          <w:lang w:val="en-US" w:eastAsia="zh-CN"/>
        </w:rPr>
        <w:t>学校环境提升建设等相关投入增加</w:t>
      </w:r>
      <w:r>
        <w:rPr>
          <w:rFonts w:ascii="仿宋" w:hAnsi="仿宋" w:eastAsia="仿宋" w:cs="仿宋"/>
          <w:spacing w:val="0"/>
          <w:kern w:val="0"/>
          <w:sz w:val="28"/>
          <w:szCs w:val="28"/>
          <w:lang w:val="en-US" w:eastAsia="zh-CN"/>
        </w:rPr>
        <w:t>。</w:t>
      </w:r>
    </w:p>
    <w:p>
      <w:pPr>
        <w:keepNext w:val="0"/>
        <w:keepLines w:val="0"/>
        <w:pageBreakBefore w:val="0"/>
        <w:widowControl/>
        <w:suppressLineNumbers w:val="0"/>
        <w:kinsoku/>
        <w:wordWrap/>
        <w:topLinePunct w:val="0"/>
        <w:autoSpaceDE/>
        <w:autoSpaceDN/>
        <w:bidi w:val="0"/>
        <w:adjustRightInd/>
        <w:snapToGrid/>
        <w:spacing w:line="520" w:lineRule="exact"/>
        <w:ind w:firstLine="560" w:firstLineChars="200"/>
        <w:jc w:val="both"/>
        <w:textAlignment w:val="auto"/>
        <w:rPr>
          <w:rFonts w:ascii="Times New Roman" w:hAnsi="Times New Roman" w:eastAsia="Times New Roman" w:cs="Times New Roman"/>
          <w:kern w:val="0"/>
          <w:sz w:val="28"/>
          <w:szCs w:val="28"/>
        </w:rPr>
      </w:pPr>
      <w:r>
        <w:rPr>
          <w:rFonts w:ascii="楷体_GB2312" w:hAnsi="楷体_GB2312" w:eastAsia="楷体_GB2312" w:cs="楷体_GB2312"/>
          <w:spacing w:val="0"/>
          <w:kern w:val="0"/>
          <w:sz w:val="28"/>
          <w:szCs w:val="28"/>
        </w:rPr>
        <w:t>（二）收入决算情况说明</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2024年度收入2846.19万元，比上年决算数</w:t>
      </w:r>
      <w:r>
        <w:rPr>
          <w:rFonts w:ascii="仿宋" w:hAnsi="仿宋" w:eastAsia="仿宋" w:cs="仿宋"/>
          <w:kern w:val="0"/>
          <w:sz w:val="28"/>
          <w:szCs w:val="28"/>
        </w:rPr>
        <w:t>增加</w:t>
      </w:r>
      <w:r>
        <w:rPr>
          <w:rFonts w:ascii="仿宋" w:hAnsi="仿宋" w:eastAsia="仿宋" w:cs="仿宋"/>
          <w:spacing w:val="0"/>
          <w:kern w:val="0"/>
          <w:sz w:val="28"/>
          <w:szCs w:val="28"/>
        </w:rPr>
        <w:t>102.74万元，</w:t>
      </w:r>
      <w:r>
        <w:rPr>
          <w:rFonts w:ascii="仿宋" w:hAnsi="仿宋" w:eastAsia="仿宋" w:cs="仿宋"/>
          <w:kern w:val="0"/>
          <w:sz w:val="28"/>
          <w:szCs w:val="28"/>
        </w:rPr>
        <w:t>增长</w:t>
      </w:r>
      <w:r>
        <w:rPr>
          <w:rFonts w:ascii="仿宋" w:hAnsi="仿宋" w:eastAsia="仿宋" w:cs="仿宋"/>
          <w:spacing w:val="0"/>
          <w:kern w:val="0"/>
          <w:sz w:val="28"/>
          <w:szCs w:val="28"/>
        </w:rPr>
        <w:t>3.74%，具体情况如下：</w:t>
      </w:r>
    </w:p>
    <w:p>
      <w:pPr>
        <w:pStyle w:val="30"/>
        <w:keepNext w:val="0"/>
        <w:keepLines w:val="0"/>
        <w:pageBreakBefore w:val="0"/>
        <w:widowControl/>
        <w:kinsoku/>
        <w:wordWrap/>
        <w:topLinePunct w:val="0"/>
        <w:autoSpaceDE/>
        <w:autoSpaceDN/>
        <w:bidi w:val="0"/>
        <w:adjustRightInd/>
        <w:snapToGrid/>
        <w:spacing w:before="100" w:after="100" w:line="520" w:lineRule="exact"/>
        <w:ind w:left="160" w:right="0" w:firstLine="48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1.一般公共预算财政拨款收入2842.06万元。</w:t>
      </w:r>
    </w:p>
    <w:p>
      <w:pPr>
        <w:pStyle w:val="30"/>
        <w:keepNext w:val="0"/>
        <w:keepLines w:val="0"/>
        <w:pageBreakBefore w:val="0"/>
        <w:widowControl/>
        <w:kinsoku/>
        <w:wordWrap/>
        <w:topLinePunct w:val="0"/>
        <w:autoSpaceDE/>
        <w:autoSpaceDN/>
        <w:bidi w:val="0"/>
        <w:adjustRightInd/>
        <w:snapToGrid/>
        <w:spacing w:before="100" w:after="100" w:line="520" w:lineRule="exact"/>
        <w:ind w:left="160" w:right="0" w:firstLine="48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2.政府性基金预算财政拨款收入4.14万元。</w:t>
      </w:r>
    </w:p>
    <w:p>
      <w:pPr>
        <w:pStyle w:val="30"/>
        <w:keepNext w:val="0"/>
        <w:keepLines w:val="0"/>
        <w:pageBreakBefore w:val="0"/>
        <w:widowControl/>
        <w:kinsoku/>
        <w:wordWrap/>
        <w:topLinePunct w:val="0"/>
        <w:autoSpaceDE/>
        <w:autoSpaceDN/>
        <w:bidi w:val="0"/>
        <w:adjustRightInd/>
        <w:snapToGrid/>
        <w:spacing w:before="100" w:after="100" w:line="520" w:lineRule="exact"/>
        <w:ind w:left="160" w:right="0" w:firstLine="48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3.国有资本经营预算财政拨款收入0万元。</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4.上级补助收入0万元。</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5.事业收入0万元。</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6.经营收入0万元。</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7.附属单位上缴收入0万元。</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8.其他收入0万元。</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楷体_GB2312" w:hAnsi="楷体_GB2312" w:eastAsia="楷体_GB2312" w:cs="楷体_GB2312"/>
          <w:spacing w:val="0"/>
          <w:kern w:val="0"/>
          <w:sz w:val="28"/>
          <w:szCs w:val="28"/>
        </w:rPr>
        <w:t>（三）支出决算情况说明</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2024年度支出2846.19万元，比上年决算数增加102.74万元，增长3.74%，具体情况如下：</w:t>
      </w:r>
    </w:p>
    <w:p>
      <w:pPr>
        <w:pStyle w:val="30"/>
        <w:keepNext w:val="0"/>
        <w:keepLines w:val="0"/>
        <w:pageBreakBefore w:val="0"/>
        <w:widowControl/>
        <w:kinsoku/>
        <w:wordWrap/>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1.基本支出2465.89万元。其中，人员支出2242.08万元，公用支出223.81万元。</w:t>
      </w:r>
    </w:p>
    <w:p>
      <w:pPr>
        <w:pStyle w:val="30"/>
        <w:keepNext w:val="0"/>
        <w:keepLines w:val="0"/>
        <w:pageBreakBefore w:val="0"/>
        <w:widowControl/>
        <w:kinsoku/>
        <w:wordWrap/>
        <w:topLinePunct w:val="0"/>
        <w:autoSpaceDE/>
        <w:autoSpaceDN/>
        <w:bidi w:val="0"/>
        <w:adjustRightInd/>
        <w:snapToGrid/>
        <w:spacing w:before="240" w:after="240" w:line="520" w:lineRule="exact"/>
        <w:ind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2.项目支出380.30万元。</w:t>
      </w:r>
    </w:p>
    <w:p>
      <w:pPr>
        <w:pStyle w:val="30"/>
        <w:keepNext w:val="0"/>
        <w:keepLines w:val="0"/>
        <w:pageBreakBefore w:val="0"/>
        <w:widowControl/>
        <w:kinsoku/>
        <w:wordWrap/>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3.上缴上级支出0万元。</w:t>
      </w:r>
    </w:p>
    <w:p>
      <w:pPr>
        <w:pStyle w:val="30"/>
        <w:keepNext w:val="0"/>
        <w:keepLines w:val="0"/>
        <w:pageBreakBefore w:val="0"/>
        <w:widowControl/>
        <w:kinsoku/>
        <w:wordWrap/>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4.经营支出0万元。</w:t>
      </w:r>
    </w:p>
    <w:p>
      <w:pPr>
        <w:pStyle w:val="30"/>
        <w:keepNext w:val="0"/>
        <w:keepLines w:val="0"/>
        <w:pageBreakBefore w:val="0"/>
        <w:widowControl/>
        <w:kinsoku/>
        <w:wordWrap/>
        <w:topLinePunct w:val="0"/>
        <w:autoSpaceDE/>
        <w:autoSpaceDN/>
        <w:bidi w:val="0"/>
        <w:adjustRightInd/>
        <w:snapToGrid/>
        <w:spacing w:before="100" w:after="100" w:line="520" w:lineRule="exact"/>
        <w:ind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5.对附属单位补助支出0万元。</w:t>
      </w:r>
    </w:p>
    <w:p>
      <w:pPr>
        <w:pStyle w:val="6"/>
        <w:keepNext w:val="0"/>
        <w:keepLines w:val="0"/>
        <w:pageBreakBefore w:val="0"/>
        <w:widowControl/>
        <w:kinsoku/>
        <w:wordWrap/>
        <w:topLinePunct w:val="0"/>
        <w:autoSpaceDE/>
        <w:autoSpaceDN/>
        <w:bidi w:val="0"/>
        <w:adjustRightInd/>
        <w:snapToGrid/>
        <w:spacing w:before="100" w:after="100" w:line="520" w:lineRule="exact"/>
        <w:ind w:left="0" w:right="0" w:firstLine="480" w:firstLineChars="0"/>
        <w:jc w:val="both"/>
        <w:textAlignment w:val="auto"/>
        <w:rPr>
          <w:rFonts w:ascii="黑体" w:hAnsi="黑体" w:eastAsia="黑体" w:cs="黑体"/>
          <w:b/>
          <w:spacing w:val="0"/>
          <w:sz w:val="28"/>
          <w:szCs w:val="28"/>
        </w:rPr>
      </w:pPr>
      <w:bookmarkStart w:id="69" w:name="_Toc256000112"/>
      <w:bookmarkStart w:id="70" w:name="_Toc256000050"/>
      <w:bookmarkStart w:id="71" w:name="_Toc256000019"/>
      <w:bookmarkStart w:id="72" w:name="_Toc256000081"/>
      <w:r>
        <w:rPr>
          <w:rFonts w:ascii="黑体" w:hAnsi="黑体" w:eastAsia="黑体" w:cs="黑体"/>
          <w:b/>
          <w:spacing w:val="0"/>
          <w:sz w:val="28"/>
          <w:szCs w:val="28"/>
        </w:rPr>
        <w:t>二、财政拨款收入支出决算总体情况说明</w:t>
      </w:r>
      <w:bookmarkEnd w:id="69"/>
      <w:bookmarkEnd w:id="70"/>
      <w:bookmarkEnd w:id="71"/>
      <w:bookmarkEnd w:id="72"/>
    </w:p>
    <w:p>
      <w:pPr>
        <w:pStyle w:val="6"/>
        <w:keepNext w:val="0"/>
        <w:keepLines w:val="0"/>
        <w:pageBreakBefore w:val="0"/>
        <w:widowControl/>
        <w:kinsoku/>
        <w:wordWrap/>
        <w:overflowPunct/>
        <w:topLinePunct w:val="0"/>
        <w:autoSpaceDE/>
        <w:autoSpaceDN/>
        <w:bidi w:val="0"/>
        <w:adjustRightInd/>
        <w:snapToGrid/>
        <w:spacing w:before="100" w:after="100" w:line="520" w:lineRule="exact"/>
        <w:ind w:left="0" w:right="0" w:firstLine="560" w:firstLineChars="200"/>
        <w:jc w:val="both"/>
        <w:textAlignment w:val="auto"/>
        <w:rPr>
          <w:rFonts w:ascii="仿宋" w:hAnsi="仿宋" w:eastAsia="仿宋" w:cs="仿宋"/>
          <w:spacing w:val="0"/>
          <w:kern w:val="0"/>
          <w:sz w:val="28"/>
          <w:szCs w:val="28"/>
        </w:rPr>
      </w:pPr>
      <w:r>
        <w:rPr>
          <w:rFonts w:ascii="仿宋" w:hAnsi="仿宋" w:eastAsia="仿宋" w:cs="仿宋"/>
          <w:spacing w:val="0"/>
          <w:kern w:val="0"/>
          <w:sz w:val="28"/>
          <w:szCs w:val="28"/>
        </w:rPr>
        <w:t>2024年度财政拨款收入总计2846.19万元，支出总计2846.19万元，与上年决算数相比，各增加102.74万元，增长3.74%，主要是：</w:t>
      </w:r>
      <w:r>
        <w:rPr>
          <w:rFonts w:ascii="仿宋" w:hAnsi="仿宋" w:eastAsia="仿宋" w:cs="仿宋"/>
          <w:spacing w:val="0"/>
          <w:kern w:val="0"/>
          <w:sz w:val="28"/>
          <w:szCs w:val="28"/>
          <w:lang w:val="en-US" w:eastAsia="zh-CN"/>
        </w:rPr>
        <w:t>项目支出增加</w:t>
      </w:r>
      <w:r>
        <w:rPr>
          <w:rFonts w:hint="eastAsia" w:ascii="仿宋" w:hAnsi="仿宋" w:cs="仿宋"/>
          <w:spacing w:val="0"/>
          <w:kern w:val="0"/>
          <w:sz w:val="28"/>
          <w:szCs w:val="28"/>
          <w:lang w:val="en-US" w:eastAsia="zh-CN"/>
        </w:rPr>
        <w:t>、</w:t>
      </w:r>
      <w:r>
        <w:rPr>
          <w:rFonts w:hint="eastAsia" w:ascii="仿宋" w:hAnsi="仿宋" w:eastAsia="仿宋" w:cs="仿宋"/>
          <w:spacing w:val="0"/>
          <w:kern w:val="0"/>
          <w:sz w:val="28"/>
          <w:szCs w:val="28"/>
          <w:lang w:val="en-US" w:eastAsia="zh-CN"/>
        </w:rPr>
        <w:t>学校环境提升建设等相关投入增加</w:t>
      </w:r>
      <w:r>
        <w:rPr>
          <w:rFonts w:ascii="仿宋" w:hAnsi="仿宋" w:eastAsia="仿宋" w:cs="仿宋"/>
          <w:spacing w:val="0"/>
          <w:kern w:val="0"/>
          <w:sz w:val="28"/>
          <w:szCs w:val="28"/>
          <w:lang w:val="en-US" w:eastAsia="zh-CN"/>
        </w:rPr>
        <w:t>。</w:t>
      </w:r>
    </w:p>
    <w:p>
      <w:pPr>
        <w:pStyle w:val="6"/>
        <w:keepNext w:val="0"/>
        <w:keepLines w:val="0"/>
        <w:pageBreakBefore w:val="0"/>
        <w:widowControl/>
        <w:kinsoku/>
        <w:wordWrap/>
        <w:topLinePunct w:val="0"/>
        <w:autoSpaceDE/>
        <w:autoSpaceDN/>
        <w:bidi w:val="0"/>
        <w:adjustRightInd/>
        <w:snapToGrid/>
        <w:spacing w:before="100" w:after="100" w:line="520" w:lineRule="exact"/>
        <w:ind w:left="0" w:leftChars="0" w:right="0" w:firstLine="562" w:firstLineChars="200"/>
        <w:jc w:val="both"/>
        <w:textAlignment w:val="auto"/>
        <w:rPr>
          <w:rFonts w:ascii="Times New Roman" w:hAnsi="Times New Roman" w:eastAsia="Times New Roman" w:cs="Times New Roman"/>
          <w:b/>
          <w:bCs/>
          <w:kern w:val="0"/>
          <w:sz w:val="28"/>
          <w:szCs w:val="28"/>
        </w:rPr>
      </w:pPr>
      <w:bookmarkStart w:id="73" w:name="_Toc256000113"/>
      <w:bookmarkStart w:id="74" w:name="_Toc256000082"/>
      <w:bookmarkStart w:id="75" w:name="_Toc256000020"/>
      <w:bookmarkStart w:id="76" w:name="_Toc256000051"/>
      <w:r>
        <w:rPr>
          <w:rFonts w:ascii="黑体" w:hAnsi="黑体" w:eastAsia="黑体" w:cs="黑体"/>
          <w:b/>
          <w:spacing w:val="0"/>
          <w:sz w:val="28"/>
          <w:szCs w:val="28"/>
        </w:rPr>
        <w:t>三、一般公共预算拨款支出决算情况说明</w:t>
      </w:r>
      <w:bookmarkEnd w:id="73"/>
      <w:bookmarkEnd w:id="74"/>
      <w:bookmarkEnd w:id="75"/>
      <w:bookmarkEnd w:id="76"/>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2024年一般公共预算支出2842.06万元，比上年决算数增加137.88万元，增长5.10%，具体情况如下(按</w:t>
      </w:r>
      <w:r>
        <w:rPr>
          <w:rStyle w:val="32"/>
          <w:rFonts w:ascii="仿宋" w:hAnsi="仿宋" w:eastAsia="仿宋" w:cs="仿宋"/>
          <w:spacing w:val="0"/>
          <w:kern w:val="0"/>
          <w:sz w:val="28"/>
          <w:szCs w:val="28"/>
        </w:rPr>
        <w:t>项级科目</w:t>
      </w:r>
      <w:r>
        <w:rPr>
          <w:rFonts w:ascii="仿宋" w:hAnsi="仿宋" w:eastAsia="仿宋" w:cs="仿宋"/>
          <w:spacing w:val="0"/>
          <w:kern w:val="0"/>
          <w:sz w:val="28"/>
          <w:szCs w:val="28"/>
        </w:rPr>
        <w:t>分类统计)：</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560" w:firstLineChars="200"/>
        <w:jc w:val="both"/>
        <w:textAlignment w:val="auto"/>
        <w:rPr>
          <w:rFonts w:hint="eastAsia" w:ascii="仿宋" w:hAnsi="仿宋" w:eastAsia="仿宋" w:cs="仿宋"/>
          <w:spacing w:val="0"/>
          <w:kern w:val="0"/>
          <w:sz w:val="28"/>
          <w:szCs w:val="28"/>
          <w:lang w:val="en-US" w:eastAsia="zh-CN"/>
        </w:rPr>
      </w:pPr>
      <w:r>
        <w:rPr>
          <w:rFonts w:ascii="仿宋" w:hAnsi="仿宋" w:eastAsia="仿宋" w:cs="仿宋"/>
          <w:spacing w:val="0"/>
          <w:kern w:val="0"/>
          <w:sz w:val="28"/>
          <w:szCs w:val="28"/>
        </w:rPr>
        <w:t>（一）2050202 小学教育1,949.09万元，较上年决算数减少24.56万元，下降1.24%。主要原因是</w:t>
      </w:r>
      <w:r>
        <w:rPr>
          <w:rFonts w:hint="eastAsia" w:ascii="仿宋" w:hAnsi="仿宋" w:eastAsia="仿宋" w:cs="仿宋"/>
          <w:spacing w:val="0"/>
          <w:kern w:val="0"/>
          <w:sz w:val="28"/>
          <w:szCs w:val="28"/>
          <w:lang w:val="en-US" w:eastAsia="zh-CN"/>
        </w:rPr>
        <w:t>人员减少。</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（二）2050299 其他普通教育支出173.00万元，较上年决算数增加34.07万元，增长24.53%。主要原因是</w:t>
      </w:r>
      <w:r>
        <w:rPr>
          <w:rFonts w:hint="eastAsia" w:ascii="仿宋" w:hAnsi="仿宋" w:eastAsia="仿宋" w:cs="仿宋"/>
          <w:spacing w:val="0"/>
          <w:kern w:val="0"/>
          <w:sz w:val="28"/>
          <w:szCs w:val="28"/>
          <w:lang w:val="en-US" w:eastAsia="zh-CN"/>
        </w:rPr>
        <w:t>教育附加拨款支出增加。</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（三）2050999 其他教育费附加安排的支出253.65万元，较上年决算数增加103.41万元，增长68.83%。主要原因是</w:t>
      </w:r>
      <w:r>
        <w:rPr>
          <w:rFonts w:hint="eastAsia" w:ascii="仿宋" w:hAnsi="仿宋" w:eastAsia="仿宋" w:cs="仿宋"/>
          <w:spacing w:val="0"/>
          <w:kern w:val="0"/>
          <w:sz w:val="28"/>
          <w:szCs w:val="28"/>
          <w:lang w:val="en-US" w:eastAsia="zh-CN"/>
        </w:rPr>
        <w:t>学校环境提升建设相关投入增加。</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（四）2080502 事业单位离退休65.33万元，较上年决算数减少8.46万元，下降11.47%。主要原因是</w:t>
      </w:r>
      <w:r>
        <w:rPr>
          <w:rFonts w:hint="eastAsia" w:ascii="仿宋" w:hAnsi="仿宋" w:eastAsia="仿宋" w:cs="仿宋"/>
          <w:spacing w:val="0"/>
          <w:kern w:val="0"/>
          <w:sz w:val="28"/>
          <w:szCs w:val="28"/>
          <w:lang w:val="en-US" w:eastAsia="zh-CN"/>
        </w:rPr>
        <w:t>退休人员减少。</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（五）2080505 机关事业单位基本养老保险缴费支出157.74万元，较上年决算数减少0.46万元，下降0.29%。主要原因是</w:t>
      </w:r>
      <w:r>
        <w:rPr>
          <w:rFonts w:hint="eastAsia" w:ascii="仿宋" w:hAnsi="仿宋" w:eastAsia="仿宋" w:cs="仿宋"/>
          <w:spacing w:val="0"/>
          <w:kern w:val="0"/>
          <w:sz w:val="28"/>
          <w:szCs w:val="28"/>
          <w:lang w:val="en-US" w:eastAsia="zh-CN"/>
        </w:rPr>
        <w:t>人员变动及缴费基数调整。</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（六）2080506 机关事业单位职业年金缴费支出97.66万元，较上年决算数减少9.37万元，下降8.76%。主要原因是</w:t>
      </w:r>
      <w:r>
        <w:rPr>
          <w:rFonts w:hint="eastAsia" w:ascii="仿宋" w:hAnsi="仿宋" w:eastAsia="仿宋" w:cs="仿宋"/>
          <w:spacing w:val="0"/>
          <w:kern w:val="0"/>
          <w:sz w:val="28"/>
          <w:szCs w:val="28"/>
          <w:lang w:val="en-US" w:eastAsia="zh-CN"/>
        </w:rPr>
        <w:t>人员变动及缴费基数调整。</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（七）2101102 事业单位医疗67.53万元，较上年决算数减少0.20万元，下降0.29%。主要原因是</w:t>
      </w:r>
      <w:r>
        <w:rPr>
          <w:rFonts w:hint="eastAsia" w:ascii="仿宋" w:hAnsi="仿宋" w:eastAsia="仿宋" w:cs="仿宋"/>
          <w:spacing w:val="0"/>
          <w:kern w:val="0"/>
          <w:sz w:val="28"/>
          <w:szCs w:val="28"/>
          <w:lang w:val="en-US" w:eastAsia="zh-CN"/>
        </w:rPr>
        <w:t>人员变动及缴费基数调整。</w:t>
      </w:r>
      <w:r>
        <w:rPr>
          <w:rFonts w:ascii="仿宋" w:hAnsi="仿宋" w:eastAsia="仿宋" w:cs="仿宋"/>
          <w:spacing w:val="0"/>
          <w:kern w:val="0"/>
          <w:sz w:val="28"/>
          <w:szCs w:val="28"/>
        </w:rPr>
        <w:br w:type="textWrapping"/>
      </w:r>
      <w:r>
        <w:rPr>
          <w:rFonts w:hint="eastAsia" w:ascii="仿宋" w:hAnsi="仿宋" w:eastAsia="仿宋" w:cs="仿宋"/>
          <w:spacing w:val="0"/>
          <w:kern w:val="0"/>
          <w:sz w:val="28"/>
          <w:szCs w:val="28"/>
          <w:lang w:val="en-US" w:eastAsia="zh-CN"/>
        </w:rPr>
        <w:t xml:space="preserve">    </w:t>
      </w:r>
      <w:r>
        <w:rPr>
          <w:rFonts w:ascii="仿宋" w:hAnsi="仿宋" w:eastAsia="仿宋" w:cs="仿宋"/>
          <w:spacing w:val="0"/>
          <w:kern w:val="0"/>
          <w:sz w:val="28"/>
          <w:szCs w:val="28"/>
        </w:rPr>
        <w:t>（八）2101199 其他行政事业单位医疗支出34.50万元，较上年决算数减少0.10万元，下降0.29%。主要原因是</w:t>
      </w:r>
      <w:r>
        <w:rPr>
          <w:rFonts w:hint="eastAsia" w:ascii="仿宋" w:hAnsi="仿宋" w:eastAsia="仿宋" w:cs="仿宋"/>
          <w:spacing w:val="0"/>
          <w:kern w:val="0"/>
          <w:sz w:val="28"/>
          <w:szCs w:val="28"/>
          <w:lang w:val="en-US" w:eastAsia="zh-CN"/>
        </w:rPr>
        <w:t>人员变动及缴费基数调整。</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560" w:firstLineChars="200"/>
        <w:jc w:val="both"/>
        <w:textAlignment w:val="auto"/>
        <w:rPr>
          <w:rFonts w:hint="default" w:ascii="仿宋" w:hAnsi="仿宋" w:eastAsia="仿宋" w:cs="仿宋"/>
          <w:spacing w:val="0"/>
          <w:kern w:val="0"/>
          <w:sz w:val="28"/>
          <w:szCs w:val="28"/>
          <w:lang w:val="en-US" w:eastAsia="zh-CN"/>
        </w:rPr>
      </w:pPr>
      <w:r>
        <w:rPr>
          <w:rFonts w:ascii="仿宋" w:hAnsi="仿宋" w:eastAsia="仿宋" w:cs="仿宋"/>
          <w:spacing w:val="0"/>
          <w:kern w:val="0"/>
          <w:sz w:val="28"/>
          <w:szCs w:val="28"/>
        </w:rPr>
        <w:t>（九）2210203 购房补贴43.55万元，较上年决算数增加43.55万元，增长100%。主要原因是</w:t>
      </w:r>
      <w:r>
        <w:rPr>
          <w:rFonts w:ascii="仿宋" w:hAnsi="仿宋" w:eastAsia="仿宋" w:cs="仿宋"/>
          <w:spacing w:val="0"/>
          <w:kern w:val="0"/>
          <w:sz w:val="28"/>
          <w:szCs w:val="28"/>
          <w:lang w:eastAsia="zh-CN"/>
        </w:rPr>
        <w:t>新增教师住房货币化补贴</w:t>
      </w:r>
      <w:r>
        <w:rPr>
          <w:rFonts w:hint="eastAsia" w:ascii="仿宋" w:hAnsi="仿宋" w:eastAsia="仿宋" w:cs="仿宋"/>
          <w:spacing w:val="0"/>
          <w:kern w:val="0"/>
          <w:sz w:val="28"/>
          <w:szCs w:val="28"/>
          <w:lang w:eastAsia="zh-CN"/>
        </w:rPr>
        <w:t>支出</w:t>
      </w:r>
      <w:r>
        <w:rPr>
          <w:rFonts w:ascii="仿宋" w:hAnsi="仿宋" w:eastAsia="仿宋" w:cs="仿宋"/>
          <w:spacing w:val="0"/>
          <w:kern w:val="0"/>
          <w:sz w:val="28"/>
          <w:szCs w:val="28"/>
          <w:lang w:eastAsia="zh-CN"/>
        </w:rPr>
        <w:t>。</w:t>
      </w:r>
    </w:p>
    <w:p>
      <w:pPr>
        <w:pStyle w:val="6"/>
        <w:keepNext w:val="0"/>
        <w:keepLines w:val="0"/>
        <w:pageBreakBefore w:val="0"/>
        <w:widowControl/>
        <w:kinsoku/>
        <w:wordWrap/>
        <w:topLinePunct w:val="0"/>
        <w:autoSpaceDE/>
        <w:autoSpaceDN/>
        <w:bidi w:val="0"/>
        <w:adjustRightInd/>
        <w:snapToGrid/>
        <w:spacing w:before="100" w:after="100" w:line="520" w:lineRule="exact"/>
        <w:ind w:left="0" w:right="0" w:firstLine="640" w:firstLineChars="0"/>
        <w:jc w:val="both"/>
        <w:textAlignment w:val="auto"/>
        <w:rPr>
          <w:rFonts w:ascii="黑体" w:hAnsi="黑体" w:eastAsia="黑体" w:cs="黑体"/>
          <w:b/>
          <w:spacing w:val="0"/>
          <w:sz w:val="28"/>
          <w:szCs w:val="28"/>
        </w:rPr>
      </w:pPr>
      <w:bookmarkStart w:id="77" w:name="_Toc256000052"/>
      <w:bookmarkStart w:id="78" w:name="_Toc256000021"/>
      <w:bookmarkStart w:id="79" w:name="_Toc256000083"/>
      <w:bookmarkStart w:id="80" w:name="_Toc256000114"/>
      <w:r>
        <w:rPr>
          <w:rFonts w:ascii="黑体" w:hAnsi="黑体" w:eastAsia="黑体" w:cs="黑体"/>
          <w:b/>
          <w:spacing w:val="0"/>
          <w:sz w:val="28"/>
          <w:szCs w:val="28"/>
        </w:rPr>
        <w:t>四、政府性基金预算财政拨款支出决算情况说明</w:t>
      </w:r>
      <w:bookmarkEnd w:id="77"/>
      <w:bookmarkEnd w:id="78"/>
      <w:bookmarkEnd w:id="79"/>
      <w:bookmarkEnd w:id="80"/>
    </w:p>
    <w:p>
      <w:pPr>
        <w:pStyle w:val="6"/>
        <w:keepNext w:val="0"/>
        <w:keepLines w:val="0"/>
        <w:pageBreakBefore w:val="0"/>
        <w:widowControl/>
        <w:kinsoku/>
        <w:wordWrap/>
        <w:topLinePunct w:val="0"/>
        <w:autoSpaceDE/>
        <w:autoSpaceDN/>
        <w:bidi w:val="0"/>
        <w:adjustRightInd/>
        <w:snapToGrid/>
        <w:spacing w:before="100" w:after="100" w:line="520" w:lineRule="exact"/>
        <w:ind w:left="0" w:right="0" w:firstLine="640" w:firstLineChars="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2024年度政府性基金支出4.14万元，比上年决算数减少35.14万元，下降89.47%，具体情况如下(按项级科目统计)：</w:t>
      </w:r>
    </w:p>
    <w:p>
      <w:pPr>
        <w:pStyle w:val="30"/>
        <w:keepNext w:val="0"/>
        <w:keepLines w:val="0"/>
        <w:pageBreakBefore w:val="0"/>
        <w:widowControl/>
        <w:kinsoku/>
        <w:wordWrap/>
        <w:topLinePunct w:val="0"/>
        <w:autoSpaceDE/>
        <w:autoSpaceDN/>
        <w:bidi w:val="0"/>
        <w:adjustRightInd/>
        <w:snapToGrid/>
        <w:spacing w:before="100" w:after="100" w:line="520" w:lineRule="exact"/>
        <w:ind w:right="0" w:firstLine="560" w:firstLineChars="200"/>
        <w:jc w:val="both"/>
        <w:textAlignment w:val="auto"/>
        <w:rPr>
          <w:rFonts w:hint="default" w:ascii="仿宋" w:hAnsi="仿宋" w:eastAsia="仿宋" w:cs="仿宋"/>
          <w:spacing w:val="0"/>
          <w:kern w:val="0"/>
          <w:sz w:val="28"/>
          <w:szCs w:val="28"/>
          <w:lang w:val="en-US" w:eastAsia="zh-CN"/>
        </w:rPr>
      </w:pPr>
      <w:r>
        <w:rPr>
          <w:rFonts w:ascii="仿宋" w:hAnsi="仿宋" w:eastAsia="仿宋" w:cs="仿宋"/>
          <w:spacing w:val="0"/>
          <w:kern w:val="0"/>
          <w:sz w:val="28"/>
          <w:szCs w:val="28"/>
        </w:rPr>
        <w:t>2296003 用于体育事业的彩票公益金支出4.14万元，较上年决算数减少35.14万元，下降89.47%。主要原因是</w:t>
      </w:r>
      <w:r>
        <w:rPr>
          <w:rFonts w:hint="eastAsia" w:ascii="仿宋" w:hAnsi="仿宋" w:eastAsia="仿宋" w:cs="仿宋"/>
          <w:spacing w:val="0"/>
          <w:kern w:val="0"/>
          <w:sz w:val="28"/>
          <w:szCs w:val="28"/>
          <w:lang w:eastAsia="zh-CN"/>
        </w:rPr>
        <w:t>操场</w:t>
      </w:r>
      <w:r>
        <w:rPr>
          <w:rFonts w:hint="eastAsia" w:ascii="仿宋" w:hAnsi="仿宋" w:eastAsia="仿宋" w:cs="仿宋"/>
          <w:spacing w:val="0"/>
          <w:kern w:val="0"/>
          <w:sz w:val="28"/>
          <w:szCs w:val="28"/>
          <w:lang w:val="en-US" w:eastAsia="zh-CN"/>
        </w:rPr>
        <w:t>对外开放项目支出减少。</w:t>
      </w:r>
    </w:p>
    <w:p>
      <w:pPr>
        <w:pStyle w:val="6"/>
        <w:keepNext w:val="0"/>
        <w:keepLines w:val="0"/>
        <w:pageBreakBefore w:val="0"/>
        <w:widowControl/>
        <w:kinsoku/>
        <w:wordWrap/>
        <w:topLinePunct w:val="0"/>
        <w:autoSpaceDE/>
        <w:autoSpaceDN/>
        <w:bidi w:val="0"/>
        <w:adjustRightInd/>
        <w:snapToGrid/>
        <w:spacing w:before="100" w:after="100" w:line="520" w:lineRule="exact"/>
        <w:ind w:left="0" w:leftChars="0" w:right="0" w:firstLine="562" w:firstLineChars="200"/>
        <w:jc w:val="both"/>
        <w:textAlignment w:val="auto"/>
        <w:rPr>
          <w:rFonts w:ascii="Times New Roman" w:hAnsi="Times New Roman" w:eastAsia="Times New Roman" w:cs="Times New Roman"/>
          <w:b/>
          <w:bCs/>
          <w:kern w:val="0"/>
          <w:sz w:val="28"/>
          <w:szCs w:val="28"/>
        </w:rPr>
      </w:pPr>
      <w:bookmarkStart w:id="81" w:name="_Toc256000022"/>
      <w:bookmarkStart w:id="82" w:name="_Toc256000084"/>
      <w:bookmarkStart w:id="83" w:name="_Toc256000115"/>
      <w:bookmarkStart w:id="84" w:name="_Toc256000053"/>
      <w:r>
        <w:rPr>
          <w:rFonts w:ascii="黑体" w:hAnsi="黑体" w:eastAsia="黑体" w:cs="黑体"/>
          <w:b/>
          <w:spacing w:val="0"/>
          <w:sz w:val="28"/>
          <w:szCs w:val="28"/>
        </w:rPr>
        <w:t>五、国有资本经营预算财政拨款支出决算情况说明</w:t>
      </w:r>
      <w:bookmarkEnd w:id="81"/>
      <w:bookmarkEnd w:id="82"/>
      <w:bookmarkEnd w:id="83"/>
      <w:bookmarkEnd w:id="84"/>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left="0" w:right="0" w:firstLine="640"/>
        <w:jc w:val="both"/>
        <w:textAlignment w:val="auto"/>
        <w:rPr>
          <w:rFonts w:ascii="仿宋" w:hAnsi="仿宋" w:eastAsia="仿宋" w:cs="仿宋"/>
          <w:spacing w:val="0"/>
          <w:kern w:val="0"/>
          <w:sz w:val="28"/>
          <w:szCs w:val="28"/>
          <w:lang w:eastAsia="zh-CN"/>
        </w:rPr>
      </w:pPr>
      <w:bookmarkStart w:id="85" w:name="_Toc256000023"/>
      <w:bookmarkStart w:id="86" w:name="_Toc256000116"/>
      <w:bookmarkStart w:id="87" w:name="_Toc256000085"/>
      <w:bookmarkStart w:id="88" w:name="_Toc256000054"/>
      <w:r>
        <w:rPr>
          <w:rFonts w:ascii="仿宋" w:hAnsi="仿宋" w:eastAsia="仿宋" w:cs="仿宋"/>
          <w:spacing w:val="0"/>
          <w:kern w:val="0"/>
          <w:sz w:val="28"/>
          <w:szCs w:val="28"/>
        </w:rPr>
        <w:t>2024年度国有资本经营预算支出0万元，比上年决算数增加0万元，增长0%</w:t>
      </w:r>
      <w:r>
        <w:rPr>
          <w:rFonts w:ascii="仿宋" w:hAnsi="仿宋" w:eastAsia="仿宋" w:cs="仿宋"/>
          <w:spacing w:val="0"/>
          <w:kern w:val="0"/>
          <w:sz w:val="28"/>
          <w:szCs w:val="28"/>
          <w:lang w:eastAsia="zh-CN"/>
        </w:rPr>
        <w:t>。</w:t>
      </w:r>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4"/>
        </w:rPr>
      </w:pPr>
      <w:r>
        <w:rPr>
          <w:rFonts w:ascii="仿宋" w:hAnsi="仿宋" w:eastAsia="仿宋" w:cs="仿宋"/>
          <w:spacing w:val="0"/>
          <w:kern w:val="0"/>
          <w:sz w:val="28"/>
          <w:szCs w:val="28"/>
        </w:rPr>
        <w:t>本单位2024年度没有使用国有资本经营预算财政拨款安排的支出。</w:t>
      </w:r>
    </w:p>
    <w:p>
      <w:pPr>
        <w:pStyle w:val="6"/>
        <w:keepNext w:val="0"/>
        <w:keepLines w:val="0"/>
        <w:pageBreakBefore w:val="0"/>
        <w:widowControl/>
        <w:kinsoku/>
        <w:wordWrap/>
        <w:topLinePunct w:val="0"/>
        <w:autoSpaceDE/>
        <w:autoSpaceDN/>
        <w:bidi w:val="0"/>
        <w:adjustRightInd/>
        <w:snapToGrid/>
        <w:spacing w:before="100" w:after="100" w:line="520" w:lineRule="exact"/>
        <w:ind w:left="0" w:right="0" w:firstLine="640" w:firstLineChars="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sz w:val="28"/>
          <w:szCs w:val="28"/>
        </w:rPr>
        <w:t>六、一般公共预算财政拨款基本支出决算情况说明</w:t>
      </w:r>
      <w:bookmarkEnd w:id="85"/>
      <w:bookmarkEnd w:id="86"/>
      <w:bookmarkEnd w:id="87"/>
      <w:bookmarkEnd w:id="88"/>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2024年度一般公共预算财政拨款基本支出2465.89万元，其中：</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一）人员经费2242.08万元，主要包括：基本工资、津贴补贴、奖金、绩效工资、机关事业单位基本养老保险缴费、职业年金缴费、职工基本医疗保险缴费、公务员医疗补助缴费、其他社会保障缴费、住房公积金、医疗费、其他工资福利支出、离休费、退休费、抚恤金、生活补助、医疗费补助、奖励金、其他对个人和家庭的补助。</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r>
        <w:rPr>
          <w:rFonts w:ascii="仿宋" w:hAnsi="仿宋" w:eastAsia="仿宋" w:cs="仿宋"/>
          <w:spacing w:val="0"/>
          <w:kern w:val="0"/>
          <w:sz w:val="28"/>
          <w:szCs w:val="28"/>
        </w:rPr>
        <w:t>（二）公用经费223.81万元，主要包括：办公费、印刷费、咨询费、手续费、水费、电费、邮电费、取暖费、物业管理费、差旅费、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赠与。</w:t>
      </w:r>
    </w:p>
    <w:p>
      <w:pPr>
        <w:pStyle w:val="6"/>
        <w:keepNext w:val="0"/>
        <w:keepLines w:val="0"/>
        <w:pageBreakBefore w:val="0"/>
        <w:widowControl/>
        <w:kinsoku/>
        <w:wordWrap/>
        <w:topLinePunct w:val="0"/>
        <w:autoSpaceDE/>
        <w:autoSpaceDN/>
        <w:bidi w:val="0"/>
        <w:adjustRightInd/>
        <w:snapToGrid/>
        <w:spacing w:before="100" w:after="100" w:line="520" w:lineRule="exact"/>
        <w:ind w:left="0" w:right="0" w:firstLine="640" w:firstLineChars="0"/>
        <w:jc w:val="both"/>
        <w:textAlignment w:val="auto"/>
        <w:rPr>
          <w:rFonts w:ascii="Times New Roman" w:hAnsi="Times New Roman" w:eastAsia="Times New Roman" w:cs="Times New Roman"/>
          <w:b/>
          <w:bCs/>
          <w:kern w:val="0"/>
          <w:sz w:val="28"/>
          <w:szCs w:val="28"/>
        </w:rPr>
      </w:pPr>
      <w:bookmarkStart w:id="89" w:name="_Toc256000086"/>
      <w:bookmarkStart w:id="90" w:name="_Toc256000055"/>
      <w:bookmarkStart w:id="91" w:name="_Toc256000024"/>
      <w:bookmarkStart w:id="92" w:name="_Toc256000117"/>
      <w:r>
        <w:rPr>
          <w:rFonts w:ascii="黑体" w:hAnsi="黑体" w:eastAsia="黑体" w:cs="黑体"/>
          <w:b/>
          <w:spacing w:val="0"/>
          <w:sz w:val="28"/>
          <w:szCs w:val="28"/>
        </w:rPr>
        <w:t>七、一般公共预算拨款“三公”经费支出决算情况说明</w:t>
      </w:r>
      <w:bookmarkEnd w:id="89"/>
      <w:bookmarkEnd w:id="90"/>
      <w:bookmarkEnd w:id="91"/>
      <w:bookmarkEnd w:id="92"/>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left="0" w:right="0" w:firstLine="704"/>
        <w:jc w:val="both"/>
        <w:textAlignment w:val="auto"/>
        <w:rPr>
          <w:rFonts w:ascii="Times New Roman" w:hAnsi="Times New Roman" w:eastAsia="Times New Roman" w:cs="Times New Roman"/>
          <w:kern w:val="0"/>
          <w:sz w:val="28"/>
          <w:szCs w:val="28"/>
        </w:rPr>
      </w:pPr>
      <w:bookmarkStart w:id="93" w:name="_Toc256000087"/>
      <w:bookmarkStart w:id="94" w:name="_Toc256000056"/>
      <w:bookmarkStart w:id="95" w:name="_Toc256000025"/>
      <w:bookmarkStart w:id="96" w:name="_Toc256000118"/>
      <w:r>
        <w:rPr>
          <w:rFonts w:ascii="仿宋" w:hAnsi="仿宋" w:eastAsia="仿宋" w:cs="仿宋"/>
          <w:spacing w:val="0"/>
          <w:kern w:val="0"/>
          <w:sz w:val="28"/>
          <w:szCs w:val="28"/>
        </w:rPr>
        <w:t>2024年度一般公共预算拨款“三公”经费支出0万元，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主要原因是</w:t>
      </w:r>
      <w:r>
        <w:rPr>
          <w:rFonts w:ascii="仿宋" w:hAnsi="仿宋" w:eastAsia="仿宋" w:cs="仿宋"/>
          <w:kern w:val="0"/>
          <w:sz w:val="28"/>
          <w:szCs w:val="28"/>
          <w:shd w:val="clear" w:fill="FFFFFF"/>
          <w:lang w:eastAsia="zh-CN"/>
        </w:rPr>
        <w:t>本单位没有使用“三公”经费支出</w:t>
      </w:r>
      <w:r>
        <w:rPr>
          <w:rFonts w:ascii="仿宋" w:hAnsi="仿宋" w:eastAsia="仿宋" w:cs="仿宋"/>
          <w:kern w:val="0"/>
          <w:sz w:val="28"/>
          <w:szCs w:val="28"/>
          <w:shd w:val="clear" w:fill="FFFFFF"/>
        </w:rPr>
        <w:t>。</w:t>
      </w:r>
      <w:r>
        <w:rPr>
          <w:rFonts w:ascii="仿宋" w:hAnsi="仿宋" w:eastAsia="仿宋" w:cs="仿宋"/>
          <w:spacing w:val="0"/>
          <w:kern w:val="0"/>
          <w:sz w:val="28"/>
          <w:szCs w:val="28"/>
        </w:rPr>
        <w:t>具体情况如下：</w:t>
      </w:r>
    </w:p>
    <w:p>
      <w:pPr>
        <w:pStyle w:val="30"/>
        <w:keepNext w:val="0"/>
        <w:keepLines w:val="0"/>
        <w:pageBreakBefore w:val="0"/>
        <w:widowControl/>
        <w:numPr>
          <w:ilvl w:val="0"/>
          <w:numId w:val="0"/>
        </w:numPr>
        <w:kinsoku/>
        <w:wordWrap/>
        <w:overflowPunct w:val="0"/>
        <w:topLinePunct w:val="0"/>
        <w:autoSpaceDE/>
        <w:autoSpaceDN/>
        <w:bidi w:val="0"/>
        <w:adjustRightInd/>
        <w:snapToGrid/>
        <w:spacing w:before="240" w:after="240" w:line="520" w:lineRule="exact"/>
        <w:ind w:left="0" w:firstLine="640"/>
        <w:jc w:val="both"/>
        <w:textAlignment w:val="auto"/>
        <w:rPr>
          <w:rFonts w:ascii="仿宋" w:hAnsi="仿宋" w:eastAsia="仿宋" w:cs="仿宋"/>
          <w:kern w:val="0"/>
          <w:sz w:val="28"/>
          <w:szCs w:val="28"/>
          <w:lang w:val="en-US" w:eastAsia="zh-CN"/>
        </w:rPr>
      </w:pPr>
      <w:r>
        <w:rPr>
          <w:rFonts w:ascii="仿宋" w:hAnsi="仿宋" w:eastAsia="仿宋" w:cs="仿宋"/>
          <w:spacing w:val="0"/>
          <w:kern w:val="0"/>
          <w:sz w:val="28"/>
          <w:szCs w:val="28"/>
          <w:lang w:eastAsia="zh-CN"/>
        </w:rPr>
        <w:t>（一）</w:t>
      </w:r>
      <w:r>
        <w:rPr>
          <w:rFonts w:ascii="仿宋" w:hAnsi="仿宋" w:eastAsia="仿宋" w:cs="仿宋"/>
          <w:spacing w:val="0"/>
          <w:kern w:val="0"/>
          <w:sz w:val="28"/>
          <w:szCs w:val="28"/>
        </w:rPr>
        <w:t>因公出国（境）费支出0.00万元，</w:t>
      </w:r>
      <w:r>
        <w:rPr>
          <w:rFonts w:ascii="仿宋" w:hAnsi="仿宋" w:eastAsia="仿宋" w:cs="仿宋"/>
          <w:spacing w:val="0"/>
          <w:kern w:val="0"/>
          <w:sz w:val="28"/>
          <w:szCs w:val="28"/>
          <w:lang w:eastAsia="zh-CN"/>
        </w:rPr>
        <w:t>与</w:t>
      </w:r>
      <w:r>
        <w:rPr>
          <w:rFonts w:ascii="仿宋" w:hAnsi="仿宋" w:eastAsia="仿宋" w:cs="仿宋"/>
          <w:spacing w:val="0"/>
          <w:kern w:val="0"/>
          <w:sz w:val="28"/>
          <w:szCs w:val="28"/>
        </w:rPr>
        <w:t>全年预算</w:t>
      </w:r>
      <w:r>
        <w:rPr>
          <w:rFonts w:ascii="仿宋" w:hAnsi="仿宋" w:eastAsia="仿宋" w:cs="仿宋"/>
          <w:spacing w:val="0"/>
          <w:kern w:val="0"/>
          <w:sz w:val="28"/>
          <w:szCs w:val="28"/>
          <w:lang w:val="en-US" w:eastAsia="zh-CN"/>
        </w:rPr>
        <w:t>0.00万元持平，</w:t>
      </w:r>
      <w:r>
        <w:rPr>
          <w:rFonts w:ascii="仿宋" w:hAnsi="仿宋" w:eastAsia="仿宋" w:cs="仿宋"/>
          <w:spacing w:val="0"/>
          <w:kern w:val="0"/>
          <w:sz w:val="28"/>
          <w:szCs w:val="28"/>
        </w:rPr>
        <w:t>较上年</w:t>
      </w:r>
      <w:r>
        <w:rPr>
          <w:rFonts w:ascii="仿宋" w:hAnsi="仿宋" w:eastAsia="仿宋" w:cs="仿宋"/>
          <w:spacing w:val="0"/>
          <w:kern w:val="0"/>
          <w:sz w:val="28"/>
          <w:szCs w:val="28"/>
          <w:lang w:eastAsia="zh-CN"/>
        </w:rPr>
        <w:t>决算的</w:t>
      </w:r>
      <w:r>
        <w:rPr>
          <w:rFonts w:ascii="仿宋" w:hAnsi="仿宋" w:eastAsia="仿宋" w:cs="仿宋"/>
          <w:spacing w:val="0"/>
          <w:kern w:val="0"/>
          <w:sz w:val="28"/>
          <w:szCs w:val="28"/>
          <w:lang w:val="en-US" w:eastAsia="zh-CN"/>
        </w:rPr>
        <w:t>0.00万元相比持平。</w:t>
      </w:r>
      <w:r>
        <w:rPr>
          <w:rFonts w:ascii="仿宋" w:hAnsi="仿宋" w:eastAsia="仿宋" w:cs="仿宋"/>
          <w:spacing w:val="0"/>
          <w:kern w:val="0"/>
          <w:sz w:val="28"/>
          <w:szCs w:val="28"/>
        </w:rPr>
        <w:t>全年安排本</w:t>
      </w:r>
      <w:r>
        <w:rPr>
          <w:rFonts w:ascii="仿宋" w:hAnsi="仿宋" w:eastAsia="仿宋" w:cs="仿宋"/>
          <w:spacing w:val="0"/>
          <w:kern w:val="0"/>
          <w:sz w:val="28"/>
          <w:szCs w:val="28"/>
          <w:lang w:eastAsia="zh-CN"/>
        </w:rPr>
        <w:t>单位</w:t>
      </w:r>
      <w:r>
        <w:rPr>
          <w:rFonts w:ascii="仿宋" w:hAnsi="仿宋" w:eastAsia="仿宋" w:cs="仿宋"/>
          <w:spacing w:val="0"/>
          <w:kern w:val="0"/>
          <w:sz w:val="28"/>
          <w:szCs w:val="28"/>
        </w:rPr>
        <w:t>组织的出国团组0 个，参加其他</w:t>
      </w:r>
      <w:r>
        <w:rPr>
          <w:rFonts w:ascii="仿宋" w:hAnsi="仿宋" w:eastAsia="仿宋" w:cs="仿宋"/>
          <w:spacing w:val="0"/>
          <w:kern w:val="0"/>
          <w:sz w:val="28"/>
          <w:szCs w:val="28"/>
          <w:lang w:eastAsia="zh-CN"/>
        </w:rPr>
        <w:t>单位</w:t>
      </w:r>
      <w:r>
        <w:rPr>
          <w:rFonts w:ascii="仿宋" w:hAnsi="仿宋" w:eastAsia="仿宋" w:cs="仿宋"/>
          <w:spacing w:val="0"/>
          <w:kern w:val="0"/>
          <w:sz w:val="28"/>
          <w:szCs w:val="28"/>
        </w:rPr>
        <w:t>出国团组</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 个；全年因公出国（境）累计0人次。主要是</w:t>
      </w:r>
      <w:r>
        <w:rPr>
          <w:rFonts w:ascii="仿宋" w:hAnsi="仿宋" w:eastAsia="仿宋" w:cs="仿宋"/>
          <w:spacing w:val="0"/>
          <w:kern w:val="0"/>
          <w:sz w:val="28"/>
          <w:szCs w:val="28"/>
          <w:lang w:val="en-US" w:eastAsia="zh-CN"/>
        </w:rPr>
        <w:t>本单位没有组织出国团组及参加其他</w:t>
      </w:r>
      <w:r>
        <w:rPr>
          <w:rFonts w:hint="eastAsia" w:ascii="仿宋" w:hAnsi="仿宋" w:eastAsia="仿宋" w:cs="仿宋"/>
          <w:spacing w:val="0"/>
          <w:kern w:val="0"/>
          <w:sz w:val="28"/>
          <w:szCs w:val="28"/>
          <w:lang w:val="en-US" w:eastAsia="zh-CN"/>
        </w:rPr>
        <w:t>单位</w:t>
      </w:r>
      <w:r>
        <w:rPr>
          <w:rFonts w:ascii="仿宋" w:hAnsi="仿宋" w:eastAsia="仿宋" w:cs="仿宋"/>
          <w:spacing w:val="0"/>
          <w:kern w:val="0"/>
          <w:sz w:val="28"/>
          <w:szCs w:val="28"/>
          <w:lang w:val="en-US" w:eastAsia="zh-CN"/>
        </w:rPr>
        <w:t xml:space="preserve">出国团组。 </w:t>
      </w:r>
      <w:r>
        <w:rPr>
          <w:rFonts w:ascii="仿宋" w:hAnsi="仿宋" w:eastAsia="仿宋" w:cs="仿宋"/>
          <w:kern w:val="0"/>
          <w:sz w:val="28"/>
          <w:szCs w:val="28"/>
          <w:lang w:val="en-US" w:eastAsia="zh-CN"/>
        </w:rPr>
        <w:t xml:space="preserve"> </w:t>
      </w:r>
    </w:p>
    <w:p>
      <w:pPr>
        <w:pStyle w:val="30"/>
        <w:keepNext w:val="0"/>
        <w:keepLines w:val="0"/>
        <w:pageBreakBefore w:val="0"/>
        <w:widowControl/>
        <w:numPr>
          <w:ilvl w:val="0"/>
          <w:numId w:val="0"/>
        </w:numPr>
        <w:kinsoku/>
        <w:wordWrap/>
        <w:overflowPunct w:val="0"/>
        <w:topLinePunct w:val="0"/>
        <w:autoSpaceDE/>
        <w:autoSpaceDN/>
        <w:bidi w:val="0"/>
        <w:adjustRightInd/>
        <w:snapToGrid/>
        <w:spacing w:before="240" w:after="240" w:line="520" w:lineRule="exact"/>
        <w:ind w:left="0" w:firstLine="640"/>
        <w:jc w:val="both"/>
        <w:textAlignment w:val="auto"/>
        <w:rPr>
          <w:rFonts w:ascii="仿宋" w:hAnsi="仿宋" w:eastAsia="仿宋" w:cs="仿宋"/>
          <w:kern w:val="0"/>
          <w:sz w:val="28"/>
          <w:szCs w:val="28"/>
        </w:rPr>
      </w:pPr>
      <w:r>
        <w:rPr>
          <w:rFonts w:ascii="仿宋" w:hAnsi="仿宋" w:eastAsia="仿宋" w:cs="仿宋"/>
          <w:kern w:val="0"/>
          <w:sz w:val="28"/>
          <w:szCs w:val="28"/>
        </w:rPr>
        <w:t>（二）公务用车购置及运行费支出0.00万元，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主要是</w:t>
      </w:r>
      <w:r>
        <w:rPr>
          <w:rFonts w:ascii="仿宋" w:hAnsi="仿宋" w:eastAsia="仿宋" w:cs="仿宋"/>
          <w:color w:val="000000"/>
          <w:kern w:val="0"/>
          <w:sz w:val="28"/>
          <w:szCs w:val="28"/>
          <w:lang w:val="en-US" w:eastAsia="zh-CN" w:bidi="ar-SA"/>
        </w:rPr>
        <w:t>本单位没有购置公务用车及运行费</w:t>
      </w:r>
      <w:r>
        <w:rPr>
          <w:rFonts w:hint="eastAsia" w:ascii="仿宋" w:hAnsi="仿宋" w:eastAsia="仿宋" w:cs="仿宋"/>
          <w:color w:val="000000"/>
          <w:kern w:val="0"/>
          <w:sz w:val="28"/>
          <w:szCs w:val="28"/>
          <w:lang w:val="en-US" w:eastAsia="zh-CN" w:bidi="ar-SA"/>
        </w:rPr>
        <w:t>维护</w:t>
      </w:r>
      <w:r>
        <w:rPr>
          <w:rFonts w:ascii="仿宋" w:hAnsi="仿宋" w:eastAsia="仿宋" w:cs="仿宋"/>
          <w:color w:val="000000"/>
          <w:kern w:val="0"/>
          <w:sz w:val="28"/>
          <w:szCs w:val="28"/>
          <w:lang w:val="en-US" w:eastAsia="zh-CN" w:bidi="ar-SA"/>
        </w:rPr>
        <w:t>支出。</w:t>
      </w:r>
      <w:r>
        <w:rPr>
          <w:rFonts w:ascii="仿宋" w:hAnsi="仿宋" w:eastAsia="仿宋" w:cs="仿宋"/>
          <w:kern w:val="0"/>
          <w:sz w:val="28"/>
          <w:szCs w:val="28"/>
        </w:rPr>
        <w:t>其中：</w:t>
      </w:r>
    </w:p>
    <w:p>
      <w:pPr>
        <w:pStyle w:val="30"/>
        <w:keepNext w:val="0"/>
        <w:keepLines w:val="0"/>
        <w:pageBreakBefore w:val="0"/>
        <w:widowControl/>
        <w:numPr>
          <w:ilvl w:val="0"/>
          <w:numId w:val="0"/>
        </w:numPr>
        <w:kinsoku/>
        <w:wordWrap/>
        <w:overflowPunct w:val="0"/>
        <w:topLinePunct w:val="0"/>
        <w:autoSpaceDE/>
        <w:autoSpaceDN/>
        <w:bidi w:val="0"/>
        <w:adjustRightInd/>
        <w:snapToGrid/>
        <w:spacing w:before="240" w:after="240" w:line="520" w:lineRule="exact"/>
        <w:ind w:left="0" w:firstLine="640"/>
        <w:jc w:val="both"/>
        <w:textAlignment w:val="auto"/>
        <w:rPr>
          <w:rFonts w:ascii="仿宋" w:hAnsi="仿宋" w:eastAsia="仿宋" w:cs="仿宋"/>
          <w:kern w:val="0"/>
          <w:sz w:val="28"/>
          <w:szCs w:val="28"/>
          <w:lang w:val="en-US" w:eastAsia="zh-CN"/>
        </w:rPr>
      </w:pPr>
      <w:r>
        <w:rPr>
          <w:rFonts w:ascii="仿宋" w:hAnsi="仿宋" w:eastAsia="仿宋" w:cs="仿宋"/>
          <w:kern w:val="0"/>
          <w:sz w:val="28"/>
          <w:szCs w:val="28"/>
          <w:lang w:val="en-US" w:eastAsia="zh-CN"/>
        </w:rPr>
        <w:t>公务用车购置费支出0.00万元，与全年预算0.00万元持平，较上年决算的0.00万元相比持平。2024年公务用车购置0 辆。主要是本</w:t>
      </w:r>
      <w:r>
        <w:rPr>
          <w:rFonts w:ascii="仿宋" w:hAnsi="仿宋" w:eastAsia="仿宋" w:cs="仿宋"/>
          <w:color w:val="000000"/>
          <w:kern w:val="0"/>
          <w:sz w:val="28"/>
          <w:szCs w:val="28"/>
          <w:lang w:val="en-US" w:eastAsia="zh-CN" w:bidi="ar-SA"/>
        </w:rPr>
        <w:t>单位</w:t>
      </w:r>
      <w:r>
        <w:rPr>
          <w:rFonts w:ascii="仿宋" w:hAnsi="仿宋" w:eastAsia="仿宋" w:cs="仿宋"/>
          <w:kern w:val="0"/>
          <w:sz w:val="28"/>
          <w:szCs w:val="28"/>
          <w:lang w:val="en-US" w:eastAsia="zh-CN"/>
        </w:rPr>
        <w:t>没有购置公务用车。</w:t>
      </w:r>
    </w:p>
    <w:p>
      <w:pPr>
        <w:pStyle w:val="30"/>
        <w:keepNext w:val="0"/>
        <w:keepLines w:val="0"/>
        <w:pageBreakBefore w:val="0"/>
        <w:widowControl/>
        <w:numPr>
          <w:ilvl w:val="0"/>
          <w:numId w:val="0"/>
        </w:numPr>
        <w:kinsoku/>
        <w:wordWrap/>
        <w:overflowPunct w:val="0"/>
        <w:topLinePunct w:val="0"/>
        <w:autoSpaceDE/>
        <w:autoSpaceDN/>
        <w:bidi w:val="0"/>
        <w:adjustRightInd/>
        <w:snapToGrid/>
        <w:spacing w:before="240" w:after="240" w:line="520" w:lineRule="exact"/>
        <w:ind w:left="0" w:firstLine="640"/>
        <w:jc w:val="both"/>
        <w:textAlignment w:val="auto"/>
        <w:rPr>
          <w:rFonts w:ascii="仿宋" w:hAnsi="仿宋" w:eastAsia="仿宋" w:cs="仿宋"/>
          <w:kern w:val="0"/>
          <w:sz w:val="28"/>
          <w:szCs w:val="28"/>
        </w:rPr>
      </w:pPr>
      <w:r>
        <w:rPr>
          <w:rFonts w:ascii="仿宋" w:hAnsi="仿宋" w:eastAsia="仿宋" w:cs="仿宋"/>
          <w:kern w:val="0"/>
          <w:sz w:val="28"/>
          <w:szCs w:val="28"/>
        </w:rPr>
        <w:t>公务用车运行费支出0.00万元，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主要是</w:t>
      </w:r>
      <w:r>
        <w:rPr>
          <w:rFonts w:ascii="仿宋" w:hAnsi="仿宋" w:eastAsia="仿宋" w:cs="仿宋"/>
          <w:color w:val="000000"/>
          <w:kern w:val="0"/>
          <w:sz w:val="28"/>
          <w:szCs w:val="28"/>
          <w:lang w:val="en-US" w:eastAsia="zh-CN" w:bidi="ar-SA"/>
        </w:rPr>
        <w:t>本单位没有公务用车运行</w:t>
      </w:r>
      <w:r>
        <w:rPr>
          <w:rFonts w:hint="eastAsia" w:ascii="仿宋" w:hAnsi="仿宋" w:eastAsia="仿宋" w:cs="仿宋"/>
          <w:color w:val="000000"/>
          <w:kern w:val="0"/>
          <w:sz w:val="28"/>
          <w:szCs w:val="28"/>
          <w:lang w:val="en-US" w:eastAsia="zh-CN" w:bidi="ar-SA"/>
        </w:rPr>
        <w:t>维护</w:t>
      </w:r>
      <w:r>
        <w:rPr>
          <w:rFonts w:ascii="仿宋" w:hAnsi="仿宋" w:eastAsia="仿宋" w:cs="仿宋"/>
          <w:color w:val="000000"/>
          <w:kern w:val="0"/>
          <w:sz w:val="28"/>
          <w:szCs w:val="28"/>
          <w:lang w:val="en-US" w:eastAsia="zh-CN" w:bidi="ar-SA"/>
        </w:rPr>
        <w:t>费的支出。</w:t>
      </w:r>
      <w:r>
        <w:rPr>
          <w:rFonts w:ascii="仿宋" w:hAnsi="仿宋" w:eastAsia="仿宋" w:cs="仿宋"/>
          <w:kern w:val="0"/>
          <w:sz w:val="28"/>
          <w:szCs w:val="28"/>
        </w:rPr>
        <w:t>截至20</w:t>
      </w:r>
      <w:r>
        <w:rPr>
          <w:rFonts w:ascii="仿宋" w:hAnsi="仿宋" w:eastAsia="仿宋" w:cs="仿宋"/>
          <w:kern w:val="0"/>
          <w:sz w:val="28"/>
          <w:szCs w:val="28"/>
          <w:lang w:val="en-US" w:eastAsia="zh-CN"/>
        </w:rPr>
        <w:t>24</w:t>
      </w:r>
      <w:r>
        <w:rPr>
          <w:rFonts w:ascii="仿宋" w:hAnsi="仿宋" w:eastAsia="仿宋" w:cs="仿宋"/>
          <w:kern w:val="0"/>
          <w:sz w:val="28"/>
          <w:szCs w:val="28"/>
        </w:rPr>
        <w:t>年12月31日，本</w:t>
      </w:r>
      <w:r>
        <w:rPr>
          <w:rFonts w:ascii="仿宋" w:hAnsi="仿宋" w:eastAsia="仿宋" w:cs="仿宋"/>
          <w:color w:val="000000"/>
          <w:kern w:val="0"/>
          <w:sz w:val="28"/>
          <w:szCs w:val="28"/>
          <w:lang w:val="en-US" w:eastAsia="zh-CN" w:bidi="ar-SA"/>
        </w:rPr>
        <w:t>单位</w:t>
      </w:r>
      <w:r>
        <w:rPr>
          <w:rFonts w:ascii="仿宋" w:hAnsi="仿宋" w:eastAsia="仿宋" w:cs="仿宋"/>
          <w:kern w:val="0"/>
          <w:sz w:val="28"/>
          <w:szCs w:val="28"/>
        </w:rPr>
        <w:t>公务用车保有量为0辆。</w:t>
      </w:r>
    </w:p>
    <w:p>
      <w:pPr>
        <w:pStyle w:val="30"/>
        <w:keepNext w:val="0"/>
        <w:keepLines w:val="0"/>
        <w:pageBreakBefore w:val="0"/>
        <w:widowControl/>
        <w:numPr>
          <w:ilvl w:val="0"/>
          <w:numId w:val="1"/>
        </w:numPr>
        <w:kinsoku/>
        <w:wordWrap/>
        <w:overflowPunct w:val="0"/>
        <w:topLinePunct w:val="0"/>
        <w:autoSpaceDE/>
        <w:autoSpaceDN/>
        <w:bidi w:val="0"/>
        <w:adjustRightInd/>
        <w:snapToGrid/>
        <w:spacing w:before="240" w:after="240" w:line="520" w:lineRule="exact"/>
        <w:ind w:firstLine="640"/>
        <w:jc w:val="both"/>
        <w:textAlignment w:val="auto"/>
        <w:rPr>
          <w:rFonts w:ascii="仿宋" w:hAnsi="仿宋" w:eastAsia="仿宋" w:cs="仿宋"/>
          <w:kern w:val="0"/>
          <w:sz w:val="28"/>
          <w:szCs w:val="28"/>
        </w:rPr>
      </w:pPr>
      <w:r>
        <w:rPr>
          <w:rFonts w:ascii="仿宋" w:hAnsi="仿宋" w:eastAsia="仿宋" w:cs="仿宋"/>
          <w:kern w:val="0"/>
          <w:sz w:val="28"/>
          <w:szCs w:val="28"/>
        </w:rPr>
        <w:t>公务接待费支出0.00万元，</w:t>
      </w:r>
      <w:r>
        <w:rPr>
          <w:rFonts w:ascii="仿宋" w:hAnsi="仿宋" w:eastAsia="仿宋" w:cs="仿宋"/>
          <w:kern w:val="0"/>
          <w:sz w:val="28"/>
          <w:szCs w:val="28"/>
          <w:lang w:eastAsia="zh-CN"/>
        </w:rPr>
        <w:t>与</w:t>
      </w:r>
      <w:r>
        <w:rPr>
          <w:rFonts w:ascii="仿宋" w:hAnsi="仿宋" w:eastAsia="仿宋" w:cs="仿宋"/>
          <w:kern w:val="0"/>
          <w:sz w:val="28"/>
          <w:szCs w:val="28"/>
        </w:rPr>
        <w:t>全年预算</w:t>
      </w:r>
      <w:r>
        <w:rPr>
          <w:rFonts w:ascii="仿宋" w:hAnsi="仿宋" w:eastAsia="仿宋" w:cs="仿宋"/>
          <w:kern w:val="0"/>
          <w:sz w:val="28"/>
          <w:szCs w:val="28"/>
          <w:lang w:val="en-US" w:eastAsia="zh-CN"/>
        </w:rPr>
        <w:t>0.00万元持平，</w:t>
      </w:r>
      <w:r>
        <w:rPr>
          <w:rFonts w:ascii="仿宋" w:hAnsi="仿宋" w:eastAsia="仿宋" w:cs="仿宋"/>
          <w:kern w:val="0"/>
          <w:sz w:val="28"/>
          <w:szCs w:val="28"/>
        </w:rPr>
        <w:t>较上年</w:t>
      </w:r>
      <w:r>
        <w:rPr>
          <w:rFonts w:ascii="仿宋" w:hAnsi="仿宋" w:eastAsia="仿宋" w:cs="仿宋"/>
          <w:kern w:val="0"/>
          <w:sz w:val="28"/>
          <w:szCs w:val="28"/>
          <w:lang w:eastAsia="zh-CN"/>
        </w:rPr>
        <w:t>决算的</w:t>
      </w:r>
      <w:r>
        <w:rPr>
          <w:rFonts w:ascii="仿宋" w:hAnsi="仿宋" w:eastAsia="仿宋" w:cs="仿宋"/>
          <w:kern w:val="0"/>
          <w:sz w:val="28"/>
          <w:szCs w:val="28"/>
          <w:lang w:val="en-US" w:eastAsia="zh-CN"/>
        </w:rPr>
        <w:t>0.00万元相比持平。</w:t>
      </w:r>
      <w:r>
        <w:rPr>
          <w:rFonts w:ascii="仿宋" w:hAnsi="仿宋" w:eastAsia="仿宋" w:cs="仿宋"/>
          <w:kern w:val="0"/>
          <w:sz w:val="28"/>
          <w:szCs w:val="28"/>
          <w:shd w:val="clear" w:fill="FFFFFF"/>
        </w:rPr>
        <w:t>主要是</w:t>
      </w:r>
      <w:r>
        <w:rPr>
          <w:rFonts w:ascii="仿宋" w:hAnsi="仿宋" w:eastAsia="仿宋" w:cs="仿宋"/>
          <w:color w:val="000000"/>
          <w:kern w:val="0"/>
          <w:sz w:val="28"/>
          <w:szCs w:val="28"/>
          <w:lang w:val="en-US" w:eastAsia="zh-CN" w:bidi="ar-SA"/>
        </w:rPr>
        <w:t>本单位没有公务接待活动。</w:t>
      </w:r>
      <w:r>
        <w:rPr>
          <w:rFonts w:ascii="仿宋" w:hAnsi="仿宋" w:eastAsia="仿宋" w:cs="仿宋"/>
          <w:kern w:val="0"/>
          <w:sz w:val="28"/>
          <w:szCs w:val="28"/>
        </w:rPr>
        <w:t>累计接待0 批次、0人次。</w:t>
      </w:r>
    </w:p>
    <w:p>
      <w:pPr>
        <w:pStyle w:val="6"/>
        <w:keepNext w:val="0"/>
        <w:keepLines w:val="0"/>
        <w:pageBreakBefore w:val="0"/>
        <w:widowControl/>
        <w:kinsoku/>
        <w:wordWrap/>
        <w:topLinePunct w:val="0"/>
        <w:autoSpaceDE/>
        <w:autoSpaceDN/>
        <w:bidi w:val="0"/>
        <w:adjustRightInd/>
        <w:snapToGrid/>
        <w:spacing w:before="100" w:after="100" w:line="520" w:lineRule="exact"/>
        <w:ind w:left="0" w:right="0" w:firstLine="640" w:firstLineChars="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sz w:val="28"/>
          <w:szCs w:val="28"/>
        </w:rPr>
        <w:t>八、预算绩效情况说明</w:t>
      </w:r>
      <w:bookmarkEnd w:id="93"/>
      <w:bookmarkEnd w:id="94"/>
      <w:bookmarkEnd w:id="95"/>
      <w:bookmarkEnd w:id="96"/>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仿宋" w:hAnsi="仿宋" w:eastAsia="仿宋" w:cs="仿宋"/>
          <w:spacing w:val="0"/>
          <w:kern w:val="0"/>
          <w:sz w:val="28"/>
          <w:szCs w:val="28"/>
        </w:rPr>
      </w:pPr>
      <w:bookmarkStart w:id="97" w:name="_Toc256000026"/>
      <w:bookmarkStart w:id="98" w:name="_Toc256000057"/>
      <w:bookmarkStart w:id="99" w:name="_Toc256000119"/>
      <w:bookmarkStart w:id="100" w:name="_Toc256000088"/>
      <w:r>
        <w:rPr>
          <w:rFonts w:ascii="仿宋" w:hAnsi="仿宋" w:eastAsia="仿宋" w:cs="仿宋"/>
          <w:spacing w:val="0"/>
          <w:kern w:val="0"/>
          <w:sz w:val="28"/>
          <w:szCs w:val="28"/>
        </w:rPr>
        <w:t>根据预算绩效管理要求，本单位组织对2024年度</w:t>
      </w:r>
      <w:r>
        <w:rPr>
          <w:rFonts w:hint="eastAsia" w:ascii="仿宋" w:hAnsi="仿宋" w:eastAsia="仿宋" w:cs="仿宋"/>
          <w:spacing w:val="0"/>
          <w:kern w:val="0"/>
          <w:sz w:val="28"/>
          <w:szCs w:val="28"/>
          <w:lang w:val="en-US" w:eastAsia="zh-CN"/>
        </w:rPr>
        <w:t>1</w:t>
      </w:r>
      <w:r>
        <w:rPr>
          <w:rFonts w:ascii="仿宋" w:hAnsi="仿宋" w:eastAsia="仿宋" w:cs="仿宋"/>
          <w:spacing w:val="0"/>
          <w:kern w:val="0"/>
          <w:sz w:val="28"/>
          <w:szCs w:val="28"/>
        </w:rPr>
        <w:t>个项目实施单位自评，</w:t>
      </w:r>
      <w:r>
        <w:rPr>
          <w:rFonts w:ascii="仿宋" w:hAnsi="仿宋" w:eastAsia="仿宋" w:cs="仿宋"/>
          <w:spacing w:val="0"/>
          <w:kern w:val="0"/>
          <w:sz w:val="28"/>
          <w:szCs w:val="28"/>
          <w:lang w:eastAsia="zh-CN"/>
        </w:rPr>
        <w:t>项目名称为</w:t>
      </w:r>
      <w:r>
        <w:rPr>
          <w:rFonts w:hint="eastAsia" w:ascii="仿宋" w:hAnsi="仿宋" w:eastAsia="仿宋" w:cs="仿宋"/>
          <w:spacing w:val="0"/>
          <w:kern w:val="0"/>
          <w:sz w:val="28"/>
          <w:szCs w:val="28"/>
        </w:rPr>
        <w:t>义务教育阶段家庭经济困难学生营养餐补助</w:t>
      </w:r>
      <w:r>
        <w:rPr>
          <w:rFonts w:ascii="仿宋" w:hAnsi="仿宋" w:eastAsia="仿宋" w:cs="仿宋"/>
          <w:spacing w:val="0"/>
          <w:kern w:val="0"/>
          <w:sz w:val="28"/>
          <w:szCs w:val="28"/>
        </w:rPr>
        <w:t>，涉及财政拨款资金共计</w:t>
      </w:r>
      <w:r>
        <w:rPr>
          <w:rFonts w:hint="eastAsia" w:ascii="仿宋" w:hAnsi="仿宋" w:eastAsia="仿宋" w:cs="仿宋"/>
          <w:spacing w:val="0"/>
          <w:kern w:val="0"/>
          <w:sz w:val="28"/>
          <w:szCs w:val="28"/>
        </w:rPr>
        <w:t>1.0914</w:t>
      </w:r>
      <w:r>
        <w:rPr>
          <w:rFonts w:ascii="仿宋" w:hAnsi="仿宋" w:eastAsia="仿宋" w:cs="仿宋"/>
          <w:spacing w:val="0"/>
          <w:kern w:val="0"/>
          <w:sz w:val="28"/>
          <w:szCs w:val="28"/>
        </w:rPr>
        <w:t>万元。（《项目支出绩效自评表》详见附件）</w:t>
      </w:r>
    </w:p>
    <w:p>
      <w:pPr>
        <w:pStyle w:val="6"/>
        <w:keepNext w:val="0"/>
        <w:keepLines w:val="0"/>
        <w:pageBreakBefore w:val="0"/>
        <w:widowControl/>
        <w:kinsoku/>
        <w:wordWrap/>
        <w:topLinePunct w:val="0"/>
        <w:autoSpaceDE/>
        <w:autoSpaceDN/>
        <w:bidi w:val="0"/>
        <w:adjustRightInd/>
        <w:snapToGrid/>
        <w:spacing w:before="100" w:after="100" w:line="520" w:lineRule="exact"/>
        <w:ind w:left="0" w:leftChars="0" w:right="0" w:firstLine="562" w:firstLineChars="200"/>
        <w:jc w:val="both"/>
        <w:textAlignment w:val="auto"/>
        <w:rPr>
          <w:rFonts w:ascii="Times New Roman" w:hAnsi="Times New Roman" w:eastAsia="Times New Roman" w:cs="Times New Roman"/>
          <w:b/>
          <w:bCs/>
          <w:kern w:val="0"/>
          <w:sz w:val="28"/>
          <w:szCs w:val="28"/>
        </w:rPr>
      </w:pPr>
      <w:r>
        <w:rPr>
          <w:rFonts w:ascii="黑体" w:hAnsi="黑体" w:eastAsia="黑体" w:cs="黑体"/>
          <w:b/>
          <w:spacing w:val="0"/>
          <w:sz w:val="28"/>
          <w:szCs w:val="28"/>
        </w:rPr>
        <w:t>九、其他重要事项说明</w:t>
      </w:r>
      <w:bookmarkEnd w:id="97"/>
      <w:bookmarkEnd w:id="98"/>
      <w:bookmarkEnd w:id="99"/>
      <w:bookmarkEnd w:id="100"/>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8"/>
          <w:szCs w:val="28"/>
        </w:rPr>
      </w:pPr>
      <w:r>
        <w:rPr>
          <w:rFonts w:ascii="楷体" w:hAnsi="楷体" w:eastAsia="楷体" w:cs="楷体"/>
          <w:b/>
          <w:bCs/>
          <w:spacing w:val="0"/>
          <w:kern w:val="0"/>
          <w:sz w:val="28"/>
          <w:szCs w:val="28"/>
        </w:rPr>
        <w:t>（一）机关运行经费</w:t>
      </w:r>
      <w:r>
        <w:rPr>
          <w:rFonts w:ascii="宋体" w:hAnsi="宋体" w:cs="宋体"/>
          <w:spacing w:val="0"/>
          <w:kern w:val="0"/>
          <w:sz w:val="28"/>
          <w:szCs w:val="28"/>
        </w:rPr>
        <w:t> </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0"/>
        <w:jc w:val="both"/>
        <w:textAlignment w:val="auto"/>
        <w:rPr>
          <w:rFonts w:ascii="仿宋" w:hAnsi="仿宋" w:eastAsia="仿宋" w:cs="仿宋"/>
          <w:spacing w:val="0"/>
          <w:kern w:val="0"/>
          <w:sz w:val="28"/>
          <w:szCs w:val="28"/>
        </w:rPr>
      </w:pPr>
      <w:r>
        <w:rPr>
          <w:rFonts w:ascii="仿宋" w:hAnsi="仿宋" w:eastAsia="仿宋" w:cs="仿宋"/>
          <w:spacing w:val="0"/>
          <w:kern w:val="0"/>
          <w:sz w:val="28"/>
          <w:szCs w:val="28"/>
        </w:rPr>
        <w:t>2024年度机关运行经费支出0万元，比上年决算数增加0万元，增长0%，主要原因是:本</w:t>
      </w:r>
      <w:r>
        <w:rPr>
          <w:rFonts w:hint="eastAsia" w:ascii="仿宋" w:hAnsi="仿宋" w:eastAsia="仿宋" w:cs="仿宋"/>
          <w:spacing w:val="0"/>
          <w:kern w:val="0"/>
          <w:sz w:val="28"/>
          <w:szCs w:val="28"/>
          <w:lang w:eastAsia="zh-CN"/>
        </w:rPr>
        <w:t>单位</w:t>
      </w:r>
      <w:r>
        <w:rPr>
          <w:rFonts w:ascii="仿宋" w:hAnsi="仿宋" w:eastAsia="仿宋" w:cs="仿宋"/>
          <w:spacing w:val="0"/>
          <w:kern w:val="0"/>
          <w:sz w:val="28"/>
          <w:szCs w:val="28"/>
        </w:rPr>
        <w:t>为事业单位没有机关运行经费。</w:t>
      </w:r>
    </w:p>
    <w:p>
      <w:pPr>
        <w:pStyle w:val="30"/>
        <w:keepNext w:val="0"/>
        <w:keepLines w:val="0"/>
        <w:pageBreakBefore w:val="0"/>
        <w:widowControl/>
        <w:kinsoku/>
        <w:wordWrap/>
        <w:topLinePunct w:val="0"/>
        <w:autoSpaceDE/>
        <w:autoSpaceDN/>
        <w:bidi w:val="0"/>
        <w:adjustRightInd/>
        <w:snapToGrid/>
        <w:spacing w:before="100" w:after="100" w:line="520" w:lineRule="exact"/>
        <w:ind w:left="0" w:right="0" w:firstLine="643"/>
        <w:jc w:val="both"/>
        <w:textAlignment w:val="auto"/>
        <w:rPr>
          <w:rFonts w:ascii="Times New Roman" w:hAnsi="Times New Roman" w:eastAsia="Times New Roman" w:cs="Times New Roman"/>
          <w:kern w:val="0"/>
          <w:sz w:val="28"/>
          <w:szCs w:val="28"/>
        </w:rPr>
      </w:pPr>
      <w:r>
        <w:rPr>
          <w:rStyle w:val="32"/>
          <w:rFonts w:ascii="楷体" w:hAnsi="楷体" w:eastAsia="楷体" w:cs="楷体"/>
          <w:b/>
          <w:bCs/>
          <w:spacing w:val="0"/>
          <w:kern w:val="0"/>
          <w:sz w:val="28"/>
          <w:szCs w:val="28"/>
        </w:rPr>
        <w:t>（二）政府采购情况</w:t>
      </w:r>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left="0" w:right="0" w:firstLine="640"/>
        <w:jc w:val="both"/>
        <w:textAlignment w:val="auto"/>
        <w:rPr>
          <w:rFonts w:ascii="Times New Roman" w:hAnsi="Times New Roman" w:eastAsia="Times New Roman" w:cs="Times New Roman"/>
          <w:kern w:val="0"/>
          <w:sz w:val="28"/>
          <w:szCs w:val="28"/>
        </w:rPr>
      </w:pPr>
      <w:bookmarkStart w:id="101" w:name="_Toc256000027"/>
      <w:bookmarkStart w:id="102" w:name="_Toc256000058"/>
      <w:bookmarkStart w:id="103" w:name="_Toc256000089"/>
      <w:bookmarkStart w:id="104" w:name="_Toc256000120"/>
      <w:r>
        <w:rPr>
          <w:rFonts w:ascii="仿宋" w:hAnsi="仿宋" w:eastAsia="仿宋" w:cs="仿宋"/>
          <w:spacing w:val="0"/>
          <w:kern w:val="0"/>
          <w:sz w:val="28"/>
          <w:szCs w:val="28"/>
        </w:rPr>
        <w:t>本单位2024年度政府采购支出总额0万元，其中：政府采购货物支出0万元、政府采购工程支出0万元、政府采购服务支出0万元。授予中小企业合同金额0万元，占政府采购支出总额的0%，其中：授予小微企业合同金额0万元，占授予中小企业合同金额的0%；货物采购授予中小企业合同金额占货物支出金额的</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%，工程采购授予中小企业合同金额占工程支出金额的</w:t>
      </w:r>
      <w:r>
        <w:rPr>
          <w:rFonts w:ascii="仿宋" w:hAnsi="仿宋" w:eastAsia="仿宋" w:cs="仿宋"/>
          <w:spacing w:val="0"/>
          <w:kern w:val="0"/>
          <w:sz w:val="28"/>
          <w:szCs w:val="28"/>
          <w:lang w:val="en-US" w:eastAsia="zh-CN"/>
        </w:rPr>
        <w:t>0</w:t>
      </w:r>
      <w:r>
        <w:rPr>
          <w:rFonts w:ascii="仿宋" w:hAnsi="仿宋" w:eastAsia="仿宋" w:cs="仿宋"/>
          <w:spacing w:val="0"/>
          <w:kern w:val="0"/>
          <w:sz w:val="28"/>
          <w:szCs w:val="28"/>
        </w:rPr>
        <w:t>%，服务采购授予中小企业合同金额占服务支出金额的</w:t>
      </w:r>
      <w:r>
        <w:rPr>
          <w:rFonts w:ascii="仿宋" w:hAnsi="仿宋" w:eastAsia="仿宋" w:cs="仿宋"/>
          <w:kern w:val="0"/>
          <w:sz w:val="28"/>
          <w:szCs w:val="28"/>
          <w:lang w:val="en-US" w:eastAsia="zh-CN"/>
        </w:rPr>
        <w:t>0</w:t>
      </w:r>
      <w:r>
        <w:rPr>
          <w:rFonts w:ascii="仿宋" w:hAnsi="仿宋" w:eastAsia="仿宋" w:cs="仿宋"/>
          <w:kern w:val="0"/>
          <w:sz w:val="28"/>
          <w:szCs w:val="28"/>
        </w:rPr>
        <w:t>%。</w:t>
      </w:r>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left="0" w:right="0" w:firstLine="640"/>
        <w:jc w:val="both"/>
        <w:textAlignment w:val="auto"/>
        <w:rPr>
          <w:rFonts w:ascii="仿宋" w:hAnsi="仿宋" w:eastAsia="仿宋" w:cs="仿宋"/>
          <w:spacing w:val="0"/>
          <w:kern w:val="0"/>
          <w:sz w:val="28"/>
          <w:szCs w:val="28"/>
        </w:rPr>
      </w:pPr>
      <w:r>
        <w:rPr>
          <w:rFonts w:ascii="仿宋" w:hAnsi="仿宋" w:eastAsia="仿宋" w:cs="仿宋"/>
          <w:spacing w:val="0"/>
          <w:kern w:val="0"/>
          <w:sz w:val="28"/>
          <w:szCs w:val="28"/>
        </w:rPr>
        <w:t>本单位2024年度没有政府采购支出。</w:t>
      </w:r>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left="0" w:right="0" w:firstLine="707"/>
        <w:jc w:val="both"/>
        <w:textAlignment w:val="auto"/>
        <w:rPr>
          <w:rFonts w:ascii="Times New Roman" w:hAnsi="Times New Roman" w:eastAsia="Times New Roman" w:cs="Times New Roman"/>
          <w:kern w:val="0"/>
          <w:sz w:val="28"/>
          <w:szCs w:val="28"/>
        </w:rPr>
      </w:pPr>
      <w:r>
        <w:rPr>
          <w:rStyle w:val="32"/>
          <w:rFonts w:ascii="楷体" w:hAnsi="楷体" w:eastAsia="楷体" w:cs="楷体"/>
          <w:b/>
          <w:bCs/>
          <w:spacing w:val="0"/>
          <w:kern w:val="0"/>
          <w:sz w:val="28"/>
          <w:szCs w:val="28"/>
        </w:rPr>
        <w:t>（三）国有资产占用使用情况</w:t>
      </w:r>
      <w:r>
        <w:rPr>
          <w:rFonts w:ascii="宋体" w:hAnsi="宋体" w:cs="宋体"/>
          <w:spacing w:val="0"/>
          <w:kern w:val="0"/>
          <w:sz w:val="28"/>
          <w:szCs w:val="28"/>
        </w:rPr>
        <w:t> </w:t>
      </w:r>
    </w:p>
    <w:p>
      <w:pPr>
        <w:pStyle w:val="30"/>
        <w:keepNext w:val="0"/>
        <w:keepLines w:val="0"/>
        <w:pageBreakBefore w:val="0"/>
        <w:widowControl/>
        <w:kinsoku/>
        <w:wordWrap/>
        <w:overflowPunct w:val="0"/>
        <w:topLinePunct w:val="0"/>
        <w:autoSpaceDE/>
        <w:autoSpaceDN/>
        <w:bidi w:val="0"/>
        <w:adjustRightInd/>
        <w:snapToGrid/>
        <w:spacing w:before="100" w:after="100" w:line="520" w:lineRule="exact"/>
        <w:ind w:left="0" w:right="0" w:firstLine="704"/>
        <w:jc w:val="both"/>
        <w:textAlignment w:val="auto"/>
        <w:rPr>
          <w:rFonts w:ascii="黑体" w:hAnsi="黑体" w:eastAsia="黑体" w:cs="黑体"/>
          <w:b/>
          <w:spacing w:val="0"/>
          <w:sz w:val="32"/>
          <w:szCs w:val="32"/>
        </w:rPr>
      </w:pPr>
      <w:r>
        <w:rPr>
          <w:rFonts w:ascii="仿宋" w:hAnsi="仿宋" w:eastAsia="仿宋" w:cs="仿宋"/>
          <w:spacing w:val="0"/>
          <w:kern w:val="0"/>
          <w:sz w:val="28"/>
          <w:szCs w:val="28"/>
        </w:rPr>
        <w:t>截至2024年12月31日，本单位共有车辆0 辆，其中：副部（省）级以上领导用车0 辆、主要领导干部用车0 辆、机要通信用车0辆、应急保障用车0辆、执法执勤用车0辆、特种专业技术用车0辆、离退休干部用车0辆、其他用车0辆；单位价值100万元以上设备（不含车辆）0台（套）。</w:t>
      </w:r>
      <w:r>
        <w:rPr>
          <w:rFonts w:ascii="Calibri" w:hAnsi="Calibri" w:eastAsia="Calibri" w:cs="Calibri"/>
          <w:spacing w:val="0"/>
          <w:kern w:val="0"/>
          <w:sz w:val="28"/>
          <w:szCs w:val="28"/>
        </w:rPr>
        <w:t> </w:t>
      </w:r>
    </w:p>
    <w:p>
      <w:pPr>
        <w:pStyle w:val="4"/>
        <w:keepNext w:val="0"/>
        <w:keepLines w:val="0"/>
        <w:spacing w:before="100" w:after="100" w:line="240" w:lineRule="auto"/>
        <w:ind w:left="0" w:right="0" w:firstLine="0" w:firstLineChars="0"/>
        <w:jc w:val="center"/>
        <w:rPr>
          <w:rFonts w:ascii="黑体" w:hAnsi="黑体" w:eastAsia="黑体" w:cs="黑体"/>
          <w:b/>
          <w:spacing w:val="0"/>
          <w:sz w:val="32"/>
          <w:szCs w:val="32"/>
        </w:rPr>
      </w:pPr>
    </w:p>
    <w:p>
      <w:pPr>
        <w:pStyle w:val="4"/>
        <w:keepNext w:val="0"/>
        <w:keepLines w:val="0"/>
        <w:spacing w:before="100" w:after="100" w:line="240" w:lineRule="auto"/>
        <w:ind w:left="0" w:right="0" w:firstLine="0" w:firstLineChars="0"/>
        <w:jc w:val="center"/>
        <w:rPr>
          <w:rFonts w:ascii="Times New Roman" w:hAnsi="Times New Roman" w:eastAsia="Times New Roman" w:cs="Times New Roman"/>
          <w:b/>
          <w:bCs/>
          <w:kern w:val="0"/>
          <w:sz w:val="18"/>
          <w:szCs w:val="18"/>
        </w:rPr>
      </w:pPr>
      <w:r>
        <w:rPr>
          <w:rFonts w:ascii="黑体" w:hAnsi="黑体" w:eastAsia="黑体" w:cs="黑体"/>
          <w:b/>
          <w:spacing w:val="0"/>
          <w:sz w:val="32"/>
          <w:szCs w:val="32"/>
        </w:rPr>
        <w:t>第四部分</w:t>
      </w:r>
      <w:bookmarkEnd w:id="101"/>
      <w:bookmarkEnd w:id="102"/>
      <w:bookmarkEnd w:id="103"/>
      <w:bookmarkEnd w:id="104"/>
      <w:bookmarkStart w:id="105" w:name="_Toc256000059"/>
      <w:bookmarkStart w:id="106" w:name="_Toc256000028"/>
      <w:bookmarkStart w:id="107" w:name="_Toc256000090"/>
      <w:bookmarkStart w:id="108" w:name="_Toc256000121"/>
      <w:r>
        <w:rPr>
          <w:rFonts w:hint="eastAsia" w:ascii="黑体" w:hAnsi="黑体" w:eastAsia="黑体" w:cs="黑体"/>
          <w:b/>
          <w:spacing w:val="0"/>
          <w:sz w:val="32"/>
          <w:szCs w:val="32"/>
          <w:lang w:val="en-US" w:eastAsia="zh-CN"/>
        </w:rPr>
        <w:t xml:space="preserve"> </w:t>
      </w:r>
      <w:r>
        <w:rPr>
          <w:rFonts w:ascii="黑体" w:hAnsi="黑体" w:eastAsia="黑体" w:cs="黑体"/>
          <w:b/>
          <w:spacing w:val="0"/>
          <w:sz w:val="32"/>
          <w:szCs w:val="32"/>
        </w:rPr>
        <w:t>名词解释</w:t>
      </w:r>
      <w:bookmarkEnd w:id="105"/>
      <w:bookmarkEnd w:id="106"/>
      <w:bookmarkEnd w:id="107"/>
      <w:bookmarkEnd w:id="108"/>
    </w:p>
    <w:p>
      <w:pPr>
        <w:pStyle w:val="30"/>
        <w:widowControl/>
        <w:spacing w:before="100" w:after="100"/>
        <w:ind w:left="0" w:right="0" w:firstLine="0"/>
        <w:jc w:val="center"/>
        <w:rPr>
          <w:rFonts w:ascii="Times New Roman" w:hAnsi="Times New Roman" w:eastAsia="Times New Roman" w:cs="Times New Roman"/>
          <w:kern w:val="0"/>
          <w:sz w:val="18"/>
          <w:szCs w:val="18"/>
        </w:rPr>
      </w:pPr>
    </w:p>
    <w:p>
      <w:pPr>
        <w:pStyle w:val="30"/>
        <w:widowControl/>
        <w:spacing w:before="100" w:after="100" w:line="600" w:lineRule="atLeast"/>
        <w:ind w:right="0" w:firstLine="562" w:firstLineChars="20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一、财政拨款收入：</w:t>
      </w:r>
      <w:r>
        <w:rPr>
          <w:rFonts w:ascii="仿宋" w:hAnsi="仿宋" w:eastAsia="仿宋" w:cs="仿宋"/>
          <w:spacing w:val="0"/>
          <w:kern w:val="0"/>
          <w:sz w:val="28"/>
          <w:szCs w:val="28"/>
        </w:rPr>
        <w:t>指单位从本级财政单位取得的财政预算资金，包括一般公共预算财政拨款、政府性基金预算财政拨款和国有资本经营预算财政拨款。</w:t>
      </w:r>
    </w:p>
    <w:p>
      <w:pPr>
        <w:pStyle w:val="30"/>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二、事业收入：</w:t>
      </w:r>
      <w:r>
        <w:rPr>
          <w:rFonts w:ascii="仿宋" w:hAnsi="仿宋" w:eastAsia="仿宋" w:cs="仿宋"/>
          <w:spacing w:val="0"/>
          <w:kern w:val="0"/>
          <w:sz w:val="28"/>
          <w:szCs w:val="28"/>
        </w:rPr>
        <w:t>指事业单位开展专业业务活动及辅助活动所取得的收入。</w:t>
      </w:r>
    </w:p>
    <w:p>
      <w:pPr>
        <w:pStyle w:val="30"/>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三、经营收入：</w:t>
      </w:r>
      <w:r>
        <w:rPr>
          <w:rFonts w:ascii="仿宋" w:hAnsi="仿宋" w:eastAsia="仿宋" w:cs="仿宋"/>
          <w:spacing w:val="0"/>
          <w:kern w:val="0"/>
          <w:sz w:val="28"/>
          <w:szCs w:val="28"/>
        </w:rPr>
        <w:t>指事业单位在专业业务活动及其辅助活动之外开展非独立核算经营活动取得的收入。</w:t>
      </w:r>
    </w:p>
    <w:p>
      <w:pPr>
        <w:pStyle w:val="30"/>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四、其他收入：</w:t>
      </w:r>
      <w:r>
        <w:rPr>
          <w:rFonts w:ascii="仿宋" w:hAnsi="仿宋" w:eastAsia="仿宋" w:cs="仿宋"/>
          <w:spacing w:val="0"/>
          <w:kern w:val="0"/>
          <w:sz w:val="28"/>
          <w:szCs w:val="28"/>
        </w:rPr>
        <w:t>指除上述“财政拨款收入”“事业收入”</w:t>
      </w:r>
      <w:r>
        <w:rPr>
          <w:rFonts w:ascii="宋体" w:hAnsi="宋体" w:cs="宋体"/>
          <w:spacing w:val="0"/>
          <w:kern w:val="0"/>
          <w:sz w:val="28"/>
          <w:szCs w:val="28"/>
        </w:rPr>
        <w:t> </w:t>
      </w:r>
      <w:r>
        <w:rPr>
          <w:rFonts w:ascii="仿宋" w:hAnsi="仿宋" w:eastAsia="仿宋" w:cs="仿宋"/>
          <w:spacing w:val="0"/>
          <w:kern w:val="0"/>
          <w:sz w:val="28"/>
          <w:szCs w:val="28"/>
        </w:rPr>
        <w:t>“上级补助收入”“附属单位上缴收入”“经营收入”等以外取得的各项收入。主要是事业单位固定资产出租收入等。</w:t>
      </w:r>
    </w:p>
    <w:p>
      <w:pPr>
        <w:pStyle w:val="30"/>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五、使用非财政拨款结余：</w:t>
      </w:r>
      <w:r>
        <w:rPr>
          <w:rFonts w:ascii="仿宋" w:hAnsi="仿宋" w:eastAsia="仿宋" w:cs="仿宋"/>
          <w:spacing w:val="0"/>
          <w:kern w:val="0"/>
          <w:sz w:val="28"/>
          <w:szCs w:val="28"/>
        </w:rPr>
        <w:t>指事业单位使用以前年度积累的非财政拨款结余弥补当年收支差额的金额。</w:t>
      </w:r>
    </w:p>
    <w:p>
      <w:pPr>
        <w:pStyle w:val="30"/>
        <w:widowControl/>
        <w:spacing w:before="100" w:after="100" w:line="600" w:lineRule="atLeast"/>
        <w:ind w:left="0" w:right="0" w:firstLine="71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六、年初结转和结余：</w:t>
      </w:r>
      <w:r>
        <w:rPr>
          <w:rFonts w:ascii="仿宋" w:hAnsi="仿宋" w:eastAsia="仿宋" w:cs="仿宋"/>
          <w:spacing w:val="0"/>
          <w:kern w:val="0"/>
          <w:sz w:val="28"/>
          <w:szCs w:val="28"/>
        </w:rPr>
        <w:t>指单位以前年度尚未完成、结转到本年仍按原规定用途继续使用的资金，或项目已完成等产生的结余资金。</w:t>
      </w:r>
    </w:p>
    <w:p>
      <w:pPr>
        <w:pStyle w:val="31"/>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七、结余分配：</w:t>
      </w:r>
      <w:r>
        <w:rPr>
          <w:rFonts w:ascii="仿宋" w:hAnsi="仿宋" w:eastAsia="仿宋" w:cs="仿宋"/>
          <w:spacing w:val="0"/>
          <w:kern w:val="0"/>
          <w:sz w:val="28"/>
          <w:szCs w:val="28"/>
        </w:rPr>
        <w:t>指事业单位按照会计制度规定缴纳的所得税、提取的专用结余以及转入非财政拨款结余的金额等。</w:t>
      </w:r>
    </w:p>
    <w:p>
      <w:pPr>
        <w:pStyle w:val="31"/>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八、年末结转和结余：</w:t>
      </w:r>
      <w:r>
        <w:rPr>
          <w:rFonts w:ascii="仿宋" w:hAnsi="仿宋" w:eastAsia="仿宋" w:cs="仿宋"/>
          <w:spacing w:val="0"/>
          <w:kern w:val="0"/>
          <w:sz w:val="28"/>
          <w:szCs w:val="28"/>
        </w:rPr>
        <w:t>指单位按有关规定结转到下年或以后年度继续使用的资金，或项目已完成等产生的结余资金。</w:t>
      </w:r>
    </w:p>
    <w:p>
      <w:pPr>
        <w:pStyle w:val="31"/>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九、基本支出：</w:t>
      </w:r>
      <w:r>
        <w:rPr>
          <w:rFonts w:ascii="仿宋" w:hAnsi="仿宋" w:eastAsia="仿宋" w:cs="仿宋"/>
          <w:spacing w:val="0"/>
          <w:kern w:val="0"/>
          <w:sz w:val="28"/>
          <w:szCs w:val="28"/>
        </w:rPr>
        <w:t>指为保障机构正常运转、完成日常工作任务而发生的人员支出和公用支出。</w:t>
      </w:r>
    </w:p>
    <w:p>
      <w:pPr>
        <w:pStyle w:val="31"/>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十、项目支出：</w:t>
      </w:r>
      <w:r>
        <w:rPr>
          <w:rFonts w:ascii="仿宋" w:hAnsi="仿宋" w:eastAsia="仿宋" w:cs="仿宋"/>
          <w:spacing w:val="0"/>
          <w:kern w:val="0"/>
          <w:sz w:val="28"/>
          <w:szCs w:val="28"/>
        </w:rPr>
        <w:t>指在基本支出之外为完成特定行政任务和事业发展目标所发生的支出。</w:t>
      </w:r>
    </w:p>
    <w:p>
      <w:pPr>
        <w:pStyle w:val="31"/>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十一、经营支出：</w:t>
      </w:r>
      <w:r>
        <w:rPr>
          <w:rFonts w:ascii="仿宋" w:hAnsi="仿宋" w:eastAsia="仿宋" w:cs="仿宋"/>
          <w:spacing w:val="0"/>
          <w:kern w:val="0"/>
          <w:sz w:val="28"/>
          <w:szCs w:val="28"/>
        </w:rPr>
        <w:t>指事业单位在专业业务活动及其辅助活动之外开展非独立核算经营活动发生的支出。</w:t>
      </w:r>
    </w:p>
    <w:p>
      <w:pPr>
        <w:pStyle w:val="31"/>
        <w:widowControl/>
        <w:spacing w:before="100" w:after="100" w:line="600" w:lineRule="atLeast"/>
        <w:ind w:left="0" w:right="0" w:firstLine="640"/>
        <w:jc w:val="both"/>
        <w:rPr>
          <w:rFonts w:ascii="Times New Roman" w:hAnsi="Times New Roman" w:eastAsia="Times New Roman" w:cs="Times New Roman"/>
          <w:kern w:val="0"/>
          <w:sz w:val="28"/>
          <w:szCs w:val="28"/>
        </w:rPr>
      </w:pPr>
      <w:r>
        <w:rPr>
          <w:rStyle w:val="32"/>
          <w:rFonts w:ascii="仿宋" w:hAnsi="仿宋" w:eastAsia="仿宋" w:cs="仿宋"/>
          <w:b/>
          <w:bCs/>
          <w:spacing w:val="0"/>
          <w:kern w:val="0"/>
          <w:sz w:val="28"/>
          <w:szCs w:val="28"/>
        </w:rPr>
        <w:t>十二、“三公”经费：</w:t>
      </w:r>
      <w:r>
        <w:rPr>
          <w:rFonts w:ascii="仿宋" w:hAnsi="仿宋" w:eastAsia="仿宋" w:cs="仿宋"/>
          <w:spacing w:val="0"/>
          <w:kern w:val="0"/>
          <w:sz w:val="28"/>
          <w:szCs w:val="28"/>
        </w:rPr>
        <w:t>纳入本级财政预决算管理的“三公”经费，是指本级单位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及燃料费、维修费、过桥过路费、保险费、安全奖励费用等支出；公务接待费反映单位按规定开支的各类公务接待（含外宾接待）支出。</w:t>
      </w:r>
    </w:p>
    <w:p>
      <w:pPr>
        <w:pStyle w:val="31"/>
        <w:widowControl/>
        <w:spacing w:before="100" w:after="100" w:line="600" w:lineRule="atLeast"/>
        <w:ind w:left="0" w:right="0" w:firstLine="640"/>
        <w:jc w:val="both"/>
        <w:rPr>
          <w:rFonts w:hint="eastAsia" w:ascii="黑体" w:hAnsi="黑体" w:eastAsia="黑体" w:cs="黑体"/>
          <w:b/>
          <w:sz w:val="32"/>
          <w:szCs w:val="32"/>
          <w:lang w:eastAsia="zh-CN"/>
        </w:rPr>
      </w:pPr>
      <w:r>
        <w:rPr>
          <w:rStyle w:val="32"/>
          <w:rFonts w:ascii="仿宋" w:hAnsi="仿宋" w:eastAsia="仿宋" w:cs="仿宋"/>
          <w:b/>
          <w:bCs/>
          <w:spacing w:val="0"/>
          <w:kern w:val="0"/>
          <w:sz w:val="28"/>
          <w:szCs w:val="28"/>
        </w:rPr>
        <w:t>十三、机关运行经费：</w:t>
      </w:r>
      <w:r>
        <w:rPr>
          <w:rFonts w:ascii="仿宋" w:hAnsi="仿宋" w:eastAsia="仿宋" w:cs="仿宋"/>
          <w:spacing w:val="0"/>
          <w:kern w:val="0"/>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109" w:name="_Toc256000123"/>
      <w:bookmarkStart w:id="110" w:name="_Toc256000092"/>
      <w:bookmarkStart w:id="111" w:name="_Toc256000030"/>
      <w:bookmarkStart w:id="112" w:name="_Toc256000061"/>
    </w:p>
    <w:p>
      <w:pPr>
        <w:pStyle w:val="4"/>
        <w:keepNext w:val="0"/>
        <w:keepLines w:val="0"/>
        <w:numPr>
          <w:ilvl w:val="0"/>
          <w:numId w:val="0"/>
        </w:numPr>
        <w:spacing w:before="299" w:after="299" w:line="240" w:lineRule="auto"/>
        <w:jc w:val="center"/>
        <w:rPr>
          <w:rFonts w:hint="eastAsia" w:ascii="黑体" w:hAnsi="黑体" w:eastAsia="黑体" w:cs="黑体"/>
          <w:b/>
          <w:sz w:val="32"/>
          <w:szCs w:val="32"/>
          <w:lang w:eastAsia="zh-CN"/>
        </w:rPr>
      </w:pPr>
    </w:p>
    <w:p>
      <w:pPr>
        <w:pStyle w:val="4"/>
        <w:keepNext w:val="0"/>
        <w:keepLines w:val="0"/>
        <w:numPr>
          <w:ilvl w:val="0"/>
          <w:numId w:val="0"/>
        </w:numPr>
        <w:spacing w:before="299" w:after="299" w:line="240" w:lineRule="auto"/>
        <w:jc w:val="center"/>
        <w:rPr>
          <w:rFonts w:ascii="黑体" w:hAnsi="黑体" w:eastAsia="黑体" w:cs="黑体"/>
          <w:b/>
          <w:sz w:val="32"/>
          <w:szCs w:val="32"/>
        </w:rPr>
      </w:pPr>
      <w:r>
        <w:rPr>
          <w:rFonts w:hint="eastAsia" w:ascii="黑体" w:hAnsi="黑体" w:eastAsia="黑体" w:cs="黑体"/>
          <w:b/>
          <w:sz w:val="32"/>
          <w:szCs w:val="32"/>
          <w:lang w:eastAsia="zh-CN"/>
        </w:rPr>
        <w:t>第五部分</w:t>
      </w:r>
      <w:r>
        <w:rPr>
          <w:rFonts w:hint="eastAsia" w:ascii="黑体" w:hAnsi="黑体" w:eastAsia="黑体" w:cs="黑体"/>
          <w:b/>
          <w:sz w:val="32"/>
          <w:szCs w:val="32"/>
          <w:lang w:val="en-US" w:eastAsia="zh-CN"/>
        </w:rPr>
        <w:t xml:space="preserve"> </w:t>
      </w:r>
      <w:r>
        <w:rPr>
          <w:rFonts w:ascii="黑体" w:hAnsi="黑体" w:eastAsia="黑体" w:cs="黑体"/>
          <w:b/>
          <w:sz w:val="32"/>
          <w:szCs w:val="32"/>
        </w:rPr>
        <w:t>附件</w:t>
      </w:r>
      <w:bookmarkEnd w:id="109"/>
      <w:bookmarkEnd w:id="110"/>
      <w:bookmarkEnd w:id="111"/>
      <w:bookmarkEnd w:id="112"/>
    </w:p>
    <w:tbl>
      <w:tblPr>
        <w:tblStyle w:val="24"/>
        <w:tblW w:w="9102" w:type="dxa"/>
        <w:tblInd w:w="0" w:type="dxa"/>
        <w:shd w:val="clear" w:color="auto" w:fill="auto"/>
        <w:tblLayout w:type="fixed"/>
        <w:tblCellMar>
          <w:top w:w="0" w:type="dxa"/>
          <w:left w:w="0" w:type="dxa"/>
          <w:bottom w:w="0" w:type="dxa"/>
          <w:right w:w="0" w:type="dxa"/>
        </w:tblCellMar>
      </w:tblPr>
      <w:tblGrid>
        <w:gridCol w:w="781"/>
        <w:gridCol w:w="536"/>
        <w:gridCol w:w="1783"/>
        <w:gridCol w:w="1503"/>
        <w:gridCol w:w="601"/>
        <w:gridCol w:w="688"/>
        <w:gridCol w:w="1069"/>
        <w:gridCol w:w="566"/>
        <w:gridCol w:w="387"/>
        <w:gridCol w:w="199"/>
        <w:gridCol w:w="989"/>
      </w:tblGrid>
      <w:tr>
        <w:tblPrEx>
          <w:shd w:val="clear" w:color="auto" w:fill="auto"/>
          <w:tblLayout w:type="fixed"/>
          <w:tblCellMar>
            <w:top w:w="0" w:type="dxa"/>
            <w:left w:w="0" w:type="dxa"/>
            <w:bottom w:w="0" w:type="dxa"/>
            <w:right w:w="0" w:type="dxa"/>
          </w:tblCellMar>
        </w:tblPrEx>
        <w:trPr>
          <w:trHeight w:val="375" w:hRule="atLeast"/>
        </w:trPr>
        <w:tc>
          <w:tcPr>
            <w:tcW w:w="9102"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cs="宋体"/>
                <w:b/>
                <w:i w:val="0"/>
                <w:color w:val="000000"/>
                <w:kern w:val="0"/>
                <w:sz w:val="28"/>
                <w:szCs w:val="28"/>
                <w:u w:val="none"/>
                <w:lang w:val="en-US" w:eastAsia="zh-CN" w:bidi="ar"/>
              </w:rPr>
              <w:t>单位</w:t>
            </w:r>
            <w:r>
              <w:rPr>
                <w:rFonts w:hint="eastAsia" w:ascii="宋体" w:hAnsi="宋体" w:eastAsia="宋体" w:cs="宋体"/>
                <w:b/>
                <w:i w:val="0"/>
                <w:color w:val="000000"/>
                <w:kern w:val="0"/>
                <w:sz w:val="28"/>
                <w:szCs w:val="28"/>
                <w:u w:val="none"/>
                <w:lang w:val="en-US" w:eastAsia="zh-CN" w:bidi="ar"/>
              </w:rPr>
              <w:t>（单位）项目支出绩效自评表</w:t>
            </w:r>
          </w:p>
        </w:tc>
      </w:tr>
      <w:tr>
        <w:tblPrEx>
          <w:shd w:val="clear" w:color="auto" w:fill="auto"/>
          <w:tblLayout w:type="fixed"/>
          <w:tblCellMar>
            <w:top w:w="0" w:type="dxa"/>
            <w:left w:w="0" w:type="dxa"/>
            <w:bottom w:w="0" w:type="dxa"/>
            <w:right w:w="0" w:type="dxa"/>
          </w:tblCellMar>
        </w:tblPrEx>
        <w:trPr>
          <w:trHeight w:val="360" w:hRule="atLeast"/>
        </w:trPr>
        <w:tc>
          <w:tcPr>
            <w:tcW w:w="9102" w:type="dxa"/>
            <w:gridSpan w:val="11"/>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（2024年度）</w:t>
            </w:r>
          </w:p>
        </w:tc>
      </w:tr>
      <w:tr>
        <w:tblPrEx>
          <w:shd w:val="clear" w:color="auto" w:fill="auto"/>
          <w:tblLayout w:type="fixed"/>
          <w:tblCellMar>
            <w:top w:w="0" w:type="dxa"/>
            <w:left w:w="0" w:type="dxa"/>
            <w:bottom w:w="0" w:type="dxa"/>
            <w:right w:w="0" w:type="dxa"/>
          </w:tblCellMar>
        </w:tblPrEx>
        <w:trPr>
          <w:trHeight w:val="390" w:hRule="atLeast"/>
        </w:trPr>
        <w:tc>
          <w:tcPr>
            <w:tcW w:w="781"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预算单位（盖章）：                                                                                                  </w:t>
            </w:r>
          </w:p>
        </w:tc>
        <w:tc>
          <w:tcPr>
            <w:tcW w:w="536"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83"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503"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1"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88" w:type="dxa"/>
            <w:tcBorders>
              <w:top w:val="nil"/>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69"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66"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87"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99" w:type="dxa"/>
            <w:tcBorders>
              <w:top w:val="nil"/>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89" w:type="dxa"/>
            <w:tcBorders>
              <w:top w:val="nil"/>
              <w:left w:val="nil"/>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单位：万元</w:t>
            </w:r>
          </w:p>
        </w:tc>
      </w:tr>
      <w:tr>
        <w:tblPrEx>
          <w:shd w:val="clear" w:color="auto" w:fill="auto"/>
          <w:tblLayout w:type="fixed"/>
          <w:tblCellMar>
            <w:top w:w="0" w:type="dxa"/>
            <w:left w:w="0" w:type="dxa"/>
            <w:bottom w:w="0" w:type="dxa"/>
            <w:right w:w="0" w:type="dxa"/>
          </w:tblCellMar>
        </w:tblPrEx>
        <w:trPr>
          <w:trHeight w:val="360" w:hRule="atLeast"/>
        </w:trPr>
        <w:tc>
          <w:tcPr>
            <w:tcW w:w="1317" w:type="dxa"/>
            <w:gridSpan w:val="2"/>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1783"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义务教育阶段家庭经济困难学生营养餐补助</w:t>
            </w:r>
          </w:p>
        </w:tc>
        <w:tc>
          <w:tcPr>
            <w:tcW w:w="1503"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1"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88" w:type="dxa"/>
            <w:tcBorders>
              <w:top w:val="single" w:color="000000" w:sz="4" w:space="0"/>
              <w:left w:val="nil"/>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自评年度</w:t>
            </w:r>
          </w:p>
        </w:tc>
        <w:tc>
          <w:tcPr>
            <w:tcW w:w="2141"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2024年1月1日-2024年12月31日</w:t>
            </w:r>
          </w:p>
        </w:tc>
      </w:tr>
      <w:tr>
        <w:tblPrEx>
          <w:shd w:val="clear" w:color="auto" w:fill="auto"/>
          <w:tblLayout w:type="fixed"/>
          <w:tblCellMar>
            <w:top w:w="0" w:type="dxa"/>
            <w:left w:w="0" w:type="dxa"/>
            <w:bottom w:w="0" w:type="dxa"/>
            <w:right w:w="0" w:type="dxa"/>
          </w:tblCellMar>
        </w:tblPrEx>
        <w:trPr>
          <w:trHeight w:val="360" w:hRule="atLeast"/>
        </w:trPr>
        <w:tc>
          <w:tcPr>
            <w:tcW w:w="131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主管</w:t>
            </w:r>
            <w:r>
              <w:rPr>
                <w:rFonts w:hint="eastAsia" w:ascii="宋体" w:hAnsi="宋体" w:cs="宋体"/>
                <w:b/>
                <w:i w:val="0"/>
                <w:color w:val="000000"/>
                <w:kern w:val="0"/>
                <w:sz w:val="18"/>
                <w:szCs w:val="18"/>
                <w:u w:val="none"/>
                <w:lang w:val="en-US" w:eastAsia="zh-CN" w:bidi="ar"/>
              </w:rPr>
              <w:t>单位</w:t>
            </w:r>
          </w:p>
        </w:tc>
        <w:tc>
          <w:tcPr>
            <w:tcW w:w="4575"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湖里区教育局</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实施单位</w:t>
            </w:r>
          </w:p>
        </w:tc>
        <w:tc>
          <w:tcPr>
            <w:tcW w:w="1152" w:type="dxa"/>
            <w:gridSpan w:val="3"/>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厦门市乌石浦小学</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60" w:hRule="atLeast"/>
        </w:trPr>
        <w:tc>
          <w:tcPr>
            <w:tcW w:w="131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年度预算执行情况</w:t>
            </w: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年初预算数</w:t>
            </w: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已调整数</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调整后预算数</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全年执行数</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执行率</w:t>
            </w:r>
          </w:p>
        </w:tc>
        <w:tc>
          <w:tcPr>
            <w:tcW w:w="387"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330" w:hRule="atLeast"/>
        </w:trPr>
        <w:tc>
          <w:tcPr>
            <w:tcW w:w="13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年度资金总额</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1.8</w:t>
            </w: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1.8</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1.0914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60.63%%</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6</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部分困难生未在校用餐</w:t>
            </w:r>
          </w:p>
        </w:tc>
      </w:tr>
      <w:tr>
        <w:tblPrEx>
          <w:shd w:val="clear" w:color="auto" w:fill="auto"/>
          <w:tblLayout w:type="fixed"/>
          <w:tblCellMar>
            <w:top w:w="0" w:type="dxa"/>
            <w:left w:w="0" w:type="dxa"/>
            <w:bottom w:w="0" w:type="dxa"/>
            <w:right w:w="0" w:type="dxa"/>
          </w:tblCellMar>
        </w:tblPrEx>
        <w:trPr>
          <w:trHeight w:val="330" w:hRule="atLeast"/>
        </w:trPr>
        <w:tc>
          <w:tcPr>
            <w:tcW w:w="13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其中：当年财政拨款</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1.8</w:t>
            </w: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0</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1.8</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1.0914</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60.63%%</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330" w:hRule="atLeast"/>
        </w:trPr>
        <w:tc>
          <w:tcPr>
            <w:tcW w:w="13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上年结转资金</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7"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30" w:hRule="atLeast"/>
        </w:trPr>
        <w:tc>
          <w:tcPr>
            <w:tcW w:w="131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 xml:space="preserve">     其他资金</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87"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375"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年度</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总体</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目标</w:t>
            </w:r>
          </w:p>
        </w:tc>
        <w:tc>
          <w:tcPr>
            <w:tcW w:w="5111"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预期目标</w:t>
            </w:r>
          </w:p>
        </w:tc>
        <w:tc>
          <w:tcPr>
            <w:tcW w:w="3210"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实际完成情况</w:t>
            </w:r>
          </w:p>
        </w:tc>
      </w:tr>
      <w:tr>
        <w:tblPrEx>
          <w:shd w:val="clear" w:color="auto" w:fill="auto"/>
          <w:tblLayout w:type="fixed"/>
          <w:tblCellMar>
            <w:top w:w="0" w:type="dxa"/>
            <w:left w:w="0" w:type="dxa"/>
            <w:bottom w:w="0" w:type="dxa"/>
            <w:right w:w="0" w:type="dxa"/>
          </w:tblCellMar>
        </w:tblPrEx>
        <w:trPr>
          <w:trHeight w:val="270"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111"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厦门市教育局等五</w:t>
            </w:r>
            <w:r>
              <w:rPr>
                <w:rFonts w:hint="eastAsia" w:ascii="宋体" w:hAnsi="宋体" w:cs="宋体"/>
                <w:i w:val="0"/>
                <w:color w:val="000000"/>
                <w:kern w:val="0"/>
                <w:sz w:val="18"/>
                <w:szCs w:val="18"/>
                <w:u w:val="none"/>
                <w:lang w:val="en-US" w:eastAsia="zh-CN" w:bidi="ar"/>
              </w:rPr>
              <w:t>单位</w:t>
            </w:r>
            <w:r>
              <w:rPr>
                <w:rFonts w:hint="eastAsia" w:ascii="宋体" w:hAnsi="宋体" w:eastAsia="宋体" w:cs="宋体"/>
                <w:i w:val="0"/>
                <w:color w:val="000000"/>
                <w:kern w:val="0"/>
                <w:sz w:val="18"/>
                <w:szCs w:val="18"/>
                <w:u w:val="none"/>
                <w:lang w:val="en-US" w:eastAsia="zh-CN" w:bidi="ar"/>
              </w:rPr>
              <w:t>关于印发《厦门市学生资助资金管理实施办法》的通知（厦教发〔2022〕83号）及厦门市教育局等八</w:t>
            </w:r>
            <w:r>
              <w:rPr>
                <w:rFonts w:hint="eastAsia" w:ascii="宋体" w:hAnsi="宋体" w:cs="宋体"/>
                <w:i w:val="0"/>
                <w:color w:val="000000"/>
                <w:kern w:val="0"/>
                <w:sz w:val="18"/>
                <w:szCs w:val="18"/>
                <w:u w:val="none"/>
                <w:lang w:val="en-US" w:eastAsia="zh-CN" w:bidi="ar"/>
              </w:rPr>
              <w:t>单位</w:t>
            </w:r>
            <w:r>
              <w:rPr>
                <w:rFonts w:hint="eastAsia" w:ascii="宋体" w:hAnsi="宋体" w:eastAsia="宋体" w:cs="宋体"/>
                <w:i w:val="0"/>
                <w:color w:val="000000"/>
                <w:kern w:val="0"/>
                <w:sz w:val="18"/>
                <w:szCs w:val="18"/>
                <w:u w:val="none"/>
                <w:lang w:val="en-US" w:eastAsia="zh-CN" w:bidi="ar"/>
              </w:rPr>
              <w:t>关于印发《厦门市家庭经济困难学生认定办法》的通知（厦教规【2022】3号）等文件，对义务教育阶段公办校（学校提供午餐）家庭经济困难学生营养餐补助，确保补助工作顺利实施。</w:t>
            </w:r>
          </w:p>
        </w:tc>
        <w:tc>
          <w:tcPr>
            <w:tcW w:w="3210" w:type="dxa"/>
            <w:gridSpan w:val="5"/>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2024年完成春、秋两季关于我区义务教育阶段公办校（学校提供午餐）家庭经济困难学生营养餐补助对象审核及资金下拨。</w:t>
            </w:r>
          </w:p>
        </w:tc>
      </w:tr>
      <w:tr>
        <w:tblPrEx>
          <w:shd w:val="clear" w:color="auto" w:fill="auto"/>
          <w:tblLayout w:type="fixed"/>
          <w:tblCellMar>
            <w:top w:w="0" w:type="dxa"/>
            <w:left w:w="0" w:type="dxa"/>
            <w:bottom w:w="0" w:type="dxa"/>
            <w:right w:w="0" w:type="dxa"/>
          </w:tblCellMar>
        </w:tblPrEx>
        <w:trPr>
          <w:trHeight w:val="1560"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111"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3210" w:type="dxa"/>
            <w:gridSpan w:val="5"/>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675"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指标类型</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绩效目标值</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实际完成值</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完成比例</w:t>
            </w:r>
          </w:p>
        </w:tc>
        <w:tc>
          <w:tcPr>
            <w:tcW w:w="387" w:type="dxa"/>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设置分值</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得分</w:t>
            </w:r>
          </w:p>
        </w:tc>
        <w:tc>
          <w:tcPr>
            <w:tcW w:w="9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存在问题及原因</w:t>
            </w:r>
          </w:p>
        </w:tc>
      </w:tr>
      <w:tr>
        <w:tblPrEx>
          <w:shd w:val="clear" w:color="auto" w:fill="auto"/>
          <w:tblLayout w:type="fixed"/>
          <w:tblCellMar>
            <w:top w:w="0" w:type="dxa"/>
            <w:left w:w="0" w:type="dxa"/>
            <w:bottom w:w="0" w:type="dxa"/>
            <w:right w:w="0" w:type="dxa"/>
          </w:tblCellMar>
        </w:tblPrEx>
        <w:trPr>
          <w:trHeight w:val="450"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绩</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效</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标</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完</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成</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情</w:t>
            </w:r>
            <w:r>
              <w:rPr>
                <w:rFonts w:hint="eastAsia" w:ascii="宋体" w:hAnsi="宋体" w:eastAsia="宋体" w:cs="宋体"/>
                <w:b/>
                <w:i w:val="0"/>
                <w:color w:val="000000"/>
                <w:kern w:val="0"/>
                <w:sz w:val="18"/>
                <w:szCs w:val="18"/>
                <w:u w:val="none"/>
                <w:lang w:val="en-US" w:eastAsia="zh-CN" w:bidi="ar"/>
              </w:rPr>
              <w:br w:type="textWrapping"/>
            </w:r>
            <w:r>
              <w:rPr>
                <w:rFonts w:hint="eastAsia" w:ascii="宋体" w:hAnsi="宋体" w:eastAsia="宋体" w:cs="宋体"/>
                <w:b/>
                <w:i w:val="0"/>
                <w:color w:val="000000"/>
                <w:kern w:val="0"/>
                <w:sz w:val="18"/>
                <w:szCs w:val="18"/>
                <w:u w:val="none"/>
                <w:lang w:val="en-US" w:eastAsia="zh-CN" w:bidi="ar"/>
              </w:rPr>
              <w:t>况</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产出指标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审核义务教育阶段受助学生</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大于等于22人</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22人</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全年营养餐补助学生</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大于等于19人</w:t>
            </w:r>
          </w:p>
        </w:tc>
        <w:tc>
          <w:tcPr>
            <w:tcW w:w="10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19人</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450"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营养餐发放标准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6元/餐</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义务教育困难生资助资金下拨及时率</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36"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效益指标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改善受助学生学习生活质量</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有所改善</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615"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17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5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受资助对象满意度</w:t>
            </w:r>
          </w:p>
        </w:tc>
        <w:tc>
          <w:tcPr>
            <w:tcW w:w="6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定量</w:t>
            </w:r>
          </w:p>
        </w:tc>
        <w:tc>
          <w:tcPr>
            <w:tcW w:w="68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大于等于90%</w:t>
            </w:r>
          </w:p>
        </w:tc>
        <w:tc>
          <w:tcPr>
            <w:tcW w:w="10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100.00%</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shd w:val="clear" w:color="auto" w:fill="auto"/>
          <w:tblLayout w:type="fixed"/>
          <w:tblCellMar>
            <w:top w:w="0" w:type="dxa"/>
            <w:left w:w="0" w:type="dxa"/>
            <w:bottom w:w="0" w:type="dxa"/>
            <w:right w:w="0" w:type="dxa"/>
          </w:tblCellMar>
        </w:tblPrEx>
        <w:trPr>
          <w:trHeight w:val="540" w:hRule="atLeast"/>
        </w:trPr>
        <w:tc>
          <w:tcPr>
            <w:tcW w:w="7527"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总分</w:t>
            </w:r>
          </w:p>
        </w:tc>
        <w:tc>
          <w:tcPr>
            <w:tcW w:w="3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100</w:t>
            </w:r>
          </w:p>
        </w:tc>
        <w:tc>
          <w:tcPr>
            <w:tcW w:w="1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9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shd w:val="clear" w:color="auto" w:fill="auto"/>
          <w:tblLayout w:type="fixed"/>
          <w:tblCellMar>
            <w:top w:w="0" w:type="dxa"/>
            <w:left w:w="0" w:type="dxa"/>
            <w:bottom w:w="0" w:type="dxa"/>
            <w:right w:w="0" w:type="dxa"/>
          </w:tblCellMar>
        </w:tblPrEx>
        <w:trPr>
          <w:trHeight w:val="1515" w:hRule="atLeast"/>
        </w:trPr>
        <w:tc>
          <w:tcPr>
            <w:tcW w:w="9102"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填表说明：1.年度总体目标和绩效指标中的“具体指标”“年度指标值”按照</w:t>
            </w:r>
            <w:r>
              <w:rPr>
                <w:rFonts w:hint="eastAsia" w:ascii="宋体" w:hAnsi="宋体" w:cs="宋体"/>
                <w:i w:val="0"/>
                <w:color w:val="000000"/>
                <w:kern w:val="0"/>
                <w:sz w:val="18"/>
                <w:szCs w:val="18"/>
                <w:u w:val="none"/>
                <w:lang w:val="en-US" w:eastAsia="zh-CN" w:bidi="ar"/>
              </w:rPr>
              <w:t>单位</w:t>
            </w:r>
            <w:r>
              <w:rPr>
                <w:rFonts w:hint="eastAsia" w:ascii="宋体" w:hAnsi="宋体" w:eastAsia="宋体" w:cs="宋体"/>
                <w:i w:val="0"/>
                <w:color w:val="000000"/>
                <w:kern w:val="0"/>
                <w:sz w:val="18"/>
                <w:szCs w:val="18"/>
                <w:u w:val="none"/>
                <w:lang w:val="en-US" w:eastAsia="zh-CN" w:bidi="ar"/>
              </w:rPr>
              <w:t>预算批复的绩效目标填写，必须有量化指标。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2.设置分值原则：预算执行率和一级指标权重统一设置为：预算执行率10%、产出指标50%、效益指标30%、服务对象满意度指标10%。如有特殊情况，一级指标权重可做适当调整。二、三级指标应当根据指标重要程度等因素综合确定，准确反映项目的产出和效益。</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3.存在问题及原因主要针对进度是否滞后，管理制度是否健全，是否违反财务管理制度，绩效目标完成情况是否明显偏离，以及其他资金使用及管理方面的问题进行阐述，并分析产生问题的原因。</w:t>
            </w:r>
          </w:p>
        </w:tc>
      </w:tr>
      <w:bookmarkEnd w:id="4"/>
    </w:tbl>
    <w:p>
      <w:pPr>
        <w:pStyle w:val="5"/>
        <w:numPr>
          <w:ilvl w:val="0"/>
          <w:numId w:val="0"/>
        </w:numPr>
      </w:pPr>
    </w:p>
    <w:sectPr>
      <w:footerReference r:id="rId6" w:type="default"/>
      <w:pgSz w:w="11906" w:h="16838"/>
      <w:pgMar w:top="1984" w:right="1083" w:bottom="1984" w:left="1083" w:header="0" w:footer="720"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1</w:t>
    </w:r>
    <w:r>
      <w:rPr>
        <w:rFonts w:ascii="宋体" w:hAnsi="宋体" w:eastAsia="宋体" w:cs="宋体"/>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3</w:t>
    </w:r>
    <w:r>
      <w:rPr>
        <w:rFonts w:ascii="宋体" w:hAnsi="宋体" w:eastAsia="宋体" w:cs="宋体"/>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28</w:t>
    </w:r>
    <w:r>
      <w:rPr>
        <w:rFonts w:ascii="宋体" w:hAnsi="宋体" w:eastAsia="宋体" w:cs="宋体"/>
        <w:sz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ascii="宋体" w:hAnsi="宋体" w:eastAsia="宋体" w:cs="宋体"/>
        <w:sz w:val="18"/>
      </w:rPr>
      <w:fldChar w:fldCharType="begin"/>
    </w:r>
    <w:r>
      <w:rPr>
        <w:rFonts w:ascii="宋体" w:hAnsi="宋体" w:eastAsia="宋体" w:cs="宋体"/>
        <w:sz w:val="18"/>
      </w:rPr>
      <w:instrText xml:space="preserve"> PAGE </w:instrText>
    </w:r>
    <w:r>
      <w:rPr>
        <w:rFonts w:ascii="宋体" w:hAnsi="宋体" w:eastAsia="宋体" w:cs="宋体"/>
        <w:sz w:val="18"/>
      </w:rPr>
      <w:fldChar w:fldCharType="separate"/>
    </w:r>
    <w:r>
      <w:rPr>
        <w:rFonts w:ascii="宋体" w:hAnsi="宋体" w:eastAsia="宋体" w:cs="宋体"/>
        <w:sz w:val="18"/>
      </w:rPr>
      <w:t>43</w:t>
    </w:r>
    <w:r>
      <w:rPr>
        <w:rFonts w:ascii="宋体" w:hAnsi="宋体" w:eastAsia="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208E"/>
    <w:multiLevelType w:val="multilevel"/>
    <w:tmpl w:val="0053208E"/>
    <w:lvl w:ilvl="0" w:tentative="0">
      <w:start w:val="3"/>
      <w:numFmt w:val="chi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049F0C3D"/>
    <w:rsid w:val="06AA41ED"/>
    <w:rsid w:val="086558D2"/>
    <w:rsid w:val="0DE54925"/>
    <w:rsid w:val="125A7C2D"/>
    <w:rsid w:val="15DC722F"/>
    <w:rsid w:val="17E6774F"/>
    <w:rsid w:val="19FE22BD"/>
    <w:rsid w:val="1CC730D8"/>
    <w:rsid w:val="25DD3CCE"/>
    <w:rsid w:val="2CAE47A5"/>
    <w:rsid w:val="372107F6"/>
    <w:rsid w:val="3E5B0564"/>
    <w:rsid w:val="40523272"/>
    <w:rsid w:val="47DD0295"/>
    <w:rsid w:val="497F2682"/>
    <w:rsid w:val="4C700B7E"/>
    <w:rsid w:val="4CD3338B"/>
    <w:rsid w:val="4F0E62E8"/>
    <w:rsid w:val="53316415"/>
    <w:rsid w:val="591608B6"/>
    <w:rsid w:val="5D8D36EA"/>
    <w:rsid w:val="5F1121B9"/>
    <w:rsid w:val="60D059C8"/>
    <w:rsid w:val="6CD3573D"/>
    <w:rsid w:val="6F0B57C1"/>
    <w:rsid w:val="6FE02445"/>
    <w:rsid w:val="75644810"/>
    <w:rsid w:val="7A261BA1"/>
    <w:rsid w:val="7A7931F5"/>
    <w:rsid w:val="7AE706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rFonts w:eastAsia="仿宋"/>
      <w:bCs/>
      <w:kern w:val="44"/>
      <w:sz w:val="32"/>
      <w:szCs w:val="44"/>
    </w:rPr>
  </w:style>
  <w:style w:type="paragraph" w:styleId="4">
    <w:name w:val="heading 2"/>
    <w:basedOn w:val="5"/>
    <w:next w:val="5"/>
    <w:qFormat/>
    <w:uiPriority w:val="0"/>
    <w:pPr>
      <w:keepNext/>
      <w:keepLines/>
      <w:spacing w:before="260" w:after="260" w:line="416" w:lineRule="auto"/>
      <w:outlineLvl w:val="1"/>
    </w:pPr>
    <w:rPr>
      <w:rFonts w:ascii="Arial" w:hAnsi="Arial" w:eastAsia="仿宋"/>
      <w:bCs/>
      <w:sz w:val="32"/>
      <w:szCs w:val="32"/>
    </w:rPr>
  </w:style>
  <w:style w:type="paragraph" w:styleId="6">
    <w:name w:val="heading 3"/>
    <w:basedOn w:val="5"/>
    <w:next w:val="5"/>
    <w:link w:val="29"/>
    <w:qFormat/>
    <w:uiPriority w:val="0"/>
    <w:pPr>
      <w:keepNext/>
      <w:keepLines/>
      <w:spacing w:before="260" w:after="260" w:line="416" w:lineRule="auto"/>
      <w:outlineLvl w:val="2"/>
    </w:pPr>
    <w:rPr>
      <w:rFonts w:eastAsia="仿宋"/>
      <w:bCs/>
      <w:sz w:val="32"/>
      <w:szCs w:val="32"/>
    </w:rPr>
  </w:style>
  <w:style w:type="paragraph" w:styleId="7">
    <w:name w:val="heading 4"/>
    <w:basedOn w:val="5"/>
    <w:next w:val="5"/>
    <w:link w:val="25"/>
    <w:qFormat/>
    <w:uiPriority w:val="0"/>
    <w:pPr>
      <w:keepNext/>
      <w:keepLines/>
      <w:spacing w:before="280" w:after="290" w:line="376" w:lineRule="auto"/>
      <w:outlineLvl w:val="3"/>
    </w:pPr>
    <w:rPr>
      <w:rFonts w:ascii="Cambria" w:hAnsi="Cambria" w:eastAsia="仿宋"/>
      <w:bCs/>
      <w:sz w:val="32"/>
      <w:szCs w:val="28"/>
    </w:rPr>
  </w:style>
  <w:style w:type="character" w:default="1" w:styleId="21">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1.正文"/>
    <w:basedOn w:val="1"/>
    <w:qFormat/>
    <w:uiPriority w:val="0"/>
    <w:pPr>
      <w:spacing w:before="0" w:beforeAutospacing="0" w:after="0" w:afterAutospacing="0"/>
      <w:ind w:left="0" w:right="0" w:firstLine="0"/>
      <w:jc w:val="left"/>
    </w:pPr>
    <w:rPr>
      <w:rFonts w:ascii="宋体" w:hAnsi="宋体" w:eastAsia="宋体" w:cs="宋体"/>
      <w:kern w:val="0"/>
      <w:sz w:val="24"/>
      <w:szCs w:val="24"/>
      <w:lang w:val="en-US" w:eastAsia="zh-CN" w:bidi="ar-SA"/>
    </w:rPr>
  </w:style>
  <w:style w:type="paragraph" w:styleId="5">
    <w:name w:val="No Spacing"/>
    <w:link w:val="26"/>
    <w:qFormat/>
    <w:uiPriority w:val="0"/>
    <w:pPr>
      <w:ind w:firstLine="200" w:firstLineChars="200"/>
    </w:pPr>
    <w:rPr>
      <w:rFonts w:ascii="Times New Roman" w:hAnsi="Times New Roman" w:eastAsia="仿宋_GB2312" w:cs="Times New Roman"/>
      <w:sz w:val="30"/>
      <w:szCs w:val="22"/>
      <w:lang w:val="en-US" w:eastAsia="zh-CN" w:bidi="ar-SA"/>
    </w:rPr>
  </w:style>
  <w:style w:type="paragraph" w:styleId="8">
    <w:name w:val="toc 7"/>
    <w:basedOn w:val="1"/>
    <w:next w:val="1"/>
    <w:qFormat/>
    <w:uiPriority w:val="0"/>
    <w:pPr>
      <w:ind w:left="1260"/>
      <w:jc w:val="left"/>
    </w:pPr>
    <w:rPr>
      <w:sz w:val="20"/>
      <w:szCs w:val="20"/>
    </w:rPr>
  </w:style>
  <w:style w:type="paragraph" w:styleId="9">
    <w:name w:val="Document Map"/>
    <w:basedOn w:val="1"/>
    <w:qFormat/>
    <w:uiPriority w:val="0"/>
    <w:pPr>
      <w:shd w:val="clear" w:color="auto" w:fill="000080"/>
    </w:pPr>
  </w:style>
  <w:style w:type="paragraph" w:styleId="10">
    <w:name w:val="Body Text"/>
    <w:basedOn w:val="1"/>
    <w:qFormat/>
    <w:uiPriority w:val="0"/>
    <w:pPr>
      <w:spacing w:before="0" w:beforeAutospacing="0" w:after="120" w:afterAutospacing="0"/>
      <w:ind w:left="0" w:right="0"/>
      <w:jc w:val="left"/>
    </w:pPr>
    <w:rPr>
      <w:rFonts w:hint="eastAsia" w:ascii="宋体" w:hAnsi="宋体" w:eastAsia="宋体" w:cs="宋体"/>
      <w:kern w:val="0"/>
      <w:sz w:val="24"/>
      <w:szCs w:val="24"/>
      <w:lang w:val="en-US" w:eastAsia="zh-CN" w:bidi="ar"/>
    </w:rPr>
  </w:style>
  <w:style w:type="paragraph" w:styleId="11">
    <w:name w:val="toc 5"/>
    <w:basedOn w:val="1"/>
    <w:next w:val="1"/>
    <w:qFormat/>
    <w:uiPriority w:val="0"/>
    <w:pPr>
      <w:ind w:left="840"/>
      <w:jc w:val="left"/>
    </w:pPr>
    <w:rPr>
      <w:sz w:val="20"/>
      <w:szCs w:val="20"/>
    </w:rPr>
  </w:style>
  <w:style w:type="paragraph" w:styleId="12">
    <w:name w:val="toc 3"/>
    <w:next w:val="6"/>
    <w:qFormat/>
    <w:uiPriority w:val="0"/>
    <w:pPr>
      <w:adjustRightInd w:val="0"/>
      <w:snapToGrid w:val="0"/>
      <w:spacing w:line="360" w:lineRule="auto"/>
      <w:ind w:firstLine="400" w:firstLineChars="400"/>
      <w:jc w:val="left"/>
    </w:pPr>
    <w:rPr>
      <w:rFonts w:ascii="Times New Roman" w:hAnsi="Times New Roman" w:eastAsia="仿宋" w:cs="Times New Roman"/>
      <w:sz w:val="32"/>
      <w:szCs w:val="20"/>
      <w:lang w:val="en-US" w:eastAsia="en-US" w:bidi="ar-SA"/>
    </w:rPr>
  </w:style>
  <w:style w:type="paragraph" w:styleId="13">
    <w:name w:val="toc 8"/>
    <w:basedOn w:val="1"/>
    <w:next w:val="1"/>
    <w:qFormat/>
    <w:uiPriority w:val="0"/>
    <w:pPr>
      <w:ind w:left="1470"/>
      <w:jc w:val="left"/>
    </w:pPr>
    <w:rPr>
      <w:sz w:val="20"/>
      <w:szCs w:val="20"/>
    </w:rPr>
  </w:style>
  <w:style w:type="paragraph" w:styleId="14">
    <w:name w:val="footer"/>
    <w:basedOn w:val="1"/>
    <w:link w:val="27"/>
    <w:qFormat/>
    <w:uiPriority w:val="0"/>
    <w:pPr>
      <w:tabs>
        <w:tab w:val="center" w:pos="4153"/>
        <w:tab w:val="right" w:pos="8306"/>
      </w:tabs>
      <w:snapToGrid w:val="0"/>
      <w:jc w:val="left"/>
    </w:pPr>
    <w:rPr>
      <w:sz w:val="18"/>
      <w:szCs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next w:val="5"/>
    <w:qFormat/>
    <w:uiPriority w:val="0"/>
    <w:pPr>
      <w:adjustRightInd w:val="0"/>
      <w:snapToGrid w:val="0"/>
      <w:spacing w:line="360" w:lineRule="auto"/>
      <w:jc w:val="left"/>
    </w:pPr>
    <w:rPr>
      <w:rFonts w:ascii="Times New Roman" w:hAnsi="Times New Roman" w:eastAsia="仿宋" w:cs="Times New Roman"/>
      <w:bCs/>
      <w:sz w:val="32"/>
      <w:szCs w:val="20"/>
      <w:lang w:val="en-US" w:eastAsia="en-US" w:bidi="ar-SA"/>
    </w:rPr>
  </w:style>
  <w:style w:type="paragraph" w:styleId="17">
    <w:name w:val="toc 4"/>
    <w:basedOn w:val="1"/>
    <w:next w:val="1"/>
    <w:qFormat/>
    <w:uiPriority w:val="0"/>
    <w:pPr>
      <w:ind w:left="630"/>
      <w:jc w:val="left"/>
    </w:pPr>
    <w:rPr>
      <w:sz w:val="20"/>
      <w:szCs w:val="20"/>
    </w:rPr>
  </w:style>
  <w:style w:type="paragraph" w:styleId="18">
    <w:name w:val="toc 6"/>
    <w:basedOn w:val="1"/>
    <w:next w:val="1"/>
    <w:qFormat/>
    <w:uiPriority w:val="0"/>
    <w:pPr>
      <w:ind w:left="1050"/>
      <w:jc w:val="left"/>
    </w:pPr>
    <w:rPr>
      <w:sz w:val="20"/>
      <w:szCs w:val="20"/>
    </w:rPr>
  </w:style>
  <w:style w:type="paragraph" w:styleId="19">
    <w:name w:val="toc 2"/>
    <w:next w:val="5"/>
    <w:qFormat/>
    <w:uiPriority w:val="0"/>
    <w:pPr>
      <w:adjustRightInd w:val="0"/>
      <w:snapToGrid w:val="0"/>
      <w:spacing w:line="360" w:lineRule="auto"/>
      <w:ind w:firstLine="200" w:firstLineChars="200"/>
      <w:jc w:val="left"/>
    </w:pPr>
    <w:rPr>
      <w:rFonts w:ascii="Times New Roman" w:hAnsi="Times New Roman" w:eastAsia="仿宋" w:cs="Times New Roman"/>
      <w:iCs/>
      <w:sz w:val="32"/>
      <w:szCs w:val="20"/>
      <w:lang w:val="en-US" w:eastAsia="en-US" w:bidi="ar-SA"/>
    </w:rPr>
  </w:style>
  <w:style w:type="paragraph" w:styleId="20">
    <w:name w:val="toc 9"/>
    <w:basedOn w:val="1"/>
    <w:next w:val="1"/>
    <w:qFormat/>
    <w:uiPriority w:val="0"/>
    <w:pPr>
      <w:ind w:left="1680"/>
      <w:jc w:val="left"/>
    </w:pPr>
    <w:rPr>
      <w:sz w:val="20"/>
      <w:szCs w:val="20"/>
    </w:rPr>
  </w:style>
  <w:style w:type="character" w:styleId="22">
    <w:name w:val="page number"/>
    <w:basedOn w:val="21"/>
    <w:qFormat/>
    <w:uiPriority w:val="0"/>
  </w:style>
  <w:style w:type="character" w:styleId="23">
    <w:name w:val="Hyperlink"/>
    <w:basedOn w:val="21"/>
    <w:qFormat/>
    <w:uiPriority w:val="0"/>
    <w:rPr>
      <w:rFonts w:ascii="宋体" w:hAnsi="宋体" w:eastAsia="仿宋" w:cs="Times New Roman"/>
      <w:kern w:val="2"/>
      <w:sz w:val="32"/>
      <w:szCs w:val="32"/>
      <w:lang w:val="en-US" w:eastAsia="zh-CN" w:bidi="ar-SA"/>
    </w:rPr>
  </w:style>
  <w:style w:type="character" w:customStyle="1" w:styleId="25">
    <w:name w:val="标题 4 字符"/>
    <w:basedOn w:val="21"/>
    <w:link w:val="7"/>
    <w:qFormat/>
    <w:uiPriority w:val="0"/>
    <w:rPr>
      <w:rFonts w:ascii="Cambria" w:hAnsi="Cambria" w:eastAsia="仿宋"/>
      <w:bCs/>
      <w:kern w:val="2"/>
      <w:sz w:val="32"/>
      <w:szCs w:val="28"/>
    </w:rPr>
  </w:style>
  <w:style w:type="character" w:customStyle="1" w:styleId="26">
    <w:name w:val="无间隔 字符"/>
    <w:link w:val="5"/>
    <w:qFormat/>
    <w:locked/>
    <w:uiPriority w:val="0"/>
    <w:rPr>
      <w:rFonts w:eastAsia="仿宋_GB2312"/>
      <w:sz w:val="30"/>
      <w:szCs w:val="22"/>
      <w:lang w:bidi="ar-SA"/>
    </w:rPr>
  </w:style>
  <w:style w:type="character" w:customStyle="1" w:styleId="27">
    <w:name w:val="页脚 字符"/>
    <w:basedOn w:val="21"/>
    <w:link w:val="14"/>
    <w:qFormat/>
    <w:uiPriority w:val="0"/>
    <w:rPr>
      <w:kern w:val="2"/>
      <w:sz w:val="18"/>
      <w:szCs w:val="18"/>
    </w:rPr>
  </w:style>
  <w:style w:type="paragraph" w:styleId="28">
    <w:name w:val="List Paragraph"/>
    <w:basedOn w:val="1"/>
    <w:qFormat/>
    <w:uiPriority w:val="0"/>
    <w:pPr>
      <w:ind w:firstLine="420" w:firstLineChars="200"/>
    </w:pPr>
  </w:style>
  <w:style w:type="character" w:customStyle="1" w:styleId="29">
    <w:name w:val="标题 3 字符"/>
    <w:basedOn w:val="21"/>
    <w:link w:val="6"/>
    <w:qFormat/>
    <w:uiPriority w:val="0"/>
    <w:rPr>
      <w:rFonts w:eastAsia="仿宋"/>
      <w:bCs/>
      <w:kern w:val="2"/>
      <w:sz w:val="32"/>
      <w:szCs w:val="32"/>
    </w:rPr>
  </w:style>
  <w:style w:type="paragraph" w:customStyle="1" w:styleId="30">
    <w:name w:val="MsoNormal"/>
    <w:basedOn w:val="1"/>
    <w:qFormat/>
    <w:uiPriority w:val="0"/>
  </w:style>
  <w:style w:type="paragraph" w:customStyle="1" w:styleId="31">
    <w:name w:val="p"/>
    <w:basedOn w:val="1"/>
    <w:qFormat/>
    <w:uiPriority w:val="0"/>
  </w:style>
  <w:style w:type="character" w:customStyle="1" w:styleId="32">
    <w:name w:val="15"/>
    <w:basedOn w:val="2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7559B6-2DC7-41B5-818F-6E7F243775C0}">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30</Pages>
  <Words>1995</Words>
  <Characters>2790</Characters>
  <Lines>1</Lines>
  <Paragraphs>1</Paragraphs>
  <TotalTime>0</TotalTime>
  <ScaleCrop>false</ScaleCrop>
  <LinksUpToDate>false</LinksUpToDate>
  <CharactersWithSpaces>3226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2022-03-23T12:40:00Z</dcterms:created>
  <dc:creator>Administrator</dc:creator>
  <cp:lastModifiedBy>Administrator</cp:lastModifiedBy>
  <cp:lastPrinted>2025-07-14T03:20:00Z</cp:lastPrinted>
  <dcterms:modified xsi:type="dcterms:W3CDTF">2025-09-16T05:13:48Z</dcterms:modified>
  <dc:title>××年度××部门/单位</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51EA75710E61423394694D1476351CDD_13</vt:lpwstr>
  </property>
  <property fmtid="{D5CDD505-2E9C-101B-9397-08002B2CF9AE}" pid="3" name="KSOProductBuildVer">
    <vt:lpwstr>2052-11.8.2.8053</vt:lpwstr>
  </property>
  <property fmtid="{D5CDD505-2E9C-101B-9397-08002B2CF9AE}" pid="4" name="KSOTemplateDocerSaveRecord">
    <vt:lpwstr>eyJoZGlkIjoiZmIyZGRjMWRmMzIzMGQ2MTY3MGU5NTU2NDZhYTkxMjgiLCJ1c2VySWQiOiI3MzE4Njk4OTcifQ==</vt:lpwstr>
  </property>
</Properties>
</file>