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widowControl/>
        <w:jc w:val="center"/>
        <w:rPr>
          <w:sz w:val="32"/>
          <w:szCs w:val="32"/>
          <w:highlight w:val="none"/>
        </w:rPr>
      </w:pPr>
    </w:p>
    <w:p>
      <w:pPr>
        <w:widowControl/>
        <w:jc w:val="both"/>
        <w:rPr>
          <w:sz w:val="84"/>
          <w:szCs w:val="84"/>
          <w:highlight w:val="none"/>
        </w:rPr>
      </w:pPr>
    </w:p>
    <w:p>
      <w:pPr>
        <w:widowControl/>
        <w:jc w:val="center"/>
        <w:rPr>
          <w:rFonts w:hint="eastAsia" w:ascii="方正小标宋简体" w:eastAsia="方正小标宋简体"/>
          <w:b/>
          <w:bCs/>
          <w:sz w:val="48"/>
          <w:szCs w:val="48"/>
          <w:highlight w:val="none"/>
        </w:rPr>
      </w:pPr>
      <w:r>
        <w:rPr>
          <w:rFonts w:hint="eastAsia" w:ascii="方正小标宋简体" w:eastAsia="方正小标宋简体"/>
          <w:b/>
          <w:bCs/>
          <w:sz w:val="48"/>
          <w:szCs w:val="48"/>
          <w:highlight w:val="none"/>
          <w:lang w:val="en-US" w:eastAsia="zh-CN"/>
        </w:rPr>
        <w:t>2024</w:t>
      </w:r>
      <w:r>
        <w:rPr>
          <w:rFonts w:hint="eastAsia" w:ascii="方正小标宋简体" w:eastAsia="方正小标宋简体"/>
          <w:b/>
          <w:bCs/>
          <w:sz w:val="48"/>
          <w:szCs w:val="48"/>
          <w:highlight w:val="none"/>
        </w:rPr>
        <w:t>年度</w:t>
      </w:r>
    </w:p>
    <w:p>
      <w:pPr>
        <w:widowControl/>
        <w:jc w:val="center"/>
        <w:rPr>
          <w:rFonts w:hint="eastAsia" w:ascii="方正小标宋简体" w:eastAsia="方正小标宋简体"/>
          <w:b/>
          <w:bCs/>
          <w:sz w:val="84"/>
          <w:szCs w:val="84"/>
          <w:highlight w:val="none"/>
          <w:lang w:val="en-US" w:eastAsia="zh-CN"/>
        </w:rPr>
        <w:sectPr>
          <w:footerReference r:id="rId3" w:type="default"/>
          <w:pgSz w:w="11906" w:h="16838"/>
          <w:pgMar w:top="1440" w:right="1083" w:bottom="1440" w:left="1083" w:header="0" w:footer="720" w:gutter="0"/>
          <w:pgBorders>
            <w:top w:val="none" w:sz="0" w:space="0"/>
            <w:left w:val="none" w:sz="0" w:space="0"/>
            <w:bottom w:val="none" w:sz="0" w:space="0"/>
            <w:right w:val="none" w:sz="0" w:space="0"/>
          </w:pgBorders>
          <w:pgNumType w:fmt="decimal"/>
          <w:cols w:space="720" w:num="1"/>
          <w:rtlGutter w:val="0"/>
          <w:docGrid w:type="lines" w:linePitch="317" w:charSpace="0"/>
        </w:sectPr>
      </w:pPr>
      <w:r>
        <w:rPr>
          <w:rFonts w:hint="eastAsia" w:ascii="方正小标宋简体" w:eastAsia="方正小标宋简体"/>
          <w:b/>
          <w:bCs/>
          <w:sz w:val="48"/>
          <w:szCs w:val="48"/>
          <w:highlight w:val="none"/>
        </w:rPr>
        <w:t>厦门市华昌小学</w:t>
      </w:r>
      <w:r>
        <w:rPr>
          <w:rFonts w:hint="eastAsia" w:ascii="方正小标宋简体" w:eastAsia="方正小标宋简体"/>
          <w:b/>
          <w:bCs/>
          <w:sz w:val="48"/>
          <w:szCs w:val="48"/>
          <w:highlight w:val="none"/>
          <w:lang w:val="en-US" w:eastAsia="zh-CN"/>
        </w:rPr>
        <w:t>单位</w:t>
      </w:r>
      <w:r>
        <w:rPr>
          <w:rFonts w:hint="eastAsia" w:ascii="方正小标宋简体" w:eastAsia="方正小标宋简体"/>
          <w:b/>
          <w:bCs/>
          <w:sz w:val="48"/>
          <w:szCs w:val="48"/>
          <w:highlight w:val="none"/>
        </w:rPr>
        <w:t>决算</w:t>
      </w:r>
    </w:p>
    <w:p>
      <w:pPr>
        <w:widowControl/>
        <w:spacing w:before="0" w:after="0" w:line="240" w:lineRule="auto"/>
        <w:ind w:left="0" w:leftChars="0" w:right="0" w:firstLine="0" w:firstLineChars="0"/>
        <w:jc w:val="center"/>
        <w:rPr>
          <w:rFonts w:hint="eastAsia" w:ascii="仿宋" w:hAnsi="仿宋" w:eastAsia="仿宋" w:cs="仿宋"/>
          <w:b/>
          <w:bCs/>
          <w:kern w:val="0"/>
          <w:sz w:val="32"/>
          <w:szCs w:val="32"/>
        </w:rPr>
      </w:pPr>
      <w:r>
        <w:rPr>
          <w:rFonts w:hint="eastAsia" w:ascii="仿宋" w:hAnsi="仿宋" w:eastAsia="仿宋" w:cs="仿宋"/>
          <w:b/>
          <w:bCs/>
          <w:kern w:val="0"/>
          <w:sz w:val="32"/>
          <w:szCs w:val="32"/>
        </w:rPr>
        <w:t>目录</w:t>
      </w:r>
    </w:p>
    <w:p>
      <w:pPr>
        <w:pStyle w:val="18"/>
        <w:tabs>
          <w:tab w:val="right" w:leader="dot" w:pos="9730"/>
        </w:tabs>
        <w:rPr>
          <w:rFonts w:ascii="Calibri" w:hAnsi="Calibri"/>
          <w:sz w:val="22"/>
        </w:rPr>
      </w:pPr>
      <w:r>
        <w:rPr>
          <w:rFonts w:hint="eastAsia" w:ascii="仿宋" w:hAnsi="仿宋" w:eastAsia="仿宋" w:cs="仿宋"/>
          <w:b w:val="0"/>
          <w:bCs/>
          <w:kern w:val="2"/>
          <w:sz w:val="32"/>
          <w:szCs w:val="32"/>
          <w:lang w:val="en-US" w:eastAsia="zh-CN" w:bidi="ar-SA"/>
        </w:rPr>
        <w:fldChar w:fldCharType="begin"/>
      </w:r>
      <w:r>
        <w:rPr>
          <w:rFonts w:hint="eastAsia" w:ascii="仿宋" w:hAnsi="仿宋" w:eastAsia="仿宋" w:cs="仿宋"/>
          <w:b w:val="0"/>
          <w:bCs/>
          <w:kern w:val="2"/>
          <w:sz w:val="32"/>
          <w:szCs w:val="32"/>
          <w:lang w:val="en-US" w:eastAsia="zh-CN" w:bidi="ar-SA"/>
        </w:rPr>
        <w:instrText xml:space="preserve">TOC \o "1-3" \h \u </w:instrText>
      </w:r>
      <w:r>
        <w:rPr>
          <w:rFonts w:hint="eastAsia" w:ascii="仿宋" w:hAnsi="仿宋" w:eastAsia="仿宋" w:cs="仿宋"/>
          <w:b w:val="0"/>
          <w:bCs/>
          <w:kern w:val="2"/>
          <w:sz w:val="32"/>
          <w:szCs w:val="32"/>
          <w:lang w:val="en-US" w:eastAsia="zh-CN" w:bidi="ar-SA"/>
        </w:rPr>
        <w:fldChar w:fldCharType="separate"/>
      </w:r>
      <w:r>
        <w:fldChar w:fldCharType="begin"/>
      </w:r>
      <w:r>
        <w:instrText xml:space="preserve">HYPERLINK  \l "_Toc256000093" </w:instrText>
      </w:r>
      <w:r>
        <w:fldChar w:fldCharType="separate"/>
      </w:r>
      <w:r>
        <w:rPr>
          <w:rStyle w:val="22"/>
          <w:rFonts w:ascii="黑体" w:hAnsi="黑体" w:eastAsia="黑体" w:cs="黑体"/>
        </w:rPr>
        <w:t>第一部分</w:t>
      </w:r>
      <w:r>
        <w:tab/>
      </w:r>
      <w:r>
        <w:fldChar w:fldCharType="begin"/>
      </w:r>
      <w:r>
        <w:instrText xml:space="preserve"> PAGEREF _Toc256000093 \h </w:instrText>
      </w:r>
      <w:r>
        <w:fldChar w:fldCharType="separate"/>
      </w:r>
      <w:r>
        <w:t>4</w:t>
      </w:r>
      <w:r>
        <w:fldChar w:fldCharType="end"/>
      </w:r>
      <w:r>
        <w:fldChar w:fldCharType="end"/>
      </w:r>
    </w:p>
    <w:p>
      <w:pPr>
        <w:pStyle w:val="18"/>
        <w:tabs>
          <w:tab w:val="right" w:leader="dot" w:pos="9730"/>
        </w:tabs>
        <w:rPr>
          <w:rFonts w:ascii="Calibri" w:hAnsi="Calibri"/>
          <w:sz w:val="22"/>
        </w:rPr>
      </w:pPr>
      <w:r>
        <w:fldChar w:fldCharType="begin"/>
      </w:r>
      <w:r>
        <w:instrText xml:space="preserve">HYPERLINK  \l "_Toc256000094" </w:instrText>
      </w:r>
      <w:r>
        <w:fldChar w:fldCharType="separate"/>
      </w:r>
      <w:r>
        <w:rPr>
          <w:rStyle w:val="22"/>
          <w:rFonts w:ascii="黑体" w:hAnsi="黑体" w:eastAsia="黑体" w:cs="黑体"/>
        </w:rPr>
        <w:t>单位概况</w:t>
      </w:r>
      <w:r>
        <w:tab/>
      </w:r>
      <w:r>
        <w:fldChar w:fldCharType="begin"/>
      </w:r>
      <w:r>
        <w:instrText xml:space="preserve"> PAGEREF _Toc256000094 \h </w:instrText>
      </w:r>
      <w:r>
        <w:fldChar w:fldCharType="separate"/>
      </w:r>
      <w:r>
        <w:t>4</w:t>
      </w:r>
      <w:r>
        <w:fldChar w:fldCharType="end"/>
      </w:r>
      <w:r>
        <w:fldChar w:fldCharType="end"/>
      </w:r>
    </w:p>
    <w:p>
      <w:pPr>
        <w:pStyle w:val="11"/>
        <w:tabs>
          <w:tab w:val="right" w:leader="dot" w:pos="9730"/>
        </w:tabs>
        <w:rPr>
          <w:rFonts w:ascii="Calibri" w:hAnsi="Calibri"/>
          <w:sz w:val="22"/>
        </w:rPr>
      </w:pPr>
      <w:r>
        <w:fldChar w:fldCharType="begin"/>
      </w:r>
      <w:r>
        <w:instrText xml:space="preserve">HYPERLINK  \l "_Toc256000095" </w:instrText>
      </w:r>
      <w:r>
        <w:fldChar w:fldCharType="separate"/>
      </w:r>
      <w:r>
        <w:rPr>
          <w:rStyle w:val="22"/>
          <w:rFonts w:ascii="黑体" w:hAnsi="黑体" w:eastAsia="黑体" w:cs="黑体"/>
        </w:rPr>
        <w:t>一、单位主要职责</w:t>
      </w:r>
      <w:r>
        <w:tab/>
      </w:r>
      <w:r>
        <w:fldChar w:fldCharType="begin"/>
      </w:r>
      <w:r>
        <w:instrText xml:space="preserve"> PAGEREF _Toc256000095 \h </w:instrText>
      </w:r>
      <w:r>
        <w:fldChar w:fldCharType="separate"/>
      </w:r>
      <w:r>
        <w:t>4</w:t>
      </w:r>
      <w:r>
        <w:fldChar w:fldCharType="end"/>
      </w:r>
      <w:r>
        <w:fldChar w:fldCharType="end"/>
      </w:r>
    </w:p>
    <w:p>
      <w:pPr>
        <w:pStyle w:val="11"/>
        <w:tabs>
          <w:tab w:val="right" w:leader="dot" w:pos="9730"/>
        </w:tabs>
        <w:rPr>
          <w:rFonts w:ascii="Calibri" w:hAnsi="Calibri"/>
          <w:sz w:val="22"/>
        </w:rPr>
      </w:pPr>
      <w:r>
        <w:fldChar w:fldCharType="begin"/>
      </w:r>
      <w:r>
        <w:instrText xml:space="preserve">HYPERLINK  \l "_Toc256000096" </w:instrText>
      </w:r>
      <w:r>
        <w:fldChar w:fldCharType="separate"/>
      </w:r>
      <w:r>
        <w:rPr>
          <w:rStyle w:val="22"/>
          <w:rFonts w:ascii="黑体" w:hAnsi="黑体" w:eastAsia="黑体" w:cs="黑体"/>
        </w:rPr>
        <w:t>二、单位基本情况</w:t>
      </w:r>
      <w:r>
        <w:tab/>
      </w:r>
      <w:r>
        <w:fldChar w:fldCharType="begin"/>
      </w:r>
      <w:r>
        <w:instrText xml:space="preserve"> PAGEREF _Toc256000096 \h </w:instrText>
      </w:r>
      <w:r>
        <w:fldChar w:fldCharType="separate"/>
      </w:r>
      <w:r>
        <w:t>4</w:t>
      </w:r>
      <w:r>
        <w:fldChar w:fldCharType="end"/>
      </w:r>
      <w:r>
        <w:fldChar w:fldCharType="end"/>
      </w:r>
    </w:p>
    <w:p>
      <w:pPr>
        <w:pStyle w:val="11"/>
        <w:tabs>
          <w:tab w:val="right" w:leader="dot" w:pos="9730"/>
        </w:tabs>
        <w:rPr>
          <w:rFonts w:ascii="Calibri" w:hAnsi="Calibri"/>
          <w:sz w:val="22"/>
        </w:rPr>
      </w:pPr>
      <w:r>
        <w:fldChar w:fldCharType="begin"/>
      </w:r>
      <w:r>
        <w:instrText xml:space="preserve">HYPERLINK  \l "_Toc256000097" </w:instrText>
      </w:r>
      <w:r>
        <w:fldChar w:fldCharType="separate"/>
      </w:r>
      <w:r>
        <w:rPr>
          <w:rStyle w:val="22"/>
          <w:rFonts w:ascii="黑体" w:hAnsi="黑体" w:eastAsia="黑体" w:cs="黑体"/>
        </w:rPr>
        <w:t>三、单位主要工作总结</w:t>
      </w:r>
      <w:r>
        <w:tab/>
      </w:r>
      <w:r>
        <w:fldChar w:fldCharType="begin"/>
      </w:r>
      <w:r>
        <w:instrText xml:space="preserve"> PAGEREF _Toc256000097 \h </w:instrText>
      </w:r>
      <w:r>
        <w:fldChar w:fldCharType="separate"/>
      </w:r>
      <w:r>
        <w:t>4</w:t>
      </w:r>
      <w:r>
        <w:fldChar w:fldCharType="end"/>
      </w:r>
      <w:r>
        <w:fldChar w:fldCharType="end"/>
      </w:r>
    </w:p>
    <w:p>
      <w:pPr>
        <w:pStyle w:val="18"/>
        <w:tabs>
          <w:tab w:val="right" w:leader="dot" w:pos="9730"/>
        </w:tabs>
        <w:rPr>
          <w:rFonts w:ascii="Calibri" w:hAnsi="Calibri"/>
          <w:sz w:val="22"/>
        </w:rPr>
      </w:pPr>
      <w:r>
        <w:fldChar w:fldCharType="begin"/>
      </w:r>
      <w:r>
        <w:instrText xml:space="preserve">HYPERLINK  \l "_Toc256000098" </w:instrText>
      </w:r>
      <w:r>
        <w:fldChar w:fldCharType="separate"/>
      </w:r>
      <w:r>
        <w:rPr>
          <w:rStyle w:val="22"/>
          <w:rFonts w:ascii="黑体" w:hAnsi="黑体" w:eastAsia="黑体" w:cs="黑体"/>
        </w:rPr>
        <w:t>第二部分</w:t>
      </w:r>
      <w:r>
        <w:tab/>
      </w:r>
      <w:r>
        <w:fldChar w:fldCharType="begin"/>
      </w:r>
      <w:r>
        <w:instrText xml:space="preserve"> PAGEREF _Toc256000098 \h </w:instrText>
      </w:r>
      <w:r>
        <w:fldChar w:fldCharType="separate"/>
      </w:r>
      <w:r>
        <w:t>8</w:t>
      </w:r>
      <w:r>
        <w:fldChar w:fldCharType="end"/>
      </w:r>
      <w:r>
        <w:fldChar w:fldCharType="end"/>
      </w:r>
    </w:p>
    <w:p>
      <w:pPr>
        <w:pStyle w:val="18"/>
        <w:tabs>
          <w:tab w:val="right" w:leader="dot" w:pos="9730"/>
        </w:tabs>
        <w:rPr>
          <w:rFonts w:ascii="Calibri" w:hAnsi="Calibri"/>
          <w:sz w:val="22"/>
        </w:rPr>
      </w:pPr>
      <w:r>
        <w:fldChar w:fldCharType="begin"/>
      </w:r>
      <w:r>
        <w:instrText xml:space="preserve">HYPERLINK  \l "_Toc256000099" </w:instrText>
      </w:r>
      <w:r>
        <w:fldChar w:fldCharType="separate"/>
      </w:r>
      <w:r>
        <w:rPr>
          <w:rStyle w:val="22"/>
          <w:rFonts w:ascii="黑体" w:hAnsi="黑体" w:eastAsia="黑体" w:cs="黑体"/>
        </w:rPr>
        <w:t>2024年度决算表</w:t>
      </w:r>
      <w:r>
        <w:tab/>
      </w:r>
      <w:r>
        <w:fldChar w:fldCharType="begin"/>
      </w:r>
      <w:r>
        <w:instrText xml:space="preserve"> PAGEREF _Toc256000099 \h </w:instrText>
      </w:r>
      <w:r>
        <w:fldChar w:fldCharType="separate"/>
      </w:r>
      <w:r>
        <w:t>8</w:t>
      </w:r>
      <w:r>
        <w:fldChar w:fldCharType="end"/>
      </w:r>
      <w:r>
        <w:fldChar w:fldCharType="end"/>
      </w:r>
    </w:p>
    <w:p>
      <w:pPr>
        <w:pStyle w:val="11"/>
        <w:tabs>
          <w:tab w:val="right" w:leader="dot" w:pos="9730"/>
        </w:tabs>
        <w:rPr>
          <w:rFonts w:ascii="Calibri" w:hAnsi="Calibri"/>
          <w:sz w:val="22"/>
        </w:rPr>
      </w:pPr>
      <w:r>
        <w:fldChar w:fldCharType="begin"/>
      </w:r>
      <w:r>
        <w:instrText xml:space="preserve">HYPERLINK  \l "_Toc256000100" </w:instrText>
      </w:r>
      <w:r>
        <w:fldChar w:fldCharType="separate"/>
      </w:r>
      <w:r>
        <w:rPr>
          <w:rStyle w:val="22"/>
          <w:rFonts w:ascii="黑体" w:hAnsi="黑体" w:eastAsia="黑体" w:cs="黑体"/>
        </w:rPr>
        <w:t>一、收入支出决算总表</w:t>
      </w:r>
      <w:r>
        <w:tab/>
      </w:r>
      <w:r>
        <w:fldChar w:fldCharType="begin"/>
      </w:r>
      <w:r>
        <w:instrText xml:space="preserve"> PAGEREF _Toc256000100 \h </w:instrText>
      </w:r>
      <w:r>
        <w:fldChar w:fldCharType="separate"/>
      </w:r>
      <w:r>
        <w:t>8</w:t>
      </w:r>
      <w:r>
        <w:fldChar w:fldCharType="end"/>
      </w:r>
      <w:r>
        <w:fldChar w:fldCharType="end"/>
      </w:r>
    </w:p>
    <w:p>
      <w:pPr>
        <w:pStyle w:val="11"/>
        <w:tabs>
          <w:tab w:val="right" w:leader="dot" w:pos="9730"/>
        </w:tabs>
        <w:rPr>
          <w:rFonts w:ascii="Calibri" w:hAnsi="Calibri"/>
          <w:sz w:val="22"/>
        </w:rPr>
      </w:pPr>
      <w:r>
        <w:fldChar w:fldCharType="begin"/>
      </w:r>
      <w:r>
        <w:instrText xml:space="preserve">HYPERLINK  \l "_Toc256000101" </w:instrText>
      </w:r>
      <w:r>
        <w:fldChar w:fldCharType="separate"/>
      </w:r>
      <w:r>
        <w:rPr>
          <w:rStyle w:val="22"/>
          <w:rFonts w:ascii="黑体" w:hAnsi="黑体" w:eastAsia="黑体" w:cs="黑体"/>
        </w:rPr>
        <w:t>二、收入决算表</w:t>
      </w:r>
      <w:r>
        <w:tab/>
      </w:r>
      <w:r>
        <w:fldChar w:fldCharType="begin"/>
      </w:r>
      <w:r>
        <w:instrText xml:space="preserve"> PAGEREF _Toc256000101 \h </w:instrText>
      </w:r>
      <w:r>
        <w:fldChar w:fldCharType="separate"/>
      </w:r>
      <w:r>
        <w:t>10</w:t>
      </w:r>
      <w:r>
        <w:fldChar w:fldCharType="end"/>
      </w:r>
      <w:r>
        <w:fldChar w:fldCharType="end"/>
      </w:r>
    </w:p>
    <w:p>
      <w:pPr>
        <w:pStyle w:val="11"/>
        <w:tabs>
          <w:tab w:val="right" w:leader="dot" w:pos="9730"/>
        </w:tabs>
        <w:rPr>
          <w:rFonts w:ascii="Calibri" w:hAnsi="Calibri"/>
          <w:sz w:val="22"/>
        </w:rPr>
      </w:pPr>
      <w:r>
        <w:fldChar w:fldCharType="begin"/>
      </w:r>
      <w:r>
        <w:instrText xml:space="preserve">HYPERLINK  \l "_Toc256000102" </w:instrText>
      </w:r>
      <w:r>
        <w:fldChar w:fldCharType="separate"/>
      </w:r>
      <w:r>
        <w:rPr>
          <w:rStyle w:val="22"/>
          <w:rFonts w:ascii="黑体" w:hAnsi="黑体" w:eastAsia="黑体" w:cs="黑体"/>
        </w:rPr>
        <w:t>三、支出决算表</w:t>
      </w:r>
      <w:r>
        <w:tab/>
      </w:r>
      <w:r>
        <w:fldChar w:fldCharType="begin"/>
      </w:r>
      <w:r>
        <w:instrText xml:space="preserve"> PAGEREF _Toc256000102 \h </w:instrText>
      </w:r>
      <w:r>
        <w:fldChar w:fldCharType="separate"/>
      </w:r>
      <w:r>
        <w:t>12</w:t>
      </w:r>
      <w:r>
        <w:fldChar w:fldCharType="end"/>
      </w:r>
      <w:r>
        <w:fldChar w:fldCharType="end"/>
      </w:r>
    </w:p>
    <w:p>
      <w:pPr>
        <w:pStyle w:val="11"/>
        <w:tabs>
          <w:tab w:val="right" w:leader="dot" w:pos="9730"/>
        </w:tabs>
        <w:rPr>
          <w:rFonts w:ascii="Calibri" w:hAnsi="Calibri"/>
          <w:sz w:val="22"/>
        </w:rPr>
      </w:pPr>
      <w:r>
        <w:fldChar w:fldCharType="begin"/>
      </w:r>
      <w:r>
        <w:instrText xml:space="preserve">HYPERLINK  \l "_Toc256000103" </w:instrText>
      </w:r>
      <w:r>
        <w:fldChar w:fldCharType="separate"/>
      </w:r>
      <w:r>
        <w:rPr>
          <w:rStyle w:val="22"/>
          <w:rFonts w:ascii="黑体" w:hAnsi="黑体" w:eastAsia="黑体" w:cs="黑体"/>
        </w:rPr>
        <w:t>四、财政拨款收入支出决算总表</w:t>
      </w:r>
      <w:r>
        <w:tab/>
      </w:r>
      <w:r>
        <w:fldChar w:fldCharType="begin"/>
      </w:r>
      <w:r>
        <w:instrText xml:space="preserve"> PAGEREF _Toc256000103 \h </w:instrText>
      </w:r>
      <w:r>
        <w:fldChar w:fldCharType="separate"/>
      </w:r>
      <w:r>
        <w:t>14</w:t>
      </w:r>
      <w:r>
        <w:fldChar w:fldCharType="end"/>
      </w:r>
      <w:r>
        <w:fldChar w:fldCharType="end"/>
      </w:r>
    </w:p>
    <w:p>
      <w:pPr>
        <w:pStyle w:val="11"/>
        <w:tabs>
          <w:tab w:val="right" w:leader="dot" w:pos="9730"/>
        </w:tabs>
        <w:rPr>
          <w:rFonts w:ascii="Calibri" w:hAnsi="Calibri"/>
          <w:sz w:val="22"/>
        </w:rPr>
      </w:pPr>
      <w:r>
        <w:fldChar w:fldCharType="begin"/>
      </w:r>
      <w:r>
        <w:instrText xml:space="preserve">HYPERLINK  \l "_Toc256000104" </w:instrText>
      </w:r>
      <w:r>
        <w:fldChar w:fldCharType="separate"/>
      </w:r>
      <w:r>
        <w:rPr>
          <w:rStyle w:val="22"/>
          <w:rFonts w:ascii="黑体" w:hAnsi="黑体" w:eastAsia="黑体" w:cs="黑体"/>
        </w:rPr>
        <w:t>五、一般公共预算财政拨款支出决算表</w:t>
      </w:r>
      <w:r>
        <w:tab/>
      </w:r>
      <w:r>
        <w:fldChar w:fldCharType="begin"/>
      </w:r>
      <w:r>
        <w:instrText xml:space="preserve"> PAGEREF _Toc256000104 \h </w:instrText>
      </w:r>
      <w:r>
        <w:fldChar w:fldCharType="separate"/>
      </w:r>
      <w:r>
        <w:t>16</w:t>
      </w:r>
      <w:r>
        <w:fldChar w:fldCharType="end"/>
      </w:r>
      <w:r>
        <w:fldChar w:fldCharType="end"/>
      </w:r>
    </w:p>
    <w:p>
      <w:pPr>
        <w:pStyle w:val="11"/>
        <w:tabs>
          <w:tab w:val="right" w:leader="dot" w:pos="9730"/>
        </w:tabs>
        <w:rPr>
          <w:rFonts w:ascii="Calibri" w:hAnsi="Calibri"/>
          <w:sz w:val="22"/>
        </w:rPr>
      </w:pPr>
      <w:r>
        <w:fldChar w:fldCharType="begin"/>
      </w:r>
      <w:r>
        <w:instrText xml:space="preserve">HYPERLINK  \l "_Toc256000105" </w:instrText>
      </w:r>
      <w:r>
        <w:fldChar w:fldCharType="separate"/>
      </w:r>
      <w:r>
        <w:rPr>
          <w:rStyle w:val="22"/>
          <w:rFonts w:ascii="黑体" w:hAnsi="黑体" w:eastAsia="黑体" w:cs="黑体"/>
        </w:rPr>
        <w:t>六、一般公共预算财政拨款基本支出决算表</w:t>
      </w:r>
      <w:r>
        <w:tab/>
      </w:r>
      <w:r>
        <w:fldChar w:fldCharType="begin"/>
      </w:r>
      <w:r>
        <w:instrText xml:space="preserve"> PAGEREF _Toc256000105 \h </w:instrText>
      </w:r>
      <w:r>
        <w:fldChar w:fldCharType="separate"/>
      </w:r>
      <w:r>
        <w:t>18</w:t>
      </w:r>
      <w:r>
        <w:fldChar w:fldCharType="end"/>
      </w:r>
      <w:r>
        <w:fldChar w:fldCharType="end"/>
      </w:r>
    </w:p>
    <w:p>
      <w:pPr>
        <w:pStyle w:val="11"/>
        <w:tabs>
          <w:tab w:val="right" w:leader="dot" w:pos="9730"/>
        </w:tabs>
        <w:rPr>
          <w:rFonts w:ascii="Calibri" w:hAnsi="Calibri"/>
          <w:sz w:val="22"/>
        </w:rPr>
      </w:pPr>
      <w:r>
        <w:fldChar w:fldCharType="begin"/>
      </w:r>
      <w:r>
        <w:instrText xml:space="preserve">HYPERLINK  \l "_Toc256000106" </w:instrText>
      </w:r>
      <w:r>
        <w:fldChar w:fldCharType="separate"/>
      </w:r>
      <w:r>
        <w:rPr>
          <w:rStyle w:val="22"/>
          <w:rFonts w:ascii="黑体" w:hAnsi="黑体" w:eastAsia="黑体" w:cs="黑体"/>
        </w:rPr>
        <w:t>七、一般公共预算财政拨款“三公”经费支出决算表</w:t>
      </w:r>
      <w:r>
        <w:tab/>
      </w:r>
      <w:r>
        <w:fldChar w:fldCharType="begin"/>
      </w:r>
      <w:r>
        <w:instrText xml:space="preserve"> PAGEREF _Toc256000106 \h </w:instrText>
      </w:r>
      <w:r>
        <w:fldChar w:fldCharType="separate"/>
      </w:r>
      <w:r>
        <w:t>19</w:t>
      </w:r>
      <w:r>
        <w:fldChar w:fldCharType="end"/>
      </w:r>
      <w:r>
        <w:fldChar w:fldCharType="end"/>
      </w:r>
    </w:p>
    <w:p>
      <w:pPr>
        <w:pStyle w:val="11"/>
        <w:tabs>
          <w:tab w:val="right" w:leader="dot" w:pos="9730"/>
        </w:tabs>
        <w:rPr>
          <w:rFonts w:ascii="Calibri" w:hAnsi="Calibri"/>
          <w:sz w:val="22"/>
        </w:rPr>
      </w:pPr>
      <w:r>
        <w:fldChar w:fldCharType="begin"/>
      </w:r>
      <w:r>
        <w:instrText xml:space="preserve">HYPERLINK  \l "_Toc256000107" </w:instrText>
      </w:r>
      <w:r>
        <w:fldChar w:fldCharType="separate"/>
      </w:r>
      <w:r>
        <w:rPr>
          <w:rStyle w:val="22"/>
          <w:rFonts w:ascii="黑体" w:hAnsi="黑体" w:eastAsia="黑体" w:cs="黑体"/>
        </w:rPr>
        <w:t>八、政府性基金预算财政拨款收入支出决算表</w:t>
      </w:r>
      <w:r>
        <w:tab/>
      </w:r>
      <w:r>
        <w:fldChar w:fldCharType="begin"/>
      </w:r>
      <w:r>
        <w:instrText xml:space="preserve"> PAGEREF _Toc256000107 \h </w:instrText>
      </w:r>
      <w:r>
        <w:fldChar w:fldCharType="separate"/>
      </w:r>
      <w:r>
        <w:t>20</w:t>
      </w:r>
      <w:r>
        <w:fldChar w:fldCharType="end"/>
      </w:r>
      <w:r>
        <w:fldChar w:fldCharType="end"/>
      </w:r>
    </w:p>
    <w:p>
      <w:pPr>
        <w:pStyle w:val="11"/>
        <w:tabs>
          <w:tab w:val="right" w:leader="dot" w:pos="9730"/>
        </w:tabs>
        <w:rPr>
          <w:rFonts w:ascii="Calibri" w:hAnsi="Calibri"/>
          <w:sz w:val="22"/>
        </w:rPr>
      </w:pPr>
      <w:r>
        <w:fldChar w:fldCharType="begin"/>
      </w:r>
      <w:r>
        <w:instrText xml:space="preserve">HYPERLINK  \l "_Toc256000108" </w:instrText>
      </w:r>
      <w:r>
        <w:fldChar w:fldCharType="separate"/>
      </w:r>
      <w:r>
        <w:rPr>
          <w:rStyle w:val="22"/>
          <w:rFonts w:ascii="黑体" w:hAnsi="黑体" w:eastAsia="黑体" w:cs="黑体"/>
        </w:rPr>
        <w:t>九、国有资本经营预算财政拨款支出决算表</w:t>
      </w:r>
      <w:r>
        <w:tab/>
      </w:r>
      <w:r>
        <w:fldChar w:fldCharType="begin"/>
      </w:r>
      <w:r>
        <w:instrText xml:space="preserve"> PAGEREF _Toc256000108 \h </w:instrText>
      </w:r>
      <w:r>
        <w:fldChar w:fldCharType="separate"/>
      </w:r>
      <w:r>
        <w:t>21</w:t>
      </w:r>
      <w:r>
        <w:fldChar w:fldCharType="end"/>
      </w:r>
      <w:r>
        <w:fldChar w:fldCharType="end"/>
      </w:r>
    </w:p>
    <w:p>
      <w:pPr>
        <w:pStyle w:val="18"/>
        <w:tabs>
          <w:tab w:val="right" w:leader="dot" w:pos="9730"/>
        </w:tabs>
        <w:rPr>
          <w:rFonts w:ascii="Calibri" w:hAnsi="Calibri"/>
          <w:sz w:val="22"/>
        </w:rPr>
      </w:pPr>
      <w:r>
        <w:fldChar w:fldCharType="begin"/>
      </w:r>
      <w:r>
        <w:instrText xml:space="preserve">HYPERLINK  \l "_Toc256000109" </w:instrText>
      </w:r>
      <w:r>
        <w:fldChar w:fldCharType="separate"/>
      </w:r>
      <w:r>
        <w:rPr>
          <w:rStyle w:val="22"/>
          <w:rFonts w:ascii="黑体" w:hAnsi="黑体" w:eastAsia="黑体" w:cs="黑体"/>
        </w:rPr>
        <w:t>第三部分</w:t>
      </w:r>
      <w:r>
        <w:tab/>
      </w:r>
      <w:r>
        <w:fldChar w:fldCharType="begin"/>
      </w:r>
      <w:r>
        <w:instrText xml:space="preserve"> PAGEREF _Toc256000109 \h </w:instrText>
      </w:r>
      <w:r>
        <w:fldChar w:fldCharType="separate"/>
      </w:r>
      <w:r>
        <w:t>22</w:t>
      </w:r>
      <w:r>
        <w:fldChar w:fldCharType="end"/>
      </w:r>
      <w:r>
        <w:fldChar w:fldCharType="end"/>
      </w:r>
    </w:p>
    <w:p>
      <w:pPr>
        <w:pStyle w:val="18"/>
        <w:tabs>
          <w:tab w:val="right" w:leader="dot" w:pos="9730"/>
        </w:tabs>
        <w:rPr>
          <w:rFonts w:ascii="Calibri" w:hAnsi="Calibri"/>
          <w:sz w:val="22"/>
        </w:rPr>
      </w:pPr>
      <w:r>
        <w:fldChar w:fldCharType="begin"/>
      </w:r>
      <w:r>
        <w:instrText xml:space="preserve">HYPERLINK  \l "_Toc256000110" </w:instrText>
      </w:r>
      <w:r>
        <w:fldChar w:fldCharType="separate"/>
      </w:r>
      <w:r>
        <w:rPr>
          <w:rStyle w:val="22"/>
          <w:rFonts w:ascii="黑体" w:hAnsi="黑体" w:eastAsia="黑体" w:cs="黑体"/>
        </w:rPr>
        <w:t>2024年度决算情况说明</w:t>
      </w:r>
      <w:r>
        <w:tab/>
      </w:r>
      <w:r>
        <w:fldChar w:fldCharType="begin"/>
      </w:r>
      <w:r>
        <w:instrText xml:space="preserve"> PAGEREF _Toc256000110 \h </w:instrText>
      </w:r>
      <w:r>
        <w:fldChar w:fldCharType="separate"/>
      </w:r>
      <w:r>
        <w:t>22</w:t>
      </w:r>
      <w:r>
        <w:fldChar w:fldCharType="end"/>
      </w:r>
      <w:r>
        <w:fldChar w:fldCharType="end"/>
      </w:r>
    </w:p>
    <w:p>
      <w:pPr>
        <w:pStyle w:val="11"/>
        <w:tabs>
          <w:tab w:val="right" w:leader="dot" w:pos="9730"/>
        </w:tabs>
        <w:rPr>
          <w:rFonts w:ascii="Calibri" w:hAnsi="Calibri"/>
          <w:sz w:val="22"/>
        </w:rPr>
      </w:pPr>
      <w:r>
        <w:fldChar w:fldCharType="begin"/>
      </w:r>
      <w:r>
        <w:instrText xml:space="preserve">HYPERLINK  \l "_Toc256000111" </w:instrText>
      </w:r>
      <w:r>
        <w:fldChar w:fldCharType="separate"/>
      </w:r>
      <w:r>
        <w:rPr>
          <w:rStyle w:val="22"/>
          <w:rFonts w:ascii="黑体" w:hAnsi="黑体" w:eastAsia="黑体" w:cs="黑体"/>
        </w:rPr>
        <w:t>一、收入支出决算总体情况说明</w:t>
      </w:r>
      <w:r>
        <w:tab/>
      </w:r>
      <w:r>
        <w:fldChar w:fldCharType="begin"/>
      </w:r>
      <w:r>
        <w:instrText xml:space="preserve"> PAGEREF _Toc256000111 \h </w:instrText>
      </w:r>
      <w:r>
        <w:fldChar w:fldCharType="separate"/>
      </w:r>
      <w:r>
        <w:t>22</w:t>
      </w:r>
      <w:r>
        <w:fldChar w:fldCharType="end"/>
      </w:r>
      <w:r>
        <w:fldChar w:fldCharType="end"/>
      </w:r>
    </w:p>
    <w:p>
      <w:pPr>
        <w:pStyle w:val="11"/>
        <w:tabs>
          <w:tab w:val="right" w:leader="dot" w:pos="9730"/>
        </w:tabs>
        <w:rPr>
          <w:rFonts w:ascii="Calibri" w:hAnsi="Calibri"/>
          <w:sz w:val="22"/>
        </w:rPr>
      </w:pPr>
      <w:r>
        <w:fldChar w:fldCharType="begin"/>
      </w:r>
      <w:r>
        <w:instrText xml:space="preserve">HYPERLINK  \l "_Toc256000112" </w:instrText>
      </w:r>
      <w:r>
        <w:fldChar w:fldCharType="separate"/>
      </w:r>
      <w:r>
        <w:rPr>
          <w:rStyle w:val="22"/>
          <w:rFonts w:ascii="黑体" w:hAnsi="黑体" w:eastAsia="黑体" w:cs="黑体"/>
        </w:rPr>
        <w:t>二、财政拨款收入支出决算总体情况说明</w:t>
      </w:r>
      <w:r>
        <w:tab/>
      </w:r>
      <w:r>
        <w:fldChar w:fldCharType="begin"/>
      </w:r>
      <w:r>
        <w:instrText xml:space="preserve"> PAGEREF _Toc256000112 \h </w:instrText>
      </w:r>
      <w:r>
        <w:fldChar w:fldCharType="separate"/>
      </w:r>
      <w:r>
        <w:t>23</w:t>
      </w:r>
      <w:r>
        <w:fldChar w:fldCharType="end"/>
      </w:r>
      <w:r>
        <w:fldChar w:fldCharType="end"/>
      </w:r>
    </w:p>
    <w:p>
      <w:pPr>
        <w:pStyle w:val="11"/>
        <w:tabs>
          <w:tab w:val="right" w:leader="dot" w:pos="9730"/>
        </w:tabs>
        <w:rPr>
          <w:rFonts w:ascii="Calibri" w:hAnsi="Calibri"/>
          <w:sz w:val="22"/>
        </w:rPr>
      </w:pPr>
      <w:r>
        <w:fldChar w:fldCharType="begin"/>
      </w:r>
      <w:r>
        <w:instrText xml:space="preserve">HYPERLINK  \l "_Toc256000113" </w:instrText>
      </w:r>
      <w:r>
        <w:fldChar w:fldCharType="separate"/>
      </w:r>
      <w:r>
        <w:rPr>
          <w:rStyle w:val="22"/>
          <w:rFonts w:ascii="黑体" w:hAnsi="黑体" w:eastAsia="黑体" w:cs="黑体"/>
        </w:rPr>
        <w:t>三、一般公共预算拨款支出决算情况说明</w:t>
      </w:r>
      <w:r>
        <w:tab/>
      </w:r>
      <w:r>
        <w:fldChar w:fldCharType="begin"/>
      </w:r>
      <w:r>
        <w:instrText xml:space="preserve"> PAGEREF _Toc256000113 \h </w:instrText>
      </w:r>
      <w:r>
        <w:fldChar w:fldCharType="separate"/>
      </w:r>
      <w:r>
        <w:t>23</w:t>
      </w:r>
      <w:r>
        <w:fldChar w:fldCharType="end"/>
      </w:r>
      <w:r>
        <w:fldChar w:fldCharType="end"/>
      </w:r>
    </w:p>
    <w:p>
      <w:pPr>
        <w:pStyle w:val="11"/>
        <w:tabs>
          <w:tab w:val="right" w:leader="dot" w:pos="9730"/>
        </w:tabs>
        <w:rPr>
          <w:rFonts w:ascii="Calibri" w:hAnsi="Calibri"/>
          <w:sz w:val="22"/>
        </w:rPr>
      </w:pPr>
      <w:r>
        <w:fldChar w:fldCharType="begin"/>
      </w:r>
      <w:r>
        <w:instrText xml:space="preserve">HYPERLINK  \l "_Toc256000114" </w:instrText>
      </w:r>
      <w:r>
        <w:fldChar w:fldCharType="separate"/>
      </w:r>
      <w:r>
        <w:rPr>
          <w:rStyle w:val="22"/>
          <w:rFonts w:ascii="黑体" w:hAnsi="黑体" w:eastAsia="黑体" w:cs="黑体"/>
        </w:rPr>
        <w:t>四、政府性基金预算财政拨款支出决算情况说明</w:t>
      </w:r>
      <w:r>
        <w:tab/>
      </w:r>
      <w:r>
        <w:fldChar w:fldCharType="begin"/>
      </w:r>
      <w:r>
        <w:instrText xml:space="preserve"> PAGEREF _Toc256000114 \h </w:instrText>
      </w:r>
      <w:r>
        <w:fldChar w:fldCharType="separate"/>
      </w:r>
      <w:r>
        <w:t>25</w:t>
      </w:r>
      <w:r>
        <w:fldChar w:fldCharType="end"/>
      </w:r>
      <w:r>
        <w:fldChar w:fldCharType="end"/>
      </w:r>
    </w:p>
    <w:p>
      <w:pPr>
        <w:pStyle w:val="11"/>
        <w:tabs>
          <w:tab w:val="right" w:leader="dot" w:pos="9730"/>
        </w:tabs>
        <w:rPr>
          <w:rFonts w:ascii="Calibri" w:hAnsi="Calibri"/>
          <w:sz w:val="22"/>
        </w:rPr>
      </w:pPr>
      <w:r>
        <w:fldChar w:fldCharType="begin"/>
      </w:r>
      <w:r>
        <w:instrText xml:space="preserve">HYPERLINK  \l "_Toc256000115" </w:instrText>
      </w:r>
      <w:r>
        <w:fldChar w:fldCharType="separate"/>
      </w:r>
      <w:r>
        <w:rPr>
          <w:rStyle w:val="22"/>
          <w:rFonts w:ascii="黑体" w:hAnsi="黑体" w:eastAsia="黑体" w:cs="黑体"/>
        </w:rPr>
        <w:t>五、国有资本经营预算财政拨款支出决算情况说明</w:t>
      </w:r>
      <w:r>
        <w:tab/>
      </w:r>
      <w:r>
        <w:fldChar w:fldCharType="begin"/>
      </w:r>
      <w:r>
        <w:instrText xml:space="preserve"> PAGEREF _Toc256000115 \h </w:instrText>
      </w:r>
      <w:r>
        <w:fldChar w:fldCharType="separate"/>
      </w:r>
      <w:r>
        <w:t>25</w:t>
      </w:r>
      <w:r>
        <w:fldChar w:fldCharType="end"/>
      </w:r>
      <w:r>
        <w:fldChar w:fldCharType="end"/>
      </w:r>
    </w:p>
    <w:p>
      <w:pPr>
        <w:pStyle w:val="11"/>
        <w:tabs>
          <w:tab w:val="right" w:leader="dot" w:pos="9730"/>
        </w:tabs>
        <w:rPr>
          <w:rFonts w:ascii="Calibri" w:hAnsi="Calibri"/>
          <w:sz w:val="22"/>
        </w:rPr>
      </w:pPr>
      <w:r>
        <w:fldChar w:fldCharType="begin"/>
      </w:r>
      <w:r>
        <w:instrText xml:space="preserve">HYPERLINK  \l "_Toc256000116" </w:instrText>
      </w:r>
      <w:r>
        <w:fldChar w:fldCharType="separate"/>
      </w:r>
      <w:r>
        <w:rPr>
          <w:rStyle w:val="22"/>
          <w:rFonts w:ascii="黑体" w:hAnsi="黑体" w:eastAsia="黑体" w:cs="黑体"/>
        </w:rPr>
        <w:t>六、一般公共预算财政拨款基本支出决算情况说明</w:t>
      </w:r>
      <w:r>
        <w:tab/>
      </w:r>
      <w:r>
        <w:fldChar w:fldCharType="begin"/>
      </w:r>
      <w:r>
        <w:instrText xml:space="preserve"> PAGEREF _Toc256000116 \h </w:instrText>
      </w:r>
      <w:r>
        <w:fldChar w:fldCharType="separate"/>
      </w:r>
      <w:r>
        <w:t>25</w:t>
      </w:r>
      <w:r>
        <w:fldChar w:fldCharType="end"/>
      </w:r>
      <w:r>
        <w:fldChar w:fldCharType="end"/>
      </w:r>
    </w:p>
    <w:p>
      <w:pPr>
        <w:pStyle w:val="11"/>
        <w:tabs>
          <w:tab w:val="right" w:leader="dot" w:pos="9730"/>
        </w:tabs>
        <w:rPr>
          <w:rFonts w:ascii="Calibri" w:hAnsi="Calibri"/>
          <w:sz w:val="22"/>
        </w:rPr>
      </w:pPr>
      <w:r>
        <w:fldChar w:fldCharType="begin"/>
      </w:r>
      <w:r>
        <w:instrText xml:space="preserve">HYPERLINK  \l "_Toc256000117" </w:instrText>
      </w:r>
      <w:r>
        <w:fldChar w:fldCharType="separate"/>
      </w:r>
      <w:r>
        <w:rPr>
          <w:rStyle w:val="22"/>
          <w:rFonts w:ascii="黑体" w:hAnsi="黑体" w:eastAsia="黑体" w:cs="黑体"/>
        </w:rPr>
        <w:t>七、一般公共预算拨款“三公”经费支出决算情况说明</w:t>
      </w:r>
      <w:r>
        <w:tab/>
      </w:r>
      <w:r>
        <w:fldChar w:fldCharType="begin"/>
      </w:r>
      <w:r>
        <w:instrText xml:space="preserve"> PAGEREF _Toc256000117 \h </w:instrText>
      </w:r>
      <w:r>
        <w:fldChar w:fldCharType="separate"/>
      </w:r>
      <w:r>
        <w:t>26</w:t>
      </w:r>
      <w:r>
        <w:fldChar w:fldCharType="end"/>
      </w:r>
      <w:r>
        <w:fldChar w:fldCharType="end"/>
      </w:r>
    </w:p>
    <w:p>
      <w:pPr>
        <w:pStyle w:val="11"/>
        <w:tabs>
          <w:tab w:val="right" w:leader="dot" w:pos="9730"/>
        </w:tabs>
        <w:rPr>
          <w:rFonts w:ascii="Calibri" w:hAnsi="Calibri"/>
          <w:sz w:val="22"/>
        </w:rPr>
      </w:pPr>
      <w:r>
        <w:fldChar w:fldCharType="begin"/>
      </w:r>
      <w:r>
        <w:instrText xml:space="preserve">HYPERLINK  \l "_Toc256000118" </w:instrText>
      </w:r>
      <w:r>
        <w:fldChar w:fldCharType="separate"/>
      </w:r>
      <w:r>
        <w:rPr>
          <w:rStyle w:val="22"/>
          <w:rFonts w:ascii="黑体" w:hAnsi="黑体" w:eastAsia="黑体" w:cs="黑体"/>
        </w:rPr>
        <w:t>八、预算绩效情况说明</w:t>
      </w:r>
      <w:r>
        <w:tab/>
      </w:r>
      <w:r>
        <w:fldChar w:fldCharType="begin"/>
      </w:r>
      <w:r>
        <w:instrText xml:space="preserve"> PAGEREF _Toc256000118 \h </w:instrText>
      </w:r>
      <w:r>
        <w:fldChar w:fldCharType="separate"/>
      </w:r>
      <w:r>
        <w:t>27</w:t>
      </w:r>
      <w:r>
        <w:fldChar w:fldCharType="end"/>
      </w:r>
      <w:r>
        <w:fldChar w:fldCharType="end"/>
      </w:r>
    </w:p>
    <w:p>
      <w:pPr>
        <w:pStyle w:val="11"/>
        <w:tabs>
          <w:tab w:val="right" w:leader="dot" w:pos="9730"/>
        </w:tabs>
        <w:rPr>
          <w:rFonts w:ascii="Calibri" w:hAnsi="Calibri"/>
          <w:sz w:val="22"/>
        </w:rPr>
      </w:pPr>
      <w:r>
        <w:fldChar w:fldCharType="begin"/>
      </w:r>
      <w:r>
        <w:instrText xml:space="preserve">HYPERLINK  \l "_Toc256000119" </w:instrText>
      </w:r>
      <w:r>
        <w:fldChar w:fldCharType="separate"/>
      </w:r>
      <w:r>
        <w:rPr>
          <w:rStyle w:val="22"/>
          <w:rFonts w:ascii="黑体" w:hAnsi="黑体" w:eastAsia="黑体" w:cs="黑体"/>
        </w:rPr>
        <w:t>九、其他重要事项说明</w:t>
      </w:r>
      <w:r>
        <w:tab/>
      </w:r>
      <w:r>
        <w:fldChar w:fldCharType="begin"/>
      </w:r>
      <w:r>
        <w:instrText xml:space="preserve"> PAGEREF _Toc256000119 \h </w:instrText>
      </w:r>
      <w:r>
        <w:fldChar w:fldCharType="separate"/>
      </w:r>
      <w:r>
        <w:t>27</w:t>
      </w:r>
      <w:r>
        <w:fldChar w:fldCharType="end"/>
      </w:r>
      <w:r>
        <w:fldChar w:fldCharType="end"/>
      </w:r>
    </w:p>
    <w:p>
      <w:pPr>
        <w:pStyle w:val="18"/>
        <w:tabs>
          <w:tab w:val="right" w:leader="dot" w:pos="9730"/>
        </w:tabs>
        <w:rPr>
          <w:rFonts w:ascii="Calibri" w:hAnsi="Calibri"/>
          <w:sz w:val="22"/>
        </w:rPr>
      </w:pPr>
      <w:r>
        <w:fldChar w:fldCharType="begin"/>
      </w:r>
      <w:r>
        <w:instrText xml:space="preserve">HYPERLINK  \l "_Toc256000120" </w:instrText>
      </w:r>
      <w:r>
        <w:fldChar w:fldCharType="separate"/>
      </w:r>
      <w:r>
        <w:rPr>
          <w:rStyle w:val="22"/>
          <w:rFonts w:ascii="黑体" w:hAnsi="黑体" w:eastAsia="黑体" w:cs="黑体"/>
        </w:rPr>
        <w:t>第四部分</w:t>
      </w:r>
      <w:r>
        <w:tab/>
      </w:r>
      <w:r>
        <w:fldChar w:fldCharType="begin"/>
      </w:r>
      <w:r>
        <w:instrText xml:space="preserve"> PAGEREF _Toc256000120 \h </w:instrText>
      </w:r>
      <w:r>
        <w:fldChar w:fldCharType="separate"/>
      </w:r>
      <w:r>
        <w:t>29</w:t>
      </w:r>
      <w:r>
        <w:fldChar w:fldCharType="end"/>
      </w:r>
      <w:r>
        <w:fldChar w:fldCharType="end"/>
      </w:r>
    </w:p>
    <w:p>
      <w:pPr>
        <w:pStyle w:val="18"/>
        <w:tabs>
          <w:tab w:val="right" w:leader="dot" w:pos="9730"/>
        </w:tabs>
        <w:rPr>
          <w:rFonts w:ascii="Calibri" w:hAnsi="Calibri"/>
          <w:sz w:val="22"/>
        </w:rPr>
      </w:pPr>
      <w:r>
        <w:fldChar w:fldCharType="begin"/>
      </w:r>
      <w:r>
        <w:instrText xml:space="preserve">HYPERLINK  \l "_Toc256000121" </w:instrText>
      </w:r>
      <w:r>
        <w:fldChar w:fldCharType="separate"/>
      </w:r>
      <w:r>
        <w:rPr>
          <w:rStyle w:val="22"/>
          <w:rFonts w:ascii="黑体" w:hAnsi="黑体" w:eastAsia="黑体" w:cs="黑体"/>
        </w:rPr>
        <w:t>名词解释</w:t>
      </w:r>
      <w:r>
        <w:tab/>
      </w:r>
      <w:r>
        <w:fldChar w:fldCharType="begin"/>
      </w:r>
      <w:r>
        <w:instrText xml:space="preserve"> PAGEREF _Toc256000121 \h </w:instrText>
      </w:r>
      <w:r>
        <w:fldChar w:fldCharType="separate"/>
      </w:r>
      <w:r>
        <w:t>29</w:t>
      </w:r>
      <w:r>
        <w:fldChar w:fldCharType="end"/>
      </w:r>
      <w:r>
        <w:fldChar w:fldCharType="end"/>
      </w:r>
    </w:p>
    <w:p>
      <w:pPr>
        <w:pStyle w:val="18"/>
        <w:tabs>
          <w:tab w:val="right" w:leader="dot" w:pos="9730"/>
        </w:tabs>
        <w:rPr>
          <w:rFonts w:ascii="Calibri" w:hAnsi="Calibri"/>
          <w:sz w:val="22"/>
        </w:rPr>
      </w:pPr>
      <w:r>
        <w:fldChar w:fldCharType="begin"/>
      </w:r>
      <w:r>
        <w:instrText xml:space="preserve">HYPERLINK  \l "_Toc256000122" </w:instrText>
      </w:r>
      <w:r>
        <w:fldChar w:fldCharType="separate"/>
      </w:r>
      <w:r>
        <w:rPr>
          <w:rStyle w:val="22"/>
          <w:rFonts w:ascii="黑体" w:hAnsi="黑体" w:eastAsia="黑体" w:cs="黑体"/>
        </w:rPr>
        <w:t>第五部分</w:t>
      </w:r>
      <w:r>
        <w:tab/>
      </w:r>
      <w:r>
        <w:fldChar w:fldCharType="begin"/>
      </w:r>
      <w:r>
        <w:instrText xml:space="preserve"> PAGEREF _Toc256000122 \h </w:instrText>
      </w:r>
      <w:r>
        <w:fldChar w:fldCharType="separate"/>
      </w:r>
      <w:r>
        <w:t>32</w:t>
      </w:r>
      <w:r>
        <w:fldChar w:fldCharType="end"/>
      </w:r>
      <w:r>
        <w:fldChar w:fldCharType="end"/>
      </w:r>
    </w:p>
    <w:p>
      <w:pPr>
        <w:pStyle w:val="18"/>
        <w:tabs>
          <w:tab w:val="right" w:leader="dot" w:pos="9730"/>
        </w:tabs>
        <w:rPr>
          <w:rFonts w:ascii="Calibri" w:hAnsi="Calibri"/>
          <w:sz w:val="22"/>
        </w:rPr>
      </w:pPr>
      <w:r>
        <w:fldChar w:fldCharType="begin"/>
      </w:r>
      <w:r>
        <w:instrText xml:space="preserve">HYPERLINK  \l "_Toc256000123" </w:instrText>
      </w:r>
      <w:r>
        <w:fldChar w:fldCharType="separate"/>
      </w:r>
      <w:r>
        <w:rPr>
          <w:rStyle w:val="22"/>
          <w:rFonts w:ascii="黑体" w:hAnsi="黑体" w:eastAsia="黑体" w:cs="黑体"/>
        </w:rPr>
        <w:t>附件</w:t>
      </w:r>
      <w:r>
        <w:tab/>
      </w:r>
      <w:r>
        <w:fldChar w:fldCharType="begin"/>
      </w:r>
      <w:r>
        <w:instrText xml:space="preserve"> PAGEREF _Toc256000123 \h </w:instrText>
      </w:r>
      <w:r>
        <w:fldChar w:fldCharType="separate"/>
      </w:r>
      <w:r>
        <w:t>32</w:t>
      </w:r>
      <w:r>
        <w:fldChar w:fldCharType="end"/>
      </w:r>
      <w:r>
        <w:fldChar w:fldCharType="end"/>
      </w:r>
    </w:p>
    <w:p>
      <w:pPr>
        <w:adjustRightInd w:val="0"/>
        <w:snapToGrid w:val="0"/>
        <w:rPr>
          <w:rFonts w:hint="eastAsia" w:ascii="仿宋" w:hAnsi="仿宋" w:eastAsia="仿宋" w:cs="仿宋"/>
          <w:b w:val="0"/>
          <w:bCs/>
          <w:kern w:val="2"/>
          <w:sz w:val="32"/>
          <w:szCs w:val="32"/>
          <w:lang w:val="en-US" w:eastAsia="zh-CN" w:bidi="ar-SA"/>
        </w:rPr>
        <w:sectPr>
          <w:footerReference r:id="rId4" w:type="default"/>
          <w:pgSz w:w="11906" w:h="16838"/>
          <w:pgMar w:top="1440" w:right="1083" w:bottom="1440" w:left="1083" w:header="0" w:footer="720" w:gutter="0"/>
          <w:pgBorders>
            <w:top w:val="none" w:sz="0" w:space="0"/>
            <w:left w:val="none" w:sz="0" w:space="0"/>
            <w:bottom w:val="none" w:sz="0" w:space="0"/>
            <w:right w:val="none" w:sz="0" w:space="0"/>
          </w:pgBorders>
          <w:cols w:space="720" w:num="1"/>
          <w:rtlGutter w:val="0"/>
          <w:docGrid w:type="lines" w:linePitch="317" w:charSpace="0"/>
        </w:sectPr>
      </w:pPr>
      <w:r>
        <w:rPr>
          <w:rFonts w:hint="eastAsia" w:ascii="仿宋" w:hAnsi="仿宋" w:eastAsia="仿宋" w:cs="仿宋"/>
          <w:b w:val="0"/>
          <w:bCs/>
          <w:kern w:val="2"/>
          <w:sz w:val="32"/>
          <w:szCs w:val="32"/>
          <w:lang w:val="en-US" w:eastAsia="zh-CN" w:bidi="ar-SA"/>
        </w:rPr>
        <w:fldChar w:fldCharType="end"/>
      </w:r>
    </w:p>
    <w:p>
      <w:pPr>
        <w:pStyle w:val="4"/>
        <w:spacing w:before="100" w:after="100" w:line="240" w:lineRule="auto"/>
        <w:ind w:left="0" w:right="0" w:firstLine="0" w:firstLineChars="0"/>
        <w:jc w:val="center"/>
        <w:rPr>
          <w:rFonts w:ascii="Times New Roman" w:hAnsi="Times New Roman" w:eastAsia="Times New Roman" w:cs="Times New Roman"/>
          <w:b/>
          <w:bCs/>
          <w:kern w:val="0"/>
          <w:sz w:val="36"/>
          <w:szCs w:val="36"/>
        </w:rPr>
      </w:pPr>
      <w:bookmarkStart w:id="0" w:name="_Toc256000093"/>
      <w:bookmarkStart w:id="1" w:name="_Toc256000062"/>
      <w:bookmarkStart w:id="2" w:name="_Toc256000031"/>
      <w:bookmarkStart w:id="3" w:name="_Toc256000000"/>
      <w:bookmarkStart w:id="4" w:name="a000"/>
      <w:r>
        <w:rPr>
          <w:rFonts w:ascii="黑体" w:hAnsi="黑体" w:eastAsia="黑体" w:cs="黑体"/>
          <w:b/>
          <w:spacing w:val="0"/>
          <w:sz w:val="36"/>
          <w:szCs w:val="36"/>
        </w:rPr>
        <w:t>第一部分</w:t>
      </w:r>
      <w:bookmarkEnd w:id="0"/>
      <w:bookmarkEnd w:id="1"/>
      <w:bookmarkEnd w:id="2"/>
      <w:bookmarkEnd w:id="3"/>
      <w:bookmarkStart w:id="5" w:name="_Toc256000094"/>
      <w:bookmarkStart w:id="6" w:name="_Toc256000032"/>
      <w:bookmarkStart w:id="7" w:name="_Toc256000001"/>
      <w:bookmarkStart w:id="8" w:name="_Toc256000063"/>
      <w:r>
        <w:rPr>
          <w:rFonts w:hint="eastAsia" w:ascii="黑体" w:hAnsi="黑体" w:eastAsia="黑体" w:cs="黑体"/>
          <w:b/>
          <w:spacing w:val="0"/>
          <w:sz w:val="36"/>
          <w:szCs w:val="36"/>
          <w:lang w:val="en-US" w:eastAsia="zh-CN"/>
        </w:rPr>
        <w:t xml:space="preserve">  </w:t>
      </w:r>
      <w:r>
        <w:rPr>
          <w:rFonts w:ascii="黑体" w:hAnsi="黑体" w:eastAsia="黑体" w:cs="黑体"/>
          <w:b/>
          <w:spacing w:val="0"/>
          <w:sz w:val="36"/>
          <w:szCs w:val="36"/>
        </w:rPr>
        <w:t>单位概况</w:t>
      </w:r>
      <w:bookmarkEnd w:id="5"/>
      <w:bookmarkEnd w:id="6"/>
      <w:bookmarkEnd w:id="7"/>
      <w:bookmarkEnd w:id="8"/>
    </w:p>
    <w:p>
      <w:pPr>
        <w:pStyle w:val="6"/>
        <w:spacing w:before="100" w:after="100" w:line="240" w:lineRule="auto"/>
        <w:ind w:left="0" w:right="0" w:firstLine="643" w:firstLineChars="200"/>
        <w:rPr>
          <w:rFonts w:ascii="黑体" w:hAnsi="黑体" w:eastAsia="黑体" w:cs="黑体"/>
          <w:b/>
          <w:spacing w:val="0"/>
        </w:rPr>
      </w:pPr>
      <w:bookmarkStart w:id="9" w:name="_Toc256000095"/>
      <w:bookmarkStart w:id="10" w:name="_Toc256000033"/>
      <w:bookmarkStart w:id="11" w:name="_Toc256000002"/>
      <w:bookmarkStart w:id="12" w:name="_Toc256000064"/>
    </w:p>
    <w:p>
      <w:pPr>
        <w:pStyle w:val="6"/>
        <w:spacing w:before="100" w:after="100" w:line="240" w:lineRule="auto"/>
        <w:ind w:left="0" w:right="0" w:firstLine="643" w:firstLineChars="200"/>
        <w:rPr>
          <w:rFonts w:ascii="Times New Roman" w:hAnsi="Times New Roman" w:eastAsia="Times New Roman" w:cs="Times New Roman"/>
          <w:b/>
          <w:bCs/>
          <w:kern w:val="0"/>
          <w:sz w:val="28"/>
          <w:szCs w:val="28"/>
        </w:rPr>
      </w:pPr>
      <w:r>
        <w:rPr>
          <w:rFonts w:ascii="黑体" w:hAnsi="黑体" w:eastAsia="黑体" w:cs="黑体"/>
          <w:b/>
          <w:spacing w:val="0"/>
        </w:rPr>
        <w:t>一、单位主要职责</w:t>
      </w:r>
      <w:bookmarkEnd w:id="9"/>
      <w:bookmarkEnd w:id="10"/>
      <w:bookmarkEnd w:id="11"/>
      <w:bookmarkEnd w:id="12"/>
    </w:p>
    <w:p>
      <w:pPr>
        <w:pStyle w:val="25"/>
        <w:widowControl/>
        <w:spacing w:before="240" w:after="240" w:line="600" w:lineRule="atLeast"/>
        <w:ind w:firstLine="640" w:firstLineChars="200"/>
        <w:jc w:val="left"/>
        <w:rPr>
          <w:rFonts w:hint="eastAsia" w:ascii="仿宋" w:hAnsi="仿宋" w:eastAsia="仿宋" w:cs="仿宋"/>
          <w:kern w:val="0"/>
          <w:sz w:val="32"/>
          <w:szCs w:val="32"/>
        </w:rPr>
      </w:pPr>
      <w:r>
        <w:rPr>
          <w:rFonts w:ascii="仿宋" w:hAnsi="仿宋" w:eastAsia="仿宋" w:cs="仿宋"/>
          <w:spacing w:val="0"/>
          <w:kern w:val="0"/>
          <w:sz w:val="32"/>
          <w:szCs w:val="32"/>
        </w:rPr>
        <w:t>厦门市华昌小学单位的主要职责是：</w:t>
      </w:r>
    </w:p>
    <w:p>
      <w:pPr>
        <w:spacing w:before="196" w:line="346" w:lineRule="auto"/>
        <w:ind w:left="13" w:firstLine="632"/>
        <w:rPr>
          <w:rFonts w:hint="eastAsia" w:ascii="仿宋" w:hAnsi="仿宋" w:eastAsia="仿宋" w:cs="仿宋"/>
          <w:kern w:val="0"/>
          <w:sz w:val="32"/>
          <w:szCs w:val="32"/>
          <w:lang w:eastAsia="zh-CN"/>
        </w:rPr>
      </w:pPr>
      <w:r>
        <w:rPr>
          <w:rFonts w:hint="eastAsia" w:ascii="仿宋" w:hAnsi="仿宋" w:eastAsia="仿宋" w:cs="仿宋"/>
          <w:kern w:val="0"/>
          <w:sz w:val="32"/>
          <w:szCs w:val="32"/>
        </w:rPr>
        <w:t>（一）</w:t>
      </w:r>
      <w:r>
        <w:rPr>
          <w:rFonts w:hint="eastAsia" w:ascii="仿宋" w:hAnsi="仿宋" w:eastAsia="仿宋" w:cs="仿宋"/>
          <w:sz w:val="32"/>
          <w:szCs w:val="32"/>
        </w:rPr>
        <w:t>坚持教育为社会主义现代化建设服务、为人民服务，</w:t>
      </w:r>
      <w:r>
        <w:rPr>
          <w:rFonts w:hint="eastAsia" w:ascii="仿宋" w:hAnsi="仿宋" w:eastAsia="仿宋" w:cs="仿宋"/>
          <w:spacing w:val="9"/>
          <w:sz w:val="32"/>
          <w:szCs w:val="32"/>
        </w:rPr>
        <w:t>与生产劳动和社会实践相结合；不断改善办</w:t>
      </w:r>
      <w:r>
        <w:rPr>
          <w:rFonts w:hint="eastAsia" w:ascii="仿宋" w:hAnsi="仿宋" w:eastAsia="仿宋" w:cs="仿宋"/>
          <w:spacing w:val="8"/>
          <w:sz w:val="32"/>
          <w:szCs w:val="32"/>
        </w:rPr>
        <w:t>学条件，努力提高</w:t>
      </w:r>
      <w:r>
        <w:rPr>
          <w:rFonts w:hint="eastAsia" w:ascii="仿宋" w:hAnsi="仿宋" w:eastAsia="仿宋" w:cs="仿宋"/>
          <w:spacing w:val="9"/>
          <w:sz w:val="32"/>
          <w:szCs w:val="32"/>
        </w:rPr>
        <w:t>队伍素质；走教科研兴校之路，巩固发展办</w:t>
      </w:r>
      <w:r>
        <w:rPr>
          <w:rFonts w:hint="eastAsia" w:ascii="仿宋" w:hAnsi="仿宋" w:eastAsia="仿宋" w:cs="仿宋"/>
          <w:spacing w:val="8"/>
          <w:sz w:val="32"/>
          <w:szCs w:val="32"/>
        </w:rPr>
        <w:t>学特色；面向全体</w:t>
      </w:r>
      <w:r>
        <w:rPr>
          <w:rFonts w:hint="eastAsia" w:ascii="仿宋" w:hAnsi="仿宋" w:eastAsia="仿宋" w:cs="仿宋"/>
          <w:spacing w:val="9"/>
          <w:sz w:val="32"/>
          <w:szCs w:val="32"/>
        </w:rPr>
        <w:t>学生，发展学生个性，全面提高学生素质，</w:t>
      </w:r>
      <w:r>
        <w:rPr>
          <w:rFonts w:hint="eastAsia" w:ascii="仿宋" w:hAnsi="仿宋" w:eastAsia="仿宋" w:cs="仿宋"/>
          <w:spacing w:val="8"/>
          <w:sz w:val="32"/>
          <w:szCs w:val="32"/>
        </w:rPr>
        <w:t>培养德智体美劳全</w:t>
      </w:r>
      <w:r>
        <w:rPr>
          <w:rFonts w:hint="eastAsia" w:ascii="仿宋" w:hAnsi="仿宋" w:eastAsia="仿宋" w:cs="仿宋"/>
          <w:spacing w:val="7"/>
          <w:sz w:val="32"/>
          <w:szCs w:val="32"/>
        </w:rPr>
        <w:t>面发展的社会主义建设者和接班人</w:t>
      </w:r>
      <w:r>
        <w:rPr>
          <w:rFonts w:hint="eastAsia" w:ascii="仿宋" w:hAnsi="仿宋" w:eastAsia="仿宋" w:cs="仿宋"/>
          <w:spacing w:val="7"/>
          <w:sz w:val="32"/>
          <w:szCs w:val="32"/>
          <w:lang w:eastAsia="zh-CN"/>
        </w:rPr>
        <w:t>。</w:t>
      </w:r>
    </w:p>
    <w:p>
      <w:pPr>
        <w:keepNext w:val="0"/>
        <w:keepLines w:val="0"/>
        <w:widowControl/>
        <w:suppressLineNumbers w:val="0"/>
        <w:autoSpaceDE w:val="0"/>
        <w:autoSpaceDN/>
        <w:adjustRightInd w:val="0"/>
        <w:snapToGrid w:val="0"/>
        <w:spacing w:before="0" w:beforeAutospacing="0" w:after="0" w:afterAutospacing="0" w:line="540" w:lineRule="exact"/>
        <w:ind w:left="279" w:leftChars="133" w:right="0" w:rightChars="0" w:firstLine="320" w:firstLineChars="100"/>
        <w:jc w:val="left"/>
        <w:rPr>
          <w:rFonts w:hint="eastAsia" w:ascii="仿宋" w:hAnsi="仿宋" w:eastAsia="仿宋" w:cs="仿宋"/>
          <w:kern w:val="0"/>
          <w:sz w:val="32"/>
          <w:szCs w:val="32"/>
          <w:lang w:eastAsia="zh-CN"/>
        </w:rPr>
      </w:pPr>
      <w:r>
        <w:rPr>
          <w:rFonts w:hint="eastAsia" w:ascii="仿宋" w:hAnsi="仿宋" w:eastAsia="仿宋" w:cs="仿宋"/>
          <w:kern w:val="0"/>
          <w:sz w:val="32"/>
          <w:szCs w:val="32"/>
        </w:rPr>
        <w:t>（二）以“崇德乐学 和谐奋进”为校风，以“敬业 垂范 求实 创新”为教风，以“勤奋守纪 礼貌 诚信”为学风；全面推进素质教育，努力创建和雅教育的特色学校</w:t>
      </w:r>
      <w:r>
        <w:rPr>
          <w:rFonts w:hint="eastAsia" w:ascii="仿宋" w:hAnsi="仿宋" w:eastAsia="仿宋" w:cs="仿宋"/>
          <w:kern w:val="0"/>
          <w:sz w:val="32"/>
          <w:szCs w:val="32"/>
          <w:lang w:eastAsia="zh-CN"/>
        </w:rPr>
        <w:t>。</w:t>
      </w:r>
    </w:p>
    <w:p>
      <w:pPr>
        <w:pStyle w:val="25"/>
        <w:widowControl/>
        <w:spacing w:before="240" w:after="240" w:line="600" w:lineRule="atLeast"/>
        <w:ind w:firstLine="640"/>
        <w:jc w:val="left"/>
        <w:rPr>
          <w:rFonts w:ascii="Times New Roman" w:hAnsi="Times New Roman" w:eastAsia="Times New Roman" w:cs="Times New Roman"/>
          <w:kern w:val="0"/>
          <w:sz w:val="24"/>
        </w:rPr>
      </w:pPr>
      <w:r>
        <w:rPr>
          <w:rFonts w:hint="eastAsia" w:ascii="仿宋" w:hAnsi="仿宋" w:eastAsia="仿宋" w:cs="仿宋"/>
          <w:kern w:val="0"/>
          <w:sz w:val="32"/>
          <w:szCs w:val="32"/>
        </w:rPr>
        <w:t>（三）</w:t>
      </w:r>
      <w:r>
        <w:rPr>
          <w:rFonts w:hint="eastAsia" w:ascii="仿宋" w:hAnsi="仿宋" w:eastAsia="仿宋" w:cs="仿宋"/>
          <w:kern w:val="0"/>
          <w:sz w:val="32"/>
          <w:szCs w:val="32"/>
          <w:shd w:val="clear" w:color="auto" w:fill="FFFFFF"/>
        </w:rPr>
        <w:t>面向全体，全面育人，和谐发展，让学生成才，让教师成功，让家长放心，让社会满意</w:t>
      </w:r>
      <w:r>
        <w:rPr>
          <w:rFonts w:hint="eastAsia" w:ascii="仿宋" w:hAnsi="仿宋" w:eastAsia="仿宋" w:cs="仿宋"/>
          <w:kern w:val="0"/>
          <w:sz w:val="32"/>
          <w:szCs w:val="32"/>
          <w:shd w:val="clear" w:color="auto" w:fill="FFFFFF"/>
          <w:lang w:eastAsia="zh-CN"/>
        </w:rPr>
        <w:t>。</w:t>
      </w:r>
    </w:p>
    <w:p>
      <w:pPr>
        <w:pStyle w:val="6"/>
        <w:spacing w:before="100" w:after="100" w:line="600" w:lineRule="atLeast"/>
        <w:ind w:left="0" w:leftChars="0" w:right="0" w:firstLine="643" w:firstLineChars="200"/>
        <w:rPr>
          <w:rFonts w:ascii="Times New Roman" w:hAnsi="Times New Roman" w:eastAsia="Times New Roman" w:cs="Times New Roman"/>
          <w:b/>
          <w:bCs/>
          <w:kern w:val="0"/>
          <w:sz w:val="28"/>
          <w:szCs w:val="28"/>
        </w:rPr>
      </w:pPr>
      <w:bookmarkStart w:id="13" w:name="_Toc256000096"/>
      <w:bookmarkStart w:id="14" w:name="_Toc256000065"/>
      <w:bookmarkStart w:id="15" w:name="_Toc256000034"/>
      <w:bookmarkStart w:id="16" w:name="_Toc256000003"/>
      <w:r>
        <w:rPr>
          <w:rFonts w:ascii="黑体" w:hAnsi="黑体" w:eastAsia="黑体" w:cs="黑体"/>
          <w:b/>
          <w:spacing w:val="0"/>
        </w:rPr>
        <w:t>二、单位基本情况</w:t>
      </w:r>
      <w:bookmarkEnd w:id="13"/>
      <w:bookmarkEnd w:id="14"/>
      <w:bookmarkEnd w:id="15"/>
      <w:bookmarkEnd w:id="16"/>
    </w:p>
    <w:p>
      <w:pPr>
        <w:pStyle w:val="25"/>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从决算单位构成看，本单位包括</w:t>
      </w:r>
      <w:r>
        <w:rPr>
          <w:rFonts w:hint="eastAsia" w:ascii="仿宋" w:hAnsi="仿宋" w:eastAsia="仿宋" w:cs="仿宋"/>
          <w:spacing w:val="0"/>
          <w:kern w:val="0"/>
          <w:sz w:val="32"/>
          <w:szCs w:val="32"/>
          <w:lang w:val="en-US" w:eastAsia="zh-CN"/>
        </w:rPr>
        <w:t>4</w:t>
      </w:r>
      <w:r>
        <w:rPr>
          <w:rFonts w:ascii="仿宋" w:hAnsi="仿宋" w:eastAsia="仿宋" w:cs="仿宋"/>
          <w:spacing w:val="0"/>
          <w:kern w:val="0"/>
          <w:sz w:val="32"/>
          <w:szCs w:val="32"/>
        </w:rPr>
        <w:t>个内设机构，其中：列入2024年决算编制范围的单位详细情况见下表:</w:t>
      </w:r>
    </w:p>
    <w:tbl>
      <w:tblPr>
        <w:tblStyle w:val="23"/>
        <w:tblW w:w="8779" w:type="dxa"/>
        <w:tblInd w:w="3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3061"/>
        <w:gridCol w:w="5718"/>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rPr>
          <w:trHeight w:val="351" w:hRule="atLeast"/>
          <w:tblHeader/>
        </w:trPr>
        <w:tc>
          <w:tcPr>
            <w:tcW w:w="3061" w:type="dxa"/>
            <w:tcBorders>
              <w:bottom w:val="single" w:color="auto" w:sz="4" w:space="0"/>
              <w:right w:val="inset" w:color="808080" w:sz="6" w:space="0"/>
            </w:tcBorders>
            <w:noWrap w:val="0"/>
            <w:tcMar>
              <w:top w:w="22" w:type="dxa"/>
              <w:left w:w="22" w:type="dxa"/>
              <w:bottom w:w="22" w:type="dxa"/>
              <w:right w:w="22" w:type="dxa"/>
            </w:tcMar>
            <w:vAlign w:val="center"/>
          </w:tcPr>
          <w:p>
            <w:pPr>
              <w:widowControl/>
              <w:ind w:firstLine="640"/>
              <w:jc w:val="center"/>
              <w:rPr>
                <w:rFonts w:ascii="仿宋" w:hAnsi="仿宋" w:eastAsia="仿宋" w:cs="仿宋"/>
                <w:b w:val="0"/>
                <w:bCs w:val="0"/>
                <w:i w:val="0"/>
                <w:iCs w:val="0"/>
                <w:smallCaps w:val="0"/>
                <w:color w:val="000000"/>
                <w:spacing w:val="0"/>
                <w:kern w:val="0"/>
                <w:sz w:val="32"/>
                <w:szCs w:val="32"/>
              </w:rPr>
            </w:pPr>
            <w:r>
              <w:rPr>
                <w:rFonts w:ascii="仿宋" w:hAnsi="仿宋" w:eastAsia="仿宋" w:cs="仿宋"/>
                <w:b w:val="0"/>
                <w:bCs w:val="0"/>
                <w:i w:val="0"/>
                <w:iCs w:val="0"/>
                <w:smallCaps w:val="0"/>
                <w:color w:val="000000"/>
                <w:spacing w:val="0"/>
                <w:kern w:val="0"/>
                <w:sz w:val="32"/>
                <w:szCs w:val="32"/>
              </w:rPr>
              <w:t>序号</w:t>
            </w:r>
          </w:p>
        </w:tc>
        <w:tc>
          <w:tcPr>
            <w:tcW w:w="5718" w:type="dxa"/>
            <w:tcBorders>
              <w:left w:val="inset" w:color="808080" w:sz="6" w:space="0"/>
              <w:bottom w:val="single" w:color="auto" w:sz="4" w:space="0"/>
            </w:tcBorders>
            <w:noWrap w:val="0"/>
            <w:tcMar>
              <w:top w:w="22" w:type="dxa"/>
              <w:left w:w="22" w:type="dxa"/>
              <w:bottom w:w="22" w:type="dxa"/>
              <w:right w:w="22" w:type="dxa"/>
            </w:tcMar>
            <w:vAlign w:val="center"/>
          </w:tcPr>
          <w:p>
            <w:pPr>
              <w:widowControl/>
              <w:ind w:firstLine="640"/>
              <w:jc w:val="center"/>
              <w:rPr>
                <w:rFonts w:ascii="仿宋" w:hAnsi="仿宋" w:eastAsia="仿宋" w:cs="仿宋"/>
                <w:b w:val="0"/>
                <w:bCs w:val="0"/>
                <w:i w:val="0"/>
                <w:iCs w:val="0"/>
                <w:smallCaps w:val="0"/>
                <w:color w:val="000000"/>
                <w:spacing w:val="0"/>
                <w:kern w:val="0"/>
                <w:sz w:val="32"/>
                <w:szCs w:val="32"/>
              </w:rPr>
            </w:pPr>
            <w:r>
              <w:rPr>
                <w:rFonts w:ascii="仿宋" w:hAnsi="仿宋" w:eastAsia="仿宋" w:cs="仿宋"/>
                <w:b w:val="0"/>
                <w:bCs w:val="0"/>
                <w:i w:val="0"/>
                <w:iCs w:val="0"/>
                <w:smallCaps w:val="0"/>
                <w:color w:val="000000"/>
                <w:spacing w:val="0"/>
                <w:kern w:val="0"/>
                <w:sz w:val="32"/>
                <w:szCs w:val="32"/>
              </w:rPr>
              <w:t>单位名称</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rPr>
          <w:trHeight w:val="449" w:hRule="atLeast"/>
          <w:tblHeader/>
        </w:trPr>
        <w:tc>
          <w:tcPr>
            <w:tcW w:w="3061" w:type="dxa"/>
            <w:tcBorders>
              <w:top w:val="single" w:color="auto" w:sz="4" w:space="0"/>
              <w:right w:val="inset" w:color="808080" w:sz="6" w:space="0"/>
            </w:tcBorders>
            <w:noWrap w:val="0"/>
            <w:tcMar>
              <w:top w:w="22" w:type="dxa"/>
              <w:left w:w="22" w:type="dxa"/>
              <w:bottom w:w="22" w:type="dxa"/>
              <w:right w:w="22" w:type="dxa"/>
            </w:tcMar>
            <w:vAlign w:val="center"/>
          </w:tcPr>
          <w:p>
            <w:pPr>
              <w:widowControl/>
              <w:ind w:firstLine="640"/>
              <w:jc w:val="center"/>
              <w:rPr>
                <w:rFonts w:hint="eastAsia" w:ascii="仿宋" w:hAnsi="仿宋" w:eastAsia="仿宋" w:cs="仿宋"/>
                <w:b w:val="0"/>
                <w:bCs w:val="0"/>
                <w:i w:val="0"/>
                <w:iCs w:val="0"/>
                <w:smallCaps w:val="0"/>
                <w:color w:val="000000"/>
                <w:spacing w:val="0"/>
                <w:kern w:val="0"/>
                <w:sz w:val="32"/>
                <w:szCs w:val="32"/>
                <w:lang w:val="en-US" w:eastAsia="zh-CN"/>
              </w:rPr>
            </w:pPr>
            <w:bookmarkStart w:id="17" w:name="_Toc256000035"/>
            <w:bookmarkStart w:id="18" w:name="_Toc256000004"/>
            <w:bookmarkStart w:id="19" w:name="_Toc256000097"/>
            <w:bookmarkStart w:id="20" w:name="_Toc256000066"/>
            <w:r>
              <w:rPr>
                <w:rFonts w:hint="eastAsia" w:ascii="仿宋" w:hAnsi="仿宋" w:eastAsia="仿宋" w:cs="仿宋"/>
                <w:b w:val="0"/>
                <w:bCs w:val="0"/>
                <w:i w:val="0"/>
                <w:iCs w:val="0"/>
                <w:smallCaps w:val="0"/>
                <w:color w:val="000000"/>
                <w:spacing w:val="0"/>
                <w:kern w:val="0"/>
                <w:sz w:val="32"/>
                <w:szCs w:val="32"/>
                <w:lang w:val="en-US" w:eastAsia="zh-CN"/>
              </w:rPr>
              <w:t>1</w:t>
            </w:r>
          </w:p>
        </w:tc>
        <w:tc>
          <w:tcPr>
            <w:tcW w:w="5718" w:type="dxa"/>
            <w:tcBorders>
              <w:top w:val="single" w:color="auto" w:sz="4" w:space="0"/>
              <w:left w:val="inset" w:color="808080" w:sz="6" w:space="0"/>
            </w:tcBorders>
            <w:noWrap w:val="0"/>
            <w:tcMar>
              <w:top w:w="22" w:type="dxa"/>
              <w:left w:w="22" w:type="dxa"/>
              <w:bottom w:w="22" w:type="dxa"/>
              <w:right w:w="22" w:type="dxa"/>
            </w:tcMar>
            <w:vAlign w:val="center"/>
          </w:tcPr>
          <w:p>
            <w:pPr>
              <w:widowControl/>
              <w:ind w:firstLine="640"/>
              <w:jc w:val="center"/>
              <w:rPr>
                <w:rFonts w:ascii="仿宋" w:hAnsi="仿宋" w:eastAsia="仿宋" w:cs="仿宋"/>
                <w:b w:val="0"/>
                <w:bCs w:val="0"/>
                <w:i w:val="0"/>
                <w:iCs w:val="0"/>
                <w:smallCaps w:val="0"/>
                <w:color w:val="000000"/>
                <w:spacing w:val="0"/>
                <w:kern w:val="0"/>
                <w:sz w:val="32"/>
                <w:szCs w:val="32"/>
              </w:rPr>
            </w:pPr>
            <w:r>
              <w:rPr>
                <w:rFonts w:hint="eastAsia" w:ascii="仿宋" w:hAnsi="仿宋" w:eastAsia="仿宋" w:cs="仿宋"/>
                <w:b w:val="0"/>
                <w:bCs w:val="0"/>
                <w:i w:val="0"/>
                <w:iCs w:val="0"/>
                <w:smallCaps w:val="0"/>
                <w:color w:val="000000"/>
                <w:kern w:val="0"/>
                <w:sz w:val="32"/>
                <w:szCs w:val="32"/>
                <w:lang w:val="en-US" w:eastAsia="zh-CN"/>
              </w:rPr>
              <w:t>厦门市华昌小学</w:t>
            </w:r>
          </w:p>
        </w:tc>
      </w:tr>
    </w:tbl>
    <w:p>
      <w:pPr>
        <w:pStyle w:val="6"/>
        <w:numPr>
          <w:ilvl w:val="0"/>
          <w:numId w:val="1"/>
        </w:numPr>
        <w:spacing w:before="100" w:after="100" w:line="600" w:lineRule="atLeast"/>
        <w:ind w:left="0" w:leftChars="0" w:right="0" w:firstLine="643" w:firstLineChars="200"/>
        <w:rPr>
          <w:rFonts w:ascii="黑体" w:hAnsi="黑体" w:eastAsia="黑体" w:cs="黑体"/>
          <w:b/>
          <w:spacing w:val="0"/>
        </w:rPr>
      </w:pPr>
      <w:r>
        <w:rPr>
          <w:rFonts w:ascii="黑体" w:hAnsi="黑体" w:eastAsia="黑体" w:cs="黑体"/>
          <w:b/>
          <w:spacing w:val="0"/>
        </w:rPr>
        <w:t>单位主要工作总结</w:t>
      </w:r>
      <w:bookmarkEnd w:id="17"/>
      <w:bookmarkEnd w:id="18"/>
      <w:bookmarkEnd w:id="19"/>
      <w:bookmarkEnd w:id="20"/>
    </w:p>
    <w:p>
      <w:pPr>
        <w:pStyle w:val="6"/>
        <w:numPr>
          <w:ilvl w:val="0"/>
          <w:numId w:val="0"/>
        </w:numPr>
        <w:spacing w:before="100" w:after="100" w:line="600" w:lineRule="atLeast"/>
        <w:ind w:right="0" w:rightChars="0" w:firstLine="640" w:firstLineChars="200"/>
        <w:rPr>
          <w:rFonts w:ascii="Times New Roman" w:hAnsi="Times New Roman" w:eastAsia="Times New Roman" w:cs="Times New Roman"/>
          <w:kern w:val="0"/>
          <w:sz w:val="24"/>
        </w:rPr>
      </w:pPr>
      <w:r>
        <w:rPr>
          <w:rFonts w:ascii="仿宋" w:hAnsi="仿宋" w:eastAsia="仿宋" w:cs="仿宋"/>
          <w:spacing w:val="0"/>
          <w:kern w:val="0"/>
          <w:sz w:val="32"/>
          <w:szCs w:val="32"/>
        </w:rPr>
        <w:t>2024年，厦门市华昌小学单位主要</w:t>
      </w:r>
      <w:r>
        <w:rPr>
          <w:rFonts w:hint="eastAsia" w:ascii="仿宋" w:hAnsi="仿宋" w:cs="仿宋"/>
          <w:spacing w:val="0"/>
          <w:kern w:val="0"/>
          <w:sz w:val="32"/>
          <w:szCs w:val="32"/>
          <w:lang w:eastAsia="zh-CN"/>
        </w:rPr>
        <w:t>工作总结</w:t>
      </w:r>
      <w:r>
        <w:rPr>
          <w:rFonts w:ascii="仿宋" w:hAnsi="仿宋" w:eastAsia="仿宋" w:cs="仿宋"/>
          <w:spacing w:val="0"/>
          <w:kern w:val="0"/>
          <w:sz w:val="32"/>
          <w:szCs w:val="32"/>
        </w:rPr>
        <w:t>是：</w:t>
      </w:r>
      <w:r>
        <w:rPr>
          <w:rFonts w:ascii="Calibri" w:hAnsi="Calibri" w:eastAsia="Calibri" w:cs="Calibri"/>
          <w:spacing w:val="0"/>
          <w:kern w:val="0"/>
          <w:sz w:val="84"/>
          <w:szCs w:val="84"/>
        </w:rPr>
        <w:t> </w:t>
      </w:r>
    </w:p>
    <w:p>
      <w:pPr>
        <w:pStyle w:val="25"/>
        <w:keepNext w:val="0"/>
        <w:keepLines w:val="0"/>
        <w:pageBreakBefore w:val="0"/>
        <w:widowControl/>
        <w:kinsoku/>
        <w:wordWrap/>
        <w:overflowPunct/>
        <w:topLinePunct w:val="0"/>
        <w:autoSpaceDE/>
        <w:autoSpaceDN/>
        <w:bidi w:val="0"/>
        <w:adjustRightInd/>
        <w:snapToGrid/>
        <w:spacing w:before="240" w:after="240" w:line="360" w:lineRule="auto"/>
        <w:ind w:firstLine="656" w:firstLineChars="200"/>
        <w:jc w:val="left"/>
        <w:textAlignment w:val="auto"/>
        <w:rPr>
          <w:rFonts w:hint="eastAsia" w:ascii="仿宋" w:hAnsi="仿宋" w:eastAsia="仿宋" w:cs="仿宋"/>
          <w:kern w:val="0"/>
          <w:sz w:val="32"/>
          <w:szCs w:val="32"/>
        </w:rPr>
      </w:pPr>
      <w:r>
        <w:rPr>
          <w:rFonts w:hint="eastAsia" w:ascii="仿宋" w:hAnsi="仿宋" w:eastAsia="仿宋" w:cs="仿宋"/>
          <w:spacing w:val="4"/>
          <w:sz w:val="32"/>
          <w:szCs w:val="32"/>
        </w:rPr>
        <w:t>学校工作以习</w:t>
      </w:r>
      <w:r>
        <w:rPr>
          <w:rFonts w:hint="eastAsia" w:ascii="仿宋" w:hAnsi="仿宋" w:eastAsia="仿宋" w:cs="仿宋"/>
          <w:spacing w:val="9"/>
          <w:sz w:val="32"/>
          <w:szCs w:val="32"/>
        </w:rPr>
        <w:t>近平新时代中国特色社会主义思想为指导，认真贯彻党的教育</w:t>
      </w:r>
      <w:r>
        <w:rPr>
          <w:rFonts w:hint="eastAsia" w:ascii="仿宋" w:hAnsi="仿宋" w:eastAsia="仿宋" w:cs="仿宋"/>
          <w:spacing w:val="7"/>
          <w:sz w:val="32"/>
          <w:szCs w:val="32"/>
        </w:rPr>
        <w:t>方针，深入贯彻中共中央办公厅、</w:t>
      </w:r>
      <w:r>
        <w:rPr>
          <w:rFonts w:hint="eastAsia" w:ascii="仿宋" w:hAnsi="仿宋" w:eastAsia="仿宋" w:cs="仿宋"/>
          <w:spacing w:val="-91"/>
          <w:sz w:val="32"/>
          <w:szCs w:val="32"/>
        </w:rPr>
        <w:t xml:space="preserve"> </w:t>
      </w:r>
      <w:r>
        <w:rPr>
          <w:rFonts w:hint="eastAsia" w:ascii="仿宋" w:hAnsi="仿宋" w:eastAsia="仿宋" w:cs="仿宋"/>
          <w:spacing w:val="7"/>
          <w:sz w:val="32"/>
          <w:szCs w:val="32"/>
        </w:rPr>
        <w:t>国务院《关于深</w:t>
      </w:r>
      <w:r>
        <w:rPr>
          <w:rFonts w:hint="eastAsia" w:ascii="仿宋" w:hAnsi="仿宋" w:eastAsia="仿宋" w:cs="仿宋"/>
          <w:spacing w:val="6"/>
          <w:sz w:val="32"/>
          <w:szCs w:val="32"/>
        </w:rPr>
        <w:t>化教育教学</w:t>
      </w:r>
      <w:r>
        <w:rPr>
          <w:rFonts w:hint="eastAsia" w:ascii="仿宋" w:hAnsi="仿宋" w:eastAsia="仿宋" w:cs="仿宋"/>
          <w:spacing w:val="9"/>
          <w:sz w:val="32"/>
          <w:szCs w:val="32"/>
        </w:rPr>
        <w:t>改革全面提升教学质量的意见》《深化新时代教育评价改革总体方案》《关于进一步减轻义务教育阶段学生作业负担和校外培训负担的意见》《关于全面深化新时代教师队伍建设改革的意见》等文件精神，以落实《湖里区义务教育优质均衡发展区</w:t>
      </w:r>
      <w:r>
        <w:rPr>
          <w:rFonts w:hint="eastAsia" w:ascii="仿宋" w:hAnsi="仿宋" w:eastAsia="仿宋" w:cs="仿宋"/>
          <w:spacing w:val="12"/>
          <w:sz w:val="32"/>
          <w:szCs w:val="32"/>
        </w:rPr>
        <w:t>创建工作“十大攻坚工程</w:t>
      </w:r>
      <w:r>
        <w:rPr>
          <w:rFonts w:hint="eastAsia" w:ascii="仿宋" w:hAnsi="仿宋" w:eastAsia="仿宋" w:cs="仿宋"/>
          <w:spacing w:val="-112"/>
          <w:sz w:val="32"/>
          <w:szCs w:val="32"/>
        </w:rPr>
        <w:t xml:space="preserve"> </w:t>
      </w:r>
      <w:r>
        <w:rPr>
          <w:rFonts w:hint="eastAsia" w:ascii="仿宋" w:hAnsi="仿宋" w:eastAsia="仿宋" w:cs="仿宋"/>
          <w:spacing w:val="12"/>
          <w:sz w:val="32"/>
          <w:szCs w:val="32"/>
        </w:rPr>
        <w:t>”实施方案》和《湖里</w:t>
      </w:r>
      <w:r>
        <w:rPr>
          <w:rFonts w:hint="eastAsia" w:ascii="仿宋" w:hAnsi="仿宋" w:eastAsia="仿宋" w:cs="仿宋"/>
          <w:spacing w:val="11"/>
          <w:sz w:val="32"/>
          <w:szCs w:val="32"/>
        </w:rPr>
        <w:t>区</w:t>
      </w:r>
      <w:r>
        <w:rPr>
          <w:rFonts w:hint="eastAsia" w:ascii="仿宋" w:hAnsi="仿宋" w:eastAsia="仿宋" w:cs="仿宋"/>
          <w:spacing w:val="11"/>
          <w:sz w:val="32"/>
          <w:szCs w:val="32"/>
          <w:lang w:eastAsia="zh-CN"/>
        </w:rPr>
        <w:t>“十四五”</w:t>
      </w:r>
      <w:bookmarkStart w:id="125" w:name="_GoBack"/>
      <w:bookmarkEnd w:id="125"/>
      <w:r>
        <w:rPr>
          <w:rFonts w:hint="eastAsia" w:ascii="仿宋" w:hAnsi="仿宋" w:eastAsia="仿宋" w:cs="仿宋"/>
          <w:spacing w:val="9"/>
          <w:sz w:val="32"/>
          <w:szCs w:val="32"/>
        </w:rPr>
        <w:t>教育事业发展专项规划》为重点，结合市教科院、区教育局的工作部署，立足根本，注重实效，全面深化育人方式改革，落实立德树人根本任务，以规范管理，发展特色，提高质量为根</w:t>
      </w:r>
      <w:r>
        <w:rPr>
          <w:rFonts w:hint="eastAsia" w:ascii="仿宋" w:hAnsi="仿宋" w:eastAsia="仿宋" w:cs="仿宋"/>
          <w:spacing w:val="3"/>
          <w:sz w:val="32"/>
          <w:szCs w:val="32"/>
        </w:rPr>
        <w:t>本，遵循“</w:t>
      </w:r>
      <w:r>
        <w:rPr>
          <w:rFonts w:hint="eastAsia" w:ascii="仿宋" w:hAnsi="仿宋" w:eastAsia="仿宋" w:cs="仿宋"/>
          <w:spacing w:val="-97"/>
          <w:sz w:val="32"/>
          <w:szCs w:val="32"/>
        </w:rPr>
        <w:t xml:space="preserve"> </w:t>
      </w:r>
      <w:r>
        <w:rPr>
          <w:rFonts w:hint="eastAsia" w:ascii="仿宋" w:hAnsi="仿宋" w:eastAsia="仿宋" w:cs="仿宋"/>
          <w:spacing w:val="3"/>
          <w:sz w:val="32"/>
          <w:szCs w:val="32"/>
        </w:rPr>
        <w:t>以人为本，和谐尚雅</w:t>
      </w:r>
      <w:r>
        <w:rPr>
          <w:rFonts w:hint="eastAsia" w:ascii="仿宋" w:hAnsi="仿宋" w:eastAsia="仿宋" w:cs="仿宋"/>
          <w:spacing w:val="-112"/>
          <w:sz w:val="32"/>
          <w:szCs w:val="32"/>
        </w:rPr>
        <w:t xml:space="preserve"> </w:t>
      </w:r>
      <w:r>
        <w:rPr>
          <w:rFonts w:hint="eastAsia" w:ascii="仿宋" w:hAnsi="仿宋" w:eastAsia="仿宋" w:cs="仿宋"/>
          <w:spacing w:val="3"/>
          <w:sz w:val="32"/>
          <w:szCs w:val="32"/>
        </w:rPr>
        <w:t>”的办学理念，</w:t>
      </w:r>
      <w:r>
        <w:rPr>
          <w:rFonts w:hint="eastAsia" w:ascii="仿宋" w:hAnsi="仿宋" w:eastAsia="仿宋" w:cs="仿宋"/>
          <w:spacing w:val="-89"/>
          <w:sz w:val="32"/>
          <w:szCs w:val="32"/>
        </w:rPr>
        <w:t xml:space="preserve"> </w:t>
      </w:r>
      <w:r>
        <w:rPr>
          <w:rFonts w:hint="eastAsia" w:ascii="仿宋" w:hAnsi="仿宋" w:eastAsia="仿宋" w:cs="仿宋"/>
          <w:spacing w:val="3"/>
          <w:sz w:val="32"/>
          <w:szCs w:val="32"/>
        </w:rPr>
        <w:t>内强素质，外</w:t>
      </w:r>
      <w:r>
        <w:rPr>
          <w:rFonts w:hint="eastAsia" w:ascii="仿宋" w:hAnsi="仿宋" w:eastAsia="仿宋" w:cs="仿宋"/>
          <w:spacing w:val="9"/>
          <w:sz w:val="32"/>
          <w:szCs w:val="32"/>
        </w:rPr>
        <w:t>塑形象，确保学校各项工作继续上新的台阶，努力打造学生喜欢，家长满意，社会认可的湖里区优质教育集团校。</w:t>
      </w:r>
      <w:r>
        <w:rPr>
          <w:rFonts w:hint="eastAsia" w:ascii="仿宋" w:hAnsi="仿宋" w:eastAsia="仿宋" w:cs="仿宋"/>
          <w:kern w:val="0"/>
          <w:sz w:val="32"/>
          <w:szCs w:val="32"/>
        </w:rPr>
        <w:t>围绕上述任务，重点完成了以下工作：</w:t>
      </w:r>
    </w:p>
    <w:p>
      <w:pPr>
        <w:keepNext w:val="0"/>
        <w:keepLines w:val="0"/>
        <w:pageBreakBefore w:val="0"/>
        <w:kinsoku/>
        <w:wordWrap/>
        <w:overflowPunct/>
        <w:topLinePunct w:val="0"/>
        <w:autoSpaceDE/>
        <w:autoSpaceDN/>
        <w:bidi w:val="0"/>
        <w:adjustRightInd/>
        <w:snapToGrid/>
        <w:spacing w:before="221" w:line="360" w:lineRule="auto"/>
        <w:ind w:left="674"/>
        <w:textAlignment w:val="auto"/>
        <w:outlineLvl w:val="2"/>
        <w:rPr>
          <w:rFonts w:hint="eastAsia" w:ascii="仿宋" w:hAnsi="仿宋" w:eastAsia="仿宋" w:cs="仿宋"/>
          <w:sz w:val="32"/>
          <w:szCs w:val="32"/>
        </w:rPr>
      </w:pPr>
      <w:r>
        <w:rPr>
          <w:rFonts w:hint="eastAsia" w:ascii="仿宋" w:hAnsi="仿宋" w:eastAsia="仿宋" w:cs="仿宋"/>
          <w:spacing w:val="7"/>
          <w:sz w:val="32"/>
          <w:szCs w:val="32"/>
        </w:rPr>
        <w:t>（一）和雅德育塑雅行少年</w:t>
      </w:r>
    </w:p>
    <w:p>
      <w:pPr>
        <w:keepNext w:val="0"/>
        <w:keepLines w:val="0"/>
        <w:pageBreakBefore w:val="0"/>
        <w:widowControl/>
        <w:kinsoku/>
        <w:wordWrap/>
        <w:overflowPunct/>
        <w:topLinePunct w:val="0"/>
        <w:autoSpaceDE/>
        <w:autoSpaceDN/>
        <w:bidi w:val="0"/>
        <w:adjustRightInd/>
        <w:snapToGrid/>
        <w:spacing w:before="240" w:after="240" w:line="360" w:lineRule="auto"/>
        <w:ind w:firstLine="668" w:firstLineChars="200"/>
        <w:jc w:val="left"/>
        <w:textAlignment w:val="auto"/>
        <w:rPr>
          <w:rFonts w:hint="eastAsia" w:ascii="仿宋" w:hAnsi="仿宋" w:eastAsia="仿宋" w:cs="仿宋"/>
          <w:sz w:val="32"/>
          <w:szCs w:val="32"/>
        </w:rPr>
      </w:pPr>
      <w:r>
        <w:rPr>
          <w:rFonts w:hint="eastAsia" w:ascii="仿宋" w:hAnsi="仿宋" w:eastAsia="仿宋" w:cs="仿宋"/>
          <w:spacing w:val="7"/>
          <w:sz w:val="32"/>
          <w:szCs w:val="32"/>
        </w:rPr>
        <w:t>学校德育工作仍以“和雅德育</w:t>
      </w:r>
      <w:r>
        <w:rPr>
          <w:rFonts w:hint="eastAsia" w:ascii="仿宋" w:hAnsi="仿宋" w:eastAsia="仿宋" w:cs="仿宋"/>
          <w:spacing w:val="-112"/>
          <w:sz w:val="32"/>
          <w:szCs w:val="32"/>
        </w:rPr>
        <w:t xml:space="preserve"> </w:t>
      </w:r>
      <w:r>
        <w:rPr>
          <w:rFonts w:hint="eastAsia" w:ascii="仿宋" w:hAnsi="仿宋" w:eastAsia="仿宋" w:cs="仿宋"/>
          <w:spacing w:val="7"/>
          <w:sz w:val="32"/>
          <w:szCs w:val="32"/>
        </w:rPr>
        <w:t>”为重点，以培</w:t>
      </w:r>
      <w:r>
        <w:rPr>
          <w:rFonts w:hint="eastAsia" w:ascii="仿宋" w:hAnsi="仿宋" w:eastAsia="仿宋" w:cs="仿宋"/>
          <w:spacing w:val="6"/>
          <w:sz w:val="32"/>
          <w:szCs w:val="32"/>
        </w:rPr>
        <w:t>养文明雅行</w:t>
      </w:r>
      <w:r>
        <w:rPr>
          <w:rFonts w:hint="eastAsia" w:ascii="仿宋" w:hAnsi="仿宋" w:eastAsia="仿宋" w:cs="仿宋"/>
          <w:spacing w:val="8"/>
          <w:sz w:val="32"/>
          <w:szCs w:val="32"/>
        </w:rPr>
        <w:t>的“和雅少年</w:t>
      </w:r>
      <w:r>
        <w:rPr>
          <w:rFonts w:hint="eastAsia" w:ascii="仿宋" w:hAnsi="仿宋" w:eastAsia="仿宋" w:cs="仿宋"/>
          <w:spacing w:val="-97"/>
          <w:sz w:val="32"/>
          <w:szCs w:val="32"/>
        </w:rPr>
        <w:t xml:space="preserve"> </w:t>
      </w:r>
      <w:r>
        <w:rPr>
          <w:rFonts w:hint="eastAsia" w:ascii="仿宋" w:hAnsi="仿宋" w:eastAsia="仿宋" w:cs="仿宋"/>
          <w:spacing w:val="8"/>
          <w:sz w:val="32"/>
          <w:szCs w:val="32"/>
        </w:rPr>
        <w:t>”为目标，坚持育人为本，坚持生活教育，围绕“和雅</w:t>
      </w:r>
      <w:r>
        <w:rPr>
          <w:rFonts w:hint="eastAsia" w:ascii="仿宋" w:hAnsi="仿宋" w:eastAsia="仿宋" w:cs="仿宋"/>
          <w:spacing w:val="-97"/>
          <w:sz w:val="32"/>
          <w:szCs w:val="32"/>
        </w:rPr>
        <w:t xml:space="preserve"> </w:t>
      </w:r>
      <w:r>
        <w:rPr>
          <w:rFonts w:hint="eastAsia" w:ascii="仿宋" w:hAnsi="仿宋" w:eastAsia="仿宋" w:cs="仿宋"/>
          <w:spacing w:val="8"/>
          <w:sz w:val="32"/>
          <w:szCs w:val="32"/>
        </w:rPr>
        <w:t>”德育理念，切实加强和改进学校未成年人思想道德建</w:t>
      </w:r>
      <w:r>
        <w:rPr>
          <w:rFonts w:hint="eastAsia" w:ascii="仿宋" w:hAnsi="仿宋" w:eastAsia="仿宋" w:cs="仿宋"/>
          <w:spacing w:val="9"/>
          <w:sz w:val="32"/>
          <w:szCs w:val="32"/>
        </w:rPr>
        <w:t>设工作，不断提高学生文明行为习惯和思想道德素质，不断增</w:t>
      </w:r>
      <w:r>
        <w:rPr>
          <w:rFonts w:hint="eastAsia" w:ascii="仿宋" w:hAnsi="仿宋" w:eastAsia="仿宋" w:cs="仿宋"/>
          <w:sz w:val="32"/>
          <w:szCs w:val="32"/>
        </w:rPr>
        <w:t>强学生自我管理能力，促进学生全面发展，让德育走心，塑造雅行少年。</w:t>
      </w:r>
    </w:p>
    <w:p>
      <w:pPr>
        <w:spacing w:before="220" w:line="226" w:lineRule="auto"/>
        <w:ind w:left="646"/>
        <w:outlineLvl w:val="2"/>
        <w:rPr>
          <w:rFonts w:hint="eastAsia" w:ascii="仿宋" w:hAnsi="仿宋" w:eastAsia="仿宋" w:cs="仿宋"/>
          <w:sz w:val="32"/>
          <w:szCs w:val="32"/>
        </w:rPr>
      </w:pPr>
      <w:r>
        <w:rPr>
          <w:rFonts w:hint="eastAsia" w:ascii="仿宋" w:hAnsi="仿宋" w:eastAsia="仿宋" w:cs="仿宋"/>
          <w:spacing w:val="8"/>
          <w:sz w:val="32"/>
          <w:szCs w:val="32"/>
        </w:rPr>
        <w:t>（二）教学研一体优化和雅课堂</w:t>
      </w:r>
    </w:p>
    <w:p>
      <w:pPr>
        <w:spacing w:before="222" w:line="357" w:lineRule="auto"/>
        <w:ind w:right="111" w:firstLine="655"/>
        <w:rPr>
          <w:rFonts w:hint="eastAsia" w:ascii="仿宋" w:hAnsi="仿宋" w:eastAsia="仿宋" w:cs="仿宋"/>
          <w:spacing w:val="6"/>
          <w:sz w:val="32"/>
          <w:szCs w:val="32"/>
        </w:rPr>
      </w:pPr>
      <w:r>
        <w:rPr>
          <w:rFonts w:hint="eastAsia" w:ascii="仿宋" w:hAnsi="仿宋" w:eastAsia="仿宋" w:cs="仿宋"/>
          <w:spacing w:val="8"/>
          <w:sz w:val="32"/>
          <w:szCs w:val="32"/>
        </w:rPr>
        <w:t>1.以常规管理为依托，促进课堂教学质量；2</w:t>
      </w:r>
      <w:r>
        <w:rPr>
          <w:rFonts w:hint="eastAsia" w:ascii="仿宋" w:hAnsi="仿宋" w:eastAsia="仿宋" w:cs="仿宋"/>
          <w:spacing w:val="7"/>
          <w:sz w:val="32"/>
          <w:szCs w:val="32"/>
        </w:rPr>
        <w:t>.以教研组建</w:t>
      </w:r>
      <w:r>
        <w:rPr>
          <w:rFonts w:hint="eastAsia" w:ascii="仿宋" w:hAnsi="仿宋" w:eastAsia="仿宋" w:cs="仿宋"/>
          <w:spacing w:val="9"/>
          <w:sz w:val="32"/>
          <w:szCs w:val="32"/>
        </w:rPr>
        <w:t>设为抓手，促进教师专业成长；3.请进来走出去，提</w:t>
      </w:r>
      <w:r>
        <w:rPr>
          <w:rFonts w:hint="eastAsia" w:ascii="仿宋" w:hAnsi="仿宋" w:eastAsia="仿宋" w:cs="仿宋"/>
          <w:spacing w:val="8"/>
          <w:sz w:val="32"/>
          <w:szCs w:val="32"/>
        </w:rPr>
        <w:t>升校本研修实效；4.开展教研专题活动，提升教研活动质量；5.以学科</w:t>
      </w:r>
      <w:r>
        <w:rPr>
          <w:rFonts w:hint="eastAsia" w:ascii="仿宋" w:hAnsi="仿宋" w:eastAsia="仿宋" w:cs="仿宋"/>
          <w:spacing w:val="7"/>
          <w:sz w:val="32"/>
          <w:szCs w:val="32"/>
        </w:rPr>
        <w:t>活动核心，促进学生发展；6.以“质量监控</w:t>
      </w:r>
      <w:r>
        <w:rPr>
          <w:rFonts w:hint="eastAsia" w:ascii="仿宋" w:hAnsi="仿宋" w:eastAsia="仿宋" w:cs="仿宋"/>
          <w:spacing w:val="-103"/>
          <w:sz w:val="32"/>
          <w:szCs w:val="32"/>
        </w:rPr>
        <w:t xml:space="preserve"> </w:t>
      </w:r>
      <w:r>
        <w:rPr>
          <w:rFonts w:hint="eastAsia" w:ascii="仿宋" w:hAnsi="仿宋" w:eastAsia="仿宋" w:cs="仿宋"/>
          <w:spacing w:val="7"/>
          <w:sz w:val="32"/>
          <w:szCs w:val="32"/>
        </w:rPr>
        <w:t>”为重点，全面提</w:t>
      </w:r>
      <w:r>
        <w:rPr>
          <w:rFonts w:hint="eastAsia" w:ascii="仿宋" w:hAnsi="仿宋" w:eastAsia="仿宋" w:cs="仿宋"/>
          <w:spacing w:val="8"/>
          <w:sz w:val="32"/>
          <w:szCs w:val="32"/>
        </w:rPr>
        <w:t>高教学质量；7.以课题研究为依托，促进教学改革；8.课后服</w:t>
      </w:r>
      <w:r>
        <w:rPr>
          <w:rFonts w:hint="eastAsia" w:ascii="仿宋" w:hAnsi="仿宋" w:eastAsia="仿宋" w:cs="仿宋"/>
          <w:spacing w:val="6"/>
          <w:sz w:val="32"/>
          <w:szCs w:val="32"/>
        </w:rPr>
        <w:t>务百花齐放；9.衔接共建同发展；10.在机遇中寻找发展机遇。</w:t>
      </w:r>
    </w:p>
    <w:p>
      <w:pPr>
        <w:spacing w:before="223" w:line="226" w:lineRule="auto"/>
        <w:ind w:left="646"/>
        <w:outlineLvl w:val="2"/>
        <w:rPr>
          <w:rFonts w:hint="eastAsia" w:ascii="仿宋" w:hAnsi="仿宋" w:eastAsia="仿宋" w:cs="仿宋"/>
          <w:sz w:val="32"/>
          <w:szCs w:val="32"/>
        </w:rPr>
      </w:pPr>
      <w:r>
        <w:rPr>
          <w:rFonts w:hint="eastAsia" w:ascii="仿宋" w:hAnsi="仿宋" w:eastAsia="仿宋" w:cs="仿宋"/>
          <w:spacing w:val="7"/>
          <w:sz w:val="32"/>
          <w:szCs w:val="32"/>
        </w:rPr>
        <w:t>（三）科学防疫保健康</w:t>
      </w:r>
    </w:p>
    <w:p>
      <w:pPr>
        <w:spacing w:before="221" w:line="357" w:lineRule="auto"/>
        <w:ind w:right="111" w:firstLine="659"/>
        <w:rPr>
          <w:rFonts w:hint="eastAsia" w:ascii="仿宋" w:hAnsi="仿宋" w:eastAsia="仿宋" w:cs="仿宋"/>
          <w:spacing w:val="6"/>
          <w:sz w:val="32"/>
          <w:szCs w:val="32"/>
        </w:rPr>
      </w:pPr>
      <w:r>
        <w:rPr>
          <w:rFonts w:hint="eastAsia" w:ascii="仿宋" w:hAnsi="仿宋" w:eastAsia="仿宋" w:cs="仿宋"/>
          <w:spacing w:val="5"/>
          <w:sz w:val="32"/>
          <w:szCs w:val="32"/>
        </w:rPr>
        <w:t>常态化</w:t>
      </w:r>
      <w:r>
        <w:rPr>
          <w:rFonts w:hint="eastAsia" w:ascii="仿宋" w:hAnsi="仿宋" w:eastAsia="仿宋" w:cs="仿宋"/>
          <w:spacing w:val="5"/>
          <w:sz w:val="32"/>
          <w:szCs w:val="32"/>
          <w:lang w:val="en-US" w:eastAsia="zh-CN"/>
        </w:rPr>
        <w:t>各类</w:t>
      </w:r>
      <w:r>
        <w:rPr>
          <w:rFonts w:hint="eastAsia" w:ascii="仿宋" w:hAnsi="仿宋" w:eastAsia="仿宋" w:cs="仿宋"/>
          <w:spacing w:val="5"/>
          <w:sz w:val="32"/>
          <w:szCs w:val="32"/>
        </w:rPr>
        <w:t>疫情防控：落实开学前、</w:t>
      </w:r>
      <w:r>
        <w:rPr>
          <w:rFonts w:hint="eastAsia" w:ascii="仿宋" w:hAnsi="仿宋" w:eastAsia="仿宋" w:cs="仿宋"/>
          <w:spacing w:val="-71"/>
          <w:sz w:val="32"/>
          <w:szCs w:val="32"/>
        </w:rPr>
        <w:t xml:space="preserve"> </w:t>
      </w:r>
      <w:r>
        <w:rPr>
          <w:rFonts w:hint="eastAsia" w:ascii="仿宋" w:hAnsi="仿宋" w:eastAsia="仿宋" w:cs="仿宋"/>
          <w:spacing w:val="5"/>
          <w:sz w:val="32"/>
          <w:szCs w:val="32"/>
        </w:rPr>
        <w:t>中、后期和日常学习中</w:t>
      </w:r>
      <w:r>
        <w:rPr>
          <w:rFonts w:hint="eastAsia" w:ascii="仿宋" w:hAnsi="仿宋" w:eastAsia="仿宋" w:cs="仿宋"/>
          <w:spacing w:val="5"/>
          <w:sz w:val="32"/>
          <w:szCs w:val="32"/>
          <w:lang w:val="en-US" w:eastAsia="zh-CN"/>
        </w:rPr>
        <w:t>流行性病毒</w:t>
      </w:r>
      <w:r>
        <w:rPr>
          <w:rFonts w:hint="eastAsia" w:ascii="仿宋" w:hAnsi="仿宋" w:eastAsia="仿宋" w:cs="仿宋"/>
          <w:spacing w:val="9"/>
          <w:sz w:val="32"/>
          <w:szCs w:val="32"/>
        </w:rPr>
        <w:t>疫情的防控工作。关注学生身体健康的同时，也关注学生心理健康教育，适时引导学生以积极</w:t>
      </w:r>
      <w:r>
        <w:rPr>
          <w:rFonts w:hint="eastAsia" w:ascii="仿宋" w:hAnsi="仿宋" w:eastAsia="仿宋" w:cs="仿宋"/>
          <w:spacing w:val="6"/>
          <w:sz w:val="32"/>
          <w:szCs w:val="32"/>
        </w:rPr>
        <w:t>阳光的心态迎接学习与生活。</w:t>
      </w:r>
    </w:p>
    <w:p>
      <w:pPr>
        <w:spacing w:before="216" w:line="228" w:lineRule="auto"/>
        <w:ind w:left="646"/>
        <w:outlineLvl w:val="2"/>
        <w:rPr>
          <w:rFonts w:hint="eastAsia" w:ascii="仿宋" w:hAnsi="仿宋" w:eastAsia="仿宋" w:cs="仿宋"/>
          <w:sz w:val="32"/>
          <w:szCs w:val="32"/>
        </w:rPr>
      </w:pPr>
      <w:r>
        <w:rPr>
          <w:rFonts w:hint="eastAsia" w:ascii="仿宋" w:hAnsi="仿宋" w:eastAsia="仿宋" w:cs="仿宋"/>
          <w:spacing w:val="8"/>
          <w:sz w:val="32"/>
          <w:szCs w:val="32"/>
        </w:rPr>
        <w:t>（四）优化地方文化，彰显办学特色</w:t>
      </w:r>
    </w:p>
    <w:p>
      <w:pPr>
        <w:keepNext w:val="0"/>
        <w:keepLines w:val="0"/>
        <w:pageBreakBefore w:val="0"/>
        <w:widowControl w:val="0"/>
        <w:kinsoku/>
        <w:wordWrap/>
        <w:overflowPunct/>
        <w:topLinePunct w:val="0"/>
        <w:autoSpaceDE/>
        <w:autoSpaceDN/>
        <w:bidi w:val="0"/>
        <w:adjustRightInd/>
        <w:snapToGrid/>
        <w:spacing w:before="220" w:line="360" w:lineRule="auto"/>
        <w:ind w:left="2" w:right="23" w:firstLine="668"/>
        <w:textAlignment w:val="auto"/>
        <w:rPr>
          <w:rFonts w:hint="eastAsia" w:ascii="仿宋" w:hAnsi="仿宋" w:eastAsia="仿宋" w:cs="仿宋"/>
          <w:sz w:val="32"/>
          <w:szCs w:val="32"/>
        </w:rPr>
      </w:pPr>
      <w:r>
        <w:rPr>
          <w:rFonts w:hint="eastAsia" w:ascii="仿宋" w:hAnsi="仿宋" w:eastAsia="仿宋" w:cs="仿宋"/>
          <w:spacing w:val="8"/>
          <w:sz w:val="32"/>
          <w:szCs w:val="32"/>
        </w:rPr>
        <w:t>闽南方言作为闽南文化传播的载体，是闽南文化传承</w:t>
      </w:r>
      <w:r>
        <w:rPr>
          <w:rFonts w:hint="eastAsia" w:ascii="仿宋" w:hAnsi="仿宋" w:eastAsia="仿宋" w:cs="仿宋"/>
          <w:spacing w:val="7"/>
          <w:sz w:val="32"/>
          <w:szCs w:val="32"/>
        </w:rPr>
        <w:t>中不</w:t>
      </w:r>
      <w:r>
        <w:rPr>
          <w:rFonts w:hint="eastAsia" w:ascii="仿宋" w:hAnsi="仿宋" w:eastAsia="仿宋" w:cs="仿宋"/>
          <w:spacing w:val="9"/>
          <w:sz w:val="32"/>
          <w:szCs w:val="32"/>
        </w:rPr>
        <w:t>可忽略的重要组成部分，社团举办闽南话</w:t>
      </w:r>
      <w:r>
        <w:rPr>
          <w:rFonts w:hint="eastAsia" w:ascii="仿宋" w:hAnsi="仿宋" w:eastAsia="仿宋" w:cs="仿宋"/>
          <w:spacing w:val="9"/>
          <w:sz w:val="32"/>
          <w:szCs w:val="32"/>
          <w:lang w:val="en-US" w:eastAsia="zh-CN"/>
        </w:rPr>
        <w:t>十二节气诵读</w:t>
      </w:r>
      <w:r>
        <w:rPr>
          <w:rFonts w:hint="eastAsia" w:ascii="仿宋" w:hAnsi="仿宋" w:eastAsia="仿宋" w:cs="仿宋"/>
          <w:spacing w:val="9"/>
          <w:sz w:val="32"/>
          <w:szCs w:val="32"/>
        </w:rPr>
        <w:t>比赛，促进参与同学对闽南话的学习和运用，有利于闽南文化的传播和发展。举办闽南文化</w:t>
      </w:r>
      <w:r>
        <w:rPr>
          <w:rFonts w:hint="eastAsia" w:ascii="仿宋" w:hAnsi="仿宋" w:eastAsia="仿宋" w:cs="仿宋"/>
          <w:spacing w:val="9"/>
          <w:sz w:val="32"/>
          <w:szCs w:val="32"/>
          <w:lang w:val="en-US" w:eastAsia="zh-CN"/>
        </w:rPr>
        <w:t>设计</w:t>
      </w:r>
      <w:r>
        <w:rPr>
          <w:rFonts w:hint="eastAsia" w:ascii="仿宋" w:hAnsi="仿宋" w:eastAsia="仿宋" w:cs="仿宋"/>
          <w:spacing w:val="9"/>
          <w:sz w:val="32"/>
          <w:szCs w:val="32"/>
        </w:rPr>
        <w:t>比赛，并邀请美术教师进行评比，此活</w:t>
      </w:r>
      <w:r>
        <w:rPr>
          <w:rFonts w:hint="eastAsia" w:ascii="仿宋" w:hAnsi="仿宋" w:eastAsia="仿宋" w:cs="仿宋"/>
          <w:spacing w:val="1"/>
          <w:sz w:val="32"/>
          <w:szCs w:val="32"/>
        </w:rPr>
        <w:t>动旨在让同学利用</w:t>
      </w:r>
      <w:r>
        <w:rPr>
          <w:rFonts w:hint="eastAsia" w:ascii="仿宋" w:hAnsi="仿宋" w:eastAsia="仿宋" w:cs="仿宋"/>
          <w:spacing w:val="1"/>
          <w:sz w:val="32"/>
          <w:szCs w:val="32"/>
          <w:lang w:val="en-US" w:eastAsia="zh-CN"/>
        </w:rPr>
        <w:t>绘画等</w:t>
      </w:r>
      <w:r>
        <w:rPr>
          <w:rFonts w:hint="eastAsia" w:ascii="仿宋" w:hAnsi="仿宋" w:eastAsia="仿宋" w:cs="仿宋"/>
          <w:spacing w:val="1"/>
          <w:sz w:val="32"/>
          <w:szCs w:val="32"/>
        </w:rPr>
        <w:t>方式，发现生活的美，记录闽</w:t>
      </w:r>
      <w:r>
        <w:rPr>
          <w:rFonts w:hint="eastAsia" w:ascii="仿宋" w:hAnsi="仿宋" w:eastAsia="仿宋" w:cs="仿宋"/>
          <w:sz w:val="32"/>
          <w:szCs w:val="32"/>
        </w:rPr>
        <w:t>南的美，</w:t>
      </w:r>
      <w:r>
        <w:rPr>
          <w:rFonts w:hint="eastAsia" w:ascii="仿宋" w:hAnsi="仿宋" w:eastAsia="仿宋" w:cs="仿宋"/>
          <w:spacing w:val="1"/>
          <w:sz w:val="32"/>
          <w:szCs w:val="32"/>
        </w:rPr>
        <w:t>感悟闽南文化教育的魅力，诉说属于自己与众不同的闽南故事。</w:t>
      </w:r>
    </w:p>
    <w:p>
      <w:pPr>
        <w:keepNext w:val="0"/>
        <w:keepLines w:val="0"/>
        <w:pageBreakBefore w:val="0"/>
        <w:widowControl w:val="0"/>
        <w:kinsoku/>
        <w:wordWrap/>
        <w:overflowPunct/>
        <w:topLinePunct w:val="0"/>
        <w:autoSpaceDE/>
        <w:autoSpaceDN/>
        <w:bidi w:val="0"/>
        <w:adjustRightInd/>
        <w:snapToGrid/>
        <w:spacing w:before="327" w:line="360" w:lineRule="auto"/>
        <w:ind w:left="653"/>
        <w:textAlignment w:val="auto"/>
        <w:outlineLvl w:val="2"/>
        <w:rPr>
          <w:rFonts w:hint="eastAsia" w:ascii="仿宋" w:hAnsi="仿宋" w:eastAsia="仿宋" w:cs="仿宋"/>
          <w:sz w:val="32"/>
          <w:szCs w:val="32"/>
        </w:rPr>
      </w:pPr>
      <w:r>
        <w:rPr>
          <w:rFonts w:hint="eastAsia" w:ascii="仿宋" w:hAnsi="仿宋" w:eastAsia="仿宋" w:cs="仿宋"/>
          <w:spacing w:val="8"/>
          <w:sz w:val="32"/>
          <w:szCs w:val="32"/>
        </w:rPr>
        <w:t>（五）增强后勤保障，助推办学成效</w:t>
      </w:r>
    </w:p>
    <w:p>
      <w:pPr>
        <w:keepNext w:val="0"/>
        <w:keepLines w:val="0"/>
        <w:pageBreakBefore w:val="0"/>
        <w:widowControl w:val="0"/>
        <w:kinsoku/>
        <w:wordWrap/>
        <w:overflowPunct/>
        <w:topLinePunct w:val="0"/>
        <w:autoSpaceDE/>
        <w:autoSpaceDN/>
        <w:bidi w:val="0"/>
        <w:adjustRightInd/>
        <w:snapToGrid/>
        <w:spacing w:before="227" w:line="360" w:lineRule="auto"/>
        <w:ind w:firstLine="663"/>
        <w:textAlignment w:val="auto"/>
        <w:rPr>
          <w:rFonts w:hint="eastAsia" w:ascii="仿宋" w:hAnsi="仿宋" w:eastAsia="仿宋" w:cs="仿宋"/>
          <w:sz w:val="32"/>
          <w:szCs w:val="32"/>
        </w:rPr>
      </w:pPr>
      <w:r>
        <w:rPr>
          <w:rFonts w:hint="eastAsia" w:ascii="仿宋" w:hAnsi="仿宋" w:eastAsia="仿宋" w:cs="仿宋"/>
          <w:sz w:val="32"/>
          <w:szCs w:val="32"/>
        </w:rPr>
        <w:t>除了后勤常规工作外，重点完成了：1.利用暑假改造</w:t>
      </w:r>
      <w:r>
        <w:rPr>
          <w:rFonts w:hint="eastAsia" w:ascii="仿宋" w:hAnsi="仿宋" w:eastAsia="仿宋" w:cs="仿宋"/>
          <w:sz w:val="32"/>
          <w:szCs w:val="32"/>
          <w:lang w:val="en-US" w:eastAsia="zh-CN"/>
        </w:rPr>
        <w:t>图书室，</w:t>
      </w:r>
      <w:r>
        <w:rPr>
          <w:rFonts w:hint="eastAsia" w:ascii="仿宋" w:hAnsi="仿宋" w:eastAsia="仿宋" w:cs="仿宋"/>
          <w:spacing w:val="9"/>
          <w:sz w:val="32"/>
          <w:szCs w:val="32"/>
        </w:rPr>
        <w:t>重新调整</w:t>
      </w:r>
      <w:r>
        <w:rPr>
          <w:rFonts w:hint="eastAsia" w:ascii="仿宋" w:hAnsi="仿宋" w:eastAsia="仿宋" w:cs="仿宋"/>
          <w:spacing w:val="9"/>
          <w:sz w:val="32"/>
          <w:szCs w:val="32"/>
          <w:lang w:val="en-US" w:eastAsia="zh-CN"/>
        </w:rPr>
        <w:t>内部</w:t>
      </w:r>
      <w:r>
        <w:rPr>
          <w:rFonts w:hint="eastAsia" w:ascii="仿宋" w:hAnsi="仿宋" w:eastAsia="仿宋" w:cs="仿宋"/>
          <w:spacing w:val="9"/>
          <w:sz w:val="32"/>
          <w:szCs w:val="32"/>
        </w:rPr>
        <w:t>功能，</w:t>
      </w:r>
      <w:r>
        <w:rPr>
          <w:rFonts w:hint="eastAsia" w:ascii="仿宋" w:hAnsi="仿宋" w:eastAsia="仿宋" w:cs="仿宋"/>
          <w:spacing w:val="9"/>
          <w:sz w:val="32"/>
          <w:szCs w:val="32"/>
          <w:lang w:val="en-US" w:eastAsia="zh-CN"/>
        </w:rPr>
        <w:t>将图书室的</w:t>
      </w:r>
      <w:r>
        <w:rPr>
          <w:rFonts w:hint="eastAsia" w:ascii="仿宋" w:hAnsi="仿宋" w:eastAsia="仿宋" w:cs="仿宋"/>
          <w:spacing w:val="9"/>
          <w:sz w:val="32"/>
          <w:szCs w:val="32"/>
        </w:rPr>
        <w:t>空间利用最大</w:t>
      </w:r>
      <w:r>
        <w:rPr>
          <w:rFonts w:hint="eastAsia" w:ascii="仿宋" w:hAnsi="仿宋" w:eastAsia="仿宋" w:cs="仿宋"/>
          <w:spacing w:val="3"/>
          <w:sz w:val="32"/>
          <w:szCs w:val="32"/>
        </w:rPr>
        <w:t>化</w:t>
      </w:r>
      <w:r>
        <w:rPr>
          <w:rFonts w:hint="eastAsia" w:ascii="仿宋" w:hAnsi="仿宋" w:eastAsia="仿宋" w:cs="仿宋"/>
          <w:spacing w:val="3"/>
          <w:sz w:val="32"/>
          <w:szCs w:val="32"/>
          <w:lang w:val="en-US" w:eastAsia="zh-CN"/>
        </w:rPr>
        <w:t>同时提升了分区布局，达到一室多用的效果</w:t>
      </w:r>
      <w:r>
        <w:rPr>
          <w:rFonts w:hint="eastAsia" w:ascii="仿宋" w:hAnsi="仿宋" w:eastAsia="仿宋" w:cs="仿宋"/>
          <w:spacing w:val="3"/>
          <w:sz w:val="32"/>
          <w:szCs w:val="32"/>
        </w:rPr>
        <w:t>，为老师们</w:t>
      </w:r>
      <w:r>
        <w:rPr>
          <w:rFonts w:hint="eastAsia" w:ascii="仿宋" w:hAnsi="仿宋" w:eastAsia="仿宋" w:cs="仿宋"/>
          <w:spacing w:val="3"/>
          <w:sz w:val="32"/>
          <w:szCs w:val="32"/>
          <w:lang w:val="en-US" w:eastAsia="zh-CN"/>
        </w:rPr>
        <w:t>和学生们</w:t>
      </w:r>
      <w:r>
        <w:rPr>
          <w:rFonts w:hint="eastAsia" w:ascii="仿宋" w:hAnsi="仿宋" w:eastAsia="仿宋" w:cs="仿宋"/>
          <w:spacing w:val="3"/>
          <w:sz w:val="32"/>
          <w:szCs w:val="32"/>
        </w:rPr>
        <w:t>营造更加舒适的办公环境</w:t>
      </w:r>
      <w:r>
        <w:rPr>
          <w:rFonts w:hint="eastAsia" w:ascii="仿宋" w:hAnsi="仿宋" w:eastAsia="仿宋" w:cs="仿宋"/>
          <w:spacing w:val="3"/>
          <w:sz w:val="32"/>
          <w:szCs w:val="32"/>
          <w:lang w:val="en-US" w:eastAsia="zh-CN"/>
        </w:rPr>
        <w:t>和学习环境</w:t>
      </w:r>
      <w:r>
        <w:rPr>
          <w:rFonts w:hint="eastAsia" w:ascii="仿宋" w:hAnsi="仿宋" w:eastAsia="仿宋" w:cs="仿宋"/>
          <w:spacing w:val="3"/>
          <w:sz w:val="32"/>
          <w:szCs w:val="32"/>
        </w:rPr>
        <w:t>；</w:t>
      </w:r>
      <w:r>
        <w:rPr>
          <w:rFonts w:hint="eastAsia" w:ascii="仿宋" w:hAnsi="仿宋" w:eastAsia="仿宋" w:cs="仿宋"/>
          <w:sz w:val="32"/>
          <w:szCs w:val="32"/>
        </w:rPr>
        <w:t>利用暑假</w:t>
      </w:r>
      <w:r>
        <w:rPr>
          <w:rFonts w:hint="eastAsia" w:ascii="仿宋" w:hAnsi="仿宋" w:eastAsia="仿宋" w:cs="仿宋"/>
          <w:sz w:val="32"/>
          <w:szCs w:val="32"/>
          <w:lang w:val="en-US" w:eastAsia="zh-CN"/>
        </w:rPr>
        <w:t>搭建</w:t>
      </w:r>
      <w:r>
        <w:rPr>
          <w:rFonts w:hint="eastAsia" w:ascii="仿宋" w:hAnsi="仿宋" w:eastAsia="仿宋" w:cs="仿宋"/>
          <w:sz w:val="32"/>
          <w:szCs w:val="32"/>
          <w:lang w:eastAsia="zh-CN"/>
        </w:rPr>
        <w:t>了</w:t>
      </w:r>
      <w:r>
        <w:rPr>
          <w:rFonts w:hint="eastAsia" w:ascii="仿宋" w:hAnsi="仿宋" w:eastAsia="仿宋" w:cs="仿宋"/>
          <w:sz w:val="32"/>
          <w:szCs w:val="32"/>
          <w:lang w:val="en-US" w:eastAsia="zh-CN"/>
        </w:rPr>
        <w:t>我校科学角，既增加科学作品布置展览的区</w:t>
      </w:r>
      <w:r>
        <w:rPr>
          <w:rFonts w:hint="eastAsia" w:ascii="仿宋" w:hAnsi="仿宋" w:eastAsia="仿宋" w:cs="仿宋"/>
          <w:spacing w:val="3"/>
          <w:sz w:val="32"/>
          <w:szCs w:val="32"/>
          <w:lang w:val="en-US" w:eastAsia="zh-CN"/>
        </w:rPr>
        <w:t>域，又能宣传科学文化知识，给予学生良好的学习环境，2.同时采购一批10万元的图书，为学生借阅图书提供更多的选择性</w:t>
      </w:r>
      <w:r>
        <w:rPr>
          <w:rFonts w:hint="eastAsia" w:ascii="仿宋" w:hAnsi="仿宋" w:eastAsia="仿宋" w:cs="仿宋"/>
          <w:spacing w:val="9"/>
          <w:sz w:val="32"/>
          <w:szCs w:val="32"/>
        </w:rPr>
        <w:t>；3.利用</w:t>
      </w:r>
      <w:r>
        <w:rPr>
          <w:rFonts w:hint="eastAsia" w:ascii="仿宋" w:hAnsi="仿宋" w:eastAsia="仿宋" w:cs="仿宋"/>
          <w:spacing w:val="9"/>
          <w:sz w:val="32"/>
          <w:szCs w:val="32"/>
          <w:lang w:val="en-US" w:eastAsia="zh-CN"/>
        </w:rPr>
        <w:t>暑假期间，积极协调雨污分离改造项目对我校塑胶场地形成破坏后，重新翻新工作，切实保障学生拥有良好的运动环境</w:t>
      </w:r>
      <w:r>
        <w:rPr>
          <w:rFonts w:hint="eastAsia" w:ascii="仿宋" w:hAnsi="仿宋" w:eastAsia="仿宋" w:cs="仿宋"/>
          <w:spacing w:val="9"/>
          <w:sz w:val="32"/>
          <w:szCs w:val="32"/>
        </w:rPr>
        <w:t>；4.</w:t>
      </w:r>
      <w:r>
        <w:rPr>
          <w:rFonts w:hint="eastAsia" w:ascii="仿宋" w:hAnsi="仿宋" w:eastAsia="仿宋" w:cs="仿宋"/>
          <w:spacing w:val="9"/>
          <w:sz w:val="32"/>
          <w:szCs w:val="32"/>
          <w:lang w:val="en-US" w:eastAsia="zh-CN"/>
        </w:rPr>
        <w:t>为了完成</w:t>
      </w:r>
      <w:r>
        <w:rPr>
          <w:rFonts w:hint="eastAsia" w:ascii="仿宋" w:hAnsi="仿宋" w:eastAsia="仿宋" w:cs="仿宋"/>
          <w:spacing w:val="9"/>
          <w:sz w:val="32"/>
          <w:szCs w:val="32"/>
        </w:rPr>
        <w:t>湖里区教育局为民办实事——</w:t>
      </w:r>
      <w:r>
        <w:rPr>
          <w:rFonts w:hint="eastAsia" w:ascii="仿宋" w:hAnsi="仿宋" w:eastAsia="仿宋" w:cs="仿宋"/>
          <w:spacing w:val="9"/>
          <w:sz w:val="32"/>
          <w:szCs w:val="32"/>
          <w:lang w:val="en-US" w:eastAsia="zh-CN"/>
        </w:rPr>
        <w:t>运动场对外开放工作中，我校</w:t>
      </w:r>
      <w:r>
        <w:rPr>
          <w:rFonts w:hint="eastAsia" w:ascii="仿宋" w:hAnsi="仿宋" w:eastAsia="仿宋" w:cs="仿宋"/>
          <w:spacing w:val="9"/>
          <w:sz w:val="32"/>
          <w:szCs w:val="32"/>
        </w:rPr>
        <w:t>利用</w:t>
      </w:r>
      <w:r>
        <w:rPr>
          <w:rFonts w:hint="eastAsia" w:ascii="仿宋" w:hAnsi="仿宋" w:eastAsia="仿宋" w:cs="仿宋"/>
          <w:spacing w:val="9"/>
          <w:sz w:val="32"/>
          <w:szCs w:val="32"/>
          <w:lang w:val="en-US" w:eastAsia="zh-CN"/>
        </w:rPr>
        <w:t>寒假期间对我校篮球场地进行了面层的翻新工作，为学生提供良好的运动环境的同时，切实保障市民入校运动的安全</w:t>
      </w:r>
      <w:r>
        <w:rPr>
          <w:rFonts w:hint="eastAsia" w:ascii="仿宋" w:hAnsi="仿宋" w:eastAsia="仿宋" w:cs="仿宋"/>
          <w:spacing w:val="2"/>
          <w:sz w:val="32"/>
          <w:szCs w:val="32"/>
        </w:rPr>
        <w:t>；</w:t>
      </w:r>
      <w:r>
        <w:rPr>
          <w:rFonts w:hint="eastAsia" w:ascii="仿宋" w:hAnsi="仿宋" w:eastAsia="仿宋" w:cs="仿宋"/>
          <w:spacing w:val="2"/>
          <w:sz w:val="32"/>
          <w:szCs w:val="32"/>
          <w:lang w:val="en-US" w:eastAsia="zh-CN"/>
        </w:rPr>
        <w:t>5</w:t>
      </w:r>
      <w:r>
        <w:rPr>
          <w:rFonts w:hint="eastAsia" w:ascii="仿宋" w:hAnsi="仿宋" w:eastAsia="仿宋" w:cs="仿宋"/>
          <w:spacing w:val="9"/>
          <w:sz w:val="32"/>
          <w:szCs w:val="32"/>
        </w:rPr>
        <w:t>.</w:t>
      </w:r>
      <w:r>
        <w:rPr>
          <w:rFonts w:hint="eastAsia" w:ascii="仿宋" w:hAnsi="仿宋" w:eastAsia="仿宋" w:cs="仿宋"/>
          <w:spacing w:val="9"/>
          <w:sz w:val="32"/>
          <w:szCs w:val="32"/>
          <w:lang w:val="en-US" w:eastAsia="zh-CN"/>
        </w:rPr>
        <w:t>为了改善我校的学习环境和办公环境，采购了一体机、空调等办公设备，提高教师的办公环境</w:t>
      </w:r>
      <w:r>
        <w:rPr>
          <w:rFonts w:hint="eastAsia" w:ascii="仿宋" w:hAnsi="仿宋" w:eastAsia="仿宋" w:cs="仿宋"/>
          <w:spacing w:val="9"/>
          <w:sz w:val="32"/>
          <w:szCs w:val="32"/>
        </w:rPr>
        <w:t>；</w:t>
      </w:r>
    </w:p>
    <w:p>
      <w:pPr>
        <w:keepNext w:val="0"/>
        <w:keepLines w:val="0"/>
        <w:pageBreakBefore w:val="0"/>
        <w:widowControl w:val="0"/>
        <w:kinsoku/>
        <w:wordWrap/>
        <w:overflowPunct/>
        <w:topLinePunct w:val="0"/>
        <w:autoSpaceDE/>
        <w:autoSpaceDN/>
        <w:bidi w:val="0"/>
        <w:adjustRightInd/>
        <w:snapToGrid/>
        <w:spacing w:line="360" w:lineRule="auto"/>
        <w:textAlignment w:val="auto"/>
        <w:sectPr>
          <w:footerReference r:id="rId5" w:type="default"/>
          <w:pgSz w:w="11906" w:h="16838"/>
          <w:pgMar w:top="1803" w:right="1440" w:bottom="1803" w:left="1440" w:header="720" w:footer="720" w:gutter="0"/>
          <w:pgBorders>
            <w:top w:val="none" w:sz="0" w:space="0"/>
            <w:left w:val="none" w:sz="0" w:space="0"/>
            <w:bottom w:val="none" w:sz="0" w:space="0"/>
            <w:right w:val="none" w:sz="0" w:space="0"/>
          </w:pgBorders>
          <w:cols w:space="720" w:num="1"/>
        </w:sectPr>
      </w:pP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page break</w:t>
      </w:r>
    </w:p>
    <w:p>
      <w:pPr>
        <w:pStyle w:val="4"/>
        <w:spacing w:before="100" w:after="100" w:line="240" w:lineRule="auto"/>
        <w:ind w:left="0" w:right="0" w:firstLine="0" w:firstLineChars="0"/>
        <w:jc w:val="center"/>
        <w:rPr>
          <w:rFonts w:ascii="Times New Roman" w:hAnsi="Times New Roman" w:eastAsia="Times New Roman" w:cs="Times New Roman"/>
          <w:b/>
          <w:bCs/>
          <w:kern w:val="0"/>
          <w:sz w:val="36"/>
          <w:szCs w:val="36"/>
        </w:rPr>
      </w:pPr>
      <w:bookmarkStart w:id="21" w:name="_Toc256000098"/>
      <w:bookmarkStart w:id="22" w:name="_Toc256000036"/>
      <w:bookmarkStart w:id="23" w:name="_Toc256000005"/>
      <w:bookmarkStart w:id="24" w:name="_Toc256000067"/>
      <w:r>
        <w:rPr>
          <w:rFonts w:ascii="黑体" w:hAnsi="黑体" w:eastAsia="黑体" w:cs="黑体"/>
          <w:b/>
          <w:spacing w:val="0"/>
          <w:sz w:val="36"/>
          <w:szCs w:val="36"/>
        </w:rPr>
        <w:t>第二部分</w:t>
      </w:r>
      <w:bookmarkEnd w:id="21"/>
      <w:bookmarkEnd w:id="22"/>
      <w:bookmarkEnd w:id="23"/>
      <w:bookmarkEnd w:id="24"/>
      <w:bookmarkStart w:id="25" w:name="_Toc256000037"/>
      <w:bookmarkStart w:id="26" w:name="_Toc256000006"/>
      <w:bookmarkStart w:id="27" w:name="_Toc256000099"/>
      <w:bookmarkStart w:id="28" w:name="_Toc256000068"/>
      <w:r>
        <w:rPr>
          <w:rFonts w:hint="eastAsia" w:ascii="黑体" w:hAnsi="黑体" w:eastAsia="黑体" w:cs="黑体"/>
          <w:b/>
          <w:spacing w:val="0"/>
          <w:sz w:val="36"/>
          <w:szCs w:val="36"/>
          <w:lang w:val="en-US" w:eastAsia="zh-CN"/>
        </w:rPr>
        <w:t xml:space="preserve">   </w:t>
      </w:r>
      <w:r>
        <w:rPr>
          <w:rFonts w:ascii="黑体" w:hAnsi="黑体" w:eastAsia="黑体" w:cs="黑体"/>
          <w:b/>
          <w:spacing w:val="0"/>
          <w:sz w:val="36"/>
          <w:szCs w:val="36"/>
        </w:rPr>
        <w:t>2024年度决算表</w:t>
      </w:r>
      <w:bookmarkEnd w:id="25"/>
      <w:bookmarkEnd w:id="26"/>
      <w:bookmarkEnd w:id="27"/>
      <w:bookmarkEnd w:id="28"/>
    </w:p>
    <w:p>
      <w:pPr>
        <w:pStyle w:val="6"/>
        <w:spacing w:before="100" w:after="100" w:line="240" w:lineRule="auto"/>
        <w:ind w:left="0" w:leftChars="0" w:right="0" w:firstLine="0" w:firstLineChars="0"/>
      </w:pPr>
      <w:bookmarkStart w:id="29" w:name="_Toc256000007"/>
      <w:bookmarkStart w:id="30" w:name="_Toc256000038"/>
      <w:bookmarkStart w:id="31" w:name="_Toc256000069"/>
      <w:bookmarkStart w:id="32" w:name="_Toc256000100"/>
      <w:r>
        <w:rPr>
          <w:rFonts w:ascii="黑体" w:hAnsi="黑体" w:eastAsia="黑体" w:cs="黑体"/>
          <w:b/>
          <w:spacing w:val="0"/>
        </w:rPr>
        <w:t>一、收入支出决算总表</w:t>
      </w:r>
      <w:bookmarkEnd w:id="29"/>
      <w:bookmarkEnd w:id="30"/>
      <w:bookmarkEnd w:id="31"/>
      <w:bookmarkEnd w:id="32"/>
    </w:p>
    <w:tbl>
      <w:tblPr>
        <w:tblStyle w:val="23"/>
        <w:tblW w:w="9066" w:type="dxa"/>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512"/>
        <w:gridCol w:w="1510"/>
        <w:gridCol w:w="1511"/>
        <w:gridCol w:w="1511"/>
        <w:gridCol w:w="1511"/>
        <w:gridCol w:w="151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9066" w:type="dxa"/>
            <w:gridSpan w:val="6"/>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32"/>
                <w:szCs w:val="32"/>
              </w:rPr>
              <w:t>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3022"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51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b w:val="0"/>
                <w:bCs w:val="0"/>
                <w:i w:val="0"/>
                <w:iCs w:val="0"/>
                <w:smallCaps w:val="0"/>
                <w:color w:val="000000"/>
                <w:kern w:val="0"/>
                <w:sz w:val="18"/>
                <w:szCs w:val="18"/>
              </w:rPr>
              <w:t>单位：厦门市华昌小学</w:t>
            </w:r>
          </w:p>
        </w:tc>
        <w:tc>
          <w:tcPr>
            <w:tcW w:w="151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b w:val="0"/>
                <w:bCs w:val="0"/>
                <w:i w:val="0"/>
                <w:iCs w:val="0"/>
                <w:smallCaps w:val="0"/>
                <w:color w:val="000000"/>
                <w:kern w:val="0"/>
                <w:sz w:val="18"/>
                <w:szCs w:val="18"/>
              </w:rPr>
              <w:t>年度</w:t>
            </w:r>
          </w:p>
        </w:tc>
        <w:tc>
          <w:tcPr>
            <w:tcW w:w="151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4533"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收入</w:t>
            </w:r>
          </w:p>
        </w:tc>
        <w:tc>
          <w:tcPr>
            <w:tcW w:w="4533"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项目</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行次</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金额</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项目</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行次</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栏次</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栏次</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一、一般公共预算财政拨款收入</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2,732.57</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一、一般公共服务支出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二、政府性基金预算财政拨款收入</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4.97</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二、外交支出</w:t>
            </w:r>
            <w:r>
              <w:rPr>
                <w:rFonts w:ascii="Times New Roman" w:hAnsi="Times New Roman" w:eastAsia="Times New Roman" w:cs="Times New Roman"/>
                <w:b w:val="0"/>
                <w:bCs w:val="0"/>
                <w:i w:val="0"/>
                <w:iCs w:val="0"/>
                <w:smallCaps w:val="0"/>
                <w:color w:val="000000"/>
                <w:kern w:val="0"/>
                <w:sz w:val="18"/>
                <w:szCs w:val="18"/>
              </w:rPr>
              <w:t xml:space="preserve">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三、国有资本经营预算财政拨款收入</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三、国防支出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四、上级补助收入</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四、公共安全支出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五、事业收入</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五、教育支出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2,218.39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六、经营收入</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六、科学技术支出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七、附属单位上缴收入</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七、文化旅游体育与传媒支出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38</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八、其他收入</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八、社会保障和就业支出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398.22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九、卫生健康支出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40</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103.61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十、节能环保支出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十一、城乡社区支出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十二、农林水支出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13</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十三、交通运输支出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十四、资源勘探工业信息等支出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45</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十五、商业服务业等支出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十六、金融支出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47</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十七、援助其他地区支出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48</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十八、自然资源海洋气象等支出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十九、住房保障支出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50</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二十、粮油物资储备支出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51</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二十一、国有资本经营预算支出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52</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二十二、灾害防治及应急管理支出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53</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二十三、其他支出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54</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二十四、债务还本支出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55</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二十五、债务付息支出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56</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二十六、抗疫特别国债安排的支出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57</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本年收入合计</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2,737.54</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本年支出合计</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58</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2,737.54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使用非财政拨款结余（含专用结余）</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结余分配</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年初结转和结余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年末结转和结余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60</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61</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总计</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2,737.54</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总计</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62</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2,737.54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9066" w:type="dxa"/>
            <w:gridSpan w:val="6"/>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注：</w:t>
            </w:r>
            <w:r>
              <w:rPr>
                <w:rFonts w:ascii="Times New Roman" w:hAnsi="Times New Roman" w:eastAsia="Times New Roman" w:cs="Times New Roman"/>
                <w:b w:val="0"/>
                <w:bCs w:val="0"/>
                <w:i w:val="0"/>
                <w:iCs w:val="0"/>
                <w:smallCaps w:val="0"/>
                <w:color w:val="000000"/>
                <w:kern w:val="0"/>
                <w:sz w:val="18"/>
                <w:szCs w:val="18"/>
              </w:rPr>
              <w:t>1.</w:t>
            </w:r>
            <w:r>
              <w:rPr>
                <w:b w:val="0"/>
                <w:bCs w:val="0"/>
                <w:i w:val="0"/>
                <w:iCs w:val="0"/>
                <w:smallCaps w:val="0"/>
                <w:color w:val="000000"/>
                <w:kern w:val="0"/>
                <w:sz w:val="18"/>
                <w:szCs w:val="18"/>
              </w:rPr>
              <w:t>本表反映部门本年度的总收支和年末结转结余情况。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9066" w:type="dxa"/>
            <w:gridSpan w:val="6"/>
            <w:noWrap w:val="0"/>
            <w:tcMar>
              <w:top w:w="20" w:type="dxa"/>
              <w:left w:w="485"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r>
              <w:rPr>
                <w:b w:val="0"/>
                <w:bCs w:val="0"/>
                <w:i w:val="0"/>
                <w:iCs w:val="0"/>
                <w:smallCaps w:val="0"/>
                <w:color w:val="000000"/>
                <w:kern w:val="0"/>
                <w:sz w:val="18"/>
                <w:szCs w:val="18"/>
              </w:rPr>
              <w:t>本套报表金额单位转换时可能存在尾数误差。</w:t>
            </w:r>
          </w:p>
        </w:tc>
      </w:tr>
    </w:tbl>
    <w:p>
      <w:pPr>
        <w:widowControl/>
        <w:spacing w:before="240" w:after="240"/>
        <w:jc w:val="left"/>
        <w:rPr>
          <w:rFonts w:ascii="Times New Roman" w:hAnsi="Times New Roman" w:eastAsia="Times New Roman" w:cs="Times New Roman"/>
          <w:kern w:val="0"/>
          <w:sz w:val="24"/>
        </w:rPr>
      </w:pPr>
    </w:p>
    <w:p>
      <w:pPr>
        <w:pStyle w:val="26"/>
        <w:widowControl/>
        <w:spacing w:before="100" w:after="100"/>
        <w:ind w:left="0" w:right="0" w:firstLine="0"/>
        <w:jc w:val="left"/>
        <w:rPr>
          <w:rFonts w:ascii="Times New Roman" w:hAnsi="Times New Roman" w:eastAsia="Times New Roman" w:cs="Times New Roman"/>
          <w:kern w:val="0"/>
          <w:sz w:val="24"/>
        </w:rPr>
      </w:pPr>
    </w:p>
    <w:p>
      <w:pPr>
        <w:pStyle w:val="26"/>
        <w:widowControl/>
        <w:spacing w:before="100" w:after="100"/>
        <w:ind w:left="0" w:right="0" w:firstLine="0"/>
        <w:jc w:val="left"/>
        <w:rPr>
          <w:rFonts w:ascii="Times New Roman" w:hAnsi="Times New Roman" w:eastAsia="Times New Roman" w:cs="Times New Roman"/>
          <w:kern w:val="0"/>
          <w:sz w:val="24"/>
        </w:rPr>
      </w:pPr>
    </w:p>
    <w:p>
      <w:pPr>
        <w:pStyle w:val="26"/>
        <w:widowControl/>
        <w:spacing w:before="100" w:after="100"/>
        <w:ind w:left="0" w:right="0" w:firstLine="0"/>
        <w:jc w:val="left"/>
        <w:rPr>
          <w:rFonts w:ascii="Times New Roman" w:hAnsi="Times New Roman" w:eastAsia="Times New Roman" w:cs="Times New Roman"/>
          <w:kern w:val="0"/>
          <w:sz w:val="24"/>
        </w:rPr>
      </w:pPr>
    </w:p>
    <w:p>
      <w:pPr>
        <w:pStyle w:val="26"/>
        <w:widowControl/>
        <w:spacing w:before="100" w:after="100"/>
        <w:ind w:left="0" w:right="0" w:firstLine="0"/>
        <w:jc w:val="left"/>
        <w:rPr>
          <w:rFonts w:ascii="Times New Roman" w:hAnsi="Times New Roman" w:eastAsia="Times New Roman" w:cs="Times New Roman"/>
          <w:kern w:val="0"/>
          <w:sz w:val="24"/>
        </w:rPr>
      </w:pPr>
    </w:p>
    <w:p>
      <w:pPr>
        <w:pStyle w:val="26"/>
        <w:widowControl/>
        <w:spacing w:before="100" w:after="100"/>
        <w:ind w:left="0" w:right="0" w:firstLine="0"/>
        <w:jc w:val="left"/>
        <w:rPr>
          <w:rFonts w:ascii="Times New Roman" w:hAnsi="Times New Roman" w:eastAsia="Times New Roman" w:cs="Times New Roman"/>
          <w:kern w:val="0"/>
          <w:sz w:val="24"/>
        </w:rPr>
      </w:pPr>
    </w:p>
    <w:p>
      <w:pPr>
        <w:pStyle w:val="26"/>
        <w:widowControl/>
        <w:spacing w:before="100" w:after="100"/>
        <w:ind w:left="0" w:right="0" w:firstLine="0"/>
        <w:jc w:val="left"/>
        <w:rPr>
          <w:rFonts w:ascii="Times New Roman" w:hAnsi="Times New Roman" w:eastAsia="Times New Roman" w:cs="Times New Roman"/>
          <w:kern w:val="0"/>
          <w:sz w:val="24"/>
        </w:rPr>
      </w:pPr>
    </w:p>
    <w:p>
      <w:pPr>
        <w:pStyle w:val="26"/>
        <w:widowControl/>
        <w:spacing w:before="100" w:after="100"/>
        <w:ind w:left="0" w:right="0" w:firstLine="0"/>
        <w:jc w:val="left"/>
        <w:rPr>
          <w:rFonts w:ascii="Times New Roman" w:hAnsi="Times New Roman" w:eastAsia="Times New Roman" w:cs="Times New Roman"/>
          <w:kern w:val="0"/>
          <w:sz w:val="24"/>
        </w:rPr>
      </w:pPr>
    </w:p>
    <w:p>
      <w:pPr>
        <w:pStyle w:val="26"/>
        <w:widowControl/>
        <w:spacing w:before="100" w:after="100"/>
        <w:ind w:left="0" w:right="0" w:firstLine="0"/>
        <w:jc w:val="left"/>
        <w:rPr>
          <w:rFonts w:ascii="Times New Roman" w:hAnsi="Times New Roman" w:eastAsia="Times New Roman" w:cs="Times New Roman"/>
          <w:kern w:val="0"/>
          <w:sz w:val="24"/>
        </w:rPr>
      </w:pPr>
    </w:p>
    <w:p>
      <w:pPr>
        <w:pStyle w:val="26"/>
        <w:widowControl/>
        <w:spacing w:before="100" w:after="100"/>
        <w:ind w:left="0" w:right="0" w:firstLine="0"/>
        <w:jc w:val="left"/>
        <w:rPr>
          <w:rFonts w:ascii="Times New Roman" w:hAnsi="Times New Roman" w:eastAsia="Times New Roman" w:cs="Times New Roman"/>
          <w:kern w:val="0"/>
          <w:sz w:val="24"/>
        </w:rPr>
      </w:pPr>
    </w:p>
    <w:p>
      <w:pPr>
        <w:pStyle w:val="6"/>
        <w:spacing w:before="100" w:after="100" w:line="240" w:lineRule="auto"/>
        <w:ind w:left="0" w:leftChars="0" w:right="0" w:firstLine="0" w:firstLineChars="0"/>
      </w:pPr>
      <w:bookmarkStart w:id="33" w:name="_Toc256000070"/>
      <w:bookmarkStart w:id="34" w:name="_Toc256000039"/>
      <w:bookmarkStart w:id="35" w:name="_Toc256000008"/>
      <w:bookmarkStart w:id="36" w:name="_Toc256000101"/>
      <w:r>
        <w:rPr>
          <w:rFonts w:ascii="黑体" w:hAnsi="黑体" w:eastAsia="黑体" w:cs="黑体"/>
          <w:b/>
          <w:spacing w:val="0"/>
        </w:rPr>
        <w:t>二、收入决算表</w:t>
      </w:r>
      <w:bookmarkEnd w:id="33"/>
      <w:bookmarkEnd w:id="34"/>
      <w:bookmarkEnd w:id="35"/>
      <w:bookmarkEnd w:id="36"/>
    </w:p>
    <w:tbl>
      <w:tblPr>
        <w:tblStyle w:val="23"/>
        <w:tblW w:w="9066" w:type="dxa"/>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007"/>
        <w:gridCol w:w="1007"/>
        <w:gridCol w:w="1007"/>
        <w:gridCol w:w="1008"/>
        <w:gridCol w:w="1007"/>
        <w:gridCol w:w="1008"/>
        <w:gridCol w:w="1007"/>
        <w:gridCol w:w="1008"/>
        <w:gridCol w:w="10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9066" w:type="dxa"/>
            <w:gridSpan w:val="9"/>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32"/>
                <w:szCs w:val="32"/>
              </w:rPr>
              <w:t>收入决算表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4029" w:type="dxa"/>
            <w:gridSpan w:val="4"/>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b w:val="0"/>
                <w:bCs w:val="0"/>
                <w:i w:val="0"/>
                <w:iCs w:val="0"/>
                <w:smallCaps w:val="0"/>
                <w:color w:val="000000"/>
                <w:kern w:val="0"/>
                <w:sz w:val="18"/>
                <w:szCs w:val="18"/>
              </w:rPr>
              <w:t>单位：厦门市华昌小学</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b w:val="0"/>
                <w:bCs w:val="0"/>
                <w:i w:val="0"/>
                <w:iCs w:val="0"/>
                <w:smallCaps w:val="0"/>
                <w:color w:val="000000"/>
                <w:kern w:val="0"/>
                <w:sz w:val="18"/>
                <w:szCs w:val="18"/>
              </w:rPr>
              <w:t>年度</w:t>
            </w:r>
          </w:p>
        </w:tc>
        <w:tc>
          <w:tcPr>
            <w:tcW w:w="100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2014"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项目</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本年收入合计</w:t>
            </w:r>
          </w:p>
        </w:tc>
        <w:tc>
          <w:tcPr>
            <w:tcW w:w="100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财政拨款收入</w:t>
            </w:r>
            <w:r>
              <w:rPr>
                <w:rFonts w:ascii="Times New Roman" w:hAnsi="Times New Roman" w:eastAsia="Times New Roman" w:cs="Times New Roman"/>
                <w:b w:val="0"/>
                <w:bCs w:val="0"/>
                <w:i w:val="0"/>
                <w:iCs w:val="0"/>
                <w:smallCaps w:val="0"/>
                <w:color w:val="000000"/>
                <w:kern w:val="0"/>
                <w:sz w:val="18"/>
                <w:szCs w:val="18"/>
              </w:rPr>
              <w:t xml:space="preserve"> </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上级补助收入</w:t>
            </w:r>
          </w:p>
        </w:tc>
        <w:tc>
          <w:tcPr>
            <w:tcW w:w="100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事业收入</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经营收入</w:t>
            </w:r>
          </w:p>
        </w:tc>
        <w:tc>
          <w:tcPr>
            <w:tcW w:w="100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附属单位上缴收入</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科目代码</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科目名称</w:t>
            </w:r>
          </w:p>
        </w:tc>
        <w:tc>
          <w:tcPr>
            <w:tcW w:w="1007"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014"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栏次</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014"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合计</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2,737.54</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2,737.54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教育支出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2,218.39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2,218.39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普通教育</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2,143.8</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2,143.8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小学教育</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1,989.4</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1,989.4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2050299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其他普通教育支出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154.4</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154.4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教育费附加安排的支出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74.28</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74.28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2050999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其他教育费附加安排的支出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74.28</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74.28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20599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其他教育支出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0.3</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2059999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其他教育支出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0.3</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社会保障和就业支出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398.22</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398.22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行政事业单位养老支出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398.22</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398.22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事业单位离退休</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148.67</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148.67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机关事业单位基本养老保险缴费支出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160.17</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160.17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机关事业单位职业年金缴费支出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89.38</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89.38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卫生健康支出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103.61</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103.61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行政事业单位医疗</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103.61</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103.61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事业单位医疗</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68.57</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68.57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2101199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其他行政事业单位医疗支出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35.04</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35.04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住房保障支出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住房改革支出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2210203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购房补贴</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4.97</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彩票公益金安排的支出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4.97</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2296003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用于体育事业的彩票公益金支出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4.97</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9066" w:type="dxa"/>
            <w:gridSpan w:val="9"/>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注：本表反映部门本年度取得的各项收入情况。</w:t>
            </w:r>
          </w:p>
        </w:tc>
      </w:tr>
    </w:tbl>
    <w:p>
      <w:pPr>
        <w:pStyle w:val="26"/>
        <w:widowControl/>
        <w:spacing w:before="100" w:after="100"/>
        <w:ind w:left="0" w:right="0" w:firstLine="0"/>
        <w:jc w:val="center"/>
        <w:rPr>
          <w:rFonts w:ascii="Times New Roman" w:hAnsi="Times New Roman" w:eastAsia="Times New Roman" w:cs="Times New Roman"/>
          <w:b/>
          <w:bCs/>
          <w:kern w:val="0"/>
          <w:sz w:val="24"/>
        </w:rPr>
      </w:pPr>
    </w:p>
    <w:p>
      <w:pPr>
        <w:sectPr>
          <w:footerReference r:id="rId6" w:type="default"/>
          <w:pgSz w:w="11906" w:h="16838"/>
          <w:pgMar w:top="2177" w:right="1440" w:bottom="2177" w:left="1440" w:header="720" w:footer="720" w:gutter="0"/>
          <w:pgBorders>
            <w:top w:val="none" w:sz="0" w:space="0"/>
            <w:left w:val="none" w:sz="0" w:space="0"/>
            <w:bottom w:val="none" w:sz="0" w:space="0"/>
            <w:right w:val="none" w:sz="0" w:space="0"/>
          </w:pgBorders>
          <w:cols w:space="720" w:num="1"/>
        </w:sectPr>
      </w:pP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page break</w:t>
      </w:r>
    </w:p>
    <w:p>
      <w:pPr>
        <w:pStyle w:val="6"/>
        <w:numPr>
          <w:ilvl w:val="0"/>
          <w:numId w:val="2"/>
        </w:numPr>
        <w:spacing w:before="100" w:after="100" w:line="240" w:lineRule="auto"/>
        <w:ind w:left="720" w:right="0" w:hanging="720" w:firstLineChars="0"/>
        <w:rPr>
          <w:rFonts w:ascii="黑体" w:hAnsi="黑体" w:eastAsia="黑体" w:cs="黑体"/>
          <w:b/>
          <w:spacing w:val="0"/>
        </w:rPr>
      </w:pPr>
      <w:bookmarkStart w:id="37" w:name="_Toc256000102"/>
      <w:bookmarkStart w:id="38" w:name="_Toc256000071"/>
      <w:bookmarkStart w:id="39" w:name="_Toc256000040"/>
      <w:bookmarkStart w:id="40" w:name="_Toc256000009"/>
      <w:r>
        <w:rPr>
          <w:rFonts w:ascii="黑体" w:hAnsi="黑体" w:eastAsia="黑体" w:cs="黑体"/>
          <w:b/>
          <w:spacing w:val="0"/>
        </w:rPr>
        <w:t>支出决算表</w:t>
      </w:r>
      <w:bookmarkEnd w:id="37"/>
      <w:bookmarkEnd w:id="38"/>
      <w:bookmarkEnd w:id="39"/>
      <w:bookmarkEnd w:id="40"/>
    </w:p>
    <w:tbl>
      <w:tblPr>
        <w:tblStyle w:val="23"/>
        <w:tblW w:w="9066" w:type="dxa"/>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922"/>
        <w:gridCol w:w="855"/>
        <w:gridCol w:w="835"/>
        <w:gridCol w:w="921"/>
        <w:gridCol w:w="922"/>
        <w:gridCol w:w="922"/>
        <w:gridCol w:w="923"/>
        <w:gridCol w:w="922"/>
        <w:gridCol w:w="922"/>
        <w:gridCol w:w="9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9066" w:type="dxa"/>
            <w:gridSpan w:val="10"/>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32"/>
                <w:szCs w:val="32"/>
              </w:rPr>
              <w:t>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9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5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3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4455" w:type="dxa"/>
            <w:gridSpan w:val="5"/>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b w:val="0"/>
                <w:bCs w:val="0"/>
                <w:i w:val="0"/>
                <w:iCs w:val="0"/>
                <w:smallCaps w:val="0"/>
                <w:color w:val="000000"/>
                <w:kern w:val="0"/>
                <w:sz w:val="18"/>
                <w:szCs w:val="18"/>
              </w:rPr>
              <w:t>单位：厦门市华昌小学</w:t>
            </w:r>
          </w:p>
        </w:tc>
        <w:tc>
          <w:tcPr>
            <w:tcW w:w="9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b w:val="0"/>
                <w:bCs w:val="0"/>
                <w:i w:val="0"/>
                <w:iCs w:val="0"/>
                <w:smallCaps w:val="0"/>
                <w:color w:val="000000"/>
                <w:kern w:val="0"/>
                <w:sz w:val="18"/>
                <w:szCs w:val="18"/>
              </w:rPr>
              <w:t>年度</w:t>
            </w:r>
          </w:p>
        </w:tc>
        <w:tc>
          <w:tcPr>
            <w:tcW w:w="92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3533" w:type="dxa"/>
            <w:gridSpan w:val="4"/>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项目</w:t>
            </w:r>
          </w:p>
        </w:tc>
        <w:tc>
          <w:tcPr>
            <w:tcW w:w="92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本年支出合计</w:t>
            </w:r>
          </w:p>
        </w:tc>
        <w:tc>
          <w:tcPr>
            <w:tcW w:w="92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基本支出</w:t>
            </w:r>
          </w:p>
        </w:tc>
        <w:tc>
          <w:tcPr>
            <w:tcW w:w="92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项目支出</w:t>
            </w:r>
          </w:p>
        </w:tc>
        <w:tc>
          <w:tcPr>
            <w:tcW w:w="92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上缴上级支出</w:t>
            </w:r>
          </w:p>
        </w:tc>
        <w:tc>
          <w:tcPr>
            <w:tcW w:w="92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经营支出</w:t>
            </w:r>
          </w:p>
        </w:tc>
        <w:tc>
          <w:tcPr>
            <w:tcW w:w="92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2612" w:type="dxa"/>
            <w:gridSpan w:val="3"/>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科目代码</w:t>
            </w:r>
          </w:p>
        </w:tc>
        <w:tc>
          <w:tcPr>
            <w:tcW w:w="921"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科目名称</w:t>
            </w:r>
          </w:p>
        </w:tc>
        <w:tc>
          <w:tcPr>
            <w:tcW w:w="922"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3"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2612" w:type="dxa"/>
            <w:gridSpan w:val="3"/>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1"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3"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533" w:type="dxa"/>
            <w:gridSpan w:val="4"/>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栏次</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533" w:type="dxa"/>
            <w:gridSpan w:val="4"/>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合计</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2,737.54</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2,556.11</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181.43</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教育支出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2,218.39</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2,041.93</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176.46</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普通教育</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2,143.8</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2,041.93</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101.87</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2050202</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小学教育</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1,989.4</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1,989.4</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2050299</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其他普通教育支出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154.4</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52.53</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101.87</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教育费附加安排的支出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74.28</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74.28</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2050999</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其他教育费附加安排的支出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74.28</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74.28</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20599</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其他教育支出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0.3</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0.3</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2059999</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其他教育支出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0.3</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0.3</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社会保障和就业支出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398.22</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398.22</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行政事业单位养老支出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398.22</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398.22</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2080502</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事业单位离退休</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148.67</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148.67</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2080505</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机关事业单位基本养老保险缴费支出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160.17</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160.17</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2080506</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机关事业单位职业年金缴费支出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89.38</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89.38</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卫生健康支出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103.61</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103.61</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行政事业单位医疗</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103.61</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103.61</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2101102</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事业单位医疗</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68.57</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68.57</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2101199</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其他行政事业单位医疗支出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35.04</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35.04</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住房保障支出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住房改革支出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2210203</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购房补贴</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4.97</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4.97</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彩票公益金安排的支出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4.97</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4.97</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2296003</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用于体育事业的彩票公益金支出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4.97</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4.97</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9066" w:type="dxa"/>
            <w:gridSpan w:val="10"/>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注：本表反映部门本年度各项支出情况。</w:t>
            </w:r>
          </w:p>
        </w:tc>
      </w:tr>
    </w:tbl>
    <w:p>
      <w:pPr>
        <w:pStyle w:val="5"/>
        <w:numPr>
          <w:ilvl w:val="0"/>
          <w:numId w:val="0"/>
        </w:numPr>
      </w:pPr>
    </w:p>
    <w:p>
      <w:pPr>
        <w:sectPr>
          <w:footerReference r:id="rId7" w:type="default"/>
          <w:pgSz w:w="11906" w:h="16838"/>
          <w:pgMar w:top="1803" w:right="1440" w:bottom="1803" w:left="1440" w:header="720" w:footer="720" w:gutter="0"/>
          <w:pgBorders>
            <w:top w:val="none" w:sz="0" w:space="0"/>
            <w:left w:val="none" w:sz="0" w:space="0"/>
            <w:bottom w:val="none" w:sz="0" w:space="0"/>
            <w:right w:val="none" w:sz="0" w:space="0"/>
          </w:pgBorders>
          <w:cols w:space="720" w:num="1"/>
        </w:sectPr>
      </w:pP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p>
      <w:pPr>
        <w:pStyle w:val="6"/>
        <w:spacing w:before="100" w:after="100" w:line="240" w:lineRule="auto"/>
        <w:ind w:left="720" w:right="0" w:hanging="720" w:firstLineChars="0"/>
      </w:pPr>
      <w:bookmarkStart w:id="41" w:name="_Toc256000103"/>
      <w:bookmarkStart w:id="42" w:name="_Toc256000072"/>
      <w:bookmarkStart w:id="43" w:name="_Toc256000041"/>
      <w:bookmarkStart w:id="44" w:name="_Toc256000010"/>
      <w:r>
        <w:rPr>
          <w:rFonts w:ascii="黑体" w:hAnsi="黑体" w:eastAsia="黑体" w:cs="黑体"/>
          <w:b/>
          <w:spacing w:val="0"/>
        </w:rPr>
        <w:t>四、财政拨款收入支出决算总表</w:t>
      </w:r>
      <w:bookmarkEnd w:id="41"/>
      <w:bookmarkEnd w:id="42"/>
      <w:bookmarkEnd w:id="43"/>
      <w:bookmarkEnd w:id="44"/>
    </w:p>
    <w:tbl>
      <w:tblPr>
        <w:tblStyle w:val="23"/>
        <w:tblW w:w="9066" w:type="dxa"/>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007"/>
        <w:gridCol w:w="1007"/>
        <w:gridCol w:w="1007"/>
        <w:gridCol w:w="1007"/>
        <w:gridCol w:w="1"/>
        <w:gridCol w:w="1007"/>
        <w:gridCol w:w="1008"/>
        <w:gridCol w:w="1007"/>
        <w:gridCol w:w="1007"/>
        <w:gridCol w:w="1"/>
        <w:gridCol w:w="10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9066" w:type="dxa"/>
            <w:gridSpan w:val="11"/>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32"/>
                <w:szCs w:val="32"/>
              </w:rPr>
              <w:t>财政拨款收入支出决算总表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2014"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b w:val="0"/>
                <w:bCs w:val="0"/>
                <w:i w:val="0"/>
                <w:iCs w:val="0"/>
                <w:smallCaps w:val="0"/>
                <w:color w:val="000000"/>
                <w:kern w:val="0"/>
                <w:sz w:val="18"/>
                <w:szCs w:val="18"/>
              </w:rPr>
              <w:t>单位：厦门市华昌小学</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b w:val="0"/>
                <w:bCs w:val="0"/>
                <w:i w:val="0"/>
                <w:iCs w:val="0"/>
                <w:smallCaps w:val="0"/>
                <w:color w:val="000000"/>
                <w:kern w:val="0"/>
                <w:sz w:val="18"/>
                <w:szCs w:val="18"/>
              </w:rPr>
              <w:t>年度</w:t>
            </w:r>
          </w:p>
        </w:tc>
        <w:tc>
          <w:tcPr>
            <w:tcW w:w="100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021"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收入</w:t>
            </w:r>
          </w:p>
        </w:tc>
        <w:tc>
          <w:tcPr>
            <w:tcW w:w="6045" w:type="dxa"/>
            <w:gridSpan w:val="8"/>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项目</w:t>
            </w:r>
            <w:r>
              <w:rPr>
                <w:rFonts w:ascii="Times New Roman" w:hAnsi="Times New Roman" w:eastAsia="Times New Roman" w:cs="Times New Roman"/>
                <w:b w:val="0"/>
                <w:bCs w:val="0"/>
                <w:i w:val="0"/>
                <w:iCs w:val="0"/>
                <w:smallCaps w:val="0"/>
                <w:color w:val="000000"/>
                <w:kern w:val="0"/>
                <w:sz w:val="18"/>
                <w:szCs w:val="18"/>
              </w:rPr>
              <w:t xml:space="preserve">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行次</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金额</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项目</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行次</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合计</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一般公共预算财政拨款</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政府性基金预算财政拨款</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栏次</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栏次</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一、一般公共预算财政拨款</w:t>
            </w:r>
            <w:r>
              <w:rPr>
                <w:rFonts w:ascii="Times New Roman" w:hAnsi="Times New Roman" w:eastAsia="Times New Roman" w:cs="Times New Roman"/>
                <w:b w:val="0"/>
                <w:bCs w:val="0"/>
                <w:i w:val="0"/>
                <w:iCs w:val="0"/>
                <w:smallCaps w:val="0"/>
                <w:color w:val="000000"/>
                <w:kern w:val="0"/>
                <w:sz w:val="18"/>
                <w:szCs w:val="18"/>
              </w:rPr>
              <w:t xml:space="preserve">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2,732.57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一、一般公共服务支出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二、政府性基金预算财政拨款</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二、外交支出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三、国有资本经营预算财政拨款</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三、国防支出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四、公共安全支出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五、教育支出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2,218.39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2,218.39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六、科学技术支出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38</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七、文化旅游体育与传媒支出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八、社会保障和就业支出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40</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398.22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398.22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九、卫生健康支出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103.61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103.61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十、节能环保支出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十一、城乡社区支出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十二、农林水支出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十三、交通运输支出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45</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十四、资源勘探工业信息等支出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十五、商业服务业等支出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47</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十六、金融支出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48</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十七、援助其他地区支出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十八、自然资源海洋气象等支出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50</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十九、住房保障支出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51</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二十、粮油物资储备支出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52</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二十一、国有资本经营预算支出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53</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二十二、灾害防治及应急管理支出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54</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二十三、其他支出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55</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4.97</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二十四、债务还本支出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56</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二十五、债务付息支出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57</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二十六、抗疫特别国债安排的支出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58</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本年收入合计</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2,737.54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本年支出合计</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2,737.54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2,732.57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4.97</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年初财政拨款结转和结余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年末财政拨款结转和结余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60</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一、一般公共预算财政拨款</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61</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二、政府性基金预算财政拨款</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62</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三、国有资本经营预算财政拨款</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63</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总计</w:t>
            </w:r>
            <w:r>
              <w:rPr>
                <w:rFonts w:ascii="Times New Roman" w:hAnsi="Times New Roman" w:eastAsia="Times New Roman" w:cs="Times New Roman"/>
                <w:b w:val="0"/>
                <w:bCs w:val="0"/>
                <w:i w:val="0"/>
                <w:iCs w:val="0"/>
                <w:smallCaps w:val="0"/>
                <w:color w:val="000000"/>
                <w:kern w:val="0"/>
                <w:sz w:val="18"/>
                <w:szCs w:val="18"/>
              </w:rPr>
              <w:t xml:space="preserve">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2,737.54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总计</w:t>
            </w:r>
            <w:r>
              <w:rPr>
                <w:rFonts w:ascii="Times New Roman" w:hAnsi="Times New Roman" w:eastAsia="Times New Roman" w:cs="Times New Roman"/>
                <w:b w:val="0"/>
                <w:bCs w:val="0"/>
                <w:i w:val="0"/>
                <w:iCs w:val="0"/>
                <w:smallCaps w:val="0"/>
                <w:color w:val="000000"/>
                <w:kern w:val="0"/>
                <w:sz w:val="18"/>
                <w:szCs w:val="18"/>
              </w:rPr>
              <w:t xml:space="preserve">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64</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2,737.54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2,732.57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4.97</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9066" w:type="dxa"/>
            <w:gridSpan w:val="11"/>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注：本表反映部门本年度一般公共预算财政拨款、政府性基金预算财政拨款和国有资本经营预算财政拨款的总收支和年末结转结余情况。</w:t>
            </w:r>
          </w:p>
        </w:tc>
      </w:tr>
    </w:tbl>
    <w:p>
      <w:pPr>
        <w:pStyle w:val="2"/>
      </w:pPr>
    </w:p>
    <w:p>
      <w:pPr>
        <w:pStyle w:val="2"/>
      </w:pPr>
    </w:p>
    <w:p>
      <w:pPr>
        <w:pStyle w:val="2"/>
      </w:pPr>
    </w:p>
    <w:p>
      <w:pPr>
        <w:pStyle w:val="6"/>
        <w:numPr>
          <w:ilvl w:val="0"/>
          <w:numId w:val="3"/>
        </w:numPr>
        <w:spacing w:before="100" w:after="100" w:line="240" w:lineRule="auto"/>
        <w:ind w:left="720" w:right="0" w:hanging="720" w:firstLineChars="0"/>
      </w:pPr>
      <w:bookmarkStart w:id="45" w:name="_Toc256000042"/>
      <w:bookmarkStart w:id="46" w:name="_Toc256000011"/>
      <w:bookmarkStart w:id="47" w:name="_Toc256000073"/>
      <w:bookmarkStart w:id="48" w:name="_Toc256000104"/>
      <w:r>
        <w:rPr>
          <w:rFonts w:ascii="黑体" w:hAnsi="黑体" w:eastAsia="黑体" w:cs="黑体"/>
          <w:b/>
          <w:spacing w:val="0"/>
        </w:rPr>
        <w:t>一般公共预算财政拨款支出决算表</w:t>
      </w:r>
      <w:bookmarkEnd w:id="45"/>
      <w:bookmarkEnd w:id="46"/>
      <w:bookmarkEnd w:id="47"/>
      <w:bookmarkEnd w:id="48"/>
    </w:p>
    <w:p>
      <w:pPr>
        <w:pStyle w:val="2"/>
      </w:pPr>
    </w:p>
    <w:tbl>
      <w:tblPr>
        <w:tblStyle w:val="23"/>
        <w:tblW w:w="9066" w:type="dxa"/>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133"/>
        <w:gridCol w:w="1322"/>
        <w:gridCol w:w="1323"/>
        <w:gridCol w:w="1322"/>
        <w:gridCol w:w="1322"/>
        <w:gridCol w:w="1322"/>
        <w:gridCol w:w="13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9066" w:type="dxa"/>
            <w:gridSpan w:val="7"/>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32"/>
                <w:szCs w:val="32"/>
              </w:rPr>
              <w:t>一般公共预算财政拨款支出决算表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13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6422" w:type="dxa"/>
            <w:gridSpan w:val="5"/>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b w:val="0"/>
                <w:bCs w:val="0"/>
                <w:i w:val="0"/>
                <w:iCs w:val="0"/>
                <w:smallCaps w:val="0"/>
                <w:color w:val="000000"/>
                <w:kern w:val="0"/>
                <w:sz w:val="18"/>
                <w:szCs w:val="18"/>
              </w:rPr>
              <w:t>单位：厦门市华昌小学</w:t>
            </w:r>
          </w:p>
        </w:tc>
        <w:tc>
          <w:tcPr>
            <w:tcW w:w="13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b w:val="0"/>
                <w:bCs w:val="0"/>
                <w:i w:val="0"/>
                <w:iCs w:val="0"/>
                <w:smallCaps w:val="0"/>
                <w:color w:val="000000"/>
                <w:kern w:val="0"/>
                <w:sz w:val="18"/>
                <w:szCs w:val="18"/>
              </w:rPr>
              <w:t>年度</w:t>
            </w:r>
          </w:p>
        </w:tc>
        <w:tc>
          <w:tcPr>
            <w:tcW w:w="13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5100" w:type="dxa"/>
            <w:gridSpan w:val="4"/>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项目</w:t>
            </w:r>
          </w:p>
        </w:tc>
        <w:tc>
          <w:tcPr>
            <w:tcW w:w="3966"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3778" w:type="dxa"/>
            <w:gridSpan w:val="3"/>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科目代码</w:t>
            </w:r>
          </w:p>
        </w:tc>
        <w:tc>
          <w:tcPr>
            <w:tcW w:w="132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科目名称</w:t>
            </w:r>
          </w:p>
        </w:tc>
        <w:tc>
          <w:tcPr>
            <w:tcW w:w="132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小计</w:t>
            </w:r>
          </w:p>
        </w:tc>
        <w:tc>
          <w:tcPr>
            <w:tcW w:w="132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基本支出</w:t>
            </w:r>
          </w:p>
        </w:tc>
        <w:tc>
          <w:tcPr>
            <w:tcW w:w="132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3778" w:type="dxa"/>
            <w:gridSpan w:val="3"/>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22"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22"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22"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22"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3778" w:type="dxa"/>
            <w:gridSpan w:val="3"/>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22"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5100" w:type="dxa"/>
            <w:gridSpan w:val="4"/>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合计</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2,732.57</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2,556.11</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176.46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教育支出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2,218.39</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2,041.93</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176.46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普通教育</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2,143.8</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2,041.93</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101.87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2050202</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小学教育</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1,989.4</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1,989.4</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2050299</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其他普通教育支出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154.4</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52.53</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101.87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教育费附加安排的支出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74.28</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74.28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2050999</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其他教育费附加安排的支出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74.28</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74.28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20599</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其他教育支出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0.3</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2059999</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其他教育支出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0.3</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社会保障和就业支出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398.22</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398.22</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行政事业单位养老支出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398.22</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398.22</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2080502</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事业单位离退休</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148.67</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148.67</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机关事业单位基本养老保险缴费支出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160.17</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160.17</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2080506</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机关事业单位职业年金缴费支出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89.38</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89.38</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卫生健康支出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103.61</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103.61</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行政事业单位医疗</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103.61</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103.61</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2101102</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事业单位医疗</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68.57</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68.57</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2101199</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其他行政事业单位医疗支出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35.04</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35.04</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住房保障支出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住房改革支出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2210203</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购房补贴</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9066" w:type="dxa"/>
            <w:gridSpan w:val="7"/>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注：本表反映部门本年度一般公共预算财政拨款支出情况。</w:t>
            </w:r>
          </w:p>
        </w:tc>
      </w:tr>
    </w:tbl>
    <w:p>
      <w:pPr>
        <w:pStyle w:val="2"/>
        <w:sectPr>
          <w:footerReference r:id="rId8" w:type="default"/>
          <w:pgSz w:w="11906" w:h="16383"/>
          <w:pgMar w:top="1803" w:right="1440" w:bottom="1803" w:left="1440" w:header="720" w:footer="720" w:gutter="0"/>
          <w:pgBorders>
            <w:top w:val="none" w:sz="0" w:space="0"/>
            <w:left w:val="none" w:sz="0" w:space="0"/>
            <w:bottom w:val="none" w:sz="0" w:space="0"/>
            <w:right w:val="none" w:sz="0" w:space="0"/>
          </w:pgBorders>
          <w:cols w:space="720" w:num="1"/>
          <w:docGrid w:linePitch="1" w:charSpace="0"/>
        </w:sectPr>
      </w:pP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p>
      <w:pPr>
        <w:pStyle w:val="6"/>
        <w:spacing w:before="100" w:after="100" w:line="240" w:lineRule="auto"/>
        <w:ind w:left="720" w:right="0" w:hanging="720" w:firstLineChars="0"/>
        <w:rPr>
          <w:rFonts w:ascii="Times New Roman" w:hAnsi="Times New Roman" w:eastAsia="Times New Roman" w:cs="Times New Roman"/>
          <w:b/>
          <w:bCs/>
          <w:kern w:val="0"/>
          <w:sz w:val="28"/>
          <w:szCs w:val="28"/>
        </w:rPr>
      </w:pPr>
      <w:bookmarkStart w:id="49" w:name="_Toc256000012"/>
      <w:bookmarkStart w:id="50" w:name="_Toc256000043"/>
      <w:bookmarkStart w:id="51" w:name="_Toc256000105"/>
      <w:bookmarkStart w:id="52" w:name="_Toc256000074"/>
      <w:r>
        <w:rPr>
          <w:rFonts w:ascii="黑体" w:hAnsi="黑体" w:eastAsia="黑体" w:cs="黑体"/>
          <w:b/>
          <w:spacing w:val="0"/>
        </w:rPr>
        <w:t>六、一般公共预算财政拨款基本支出决算表</w:t>
      </w:r>
      <w:bookmarkEnd w:id="49"/>
      <w:bookmarkEnd w:id="50"/>
      <w:bookmarkEnd w:id="51"/>
      <w:bookmarkEnd w:id="52"/>
    </w:p>
    <w:p/>
    <w:tbl>
      <w:tblPr>
        <w:tblStyle w:val="23"/>
        <w:tblW w:w="9066" w:type="dxa"/>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007"/>
        <w:gridCol w:w="1007"/>
        <w:gridCol w:w="1007"/>
        <w:gridCol w:w="1008"/>
        <w:gridCol w:w="1007"/>
        <w:gridCol w:w="1008"/>
        <w:gridCol w:w="1007"/>
        <w:gridCol w:w="1008"/>
        <w:gridCol w:w="10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9066" w:type="dxa"/>
            <w:gridSpan w:val="9"/>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32"/>
                <w:szCs w:val="32"/>
              </w:rPr>
              <w:t>一般公共预算财政拨款基本支出决算表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公开</w:t>
            </w:r>
            <w:r>
              <w:rPr>
                <w:rFonts w:ascii="Times New Roman" w:hAnsi="Times New Roman" w:eastAsia="Times New Roman" w:cs="Times New Roman"/>
                <w:b w:val="0"/>
                <w:bCs w:val="0"/>
                <w:i w:val="0"/>
                <w:iCs w:val="0"/>
                <w:smallCaps w:val="0"/>
                <w:color w:val="000000"/>
                <w:kern w:val="0"/>
                <w:sz w:val="18"/>
                <w:szCs w:val="18"/>
              </w:rPr>
              <w:t>06</w:t>
            </w:r>
            <w:r>
              <w:rPr>
                <w:b w:val="0"/>
                <w:bCs w:val="0"/>
                <w:i w:val="0"/>
                <w:iCs w:val="0"/>
                <w:smallCaps w:val="0"/>
                <w:color w:val="000000"/>
                <w:kern w:val="0"/>
                <w:sz w:val="18"/>
                <w:szCs w:val="18"/>
              </w:rPr>
              <w:t>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4029" w:type="dxa"/>
            <w:gridSpan w:val="4"/>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b w:val="0"/>
                <w:bCs w:val="0"/>
                <w:i w:val="0"/>
                <w:iCs w:val="0"/>
                <w:smallCaps w:val="0"/>
                <w:color w:val="000000"/>
                <w:kern w:val="0"/>
                <w:sz w:val="18"/>
                <w:szCs w:val="18"/>
              </w:rPr>
              <w:t>单位：厦门市华昌小学</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b w:val="0"/>
                <w:bCs w:val="0"/>
                <w:i w:val="0"/>
                <w:iCs w:val="0"/>
                <w:smallCaps w:val="0"/>
                <w:color w:val="000000"/>
                <w:kern w:val="0"/>
                <w:sz w:val="18"/>
                <w:szCs w:val="18"/>
              </w:rPr>
              <w:t>年度</w:t>
            </w:r>
          </w:p>
        </w:tc>
        <w:tc>
          <w:tcPr>
            <w:tcW w:w="100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经济分类科目编码</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科目名称</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金额</w:t>
            </w:r>
          </w:p>
        </w:tc>
        <w:tc>
          <w:tcPr>
            <w:tcW w:w="100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经济分类科目编码</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科目名称</w:t>
            </w:r>
          </w:p>
        </w:tc>
        <w:tc>
          <w:tcPr>
            <w:tcW w:w="100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金额</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经济分类科目编码</w:t>
            </w:r>
          </w:p>
        </w:tc>
        <w:tc>
          <w:tcPr>
            <w:tcW w:w="100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科目名称</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工资福利支出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2,162.66</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商品和服务支出</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224.49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30703</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国内债务发行费用</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基本工资</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283.74</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办公费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89.41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30704</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国外债务发行费用</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津贴补贴</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408.92</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印刷费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资本性支出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奖金</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683.16</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咨询费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31001</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房屋建筑物购建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伙食补助费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手续费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31002</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办公设备购置</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绩效工资</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119.4</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水费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31003</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专用设备购置</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机关事业单位基本养老保险缴费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160.17</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电费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9.61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31005</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基础设施建设</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职业年金缴费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89.38</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邮电费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31006</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大型修缮</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职工基本医疗保险缴费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68.57</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取暖费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31007</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信息网络及软件购置更新</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公务员医疗补助缴费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物业管理费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31008</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物资储备</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其他社会保障缴费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47.24</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差旅费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0.05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土地补偿</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住房公积金</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173.29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因公出国（境）费用</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31010</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安置补助</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医疗费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维修（护）费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31.36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31011</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地上附着物和青苗补偿</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30199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其他工资福利支出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128.78</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租赁费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31012</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拆迁补偿</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对个人和家庭的补助</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153.87</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会议费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31013</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公务用车购置</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离休费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培训费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14.53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其他交通工具购置</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退休费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公务接待费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31021</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文物和陈列品购置</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退职（役）费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专用材料费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31022</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无形资产购置</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抚恤金</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被装购置费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31099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其他资本性支出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生活补助</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专用燃料费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对企业补助</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救济费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劳务费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18.35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31201</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资本金注入</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医疗费补助</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委托业务费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31203</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政府投资基金股权投资</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助学金</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工会经费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31204</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费用补贴</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奖励金</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5.2</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福利费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31205</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利息补贴</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30310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个人农业生产补贴</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30231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公务用车运行维护费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31206</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其他资本性补助</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30311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代缴社会保险费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30239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其他交通费用</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31299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其他对企业补助</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30399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其他对个人和家庭的补助</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148.67</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30240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税金及附加费用</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30299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其他商品和服务支出</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39907</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国家赔偿费用支出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债务利息及费用支出</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39908</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对民间非营利组织和群众性自治组织补贴</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30701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国内债务付息</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39909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经常性赠与</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国外债务付息</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39910</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资本性赠与</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39999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2014"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人员经费合计</w:t>
            </w:r>
            <w:r>
              <w:rPr>
                <w:rFonts w:ascii="Times New Roman" w:hAnsi="Times New Roman" w:eastAsia="Times New Roman" w:cs="Times New Roman"/>
                <w:b w:val="0"/>
                <w:bCs w:val="0"/>
                <w:i w:val="0"/>
                <w:iCs w:val="0"/>
                <w:smallCaps w:val="0"/>
                <w:color w:val="000000"/>
                <w:kern w:val="0"/>
                <w:sz w:val="18"/>
                <w:szCs w:val="18"/>
              </w:rPr>
              <w:t xml:space="preserve">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2,316.53</w:t>
            </w:r>
          </w:p>
        </w:tc>
        <w:tc>
          <w:tcPr>
            <w:tcW w:w="4030" w:type="dxa"/>
            <w:gridSpan w:val="4"/>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公用经费合计</w:t>
            </w:r>
          </w:p>
        </w:tc>
        <w:tc>
          <w:tcPr>
            <w:tcW w:w="2015"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239.59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9066" w:type="dxa"/>
            <w:gridSpan w:val="9"/>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注：本表反映部门本年度一般公共预算财政拨款基本支出明细情况。</w:t>
            </w:r>
          </w:p>
        </w:tc>
      </w:tr>
    </w:tbl>
    <w:p>
      <w:pPr>
        <w:pStyle w:val="6"/>
        <w:spacing w:before="100" w:after="100" w:line="240" w:lineRule="auto"/>
        <w:ind w:left="720" w:right="0" w:hanging="720" w:firstLineChars="0"/>
        <w:rPr>
          <w:rFonts w:ascii="黑体" w:hAnsi="黑体" w:eastAsia="黑体" w:cs="黑体"/>
          <w:b/>
          <w:spacing w:val="0"/>
        </w:rPr>
      </w:pPr>
      <w:bookmarkStart w:id="53" w:name="_Toc256000044"/>
      <w:bookmarkStart w:id="54" w:name="_Toc256000013"/>
      <w:bookmarkStart w:id="55" w:name="_Toc256000075"/>
      <w:bookmarkStart w:id="56" w:name="_Toc256000106"/>
    </w:p>
    <w:p>
      <w:pPr>
        <w:pStyle w:val="6"/>
        <w:spacing w:before="100" w:after="100" w:line="240" w:lineRule="auto"/>
        <w:ind w:left="720" w:right="0" w:hanging="720" w:firstLineChars="0"/>
        <w:rPr>
          <w:rFonts w:ascii="黑体" w:hAnsi="黑体" w:eastAsia="黑体" w:cs="黑体"/>
          <w:b/>
          <w:spacing w:val="0"/>
        </w:rPr>
      </w:pPr>
    </w:p>
    <w:p>
      <w:pPr>
        <w:pStyle w:val="6"/>
        <w:spacing w:before="100" w:after="100" w:line="240" w:lineRule="auto"/>
        <w:ind w:left="720" w:right="0" w:hanging="720" w:firstLineChars="0"/>
        <w:rPr>
          <w:rFonts w:ascii="黑体" w:hAnsi="黑体" w:eastAsia="黑体" w:cs="黑体"/>
          <w:b/>
          <w:spacing w:val="0"/>
        </w:rPr>
      </w:pPr>
    </w:p>
    <w:p>
      <w:pPr>
        <w:pStyle w:val="6"/>
        <w:spacing w:before="100" w:after="100" w:line="240" w:lineRule="auto"/>
        <w:ind w:left="720" w:right="0" w:hanging="720" w:firstLineChars="0"/>
        <w:rPr>
          <w:rFonts w:ascii="黑体" w:hAnsi="黑体" w:eastAsia="黑体" w:cs="黑体"/>
          <w:b/>
          <w:spacing w:val="0"/>
        </w:rPr>
      </w:pPr>
    </w:p>
    <w:p>
      <w:pPr>
        <w:pStyle w:val="6"/>
        <w:spacing w:before="100" w:after="100" w:line="240" w:lineRule="auto"/>
        <w:ind w:left="720" w:right="0" w:hanging="720" w:firstLineChars="0"/>
        <w:rPr>
          <w:rFonts w:ascii="黑体" w:hAnsi="黑体" w:eastAsia="黑体" w:cs="黑体"/>
          <w:b/>
          <w:spacing w:val="0"/>
        </w:rPr>
      </w:pPr>
    </w:p>
    <w:p>
      <w:pPr>
        <w:pStyle w:val="6"/>
        <w:spacing w:before="100" w:after="100" w:line="240" w:lineRule="auto"/>
        <w:ind w:left="720" w:right="0" w:hanging="720" w:firstLineChars="0"/>
        <w:rPr>
          <w:rFonts w:ascii="黑体" w:hAnsi="黑体" w:eastAsia="黑体" w:cs="黑体"/>
          <w:b/>
          <w:spacing w:val="0"/>
        </w:rPr>
      </w:pPr>
    </w:p>
    <w:p>
      <w:pPr>
        <w:pStyle w:val="6"/>
        <w:spacing w:before="100" w:after="100" w:line="240" w:lineRule="auto"/>
        <w:ind w:left="720" w:right="0" w:hanging="720" w:firstLineChars="0"/>
        <w:rPr>
          <w:rFonts w:ascii="黑体" w:hAnsi="黑体" w:eastAsia="黑体" w:cs="黑体"/>
          <w:b/>
          <w:spacing w:val="0"/>
        </w:rPr>
      </w:pPr>
    </w:p>
    <w:p>
      <w:pPr>
        <w:pStyle w:val="6"/>
        <w:spacing w:before="100" w:after="100" w:line="240" w:lineRule="auto"/>
        <w:ind w:left="720" w:right="0" w:hanging="720" w:firstLineChars="0"/>
        <w:rPr>
          <w:rFonts w:ascii="黑体" w:hAnsi="黑体" w:eastAsia="黑体" w:cs="黑体"/>
          <w:b/>
          <w:spacing w:val="0"/>
        </w:rPr>
      </w:pPr>
    </w:p>
    <w:p>
      <w:pPr>
        <w:pStyle w:val="6"/>
        <w:spacing w:before="100" w:after="100" w:line="240" w:lineRule="auto"/>
        <w:ind w:left="720" w:right="0" w:hanging="720" w:firstLineChars="0"/>
        <w:rPr>
          <w:rFonts w:ascii="黑体" w:hAnsi="黑体" w:eastAsia="黑体" w:cs="黑体"/>
          <w:b/>
          <w:spacing w:val="0"/>
        </w:rPr>
      </w:pPr>
    </w:p>
    <w:bookmarkEnd w:id="53"/>
    <w:bookmarkEnd w:id="54"/>
    <w:bookmarkEnd w:id="55"/>
    <w:bookmarkEnd w:id="56"/>
    <w:p>
      <w:pPr>
        <w:pStyle w:val="2"/>
      </w:pPr>
    </w:p>
    <w:p>
      <w:pPr>
        <w:pStyle w:val="6"/>
        <w:spacing w:before="100" w:after="100" w:line="240" w:lineRule="auto"/>
        <w:ind w:left="720" w:right="0" w:hanging="720" w:firstLineChars="0"/>
      </w:pPr>
      <w:r>
        <w:rPr>
          <w:rFonts w:ascii="黑体" w:hAnsi="黑体" w:eastAsia="黑体" w:cs="黑体"/>
          <w:b/>
          <w:spacing w:val="0"/>
        </w:rPr>
        <w:t>七、一般公共预算财政拨款“三公”经费支出决算表</w:t>
      </w:r>
    </w:p>
    <w:tbl>
      <w:tblPr>
        <w:tblStyle w:val="23"/>
        <w:tblW w:w="9066" w:type="dxa"/>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755"/>
        <w:gridCol w:w="755"/>
        <w:gridCol w:w="755"/>
        <w:gridCol w:w="755"/>
        <w:gridCol w:w="1"/>
        <w:gridCol w:w="755"/>
        <w:gridCol w:w="755"/>
        <w:gridCol w:w="755"/>
        <w:gridCol w:w="1"/>
        <w:gridCol w:w="755"/>
        <w:gridCol w:w="1"/>
        <w:gridCol w:w="755"/>
        <w:gridCol w:w="1"/>
        <w:gridCol w:w="755"/>
        <w:gridCol w:w="755"/>
        <w:gridCol w:w="1"/>
        <w:gridCol w:w="7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9066" w:type="dxa"/>
            <w:gridSpan w:val="17"/>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32"/>
                <w:szCs w:val="32"/>
              </w:rPr>
              <w:t>一般公共预算财政拨款</w:t>
            </w:r>
            <w:r>
              <w:rPr>
                <w:rFonts w:ascii="Times New Roman" w:hAnsi="Times New Roman" w:eastAsia="Times New Roman" w:cs="Times New Roman"/>
                <w:b w:val="0"/>
                <w:bCs w:val="0"/>
                <w:i w:val="0"/>
                <w:iCs w:val="0"/>
                <w:smallCaps w:val="0"/>
                <w:color w:val="000000"/>
                <w:kern w:val="0"/>
                <w:sz w:val="32"/>
                <w:szCs w:val="32"/>
              </w:rPr>
              <w:t>“</w:t>
            </w:r>
            <w:r>
              <w:rPr>
                <w:b w:val="0"/>
                <w:bCs w:val="0"/>
                <w:i w:val="0"/>
                <w:iCs w:val="0"/>
                <w:smallCaps w:val="0"/>
                <w:color w:val="000000"/>
                <w:kern w:val="0"/>
                <w:sz w:val="32"/>
                <w:szCs w:val="32"/>
              </w:rPr>
              <w:t>三公</w:t>
            </w:r>
            <w:r>
              <w:rPr>
                <w:rFonts w:ascii="Times New Roman" w:hAnsi="Times New Roman" w:eastAsia="Times New Roman" w:cs="Times New Roman"/>
                <w:b w:val="0"/>
                <w:bCs w:val="0"/>
                <w:i w:val="0"/>
                <w:iCs w:val="0"/>
                <w:smallCaps w:val="0"/>
                <w:color w:val="000000"/>
                <w:kern w:val="0"/>
                <w:sz w:val="32"/>
                <w:szCs w:val="32"/>
              </w:rPr>
              <w:t>”</w:t>
            </w:r>
            <w:r>
              <w:rPr>
                <w:b w:val="0"/>
                <w:bCs w:val="0"/>
                <w:i w:val="0"/>
                <w:iCs w:val="0"/>
                <w:smallCaps w:val="0"/>
                <w:color w:val="000000"/>
                <w:kern w:val="0"/>
                <w:sz w:val="32"/>
                <w:szCs w:val="32"/>
              </w:rPr>
              <w:t>经费支出决算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75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4531" w:type="dxa"/>
            <w:gridSpan w:val="7"/>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b w:val="0"/>
                <w:bCs w:val="0"/>
                <w:i w:val="0"/>
                <w:iCs w:val="0"/>
                <w:smallCaps w:val="0"/>
                <w:color w:val="000000"/>
                <w:kern w:val="0"/>
                <w:sz w:val="18"/>
                <w:szCs w:val="18"/>
              </w:rPr>
              <w:t>单位：厦门市华昌小学</w:t>
            </w:r>
          </w:p>
        </w:tc>
        <w:tc>
          <w:tcPr>
            <w:tcW w:w="75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b w:val="0"/>
                <w:bCs w:val="0"/>
                <w:i w:val="0"/>
                <w:iCs w:val="0"/>
                <w:smallCaps w:val="0"/>
                <w:color w:val="000000"/>
                <w:kern w:val="0"/>
                <w:sz w:val="18"/>
                <w:szCs w:val="18"/>
              </w:rPr>
              <w:t>年度</w:t>
            </w:r>
          </w:p>
        </w:tc>
        <w:tc>
          <w:tcPr>
            <w:tcW w:w="75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4531" w:type="dxa"/>
            <w:gridSpan w:val="7"/>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预算数</w:t>
            </w:r>
          </w:p>
        </w:tc>
        <w:tc>
          <w:tcPr>
            <w:tcW w:w="4535" w:type="dxa"/>
            <w:gridSpan w:val="10"/>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合计</w:t>
            </w:r>
          </w:p>
        </w:tc>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因公出国</w:t>
            </w:r>
            <w:r>
              <w:rPr>
                <w:rFonts w:ascii="Times New Roman" w:hAnsi="Times New Roman" w:eastAsia="Times New Roman" w:cs="Times New Roman"/>
                <w:b w:val="0"/>
                <w:bCs w:val="0"/>
                <w:i w:val="0"/>
                <w:iCs w:val="0"/>
                <w:smallCaps w:val="0"/>
                <w:color w:val="000000"/>
                <w:kern w:val="0"/>
                <w:sz w:val="18"/>
                <w:szCs w:val="18"/>
              </w:rPr>
              <w:t xml:space="preserve"> </w:t>
            </w:r>
            <w:r>
              <w:rPr>
                <w:b w:val="0"/>
                <w:bCs w:val="0"/>
                <w:i w:val="0"/>
                <w:iCs w:val="0"/>
                <w:smallCaps w:val="0"/>
                <w:color w:val="000000"/>
                <w:kern w:val="0"/>
                <w:sz w:val="18"/>
                <w:szCs w:val="18"/>
              </w:rPr>
              <w:t>（境）费</w:t>
            </w:r>
          </w:p>
        </w:tc>
        <w:tc>
          <w:tcPr>
            <w:tcW w:w="2266" w:type="dxa"/>
            <w:gridSpan w:val="4"/>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公务用车购置及运行维护费</w:t>
            </w:r>
          </w:p>
        </w:tc>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公务接待费</w:t>
            </w:r>
          </w:p>
        </w:tc>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合计</w:t>
            </w:r>
          </w:p>
        </w:tc>
        <w:tc>
          <w:tcPr>
            <w:tcW w:w="756" w:type="dxa"/>
            <w:gridSpan w:val="2"/>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因公出国</w:t>
            </w:r>
            <w:r>
              <w:rPr>
                <w:rFonts w:ascii="Times New Roman" w:hAnsi="Times New Roman" w:eastAsia="Times New Roman" w:cs="Times New Roman"/>
                <w:b w:val="0"/>
                <w:bCs w:val="0"/>
                <w:i w:val="0"/>
                <w:iCs w:val="0"/>
                <w:smallCaps w:val="0"/>
                <w:color w:val="000000"/>
                <w:kern w:val="0"/>
                <w:sz w:val="18"/>
                <w:szCs w:val="18"/>
              </w:rPr>
              <w:t xml:space="preserve"> </w:t>
            </w:r>
            <w:r>
              <w:rPr>
                <w:b w:val="0"/>
                <w:bCs w:val="0"/>
                <w:i w:val="0"/>
                <w:iCs w:val="0"/>
                <w:smallCaps w:val="0"/>
                <w:color w:val="000000"/>
                <w:kern w:val="0"/>
                <w:sz w:val="18"/>
                <w:szCs w:val="18"/>
              </w:rPr>
              <w:t>（境）费</w:t>
            </w:r>
          </w:p>
        </w:tc>
        <w:tc>
          <w:tcPr>
            <w:tcW w:w="2267" w:type="dxa"/>
            <w:gridSpan w:val="5"/>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公务用车购置及运行维护费</w:t>
            </w:r>
          </w:p>
        </w:tc>
        <w:tc>
          <w:tcPr>
            <w:tcW w:w="757" w:type="dxa"/>
            <w:gridSpan w:val="2"/>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755"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小计</w:t>
            </w:r>
            <w:r>
              <w:rPr>
                <w:rFonts w:ascii="Times New Roman" w:hAnsi="Times New Roman" w:eastAsia="Times New Roman" w:cs="Times New Roman"/>
                <w:b w:val="0"/>
                <w:bCs w:val="0"/>
                <w:i w:val="0"/>
                <w:iCs w:val="0"/>
                <w:smallCaps w:val="0"/>
                <w:color w:val="000000"/>
                <w:kern w:val="0"/>
                <w:sz w:val="18"/>
                <w:szCs w:val="18"/>
              </w:rPr>
              <w:t xml:space="preserve"> </w:t>
            </w:r>
          </w:p>
        </w:tc>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公务用车购置费</w:t>
            </w:r>
          </w:p>
        </w:tc>
        <w:tc>
          <w:tcPr>
            <w:tcW w:w="756" w:type="dxa"/>
            <w:gridSpan w:val="2"/>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公务用车运行维护费</w:t>
            </w:r>
          </w:p>
        </w:tc>
        <w:tc>
          <w:tcPr>
            <w:tcW w:w="755"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6" w:type="dxa"/>
            <w:gridSpan w:val="2"/>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6" w:type="dxa"/>
            <w:gridSpan w:val="2"/>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小计</w:t>
            </w:r>
            <w:r>
              <w:rPr>
                <w:rFonts w:ascii="Times New Roman" w:hAnsi="Times New Roman" w:eastAsia="Times New Roman" w:cs="Times New Roman"/>
                <w:b w:val="0"/>
                <w:bCs w:val="0"/>
                <w:i w:val="0"/>
                <w:iCs w:val="0"/>
                <w:smallCaps w:val="0"/>
                <w:color w:val="000000"/>
                <w:kern w:val="0"/>
                <w:sz w:val="18"/>
                <w:szCs w:val="18"/>
              </w:rPr>
              <w:t xml:space="preserve"> </w:t>
            </w:r>
          </w:p>
        </w:tc>
        <w:tc>
          <w:tcPr>
            <w:tcW w:w="756" w:type="dxa"/>
            <w:gridSpan w:val="2"/>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公务用车购置费</w:t>
            </w:r>
          </w:p>
        </w:tc>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公务用车运行维护费</w:t>
            </w:r>
          </w:p>
        </w:tc>
        <w:tc>
          <w:tcPr>
            <w:tcW w:w="757" w:type="dxa"/>
            <w:gridSpan w:val="2"/>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755"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6" w:type="dxa"/>
            <w:gridSpan w:val="2"/>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6" w:type="dxa"/>
            <w:gridSpan w:val="2"/>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6" w:type="dxa"/>
            <w:gridSpan w:val="2"/>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6" w:type="dxa"/>
            <w:gridSpan w:val="2"/>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7" w:type="dxa"/>
            <w:gridSpan w:val="2"/>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75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w:t>
            </w:r>
          </w:p>
        </w:tc>
        <w:tc>
          <w:tcPr>
            <w:tcW w:w="75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w:t>
            </w:r>
          </w:p>
        </w:tc>
        <w:tc>
          <w:tcPr>
            <w:tcW w:w="75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w:t>
            </w:r>
          </w:p>
        </w:tc>
        <w:tc>
          <w:tcPr>
            <w:tcW w:w="75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w:t>
            </w:r>
          </w:p>
        </w:tc>
        <w:tc>
          <w:tcPr>
            <w:tcW w:w="757"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7"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9066" w:type="dxa"/>
            <w:gridSpan w:val="17"/>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注：本表反映部门本年度财政拨款</w:t>
            </w:r>
            <w:r>
              <w:rPr>
                <w:rFonts w:ascii="Times New Roman" w:hAnsi="Times New Roman" w:eastAsia="Times New Roman" w:cs="Times New Roman"/>
                <w:b w:val="0"/>
                <w:bCs w:val="0"/>
                <w:i w:val="0"/>
                <w:iCs w:val="0"/>
                <w:smallCaps w:val="0"/>
                <w:color w:val="000000"/>
                <w:kern w:val="0"/>
                <w:sz w:val="18"/>
                <w:szCs w:val="18"/>
              </w:rPr>
              <w:t>“</w:t>
            </w:r>
            <w:r>
              <w:rPr>
                <w:b w:val="0"/>
                <w:bCs w:val="0"/>
                <w:i w:val="0"/>
                <w:iCs w:val="0"/>
                <w:smallCaps w:val="0"/>
                <w:color w:val="000000"/>
                <w:kern w:val="0"/>
                <w:sz w:val="18"/>
                <w:szCs w:val="18"/>
              </w:rPr>
              <w:t>三公</w:t>
            </w:r>
            <w:r>
              <w:rPr>
                <w:rFonts w:ascii="Times New Roman" w:hAnsi="Times New Roman" w:eastAsia="Times New Roman" w:cs="Times New Roman"/>
                <w:b w:val="0"/>
                <w:bCs w:val="0"/>
                <w:i w:val="0"/>
                <w:iCs w:val="0"/>
                <w:smallCaps w:val="0"/>
                <w:color w:val="000000"/>
                <w:kern w:val="0"/>
                <w:sz w:val="18"/>
                <w:szCs w:val="18"/>
              </w:rPr>
              <w:t>”</w:t>
            </w:r>
            <w:r>
              <w:rPr>
                <w:b w:val="0"/>
                <w:bCs w:val="0"/>
                <w:i w:val="0"/>
                <w:iCs w:val="0"/>
                <w:smallCaps w:val="0"/>
                <w:color w:val="000000"/>
                <w:kern w:val="0"/>
                <w:sz w:val="18"/>
                <w:szCs w:val="18"/>
              </w:rPr>
              <w:t>经费支出预决算情况。其中，预算数为</w:t>
            </w:r>
            <w:r>
              <w:rPr>
                <w:rFonts w:ascii="Times New Roman" w:hAnsi="Times New Roman" w:eastAsia="Times New Roman" w:cs="Times New Roman"/>
                <w:b w:val="0"/>
                <w:bCs w:val="0"/>
                <w:i w:val="0"/>
                <w:iCs w:val="0"/>
                <w:smallCaps w:val="0"/>
                <w:color w:val="000000"/>
                <w:kern w:val="0"/>
                <w:sz w:val="18"/>
                <w:szCs w:val="18"/>
              </w:rPr>
              <w:t>“</w:t>
            </w:r>
            <w:r>
              <w:rPr>
                <w:b w:val="0"/>
                <w:bCs w:val="0"/>
                <w:i w:val="0"/>
                <w:iCs w:val="0"/>
                <w:smallCaps w:val="0"/>
                <w:color w:val="000000"/>
                <w:kern w:val="0"/>
                <w:sz w:val="18"/>
                <w:szCs w:val="18"/>
              </w:rPr>
              <w:t>三公</w:t>
            </w:r>
            <w:r>
              <w:rPr>
                <w:rFonts w:ascii="Times New Roman" w:hAnsi="Times New Roman" w:eastAsia="Times New Roman" w:cs="Times New Roman"/>
                <w:b w:val="0"/>
                <w:bCs w:val="0"/>
                <w:i w:val="0"/>
                <w:iCs w:val="0"/>
                <w:smallCaps w:val="0"/>
                <w:color w:val="000000"/>
                <w:kern w:val="0"/>
                <w:sz w:val="18"/>
                <w:szCs w:val="18"/>
              </w:rPr>
              <w:t>”</w:t>
            </w:r>
            <w:r>
              <w:rPr>
                <w:b w:val="0"/>
                <w:bCs w:val="0"/>
                <w:i w:val="0"/>
                <w:iCs w:val="0"/>
                <w:smallCaps w:val="0"/>
                <w:color w:val="000000"/>
                <w:kern w:val="0"/>
                <w:sz w:val="18"/>
                <w:szCs w:val="18"/>
              </w:rPr>
              <w:t>经费全年预算数，反映按规定程序调整后的预算数；决算数是包括当年财政拨款和以前年度结转资金安排的实际支出。</w:t>
            </w:r>
          </w:p>
        </w:tc>
      </w:tr>
    </w:tbl>
    <w:p>
      <w:pPr>
        <w:pStyle w:val="25"/>
        <w:widowControl/>
        <w:spacing w:before="100" w:after="100"/>
        <w:ind w:left="0" w:right="0" w:firstLine="640" w:firstLineChars="200"/>
        <w:jc w:val="left"/>
        <w:rPr>
          <w:rFonts w:hint="eastAsia" w:ascii="仿宋" w:hAnsi="仿宋" w:eastAsia="仿宋" w:cs="仿宋"/>
          <w:b w:val="0"/>
          <w:bCs w:val="0"/>
          <w:i w:val="0"/>
          <w:iCs w:val="0"/>
          <w:smallCaps w:val="0"/>
          <w:color w:val="000000"/>
          <w:kern w:val="0"/>
          <w:sz w:val="32"/>
          <w:szCs w:val="32"/>
          <w:lang w:val="en-US" w:eastAsia="zh-CN"/>
        </w:rPr>
      </w:pPr>
      <w:r>
        <w:rPr>
          <w:rFonts w:hint="eastAsia" w:ascii="仿宋" w:hAnsi="仿宋" w:eastAsia="仿宋" w:cs="仿宋"/>
          <w:b w:val="0"/>
          <w:bCs w:val="0"/>
          <w:i w:val="0"/>
          <w:iCs w:val="0"/>
          <w:smallCaps w:val="0"/>
          <w:color w:val="000000"/>
          <w:kern w:val="0"/>
          <w:sz w:val="32"/>
          <w:szCs w:val="32"/>
          <w:lang w:eastAsia="zh-CN"/>
        </w:rPr>
        <w:t>本单位</w:t>
      </w:r>
      <w:r>
        <w:rPr>
          <w:rFonts w:hint="eastAsia" w:ascii="仿宋" w:hAnsi="仿宋" w:eastAsia="仿宋" w:cs="仿宋"/>
          <w:b w:val="0"/>
          <w:bCs w:val="0"/>
          <w:i w:val="0"/>
          <w:iCs w:val="0"/>
          <w:smallCaps w:val="0"/>
          <w:color w:val="000000"/>
          <w:kern w:val="0"/>
          <w:sz w:val="32"/>
          <w:szCs w:val="32"/>
          <w:lang w:val="en-US" w:eastAsia="zh-CN"/>
        </w:rPr>
        <w:t>2024年度没有使用一般公共预算财政拨款安排的“三公”经费支出。</w:t>
      </w:r>
    </w:p>
    <w:p>
      <w:pPr>
        <w:pStyle w:val="25"/>
        <w:widowControl/>
        <w:spacing w:before="100" w:after="100"/>
        <w:ind w:left="0" w:right="0" w:firstLine="640" w:firstLineChars="200"/>
        <w:jc w:val="left"/>
        <w:rPr>
          <w:rFonts w:hint="eastAsia" w:ascii="仿宋" w:hAnsi="仿宋" w:eastAsia="仿宋" w:cs="仿宋"/>
          <w:b w:val="0"/>
          <w:bCs w:val="0"/>
          <w:i w:val="0"/>
          <w:iCs w:val="0"/>
          <w:smallCaps w:val="0"/>
          <w:color w:val="000000"/>
          <w:kern w:val="0"/>
          <w:sz w:val="32"/>
          <w:szCs w:val="32"/>
          <w:lang w:val="en-US" w:eastAsia="zh-CN"/>
        </w:rPr>
      </w:pPr>
    </w:p>
    <w:p>
      <w:pPr>
        <w:pStyle w:val="6"/>
        <w:spacing w:before="100" w:after="100" w:line="240" w:lineRule="auto"/>
        <w:ind w:left="0" w:right="0" w:firstLine="0" w:firstLineChars="0"/>
      </w:pPr>
      <w:bookmarkStart w:id="57" w:name="_Toc256000045"/>
      <w:bookmarkStart w:id="58" w:name="_Toc256000014"/>
      <w:bookmarkStart w:id="59" w:name="_Toc256000076"/>
      <w:bookmarkStart w:id="60" w:name="_Toc256000107"/>
      <w:r>
        <w:rPr>
          <w:rFonts w:ascii="黑体" w:hAnsi="黑体" w:eastAsia="黑体" w:cs="黑体"/>
          <w:b/>
          <w:spacing w:val="0"/>
        </w:rPr>
        <w:t>八、政府性基金预算财政拨款收入支出决算表</w:t>
      </w:r>
      <w:bookmarkEnd w:id="57"/>
      <w:bookmarkEnd w:id="58"/>
      <w:bookmarkEnd w:id="59"/>
      <w:bookmarkEnd w:id="60"/>
    </w:p>
    <w:tbl>
      <w:tblPr>
        <w:tblStyle w:val="23"/>
        <w:tblW w:w="9066" w:type="dxa"/>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133"/>
        <w:gridCol w:w="1133"/>
        <w:gridCol w:w="1133"/>
        <w:gridCol w:w="1134"/>
        <w:gridCol w:w="1133"/>
        <w:gridCol w:w="1133"/>
        <w:gridCol w:w="1134"/>
        <w:gridCol w:w="11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65" w:hRule="atLeast"/>
          <w:tblHeader/>
        </w:trPr>
        <w:tc>
          <w:tcPr>
            <w:tcW w:w="9066" w:type="dxa"/>
            <w:gridSpan w:val="8"/>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32"/>
                <w:szCs w:val="32"/>
              </w:rPr>
              <w:t>政府性基金预算财政拨款收入支出决算表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13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4533" w:type="dxa"/>
            <w:gridSpan w:val="4"/>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b w:val="0"/>
                <w:bCs w:val="0"/>
                <w:i w:val="0"/>
                <w:iCs w:val="0"/>
                <w:smallCaps w:val="0"/>
                <w:color w:val="000000"/>
                <w:kern w:val="0"/>
                <w:sz w:val="18"/>
                <w:szCs w:val="18"/>
              </w:rPr>
              <w:t>单位：厦门市华昌小学</w:t>
            </w:r>
          </w:p>
        </w:tc>
        <w:tc>
          <w:tcPr>
            <w:tcW w:w="113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b w:val="0"/>
                <w:bCs w:val="0"/>
                <w:i w:val="0"/>
                <w:iCs w:val="0"/>
                <w:smallCaps w:val="0"/>
                <w:color w:val="000000"/>
                <w:kern w:val="0"/>
                <w:sz w:val="18"/>
                <w:szCs w:val="18"/>
              </w:rPr>
              <w:t>年度</w:t>
            </w:r>
          </w:p>
        </w:tc>
        <w:tc>
          <w:tcPr>
            <w:tcW w:w="113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226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项目</w:t>
            </w:r>
          </w:p>
        </w:tc>
        <w:tc>
          <w:tcPr>
            <w:tcW w:w="113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年初结转和结余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113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本年收入</w:t>
            </w:r>
          </w:p>
        </w:tc>
        <w:tc>
          <w:tcPr>
            <w:tcW w:w="3400"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本年支出</w:t>
            </w:r>
          </w:p>
        </w:tc>
        <w:tc>
          <w:tcPr>
            <w:tcW w:w="113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13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支出功能分类科目编码</w:t>
            </w:r>
          </w:p>
        </w:tc>
        <w:tc>
          <w:tcPr>
            <w:tcW w:w="113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科目名称</w:t>
            </w:r>
          </w:p>
        </w:tc>
        <w:tc>
          <w:tcPr>
            <w:tcW w:w="1133"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4"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小计</w:t>
            </w:r>
          </w:p>
        </w:tc>
        <w:tc>
          <w:tcPr>
            <w:tcW w:w="113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基本支出</w:t>
            </w:r>
            <w:r>
              <w:rPr>
                <w:rFonts w:ascii="Times New Roman" w:hAnsi="Times New Roman" w:eastAsia="Times New Roman" w:cs="Times New Roman"/>
                <w:b w:val="0"/>
                <w:bCs w:val="0"/>
                <w:i w:val="0"/>
                <w:iCs w:val="0"/>
                <w:smallCaps w:val="0"/>
                <w:color w:val="000000"/>
                <w:kern w:val="0"/>
                <w:sz w:val="18"/>
                <w:szCs w:val="18"/>
              </w:rPr>
              <w:t xml:space="preserve"> </w:t>
            </w:r>
          </w:p>
        </w:tc>
        <w:tc>
          <w:tcPr>
            <w:tcW w:w="113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项目支出</w:t>
            </w:r>
          </w:p>
        </w:tc>
        <w:tc>
          <w:tcPr>
            <w:tcW w:w="1133"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133"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3"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3"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4"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3"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3"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4"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3"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26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栏次</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26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合计</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4.97</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4.97</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4.97</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其他支出</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4.97</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4.97</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4.97</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彩票公益金安排的支出</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4.97</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4.97</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4.97</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2296003</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用于体育事业的彩票公益金支出</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4.97</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4.97</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4.97</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9066" w:type="dxa"/>
            <w:gridSpan w:val="8"/>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注：本表反映部门本年度政府性基金预算财政拨款收入、支出及结转和结余情况。</w:t>
            </w:r>
          </w:p>
        </w:tc>
      </w:tr>
    </w:tbl>
    <w:p>
      <w:pPr>
        <w:pStyle w:val="6"/>
        <w:spacing w:before="100" w:after="100" w:line="240" w:lineRule="auto"/>
        <w:ind w:left="0" w:right="0" w:firstLine="0" w:firstLineChars="0"/>
        <w:rPr>
          <w:rFonts w:ascii="Times New Roman" w:hAnsi="Times New Roman" w:eastAsia="Times New Roman" w:cs="Times New Roman"/>
          <w:b/>
          <w:bCs/>
          <w:kern w:val="0"/>
          <w:sz w:val="28"/>
          <w:szCs w:val="28"/>
        </w:rPr>
      </w:pPr>
      <w:bookmarkStart w:id="61" w:name="_Toc256000077"/>
      <w:bookmarkStart w:id="62" w:name="_Toc256000108"/>
      <w:bookmarkStart w:id="63" w:name="_Toc256000046"/>
      <w:bookmarkStart w:id="64" w:name="_Toc256000015"/>
      <w:r>
        <w:rPr>
          <w:rFonts w:ascii="黑体" w:hAnsi="黑体" w:eastAsia="黑体" w:cs="黑体"/>
          <w:b/>
          <w:spacing w:val="0"/>
        </w:rPr>
        <w:t>九、国有资本经营预算财政拨款支出决算表</w:t>
      </w:r>
    </w:p>
    <w:p/>
    <w:tbl>
      <w:tblPr>
        <w:tblStyle w:val="23"/>
        <w:tblW w:w="9066" w:type="dxa"/>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813"/>
        <w:gridCol w:w="1813"/>
        <w:gridCol w:w="1813"/>
        <w:gridCol w:w="1814"/>
        <w:gridCol w:w="181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9066" w:type="dxa"/>
            <w:gridSpan w:val="5"/>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32"/>
                <w:szCs w:val="32"/>
              </w:rPr>
              <w:t>国有资本经营预算财政拨款支出决算表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81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62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b w:val="0"/>
                <w:bCs w:val="0"/>
                <w:i w:val="0"/>
                <w:iCs w:val="0"/>
                <w:smallCaps w:val="0"/>
                <w:color w:val="000000"/>
                <w:kern w:val="0"/>
                <w:sz w:val="18"/>
                <w:szCs w:val="18"/>
              </w:rPr>
              <w:t>单位：厦门市华昌小学</w:t>
            </w:r>
          </w:p>
        </w:tc>
        <w:tc>
          <w:tcPr>
            <w:tcW w:w="181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b w:val="0"/>
                <w:bCs w:val="0"/>
                <w:i w:val="0"/>
                <w:iCs w:val="0"/>
                <w:smallCaps w:val="0"/>
                <w:color w:val="000000"/>
                <w:kern w:val="0"/>
                <w:sz w:val="18"/>
                <w:szCs w:val="18"/>
              </w:rPr>
              <w:t>年度</w:t>
            </w:r>
          </w:p>
        </w:tc>
        <w:tc>
          <w:tcPr>
            <w:tcW w:w="181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62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项目</w:t>
            </w:r>
          </w:p>
        </w:tc>
        <w:tc>
          <w:tcPr>
            <w:tcW w:w="5440"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81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科目代码</w:t>
            </w:r>
          </w:p>
        </w:tc>
        <w:tc>
          <w:tcPr>
            <w:tcW w:w="181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科目名称</w:t>
            </w:r>
          </w:p>
        </w:tc>
        <w:tc>
          <w:tcPr>
            <w:tcW w:w="181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合计</w:t>
            </w:r>
          </w:p>
        </w:tc>
        <w:tc>
          <w:tcPr>
            <w:tcW w:w="181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基本支出</w:t>
            </w:r>
          </w:p>
        </w:tc>
        <w:tc>
          <w:tcPr>
            <w:tcW w:w="181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813"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3"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3"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4"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3"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813"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3"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3"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4"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3"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62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栏次</w:t>
            </w:r>
          </w:p>
        </w:tc>
        <w:tc>
          <w:tcPr>
            <w:tcW w:w="1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62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合计</w:t>
            </w:r>
          </w:p>
        </w:tc>
        <w:tc>
          <w:tcPr>
            <w:tcW w:w="1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9066" w:type="dxa"/>
            <w:gridSpan w:val="5"/>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b w:val="0"/>
                <w:bCs w:val="0"/>
                <w:i w:val="0"/>
                <w:iCs w:val="0"/>
                <w:smallCaps w:val="0"/>
                <w:color w:val="000000"/>
                <w:kern w:val="0"/>
                <w:sz w:val="18"/>
                <w:szCs w:val="18"/>
              </w:rPr>
              <w:t>注：本表反映部门本年度国有资本经营预算财政拨款支出情况。</w:t>
            </w:r>
          </w:p>
        </w:tc>
      </w:tr>
    </w:tbl>
    <w:p>
      <w:pPr>
        <w:pStyle w:val="5"/>
        <w:ind w:left="0" w:leftChars="0" w:firstLine="0" w:firstLineChars="0"/>
      </w:pPr>
    </w:p>
    <w:p>
      <w:pPr>
        <w:pStyle w:val="6"/>
        <w:spacing w:before="100" w:after="100" w:line="240" w:lineRule="auto"/>
        <w:ind w:left="0" w:right="0" w:firstLine="640" w:firstLineChars="200"/>
        <w:rPr>
          <w:rFonts w:hint="default" w:ascii="黑体" w:hAnsi="黑体" w:eastAsia="黑体" w:cs="黑体"/>
          <w:b/>
          <w:spacing w:val="0"/>
          <w:lang w:val="en-US" w:eastAsia="zh-CN"/>
        </w:rPr>
      </w:pPr>
      <w:r>
        <w:rPr>
          <w:rFonts w:hint="eastAsia" w:ascii="仿宋" w:hAnsi="仿宋" w:eastAsia="仿宋" w:cs="仿宋"/>
          <w:b w:val="0"/>
          <w:bCs w:val="0"/>
          <w:spacing w:val="0"/>
          <w:lang w:val="en-US" w:eastAsia="zh-CN"/>
        </w:rPr>
        <w:t>本单位2024年度没有使用国有资本经营预算财政拨款安排的支出。</w:t>
      </w:r>
    </w:p>
    <w:p>
      <w:pPr>
        <w:pStyle w:val="6"/>
        <w:spacing w:before="100" w:after="100" w:line="240" w:lineRule="auto"/>
        <w:ind w:left="0" w:right="0" w:firstLine="0" w:firstLineChars="0"/>
        <w:rPr>
          <w:rFonts w:ascii="黑体" w:hAnsi="黑体" w:eastAsia="黑体" w:cs="黑体"/>
          <w:b/>
          <w:spacing w:val="0"/>
        </w:rPr>
      </w:pPr>
    </w:p>
    <w:p>
      <w:pPr>
        <w:pStyle w:val="6"/>
        <w:spacing w:before="100" w:after="100" w:line="240" w:lineRule="auto"/>
        <w:ind w:left="0" w:right="0" w:firstLine="0" w:firstLineChars="0"/>
        <w:rPr>
          <w:rFonts w:ascii="黑体" w:hAnsi="黑体" w:eastAsia="黑体" w:cs="黑体"/>
          <w:b/>
          <w:spacing w:val="0"/>
        </w:rPr>
      </w:pPr>
    </w:p>
    <w:p>
      <w:pPr>
        <w:pStyle w:val="6"/>
        <w:spacing w:before="100" w:after="100" w:line="240" w:lineRule="auto"/>
        <w:ind w:left="0" w:right="0" w:firstLine="0" w:firstLineChars="0"/>
        <w:rPr>
          <w:rFonts w:ascii="黑体" w:hAnsi="黑体" w:eastAsia="黑体" w:cs="黑体"/>
          <w:b/>
          <w:spacing w:val="0"/>
        </w:rPr>
      </w:pPr>
    </w:p>
    <w:p>
      <w:pPr>
        <w:pStyle w:val="6"/>
        <w:spacing w:before="100" w:after="100" w:line="240" w:lineRule="auto"/>
        <w:ind w:left="0" w:right="0" w:firstLine="0" w:firstLineChars="0"/>
        <w:rPr>
          <w:rFonts w:ascii="黑体" w:hAnsi="黑体" w:eastAsia="黑体" w:cs="黑体"/>
          <w:b/>
          <w:spacing w:val="0"/>
        </w:rPr>
      </w:pPr>
    </w:p>
    <w:bookmarkEnd w:id="61"/>
    <w:bookmarkEnd w:id="62"/>
    <w:bookmarkEnd w:id="63"/>
    <w:bookmarkEnd w:id="64"/>
    <w:p>
      <w:pPr>
        <w:pStyle w:val="2"/>
        <w:sectPr>
          <w:footerReference r:id="rId9" w:type="default"/>
          <w:pgSz w:w="11906" w:h="16383"/>
          <w:pgMar w:top="1803" w:right="1440" w:bottom="1803" w:left="1440" w:header="720" w:footer="720" w:gutter="0"/>
          <w:pgBorders>
            <w:top w:val="none" w:sz="0" w:space="0"/>
            <w:left w:val="none" w:sz="0" w:space="0"/>
            <w:bottom w:val="none" w:sz="0" w:space="0"/>
            <w:right w:val="none" w:sz="0" w:space="0"/>
          </w:pgBorders>
          <w:cols w:space="720" w:num="1"/>
          <w:docGrid w:linePitch="1" w:charSpace="0"/>
        </w:sectPr>
      </w:pP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p>
      <w:pPr>
        <w:pStyle w:val="4"/>
        <w:spacing w:before="100" w:after="100" w:line="240" w:lineRule="auto"/>
        <w:ind w:left="0" w:right="0" w:firstLine="0" w:firstLineChars="0"/>
        <w:jc w:val="center"/>
        <w:rPr>
          <w:rFonts w:ascii="Times New Roman" w:hAnsi="Times New Roman" w:eastAsia="Times New Roman" w:cs="Times New Roman"/>
          <w:b/>
          <w:bCs/>
          <w:kern w:val="0"/>
          <w:sz w:val="36"/>
          <w:szCs w:val="36"/>
        </w:rPr>
      </w:pPr>
      <w:bookmarkStart w:id="65" w:name="_Toc256000109"/>
      <w:bookmarkStart w:id="66" w:name="_Toc256000078"/>
      <w:bookmarkStart w:id="67" w:name="_Toc256000047"/>
      <w:bookmarkStart w:id="68" w:name="_Toc256000016"/>
      <w:r>
        <w:rPr>
          <w:rFonts w:ascii="黑体" w:hAnsi="黑体" w:eastAsia="黑体" w:cs="黑体"/>
          <w:b/>
          <w:spacing w:val="0"/>
          <w:sz w:val="36"/>
          <w:szCs w:val="36"/>
        </w:rPr>
        <w:t>第三部分</w:t>
      </w:r>
      <w:bookmarkEnd w:id="65"/>
      <w:bookmarkEnd w:id="66"/>
      <w:bookmarkEnd w:id="67"/>
      <w:bookmarkEnd w:id="68"/>
      <w:bookmarkStart w:id="69" w:name="_Toc256000017"/>
      <w:bookmarkStart w:id="70" w:name="_Toc256000048"/>
      <w:bookmarkStart w:id="71" w:name="_Toc256000079"/>
      <w:bookmarkStart w:id="72" w:name="_Toc256000110"/>
      <w:r>
        <w:rPr>
          <w:rFonts w:hint="eastAsia" w:ascii="黑体" w:hAnsi="黑体" w:eastAsia="黑体" w:cs="黑体"/>
          <w:b/>
          <w:spacing w:val="0"/>
          <w:sz w:val="36"/>
          <w:szCs w:val="36"/>
          <w:lang w:val="en-US" w:eastAsia="zh-CN"/>
        </w:rPr>
        <w:t xml:space="preserve">  </w:t>
      </w:r>
      <w:r>
        <w:rPr>
          <w:rFonts w:ascii="黑体" w:hAnsi="黑体" w:eastAsia="黑体" w:cs="黑体"/>
          <w:b/>
          <w:spacing w:val="0"/>
          <w:sz w:val="36"/>
          <w:szCs w:val="36"/>
        </w:rPr>
        <w:t>2024年度决算情况说明</w:t>
      </w:r>
      <w:bookmarkEnd w:id="69"/>
      <w:bookmarkEnd w:id="70"/>
      <w:bookmarkEnd w:id="71"/>
      <w:bookmarkEnd w:id="72"/>
    </w:p>
    <w:p>
      <w:pPr>
        <w:pStyle w:val="6"/>
        <w:spacing w:before="100" w:after="100" w:line="600" w:lineRule="atLeast"/>
        <w:ind w:left="0" w:right="0" w:firstLine="640" w:firstLineChars="0"/>
        <w:rPr>
          <w:rFonts w:ascii="Times New Roman" w:hAnsi="Times New Roman" w:eastAsia="Times New Roman" w:cs="Times New Roman"/>
          <w:b/>
          <w:bCs/>
          <w:kern w:val="0"/>
          <w:sz w:val="28"/>
          <w:szCs w:val="28"/>
        </w:rPr>
      </w:pPr>
      <w:bookmarkStart w:id="73" w:name="_Toc256000049"/>
      <w:bookmarkStart w:id="74" w:name="_Toc256000080"/>
      <w:bookmarkStart w:id="75" w:name="_Toc256000111"/>
      <w:bookmarkStart w:id="76" w:name="_Toc256000018"/>
      <w:r>
        <w:rPr>
          <w:rFonts w:ascii="黑体" w:hAnsi="黑体" w:eastAsia="黑体" w:cs="黑体"/>
          <w:b/>
          <w:spacing w:val="0"/>
        </w:rPr>
        <w:t>一、收入支出决算总体情况说明</w:t>
      </w:r>
      <w:bookmarkEnd w:id="73"/>
      <w:bookmarkEnd w:id="74"/>
      <w:bookmarkEnd w:id="75"/>
      <w:bookmarkEnd w:id="76"/>
    </w:p>
    <w:p>
      <w:pPr>
        <w:pStyle w:val="25"/>
        <w:widowControl/>
        <w:spacing w:before="100" w:after="100" w:line="600" w:lineRule="atLeast"/>
        <w:ind w:left="0" w:right="0" w:firstLine="640"/>
        <w:jc w:val="both"/>
        <w:rPr>
          <w:rFonts w:ascii="Times New Roman" w:hAnsi="Times New Roman" w:eastAsia="Times New Roman" w:cs="Times New Roman"/>
          <w:kern w:val="0"/>
          <w:sz w:val="24"/>
        </w:rPr>
      </w:pPr>
      <w:r>
        <w:rPr>
          <w:spacing w:val="0"/>
          <w:kern w:val="0"/>
          <w:sz w:val="32"/>
          <w:szCs w:val="32"/>
        </w:rPr>
        <w:t>（一）收入支出决算总体情况说明</w:t>
      </w:r>
    </w:p>
    <w:p>
      <w:pPr>
        <w:pStyle w:val="25"/>
        <w:widowControl/>
        <w:spacing w:before="100" w:after="100" w:line="600" w:lineRule="atLeast"/>
        <w:ind w:left="0"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2024年度本单位收入总计2737.54万元，支出总计2737.54万元，与上年决算数相比，各</w:t>
      </w:r>
      <w:r>
        <w:rPr>
          <w:rFonts w:hint="eastAsia" w:ascii="仿宋" w:hAnsi="仿宋" w:eastAsia="仿宋" w:cs="仿宋"/>
          <w:spacing w:val="0"/>
          <w:kern w:val="0"/>
          <w:sz w:val="32"/>
          <w:szCs w:val="32"/>
          <w:lang w:val="en-US" w:eastAsia="zh-CN"/>
        </w:rPr>
        <w:t>减少</w:t>
      </w:r>
      <w:r>
        <w:rPr>
          <w:rFonts w:ascii="仿宋" w:hAnsi="仿宋" w:eastAsia="仿宋" w:cs="仿宋"/>
          <w:spacing w:val="0"/>
          <w:kern w:val="0"/>
          <w:sz w:val="32"/>
          <w:szCs w:val="32"/>
        </w:rPr>
        <w:t>58.19万元，各</w:t>
      </w:r>
      <w:r>
        <w:rPr>
          <w:rFonts w:hint="eastAsia" w:ascii="仿宋" w:hAnsi="仿宋" w:eastAsia="仿宋" w:cs="仿宋"/>
          <w:spacing w:val="0"/>
          <w:kern w:val="0"/>
          <w:sz w:val="32"/>
          <w:szCs w:val="32"/>
          <w:lang w:val="en-US" w:eastAsia="zh-CN"/>
        </w:rPr>
        <w:t>下降</w:t>
      </w:r>
      <w:r>
        <w:rPr>
          <w:rFonts w:ascii="仿宋" w:hAnsi="仿宋" w:eastAsia="仿宋" w:cs="仿宋"/>
          <w:spacing w:val="0"/>
          <w:kern w:val="0"/>
          <w:sz w:val="32"/>
          <w:szCs w:val="32"/>
        </w:rPr>
        <w:t>2.08%。主要是</w:t>
      </w:r>
      <w:r>
        <w:rPr>
          <w:rFonts w:ascii="仿宋" w:hAnsi="仿宋" w:eastAsia="仿宋" w:cs="仿宋"/>
          <w:spacing w:val="3"/>
          <w:sz w:val="32"/>
          <w:szCs w:val="32"/>
        </w:rPr>
        <w:t>校园建设投入</w:t>
      </w:r>
      <w:r>
        <w:rPr>
          <w:rFonts w:hint="eastAsia" w:ascii="仿宋" w:hAnsi="仿宋" w:eastAsia="仿宋" w:cs="仿宋"/>
          <w:spacing w:val="3"/>
          <w:sz w:val="32"/>
          <w:szCs w:val="32"/>
          <w:lang w:val="en-US" w:eastAsia="zh-CN"/>
        </w:rPr>
        <w:t>减少。</w:t>
      </w:r>
    </w:p>
    <w:p>
      <w:pPr>
        <w:pStyle w:val="25"/>
        <w:widowControl/>
        <w:spacing w:before="100" w:after="100" w:line="600" w:lineRule="atLeast"/>
        <w:ind w:left="0" w:right="0" w:firstLine="640"/>
        <w:jc w:val="both"/>
        <w:rPr>
          <w:rFonts w:ascii="Times New Roman" w:hAnsi="Times New Roman" w:eastAsia="Times New Roman" w:cs="Times New Roman"/>
          <w:kern w:val="0"/>
          <w:sz w:val="24"/>
        </w:rPr>
      </w:pPr>
      <w:r>
        <w:rPr>
          <w:spacing w:val="0"/>
          <w:kern w:val="0"/>
          <w:sz w:val="32"/>
          <w:szCs w:val="32"/>
        </w:rPr>
        <w:t>（二）收入决算情况说明</w:t>
      </w:r>
    </w:p>
    <w:p>
      <w:pPr>
        <w:pStyle w:val="25"/>
        <w:widowControl/>
        <w:spacing w:before="100" w:after="100" w:line="600" w:lineRule="atLeast"/>
        <w:ind w:left="0"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2024年度收入2737.54万元，比上年决算数</w:t>
      </w:r>
      <w:r>
        <w:rPr>
          <w:rFonts w:hint="eastAsia" w:ascii="仿宋" w:hAnsi="仿宋" w:eastAsia="仿宋" w:cs="仿宋"/>
          <w:spacing w:val="0"/>
          <w:kern w:val="0"/>
          <w:sz w:val="32"/>
          <w:szCs w:val="32"/>
          <w:lang w:val="en-US" w:eastAsia="zh-CN"/>
        </w:rPr>
        <w:t>减少</w:t>
      </w:r>
      <w:r>
        <w:rPr>
          <w:rFonts w:ascii="仿宋" w:hAnsi="仿宋" w:eastAsia="仿宋" w:cs="仿宋"/>
          <w:spacing w:val="0"/>
          <w:kern w:val="0"/>
          <w:sz w:val="32"/>
          <w:szCs w:val="32"/>
        </w:rPr>
        <w:t>58.19万元，</w:t>
      </w:r>
      <w:r>
        <w:rPr>
          <w:rFonts w:hint="eastAsia" w:ascii="仿宋" w:hAnsi="仿宋" w:eastAsia="仿宋" w:cs="仿宋"/>
          <w:spacing w:val="0"/>
          <w:kern w:val="0"/>
          <w:sz w:val="32"/>
          <w:szCs w:val="32"/>
          <w:lang w:val="en-US" w:eastAsia="zh-CN"/>
        </w:rPr>
        <w:t>下降</w:t>
      </w:r>
      <w:r>
        <w:rPr>
          <w:rFonts w:ascii="仿宋" w:hAnsi="仿宋" w:eastAsia="仿宋" w:cs="仿宋"/>
          <w:spacing w:val="0"/>
          <w:kern w:val="0"/>
          <w:sz w:val="32"/>
          <w:szCs w:val="32"/>
        </w:rPr>
        <w:t>2.08%，具体情况如下：</w:t>
      </w:r>
    </w:p>
    <w:p>
      <w:pPr>
        <w:pStyle w:val="25"/>
        <w:widowControl/>
        <w:spacing w:before="100" w:after="100" w:line="600" w:lineRule="atLeast"/>
        <w:ind w:left="160" w:right="0" w:firstLine="480"/>
        <w:jc w:val="both"/>
        <w:rPr>
          <w:rFonts w:ascii="Times New Roman" w:hAnsi="Times New Roman" w:eastAsia="Times New Roman" w:cs="Times New Roman"/>
          <w:kern w:val="0"/>
          <w:sz w:val="24"/>
        </w:rPr>
      </w:pPr>
      <w:r>
        <w:rPr>
          <w:rFonts w:ascii="仿宋" w:hAnsi="仿宋" w:eastAsia="仿宋" w:cs="仿宋"/>
          <w:spacing w:val="0"/>
          <w:kern w:val="0"/>
          <w:sz w:val="32"/>
          <w:szCs w:val="32"/>
        </w:rPr>
        <w:t>1.一般公共预算财政拨款收入2732.57万元。</w:t>
      </w:r>
    </w:p>
    <w:p>
      <w:pPr>
        <w:pStyle w:val="25"/>
        <w:widowControl/>
        <w:spacing w:before="100" w:after="100" w:line="600" w:lineRule="atLeast"/>
        <w:ind w:left="160" w:right="0" w:firstLine="480"/>
        <w:jc w:val="both"/>
        <w:rPr>
          <w:rFonts w:ascii="Times New Roman" w:hAnsi="Times New Roman" w:eastAsia="Times New Roman" w:cs="Times New Roman"/>
          <w:kern w:val="0"/>
          <w:sz w:val="24"/>
        </w:rPr>
      </w:pPr>
      <w:r>
        <w:rPr>
          <w:rFonts w:ascii="仿宋" w:hAnsi="仿宋" w:eastAsia="仿宋" w:cs="仿宋"/>
          <w:spacing w:val="0"/>
          <w:kern w:val="0"/>
          <w:sz w:val="32"/>
          <w:szCs w:val="32"/>
        </w:rPr>
        <w:t>2.政府性基金预算财政拨款收入4.97万元。</w:t>
      </w:r>
    </w:p>
    <w:p>
      <w:pPr>
        <w:pStyle w:val="25"/>
        <w:widowControl/>
        <w:spacing w:before="100" w:after="100" w:line="600" w:lineRule="atLeast"/>
        <w:ind w:left="160" w:right="0" w:firstLine="480"/>
        <w:jc w:val="both"/>
        <w:rPr>
          <w:rFonts w:ascii="Times New Roman" w:hAnsi="Times New Roman" w:eastAsia="Times New Roman" w:cs="Times New Roman"/>
          <w:kern w:val="0"/>
          <w:sz w:val="24"/>
        </w:rPr>
      </w:pPr>
      <w:r>
        <w:rPr>
          <w:rFonts w:ascii="仿宋" w:hAnsi="仿宋" w:eastAsia="仿宋" w:cs="仿宋"/>
          <w:spacing w:val="0"/>
          <w:kern w:val="0"/>
          <w:sz w:val="32"/>
          <w:szCs w:val="32"/>
        </w:rPr>
        <w:t>3.国有资本经营预算财政拨款收入0万元。</w:t>
      </w:r>
    </w:p>
    <w:p>
      <w:pPr>
        <w:pStyle w:val="25"/>
        <w:widowControl/>
        <w:spacing w:before="100" w:after="100" w:line="600" w:lineRule="atLeast"/>
        <w:ind w:left="0"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4.上级补助收入0万元。</w:t>
      </w:r>
    </w:p>
    <w:p>
      <w:pPr>
        <w:pStyle w:val="25"/>
        <w:widowControl/>
        <w:spacing w:before="100" w:after="100" w:line="600" w:lineRule="atLeast"/>
        <w:ind w:left="0"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5.事业收入0万元。</w:t>
      </w:r>
    </w:p>
    <w:p>
      <w:pPr>
        <w:pStyle w:val="25"/>
        <w:widowControl/>
        <w:spacing w:before="100" w:after="100" w:line="600" w:lineRule="atLeast"/>
        <w:ind w:left="0"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6.经营收入0万元。</w:t>
      </w:r>
    </w:p>
    <w:p>
      <w:pPr>
        <w:pStyle w:val="25"/>
        <w:widowControl/>
        <w:spacing w:before="100" w:after="100" w:line="600" w:lineRule="atLeast"/>
        <w:ind w:left="0"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7.附属单位上缴收入0万元。</w:t>
      </w:r>
    </w:p>
    <w:p>
      <w:pPr>
        <w:pStyle w:val="25"/>
        <w:widowControl/>
        <w:spacing w:before="100" w:after="100" w:line="600" w:lineRule="atLeast"/>
        <w:ind w:left="0"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8.其他收入0万元。</w:t>
      </w:r>
    </w:p>
    <w:p>
      <w:pPr>
        <w:pStyle w:val="25"/>
        <w:widowControl/>
        <w:spacing w:before="100" w:after="100" w:line="600" w:lineRule="atLeast"/>
        <w:ind w:left="0" w:right="0" w:firstLine="640"/>
        <w:jc w:val="both"/>
        <w:rPr>
          <w:rFonts w:ascii="Times New Roman" w:hAnsi="Times New Roman" w:eastAsia="Times New Roman" w:cs="Times New Roman"/>
          <w:kern w:val="0"/>
          <w:sz w:val="24"/>
        </w:rPr>
      </w:pPr>
      <w:r>
        <w:rPr>
          <w:spacing w:val="0"/>
          <w:kern w:val="0"/>
          <w:sz w:val="32"/>
          <w:szCs w:val="32"/>
        </w:rPr>
        <w:t>（三）支出决算情况说明</w:t>
      </w:r>
    </w:p>
    <w:p>
      <w:pPr>
        <w:pStyle w:val="25"/>
        <w:widowControl/>
        <w:spacing w:before="100" w:after="100" w:line="600" w:lineRule="atLeast"/>
        <w:ind w:left="0"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2024年度支出2737.54万元，比上年决算数</w:t>
      </w:r>
      <w:r>
        <w:rPr>
          <w:rFonts w:hint="eastAsia" w:ascii="仿宋" w:hAnsi="仿宋" w:eastAsia="仿宋" w:cs="仿宋"/>
          <w:spacing w:val="0"/>
          <w:kern w:val="0"/>
          <w:sz w:val="32"/>
          <w:szCs w:val="32"/>
          <w:lang w:val="en-US" w:eastAsia="zh-CN"/>
        </w:rPr>
        <w:t>减少</w:t>
      </w:r>
      <w:r>
        <w:rPr>
          <w:rFonts w:ascii="仿宋" w:hAnsi="仿宋" w:eastAsia="仿宋" w:cs="仿宋"/>
          <w:spacing w:val="0"/>
          <w:kern w:val="0"/>
          <w:sz w:val="32"/>
          <w:szCs w:val="32"/>
        </w:rPr>
        <w:t>58.19万元，</w:t>
      </w:r>
      <w:r>
        <w:rPr>
          <w:rFonts w:hint="eastAsia" w:ascii="仿宋" w:hAnsi="仿宋" w:eastAsia="仿宋" w:cs="仿宋"/>
          <w:spacing w:val="0"/>
          <w:kern w:val="0"/>
          <w:sz w:val="32"/>
          <w:szCs w:val="32"/>
          <w:lang w:val="en-US" w:eastAsia="zh-CN"/>
        </w:rPr>
        <w:t>下降</w:t>
      </w:r>
      <w:r>
        <w:rPr>
          <w:rFonts w:ascii="仿宋" w:hAnsi="仿宋" w:eastAsia="仿宋" w:cs="仿宋"/>
          <w:spacing w:val="0"/>
          <w:kern w:val="0"/>
          <w:sz w:val="32"/>
          <w:szCs w:val="32"/>
        </w:rPr>
        <w:t>2.08%，具体情况如下：</w:t>
      </w:r>
    </w:p>
    <w:p>
      <w:pPr>
        <w:pStyle w:val="25"/>
        <w:widowControl/>
        <w:spacing w:before="100" w:after="100" w:line="600" w:lineRule="atLeast"/>
        <w:ind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1.基本支出2556.1</w:t>
      </w:r>
      <w:r>
        <w:rPr>
          <w:rFonts w:hint="eastAsia" w:ascii="仿宋" w:hAnsi="仿宋" w:eastAsia="仿宋" w:cs="仿宋"/>
          <w:spacing w:val="0"/>
          <w:kern w:val="0"/>
          <w:sz w:val="32"/>
          <w:szCs w:val="32"/>
          <w:lang w:val="en-US" w:eastAsia="zh-CN"/>
        </w:rPr>
        <w:t>2</w:t>
      </w:r>
      <w:r>
        <w:rPr>
          <w:rFonts w:ascii="仿宋" w:hAnsi="仿宋" w:eastAsia="仿宋" w:cs="仿宋"/>
          <w:spacing w:val="0"/>
          <w:kern w:val="0"/>
          <w:sz w:val="32"/>
          <w:szCs w:val="32"/>
        </w:rPr>
        <w:t>万元。其中，人员支出2316.53万元，公用支出239.59万元。</w:t>
      </w:r>
    </w:p>
    <w:p>
      <w:pPr>
        <w:pStyle w:val="25"/>
        <w:widowControl/>
        <w:spacing w:before="240" w:after="240"/>
        <w:ind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2.项目支出181.43万元。</w:t>
      </w:r>
    </w:p>
    <w:p>
      <w:pPr>
        <w:pStyle w:val="25"/>
        <w:widowControl/>
        <w:spacing w:before="100" w:after="100" w:line="600" w:lineRule="atLeast"/>
        <w:ind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3.上缴上级支出0万元。</w:t>
      </w:r>
    </w:p>
    <w:p>
      <w:pPr>
        <w:pStyle w:val="25"/>
        <w:widowControl/>
        <w:spacing w:before="100" w:after="100" w:line="600" w:lineRule="atLeast"/>
        <w:ind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4.经营支出0万元。</w:t>
      </w:r>
    </w:p>
    <w:p>
      <w:pPr>
        <w:pStyle w:val="25"/>
        <w:widowControl/>
        <w:spacing w:before="100" w:after="100" w:line="600" w:lineRule="atLeast"/>
        <w:ind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5.对附属单位补助支出0万元。</w:t>
      </w:r>
    </w:p>
    <w:p>
      <w:pPr>
        <w:pStyle w:val="6"/>
        <w:spacing w:before="100" w:after="100" w:line="240" w:lineRule="auto"/>
        <w:ind w:right="0"/>
        <w:jc w:val="both"/>
        <w:rPr>
          <w:rFonts w:ascii="Times New Roman" w:hAnsi="Times New Roman" w:eastAsia="Times New Roman" w:cs="Times New Roman"/>
          <w:b/>
          <w:bCs/>
          <w:kern w:val="0"/>
          <w:sz w:val="28"/>
          <w:szCs w:val="28"/>
        </w:rPr>
      </w:pPr>
      <w:bookmarkStart w:id="77" w:name="_Toc256000081"/>
      <w:bookmarkStart w:id="78" w:name="_Toc256000050"/>
      <w:bookmarkStart w:id="79" w:name="_Toc256000112"/>
      <w:bookmarkStart w:id="80" w:name="_Toc256000019"/>
      <w:r>
        <w:rPr>
          <w:rFonts w:ascii="黑体" w:hAnsi="黑体" w:eastAsia="黑体" w:cs="黑体"/>
          <w:b/>
          <w:spacing w:val="0"/>
        </w:rPr>
        <w:t>二、财政拨款收入支出决算总体情况说明</w:t>
      </w:r>
      <w:bookmarkEnd w:id="77"/>
      <w:bookmarkEnd w:id="78"/>
      <w:bookmarkEnd w:id="79"/>
      <w:bookmarkEnd w:id="80"/>
    </w:p>
    <w:p>
      <w:pPr>
        <w:pStyle w:val="25"/>
        <w:widowControl/>
        <w:spacing w:before="100" w:after="100" w:line="600" w:lineRule="atLeast"/>
        <w:ind w:left="0"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2024年度财政拨款收入总计2737.54万元，支出总计2737.54万元，与上年决算数相比，各</w:t>
      </w:r>
      <w:r>
        <w:rPr>
          <w:rFonts w:hint="eastAsia" w:ascii="仿宋" w:hAnsi="仿宋" w:eastAsia="仿宋" w:cs="仿宋"/>
          <w:spacing w:val="0"/>
          <w:kern w:val="0"/>
          <w:sz w:val="32"/>
          <w:szCs w:val="32"/>
          <w:lang w:val="en-US" w:eastAsia="zh-CN"/>
        </w:rPr>
        <w:t>减少</w:t>
      </w:r>
      <w:r>
        <w:rPr>
          <w:rFonts w:ascii="仿宋" w:hAnsi="仿宋" w:eastAsia="仿宋" w:cs="仿宋"/>
          <w:spacing w:val="0"/>
          <w:kern w:val="0"/>
          <w:sz w:val="32"/>
          <w:szCs w:val="32"/>
        </w:rPr>
        <w:t>58.19万元，</w:t>
      </w:r>
      <w:r>
        <w:rPr>
          <w:rFonts w:hint="eastAsia" w:ascii="仿宋" w:hAnsi="仿宋" w:eastAsia="仿宋" w:cs="仿宋"/>
          <w:spacing w:val="0"/>
          <w:kern w:val="0"/>
          <w:sz w:val="32"/>
          <w:szCs w:val="32"/>
          <w:lang w:val="en-US" w:eastAsia="zh-CN"/>
        </w:rPr>
        <w:t>下降</w:t>
      </w:r>
      <w:r>
        <w:rPr>
          <w:rFonts w:ascii="仿宋" w:hAnsi="仿宋" w:eastAsia="仿宋" w:cs="仿宋"/>
          <w:spacing w:val="0"/>
          <w:kern w:val="0"/>
          <w:sz w:val="32"/>
          <w:szCs w:val="32"/>
        </w:rPr>
        <w:t>2.08%，主要是：</w:t>
      </w:r>
      <w:r>
        <w:rPr>
          <w:rFonts w:ascii="仿宋" w:hAnsi="仿宋" w:eastAsia="仿宋" w:cs="仿宋"/>
          <w:spacing w:val="3"/>
          <w:sz w:val="32"/>
          <w:szCs w:val="32"/>
        </w:rPr>
        <w:t>校园建设投入</w:t>
      </w:r>
      <w:r>
        <w:rPr>
          <w:rFonts w:hint="eastAsia" w:ascii="仿宋" w:hAnsi="仿宋" w:eastAsia="仿宋" w:cs="仿宋"/>
          <w:spacing w:val="3"/>
          <w:sz w:val="32"/>
          <w:szCs w:val="32"/>
          <w:lang w:val="en-US" w:eastAsia="zh-CN"/>
        </w:rPr>
        <w:t>减少。</w:t>
      </w:r>
    </w:p>
    <w:p>
      <w:pPr>
        <w:pStyle w:val="6"/>
        <w:spacing w:before="100" w:after="100" w:line="600" w:lineRule="atLeast"/>
        <w:ind w:left="0" w:right="0" w:firstLine="640" w:firstLineChars="0"/>
        <w:jc w:val="both"/>
        <w:rPr>
          <w:rFonts w:ascii="Times New Roman" w:hAnsi="Times New Roman" w:eastAsia="Times New Roman" w:cs="Times New Roman"/>
          <w:b/>
          <w:bCs/>
          <w:kern w:val="0"/>
          <w:sz w:val="28"/>
          <w:szCs w:val="28"/>
        </w:rPr>
      </w:pPr>
      <w:bookmarkStart w:id="81" w:name="_Toc256000020"/>
      <w:bookmarkStart w:id="82" w:name="_Toc256000051"/>
      <w:bookmarkStart w:id="83" w:name="_Toc256000082"/>
      <w:bookmarkStart w:id="84" w:name="_Toc256000113"/>
      <w:r>
        <w:rPr>
          <w:rFonts w:ascii="黑体" w:hAnsi="黑体" w:eastAsia="黑体" w:cs="黑体"/>
          <w:b/>
          <w:spacing w:val="0"/>
        </w:rPr>
        <w:t>三、一般公共预算拨款支出决算情况说明</w:t>
      </w:r>
      <w:bookmarkEnd w:id="81"/>
      <w:bookmarkEnd w:id="82"/>
      <w:bookmarkEnd w:id="83"/>
      <w:bookmarkEnd w:id="84"/>
    </w:p>
    <w:p>
      <w:pPr>
        <w:pStyle w:val="25"/>
        <w:widowControl/>
        <w:spacing w:before="100" w:after="100" w:line="600" w:lineRule="atLeast"/>
        <w:ind w:left="0"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2024年一般公共预算支出2732.57万元，比上年决算数</w:t>
      </w:r>
      <w:r>
        <w:rPr>
          <w:rFonts w:hint="eastAsia" w:ascii="仿宋" w:hAnsi="仿宋" w:eastAsia="仿宋" w:cs="仿宋"/>
          <w:spacing w:val="0"/>
          <w:kern w:val="0"/>
          <w:sz w:val="32"/>
          <w:szCs w:val="32"/>
          <w:lang w:val="en-US" w:eastAsia="zh-CN"/>
        </w:rPr>
        <w:t>减少</w:t>
      </w:r>
      <w:r>
        <w:rPr>
          <w:rFonts w:ascii="仿宋" w:hAnsi="仿宋" w:eastAsia="仿宋" w:cs="仿宋"/>
          <w:spacing w:val="0"/>
          <w:kern w:val="0"/>
          <w:sz w:val="32"/>
          <w:szCs w:val="32"/>
        </w:rPr>
        <w:t>48.93万元，</w:t>
      </w:r>
      <w:r>
        <w:rPr>
          <w:rFonts w:hint="eastAsia" w:ascii="仿宋" w:hAnsi="仿宋" w:eastAsia="仿宋" w:cs="仿宋"/>
          <w:spacing w:val="0"/>
          <w:kern w:val="0"/>
          <w:sz w:val="32"/>
          <w:szCs w:val="32"/>
          <w:lang w:val="en-US" w:eastAsia="zh-CN"/>
        </w:rPr>
        <w:t>下降</w:t>
      </w:r>
      <w:r>
        <w:rPr>
          <w:rFonts w:ascii="仿宋" w:hAnsi="仿宋" w:eastAsia="仿宋" w:cs="仿宋"/>
          <w:spacing w:val="0"/>
          <w:kern w:val="0"/>
          <w:sz w:val="32"/>
          <w:szCs w:val="32"/>
        </w:rPr>
        <w:t>1.76%，具体情况如下(按</w:t>
      </w:r>
      <w:r>
        <w:rPr>
          <w:rStyle w:val="31"/>
          <w:rFonts w:ascii="仿宋" w:hAnsi="仿宋" w:eastAsia="仿宋" w:cs="仿宋"/>
          <w:spacing w:val="0"/>
          <w:kern w:val="0"/>
          <w:sz w:val="32"/>
          <w:szCs w:val="32"/>
        </w:rPr>
        <w:t>项级科目</w:t>
      </w:r>
      <w:r>
        <w:rPr>
          <w:rFonts w:ascii="仿宋" w:hAnsi="仿宋" w:eastAsia="仿宋" w:cs="仿宋"/>
          <w:spacing w:val="0"/>
          <w:kern w:val="0"/>
          <w:sz w:val="32"/>
          <w:szCs w:val="32"/>
        </w:rPr>
        <w:t>分类统计)：</w:t>
      </w:r>
    </w:p>
    <w:p>
      <w:pPr>
        <w:pStyle w:val="25"/>
        <w:widowControl/>
        <w:spacing w:before="100" w:after="100" w:line="600" w:lineRule="atLeast"/>
        <w:ind w:left="0" w:right="0" w:firstLine="640" w:firstLineChars="200"/>
        <w:jc w:val="both"/>
        <w:rPr>
          <w:rFonts w:hint="eastAsia" w:ascii="仿宋" w:hAnsi="仿宋" w:eastAsia="仿宋" w:cs="仿宋"/>
          <w:spacing w:val="3"/>
          <w:sz w:val="32"/>
          <w:szCs w:val="32"/>
          <w:lang w:val="en-US" w:eastAsia="zh-CN"/>
        </w:rPr>
      </w:pPr>
      <w:r>
        <w:rPr>
          <w:rFonts w:ascii="仿宋" w:hAnsi="仿宋" w:eastAsia="仿宋" w:cs="仿宋"/>
          <w:spacing w:val="0"/>
          <w:kern w:val="0"/>
          <w:sz w:val="32"/>
          <w:szCs w:val="32"/>
        </w:rPr>
        <w:t>（一）2050202 小学教育1,989.40万元，较上年决算数减少20.20万元，下降1.01%。主要原因是</w:t>
      </w:r>
      <w:r>
        <w:rPr>
          <w:rFonts w:ascii="仿宋" w:hAnsi="仿宋" w:eastAsia="仿宋" w:cs="仿宋"/>
          <w:spacing w:val="3"/>
          <w:sz w:val="32"/>
          <w:szCs w:val="32"/>
        </w:rPr>
        <w:t>校园建设投入</w:t>
      </w:r>
      <w:r>
        <w:rPr>
          <w:rFonts w:hint="eastAsia" w:ascii="仿宋" w:hAnsi="仿宋" w:eastAsia="仿宋" w:cs="仿宋"/>
          <w:spacing w:val="3"/>
          <w:sz w:val="32"/>
          <w:szCs w:val="32"/>
          <w:lang w:val="en-US" w:eastAsia="zh-CN"/>
        </w:rPr>
        <w:t>减少。</w:t>
      </w:r>
    </w:p>
    <w:p>
      <w:pPr>
        <w:pStyle w:val="25"/>
        <w:widowControl/>
        <w:spacing w:before="100" w:after="100" w:line="600" w:lineRule="atLeast"/>
        <w:ind w:left="0" w:right="0" w:firstLine="640" w:firstLineChars="200"/>
        <w:jc w:val="both"/>
        <w:rPr>
          <w:rFonts w:hint="eastAsia" w:ascii="仿宋" w:hAnsi="仿宋" w:eastAsia="仿宋" w:cs="仿宋"/>
          <w:spacing w:val="3"/>
          <w:sz w:val="32"/>
          <w:szCs w:val="32"/>
          <w:lang w:val="en-US" w:eastAsia="zh-CN"/>
        </w:rPr>
      </w:pPr>
      <w:r>
        <w:rPr>
          <w:rFonts w:ascii="仿宋" w:hAnsi="仿宋" w:eastAsia="仿宋" w:cs="仿宋"/>
          <w:spacing w:val="0"/>
          <w:kern w:val="0"/>
          <w:sz w:val="32"/>
          <w:szCs w:val="32"/>
        </w:rPr>
        <w:t>（二）2050299 其他普通教育支出154.40万元，较上年决算数增加11.48万元，增长8.03%。主要原因是</w:t>
      </w:r>
      <w:r>
        <w:rPr>
          <w:rFonts w:hint="eastAsia" w:ascii="仿宋" w:hAnsi="仿宋" w:eastAsia="仿宋" w:cs="仿宋"/>
          <w:spacing w:val="0"/>
          <w:kern w:val="0"/>
          <w:sz w:val="32"/>
          <w:szCs w:val="32"/>
          <w:lang w:val="en-US" w:eastAsia="zh-CN"/>
        </w:rPr>
        <w:t>采购图书室和多媒</w:t>
      </w:r>
    </w:p>
    <w:p>
      <w:pPr>
        <w:pStyle w:val="25"/>
        <w:widowControl/>
        <w:spacing w:before="100" w:after="100" w:line="600" w:lineRule="atLeast"/>
        <w:ind w:right="0"/>
        <w:jc w:val="both"/>
        <w:rPr>
          <w:rFonts w:hint="eastAsia" w:ascii="仿宋" w:hAnsi="仿宋" w:eastAsia="仿宋" w:cs="仿宋"/>
          <w:spacing w:val="3"/>
          <w:sz w:val="32"/>
          <w:szCs w:val="32"/>
          <w:lang w:val="en-US" w:eastAsia="zh-CN"/>
        </w:rPr>
      </w:pPr>
      <w:r>
        <w:rPr>
          <w:rFonts w:hint="eastAsia" w:ascii="仿宋" w:hAnsi="仿宋" w:eastAsia="仿宋" w:cs="仿宋"/>
          <w:spacing w:val="3"/>
          <w:sz w:val="32"/>
          <w:szCs w:val="32"/>
          <w:lang w:val="en-US" w:eastAsia="zh-CN"/>
        </w:rPr>
        <w:t>体教室的吸顶空调设备等支出增加。</w:t>
      </w:r>
    </w:p>
    <w:p>
      <w:pPr>
        <w:pStyle w:val="25"/>
        <w:widowControl/>
        <w:spacing w:before="100" w:after="100" w:line="600" w:lineRule="atLeast"/>
        <w:ind w:right="0" w:firstLine="652" w:firstLineChars="200"/>
        <w:jc w:val="both"/>
        <w:rPr>
          <w:rFonts w:hint="eastAsia" w:ascii="仿宋" w:hAnsi="仿宋" w:eastAsia="仿宋" w:cs="仿宋"/>
          <w:spacing w:val="0"/>
          <w:kern w:val="0"/>
          <w:sz w:val="32"/>
          <w:szCs w:val="32"/>
          <w:lang w:val="en-US" w:eastAsia="zh-CN"/>
        </w:rPr>
      </w:pPr>
      <w:r>
        <w:rPr>
          <w:rFonts w:hint="eastAsia" w:ascii="仿宋" w:hAnsi="仿宋" w:eastAsia="仿宋" w:cs="仿宋"/>
          <w:spacing w:val="3"/>
          <w:sz w:val="32"/>
          <w:szCs w:val="32"/>
          <w:lang w:val="en-US" w:eastAsia="zh-CN"/>
        </w:rPr>
        <w:t>（三）2050999 其他教育费附加安排的支出74.28万元，较上年决算数减少43.19万元，下降36.77%。主要原因是教育附加拨</w:t>
      </w:r>
      <w:r>
        <w:rPr>
          <w:rFonts w:hint="eastAsia" w:ascii="仿宋" w:hAnsi="仿宋" w:eastAsia="仿宋" w:cs="仿宋"/>
          <w:spacing w:val="0"/>
          <w:kern w:val="0"/>
          <w:sz w:val="32"/>
          <w:szCs w:val="32"/>
          <w:lang w:val="en-US" w:eastAsia="zh-CN"/>
        </w:rPr>
        <w:t>款项目减少，因此</w:t>
      </w:r>
      <w:r>
        <w:rPr>
          <w:rFonts w:ascii="仿宋" w:hAnsi="仿宋" w:eastAsia="仿宋" w:cs="仿宋"/>
          <w:spacing w:val="3"/>
          <w:sz w:val="32"/>
          <w:szCs w:val="32"/>
        </w:rPr>
        <w:t>校园建设投入</w:t>
      </w:r>
      <w:r>
        <w:rPr>
          <w:rFonts w:hint="eastAsia" w:ascii="仿宋" w:hAnsi="仿宋" w:eastAsia="仿宋" w:cs="仿宋"/>
          <w:spacing w:val="3"/>
          <w:sz w:val="32"/>
          <w:szCs w:val="32"/>
          <w:lang w:val="en-US" w:eastAsia="zh-CN"/>
        </w:rPr>
        <w:t>减少</w:t>
      </w:r>
      <w:r>
        <w:rPr>
          <w:rFonts w:ascii="仿宋" w:hAnsi="仿宋" w:eastAsia="仿宋" w:cs="仿宋"/>
          <w:spacing w:val="-7"/>
          <w:sz w:val="32"/>
          <w:szCs w:val="32"/>
        </w:rPr>
        <w:t>。</w:t>
      </w:r>
      <w:r>
        <w:rPr>
          <w:rFonts w:ascii="仿宋" w:hAnsi="仿宋" w:eastAsia="仿宋" w:cs="仿宋"/>
          <w:spacing w:val="0"/>
          <w:kern w:val="0"/>
          <w:sz w:val="32"/>
          <w:szCs w:val="32"/>
        </w:rPr>
        <w:br w:type="textWrapping"/>
      </w:r>
      <w:r>
        <w:rPr>
          <w:rFonts w:hint="eastAsia" w:ascii="仿宋" w:hAnsi="仿宋" w:eastAsia="仿宋" w:cs="仿宋"/>
          <w:spacing w:val="0"/>
          <w:kern w:val="0"/>
          <w:sz w:val="32"/>
          <w:szCs w:val="32"/>
          <w:lang w:val="en-US" w:eastAsia="zh-CN"/>
        </w:rPr>
        <w:t xml:space="preserve">    </w:t>
      </w:r>
      <w:r>
        <w:rPr>
          <w:rFonts w:ascii="仿宋" w:hAnsi="仿宋" w:eastAsia="仿宋" w:cs="仿宋"/>
          <w:spacing w:val="0"/>
          <w:kern w:val="0"/>
          <w:sz w:val="32"/>
          <w:szCs w:val="32"/>
        </w:rPr>
        <w:t>（四）2059999 其他教育支出0.30万元，较上年决算数增加0.30万元，增长100%。主要原因是</w:t>
      </w:r>
      <w:r>
        <w:rPr>
          <w:rFonts w:hint="eastAsia" w:ascii="仿宋" w:hAnsi="仿宋" w:eastAsia="仿宋" w:cs="仿宋"/>
          <w:spacing w:val="0"/>
          <w:kern w:val="0"/>
          <w:sz w:val="32"/>
          <w:szCs w:val="32"/>
          <w:lang w:val="en-US" w:eastAsia="zh-CN"/>
        </w:rPr>
        <w:t>增加区级夏令营活动经费支出</w:t>
      </w:r>
      <w:r>
        <w:rPr>
          <w:rFonts w:ascii="仿宋" w:hAnsi="仿宋" w:eastAsia="仿宋" w:cs="仿宋"/>
          <w:spacing w:val="-7"/>
          <w:sz w:val="32"/>
          <w:szCs w:val="32"/>
        </w:rPr>
        <w:t>。</w:t>
      </w:r>
      <w:r>
        <w:rPr>
          <w:rFonts w:ascii="仿宋" w:hAnsi="仿宋" w:eastAsia="仿宋" w:cs="仿宋"/>
          <w:spacing w:val="0"/>
          <w:kern w:val="0"/>
          <w:sz w:val="32"/>
          <w:szCs w:val="32"/>
        </w:rPr>
        <w:br w:type="textWrapping"/>
      </w:r>
      <w:r>
        <w:rPr>
          <w:rFonts w:hint="eastAsia" w:ascii="仿宋" w:hAnsi="仿宋" w:eastAsia="仿宋" w:cs="仿宋"/>
          <w:spacing w:val="0"/>
          <w:kern w:val="0"/>
          <w:sz w:val="32"/>
          <w:szCs w:val="32"/>
          <w:lang w:val="en-US" w:eastAsia="zh-CN"/>
        </w:rPr>
        <w:t xml:space="preserve">    </w:t>
      </w:r>
      <w:r>
        <w:rPr>
          <w:rFonts w:ascii="仿宋" w:hAnsi="仿宋" w:eastAsia="仿宋" w:cs="仿宋"/>
          <w:spacing w:val="0"/>
          <w:kern w:val="0"/>
          <w:sz w:val="32"/>
          <w:szCs w:val="32"/>
        </w:rPr>
        <w:t>（五）2080502 事业单位离退休148.67万元，较上年决算数增加8.91万元，增长6.38%。主要原因是退休人员</w:t>
      </w:r>
      <w:r>
        <w:rPr>
          <w:rFonts w:hint="eastAsia" w:ascii="仿宋" w:hAnsi="仿宋" w:eastAsia="仿宋" w:cs="仿宋"/>
          <w:spacing w:val="0"/>
          <w:kern w:val="0"/>
          <w:sz w:val="32"/>
          <w:szCs w:val="32"/>
          <w:lang w:val="en-US" w:eastAsia="zh-CN"/>
        </w:rPr>
        <w:t>增加</w:t>
      </w:r>
      <w:r>
        <w:rPr>
          <w:rFonts w:ascii="仿宋" w:hAnsi="仿宋" w:eastAsia="仿宋" w:cs="仿宋"/>
          <w:spacing w:val="0"/>
          <w:kern w:val="0"/>
          <w:sz w:val="32"/>
          <w:szCs w:val="32"/>
        </w:rPr>
        <w:t>。</w:t>
      </w:r>
      <w:r>
        <w:rPr>
          <w:rFonts w:ascii="仿宋" w:hAnsi="仿宋" w:eastAsia="仿宋" w:cs="仿宋"/>
          <w:spacing w:val="0"/>
          <w:kern w:val="0"/>
          <w:sz w:val="32"/>
          <w:szCs w:val="32"/>
        </w:rPr>
        <w:br w:type="textWrapping"/>
      </w:r>
      <w:r>
        <w:rPr>
          <w:rFonts w:hint="eastAsia" w:ascii="仿宋" w:hAnsi="仿宋" w:eastAsia="仿宋" w:cs="仿宋"/>
          <w:spacing w:val="0"/>
          <w:kern w:val="0"/>
          <w:sz w:val="32"/>
          <w:szCs w:val="32"/>
          <w:lang w:val="en-US" w:eastAsia="zh-CN"/>
        </w:rPr>
        <w:t xml:space="preserve">    </w:t>
      </w:r>
      <w:r>
        <w:rPr>
          <w:rFonts w:ascii="仿宋" w:hAnsi="仿宋" w:eastAsia="仿宋" w:cs="仿宋"/>
          <w:spacing w:val="0"/>
          <w:kern w:val="0"/>
          <w:sz w:val="32"/>
          <w:szCs w:val="32"/>
        </w:rPr>
        <w:t>（六）2080505 机关事业单位基本养老保险缴费支出160.17万元，较上年决算数增加0.10万元，增长0.07%。主要原因是</w:t>
      </w:r>
      <w:r>
        <w:rPr>
          <w:rFonts w:hint="eastAsia" w:ascii="仿宋" w:hAnsi="仿宋" w:eastAsia="仿宋" w:cs="仿宋"/>
          <w:kern w:val="0"/>
          <w:sz w:val="32"/>
          <w:szCs w:val="32"/>
        </w:rPr>
        <w:t>缴费</w:t>
      </w:r>
      <w:r>
        <w:rPr>
          <w:rFonts w:hint="eastAsia" w:ascii="仿宋" w:hAnsi="仿宋" w:eastAsia="仿宋" w:cs="仿宋"/>
          <w:kern w:val="0"/>
          <w:sz w:val="32"/>
          <w:szCs w:val="32"/>
          <w:lang w:eastAsia="zh-CN"/>
        </w:rPr>
        <w:t>基数增加。</w:t>
      </w:r>
      <w:r>
        <w:rPr>
          <w:rFonts w:ascii="仿宋" w:hAnsi="仿宋" w:eastAsia="仿宋" w:cs="仿宋"/>
          <w:spacing w:val="0"/>
          <w:kern w:val="0"/>
          <w:sz w:val="32"/>
          <w:szCs w:val="32"/>
        </w:rPr>
        <w:br w:type="textWrapping"/>
      </w:r>
      <w:r>
        <w:rPr>
          <w:rFonts w:hint="eastAsia" w:ascii="仿宋" w:hAnsi="仿宋" w:eastAsia="仿宋" w:cs="仿宋"/>
          <w:spacing w:val="0"/>
          <w:kern w:val="0"/>
          <w:sz w:val="32"/>
          <w:szCs w:val="32"/>
          <w:lang w:val="en-US" w:eastAsia="zh-CN"/>
        </w:rPr>
        <w:t xml:space="preserve">    </w:t>
      </w:r>
      <w:r>
        <w:rPr>
          <w:rFonts w:ascii="仿宋" w:hAnsi="仿宋" w:eastAsia="仿宋" w:cs="仿宋"/>
          <w:spacing w:val="0"/>
          <w:kern w:val="0"/>
          <w:sz w:val="32"/>
          <w:szCs w:val="32"/>
        </w:rPr>
        <w:t>（七）2080506 机关事业单位职业年金缴费支出89.38万元，较上年决算数减少18.75万元，下降17.34%。主要原因是</w:t>
      </w:r>
      <w:r>
        <w:rPr>
          <w:rFonts w:hint="eastAsia" w:ascii="仿宋" w:hAnsi="仿宋" w:eastAsia="仿宋" w:cs="仿宋"/>
          <w:spacing w:val="0"/>
          <w:kern w:val="0"/>
          <w:sz w:val="32"/>
          <w:szCs w:val="32"/>
          <w:lang w:val="en-US" w:eastAsia="zh-CN"/>
        </w:rPr>
        <w:t>缴费人员减少。</w:t>
      </w:r>
    </w:p>
    <w:p>
      <w:pPr>
        <w:pStyle w:val="25"/>
        <w:widowControl/>
        <w:spacing w:before="100" w:after="100" w:line="600" w:lineRule="atLeast"/>
        <w:ind w:left="0" w:right="0" w:firstLine="640" w:firstLineChars="200"/>
        <w:jc w:val="both"/>
        <w:rPr>
          <w:rFonts w:hint="eastAsia" w:ascii="仿宋" w:hAnsi="仿宋" w:eastAsia="仿宋" w:cs="仿宋"/>
          <w:spacing w:val="5"/>
          <w:sz w:val="31"/>
          <w:szCs w:val="31"/>
          <w:lang w:eastAsia="zh-CN"/>
        </w:rPr>
      </w:pPr>
      <w:r>
        <w:rPr>
          <w:rFonts w:ascii="仿宋" w:hAnsi="仿宋" w:eastAsia="仿宋" w:cs="仿宋"/>
          <w:spacing w:val="0"/>
          <w:kern w:val="0"/>
          <w:sz w:val="32"/>
          <w:szCs w:val="32"/>
        </w:rPr>
        <w:t>（八）2101102 事业单位医疗68.57万元，较上年决算数增加0.05万元，增长0.07%。主要原因是</w:t>
      </w:r>
      <w:r>
        <w:rPr>
          <w:rFonts w:hint="eastAsia" w:ascii="仿宋" w:hAnsi="仿宋" w:eastAsia="仿宋" w:cs="仿宋"/>
          <w:kern w:val="0"/>
          <w:sz w:val="32"/>
          <w:szCs w:val="32"/>
        </w:rPr>
        <w:t>缴费</w:t>
      </w:r>
      <w:r>
        <w:rPr>
          <w:rFonts w:hint="eastAsia" w:ascii="仿宋" w:hAnsi="仿宋" w:eastAsia="仿宋" w:cs="仿宋"/>
          <w:kern w:val="0"/>
          <w:sz w:val="32"/>
          <w:szCs w:val="32"/>
          <w:lang w:eastAsia="zh-CN"/>
        </w:rPr>
        <w:t>基数增加</w:t>
      </w:r>
      <w:r>
        <w:rPr>
          <w:rFonts w:hint="eastAsia" w:ascii="仿宋" w:hAnsi="仿宋" w:eastAsia="仿宋" w:cs="仿宋"/>
          <w:spacing w:val="5"/>
          <w:sz w:val="31"/>
          <w:szCs w:val="31"/>
          <w:lang w:eastAsia="zh-CN"/>
        </w:rPr>
        <w:t>。</w:t>
      </w:r>
    </w:p>
    <w:p>
      <w:pPr>
        <w:pStyle w:val="25"/>
        <w:widowControl/>
        <w:spacing w:before="100" w:after="100" w:line="600" w:lineRule="atLeast"/>
        <w:ind w:left="0" w:right="0" w:firstLine="640" w:firstLineChars="200"/>
        <w:jc w:val="both"/>
        <w:rPr>
          <w:rFonts w:hint="eastAsia" w:ascii="Times New Roman" w:hAnsi="Times New Roman" w:eastAsia="仿宋" w:cs="Times New Roman"/>
          <w:kern w:val="0"/>
          <w:sz w:val="24"/>
          <w:lang w:eastAsia="zh-CN"/>
        </w:rPr>
      </w:pPr>
      <w:r>
        <w:rPr>
          <w:rFonts w:ascii="仿宋" w:hAnsi="仿宋" w:eastAsia="仿宋" w:cs="仿宋"/>
          <w:spacing w:val="0"/>
          <w:kern w:val="0"/>
          <w:sz w:val="32"/>
          <w:szCs w:val="32"/>
        </w:rPr>
        <w:t>（九）2101199 其他行政事业单位医疗支出35.04万元，较上年决算数增加0.02万元，增长0.07%。主要原因是</w:t>
      </w:r>
      <w:r>
        <w:rPr>
          <w:rFonts w:hint="eastAsia" w:ascii="仿宋" w:hAnsi="仿宋" w:eastAsia="仿宋" w:cs="仿宋"/>
          <w:kern w:val="0"/>
          <w:sz w:val="32"/>
          <w:szCs w:val="32"/>
        </w:rPr>
        <w:t>缴费</w:t>
      </w:r>
      <w:r>
        <w:rPr>
          <w:rFonts w:hint="eastAsia" w:ascii="仿宋" w:hAnsi="仿宋" w:eastAsia="仿宋" w:cs="仿宋"/>
          <w:kern w:val="0"/>
          <w:sz w:val="32"/>
          <w:szCs w:val="32"/>
          <w:lang w:eastAsia="zh-CN"/>
        </w:rPr>
        <w:t>基数增加</w:t>
      </w:r>
      <w:r>
        <w:rPr>
          <w:rFonts w:hint="eastAsia" w:ascii="仿宋" w:hAnsi="仿宋" w:eastAsia="仿宋" w:cs="仿宋"/>
          <w:spacing w:val="5"/>
          <w:sz w:val="31"/>
          <w:szCs w:val="31"/>
          <w:lang w:eastAsia="zh-CN"/>
        </w:rPr>
        <w:t>。</w:t>
      </w:r>
      <w:r>
        <w:rPr>
          <w:rFonts w:ascii="仿宋" w:hAnsi="仿宋" w:eastAsia="仿宋" w:cs="仿宋"/>
          <w:spacing w:val="0"/>
          <w:kern w:val="0"/>
          <w:sz w:val="32"/>
          <w:szCs w:val="32"/>
        </w:rPr>
        <w:br w:type="textWrapping"/>
      </w:r>
      <w:r>
        <w:rPr>
          <w:rFonts w:hint="eastAsia" w:ascii="仿宋" w:hAnsi="仿宋" w:eastAsia="仿宋" w:cs="仿宋"/>
          <w:spacing w:val="0"/>
          <w:kern w:val="0"/>
          <w:sz w:val="32"/>
          <w:szCs w:val="32"/>
          <w:lang w:val="en-US" w:eastAsia="zh-CN"/>
        </w:rPr>
        <w:t xml:space="preserve">    </w:t>
      </w:r>
      <w:r>
        <w:rPr>
          <w:rFonts w:ascii="仿宋" w:hAnsi="仿宋" w:eastAsia="仿宋" w:cs="仿宋"/>
          <w:spacing w:val="0"/>
          <w:kern w:val="0"/>
          <w:sz w:val="32"/>
          <w:szCs w:val="32"/>
        </w:rPr>
        <w:t>（十）2210203 购房补贴12.35万元，较上年决算数增加12.35万元，增长100%。主要原因是</w:t>
      </w:r>
      <w:r>
        <w:rPr>
          <w:rFonts w:hint="eastAsia" w:ascii="仿宋" w:hAnsi="仿宋" w:eastAsia="仿宋" w:cs="仿宋"/>
          <w:spacing w:val="0"/>
          <w:kern w:val="0"/>
          <w:sz w:val="32"/>
          <w:szCs w:val="32"/>
          <w:lang w:val="en-US" w:eastAsia="zh-CN"/>
        </w:rPr>
        <w:t>教师</w:t>
      </w:r>
      <w:r>
        <w:rPr>
          <w:rFonts w:hint="eastAsia" w:ascii="仿宋" w:hAnsi="仿宋" w:eastAsia="仿宋" w:cs="仿宋"/>
          <w:spacing w:val="0"/>
          <w:kern w:val="0"/>
          <w:sz w:val="32"/>
          <w:szCs w:val="32"/>
          <w:lang w:eastAsia="zh-CN"/>
        </w:rPr>
        <w:t>住房货币化</w:t>
      </w:r>
      <w:r>
        <w:rPr>
          <w:rFonts w:ascii="仿宋" w:hAnsi="仿宋" w:eastAsia="仿宋" w:cs="仿宋"/>
          <w:spacing w:val="0"/>
          <w:kern w:val="0"/>
          <w:sz w:val="32"/>
          <w:szCs w:val="32"/>
        </w:rPr>
        <w:t>补贴</w:t>
      </w:r>
      <w:r>
        <w:rPr>
          <w:rFonts w:hint="eastAsia" w:ascii="仿宋" w:hAnsi="仿宋" w:eastAsia="仿宋" w:cs="仿宋"/>
          <w:spacing w:val="0"/>
          <w:kern w:val="0"/>
          <w:sz w:val="32"/>
          <w:szCs w:val="32"/>
          <w:lang w:eastAsia="zh-CN"/>
        </w:rPr>
        <w:t>支出增加。</w:t>
      </w:r>
    </w:p>
    <w:p>
      <w:pPr>
        <w:pStyle w:val="6"/>
        <w:spacing w:before="100" w:after="100" w:line="600" w:lineRule="atLeast"/>
        <w:ind w:left="0" w:right="0" w:firstLine="640" w:firstLineChars="0"/>
        <w:jc w:val="both"/>
        <w:rPr>
          <w:rFonts w:ascii="Times New Roman" w:hAnsi="Times New Roman" w:eastAsia="Times New Roman" w:cs="Times New Roman"/>
          <w:b/>
          <w:bCs/>
          <w:kern w:val="0"/>
          <w:sz w:val="28"/>
          <w:szCs w:val="28"/>
        </w:rPr>
      </w:pPr>
      <w:bookmarkStart w:id="85" w:name="_Toc256000083"/>
      <w:bookmarkStart w:id="86" w:name="_Toc256000021"/>
      <w:bookmarkStart w:id="87" w:name="_Toc256000114"/>
      <w:bookmarkStart w:id="88" w:name="_Toc256000052"/>
      <w:r>
        <w:rPr>
          <w:rFonts w:ascii="黑体" w:hAnsi="黑体" w:eastAsia="黑体" w:cs="黑体"/>
          <w:b/>
          <w:spacing w:val="0"/>
        </w:rPr>
        <w:t>四、政府性基金预算财政拨款支出决算情况说明</w:t>
      </w:r>
      <w:bookmarkEnd w:id="85"/>
      <w:bookmarkEnd w:id="86"/>
      <w:bookmarkEnd w:id="87"/>
      <w:bookmarkEnd w:id="88"/>
    </w:p>
    <w:p>
      <w:pPr>
        <w:pStyle w:val="25"/>
        <w:widowControl/>
        <w:spacing w:before="100" w:after="100" w:line="600" w:lineRule="atLeast"/>
        <w:ind w:left="0" w:right="0" w:firstLine="704"/>
        <w:jc w:val="both"/>
        <w:rPr>
          <w:rFonts w:ascii="Times New Roman" w:hAnsi="Times New Roman" w:eastAsia="Times New Roman" w:cs="Times New Roman"/>
          <w:kern w:val="0"/>
          <w:sz w:val="24"/>
        </w:rPr>
      </w:pPr>
      <w:r>
        <w:rPr>
          <w:rFonts w:ascii="仿宋" w:hAnsi="仿宋" w:eastAsia="仿宋" w:cs="仿宋"/>
          <w:spacing w:val="0"/>
          <w:kern w:val="0"/>
          <w:sz w:val="32"/>
          <w:szCs w:val="32"/>
        </w:rPr>
        <w:t>2024年度政府性基金支出4.97万元，比上年决算数</w:t>
      </w:r>
      <w:r>
        <w:rPr>
          <w:rFonts w:hint="eastAsia" w:ascii="仿宋" w:hAnsi="仿宋" w:eastAsia="仿宋" w:cs="仿宋"/>
          <w:spacing w:val="0"/>
          <w:kern w:val="0"/>
          <w:sz w:val="32"/>
          <w:szCs w:val="32"/>
          <w:lang w:val="en-US" w:eastAsia="zh-CN"/>
        </w:rPr>
        <w:t>减少</w:t>
      </w:r>
      <w:r>
        <w:rPr>
          <w:rFonts w:ascii="仿宋" w:hAnsi="仿宋" w:eastAsia="仿宋" w:cs="仿宋"/>
          <w:spacing w:val="0"/>
          <w:kern w:val="0"/>
          <w:sz w:val="32"/>
          <w:szCs w:val="32"/>
        </w:rPr>
        <w:t>9.26万元，</w:t>
      </w:r>
      <w:r>
        <w:rPr>
          <w:rFonts w:hint="eastAsia" w:ascii="仿宋" w:hAnsi="仿宋" w:eastAsia="仿宋" w:cs="仿宋"/>
          <w:spacing w:val="0"/>
          <w:kern w:val="0"/>
          <w:sz w:val="32"/>
          <w:szCs w:val="32"/>
          <w:lang w:val="en-US" w:eastAsia="zh-CN"/>
        </w:rPr>
        <w:t>下降</w:t>
      </w:r>
      <w:r>
        <w:rPr>
          <w:rFonts w:ascii="仿宋" w:hAnsi="仿宋" w:eastAsia="仿宋" w:cs="仿宋"/>
          <w:spacing w:val="0"/>
          <w:kern w:val="0"/>
          <w:sz w:val="32"/>
          <w:szCs w:val="32"/>
        </w:rPr>
        <w:t>65.09%，具体情况如下(按项级科目统计)：</w:t>
      </w:r>
    </w:p>
    <w:p>
      <w:pPr>
        <w:pStyle w:val="25"/>
        <w:widowControl/>
        <w:spacing w:before="100" w:after="100" w:line="600" w:lineRule="atLeast"/>
        <w:ind w:left="0" w:right="0" w:firstLine="640" w:firstLineChars="200"/>
        <w:jc w:val="both"/>
        <w:rPr>
          <w:rFonts w:hint="default" w:ascii="Times New Roman" w:hAnsi="Times New Roman" w:eastAsia="Times New Roman" w:cs="Times New Roman"/>
          <w:kern w:val="0"/>
          <w:sz w:val="24"/>
          <w:lang w:val="en-US"/>
        </w:rPr>
      </w:pPr>
      <w:r>
        <w:rPr>
          <w:rFonts w:ascii="仿宋" w:hAnsi="仿宋" w:eastAsia="仿宋" w:cs="仿宋"/>
          <w:spacing w:val="0"/>
          <w:kern w:val="0"/>
          <w:sz w:val="32"/>
          <w:szCs w:val="32"/>
        </w:rPr>
        <w:t>2296003 用于体育事业的彩票公益金支出4.97万元，较上年决算数减少9.26万元，下降65.09%。主要原因是</w:t>
      </w:r>
      <w:r>
        <w:rPr>
          <w:rFonts w:hint="eastAsia" w:ascii="仿宋" w:hAnsi="仿宋" w:eastAsia="仿宋" w:cs="仿宋"/>
          <w:kern w:val="0"/>
          <w:sz w:val="32"/>
          <w:szCs w:val="32"/>
        </w:rPr>
        <w:t>学校</w:t>
      </w:r>
      <w:r>
        <w:rPr>
          <w:rFonts w:hint="eastAsia" w:ascii="仿宋" w:hAnsi="仿宋" w:eastAsia="仿宋" w:cs="仿宋"/>
          <w:b w:val="0"/>
          <w:bCs w:val="0"/>
          <w:i w:val="0"/>
          <w:iCs w:val="0"/>
          <w:smallCaps w:val="0"/>
          <w:color w:val="000000"/>
          <w:kern w:val="0"/>
          <w:sz w:val="32"/>
          <w:szCs w:val="32"/>
          <w:lang w:val="en-US" w:eastAsia="zh-CN"/>
        </w:rPr>
        <w:t>对外开放场地建设基本完成，经费仅用于对外开放场地维护工作。</w:t>
      </w:r>
    </w:p>
    <w:p>
      <w:pPr>
        <w:pStyle w:val="6"/>
        <w:spacing w:before="100" w:after="100" w:line="600" w:lineRule="atLeast"/>
        <w:ind w:left="0" w:right="0" w:firstLine="640" w:firstLineChars="0"/>
        <w:jc w:val="both"/>
        <w:rPr>
          <w:rFonts w:ascii="Times New Roman" w:hAnsi="Times New Roman" w:eastAsia="Times New Roman" w:cs="Times New Roman"/>
          <w:b/>
          <w:bCs/>
          <w:kern w:val="0"/>
          <w:sz w:val="28"/>
          <w:szCs w:val="28"/>
        </w:rPr>
      </w:pPr>
      <w:bookmarkStart w:id="89" w:name="_Toc256000022"/>
      <w:bookmarkStart w:id="90" w:name="_Toc256000084"/>
      <w:bookmarkStart w:id="91" w:name="_Toc256000115"/>
      <w:bookmarkStart w:id="92" w:name="_Toc256000053"/>
      <w:r>
        <w:rPr>
          <w:rFonts w:ascii="黑体" w:hAnsi="黑体" w:eastAsia="黑体" w:cs="黑体"/>
          <w:b/>
          <w:spacing w:val="0"/>
        </w:rPr>
        <w:t>五、国有资本经营预算财政拨款支出决算情况说明</w:t>
      </w:r>
      <w:bookmarkEnd w:id="89"/>
      <w:bookmarkEnd w:id="90"/>
      <w:bookmarkEnd w:id="91"/>
      <w:bookmarkEnd w:id="92"/>
    </w:p>
    <w:p>
      <w:pPr>
        <w:pStyle w:val="25"/>
        <w:widowControl/>
        <w:spacing w:before="100" w:after="100" w:line="600" w:lineRule="atLeast"/>
        <w:ind w:left="0"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2024年度国有资本经营预算支出0万元，比上年决算数增加0万元，增长0%，具体情况如下(按项级科目统计)：</w:t>
      </w:r>
    </w:p>
    <w:p>
      <w:pPr>
        <w:pStyle w:val="25"/>
        <w:widowControl/>
        <w:spacing w:before="100" w:after="100" w:line="600" w:lineRule="atLeast"/>
        <w:ind w:left="0" w:right="0" w:firstLine="640"/>
        <w:jc w:val="both"/>
        <w:rPr>
          <w:rFonts w:ascii="Times New Roman" w:hAnsi="Times New Roman" w:eastAsia="Times New Roman" w:cs="Times New Roman"/>
          <w:kern w:val="0"/>
          <w:sz w:val="24"/>
        </w:rPr>
      </w:pPr>
      <w:r>
        <w:rPr>
          <w:rFonts w:hint="eastAsia" w:ascii="仿宋" w:hAnsi="仿宋" w:eastAsia="仿宋" w:cs="仿宋"/>
          <w:spacing w:val="0"/>
          <w:kern w:val="0"/>
          <w:sz w:val="32"/>
          <w:szCs w:val="32"/>
        </w:rPr>
        <w:t>本单位2024年度没有使用国有资本经营预算财政拨款安排的支出。</w:t>
      </w:r>
    </w:p>
    <w:p>
      <w:pPr>
        <w:pStyle w:val="6"/>
        <w:spacing w:before="100" w:after="100" w:line="600" w:lineRule="atLeast"/>
        <w:ind w:left="0" w:right="0" w:firstLine="640" w:firstLineChars="0"/>
        <w:jc w:val="both"/>
        <w:rPr>
          <w:rFonts w:ascii="Times New Roman" w:hAnsi="Times New Roman" w:eastAsia="Times New Roman" w:cs="Times New Roman"/>
          <w:b/>
          <w:bCs/>
          <w:kern w:val="0"/>
          <w:sz w:val="28"/>
          <w:szCs w:val="28"/>
        </w:rPr>
      </w:pPr>
      <w:bookmarkStart w:id="93" w:name="_Toc256000085"/>
      <w:bookmarkStart w:id="94" w:name="_Toc256000023"/>
      <w:bookmarkStart w:id="95" w:name="_Toc256000054"/>
      <w:bookmarkStart w:id="96" w:name="_Toc256000116"/>
      <w:r>
        <w:rPr>
          <w:rFonts w:ascii="黑体" w:hAnsi="黑体" w:eastAsia="黑体" w:cs="黑体"/>
          <w:b/>
          <w:spacing w:val="0"/>
        </w:rPr>
        <w:t>六、一般公共预算财政拨款基本支出决算情况说明</w:t>
      </w:r>
      <w:bookmarkEnd w:id="93"/>
      <w:bookmarkEnd w:id="94"/>
      <w:bookmarkEnd w:id="95"/>
      <w:bookmarkEnd w:id="96"/>
    </w:p>
    <w:p>
      <w:pPr>
        <w:pStyle w:val="25"/>
        <w:widowControl/>
        <w:spacing w:before="100" w:after="100" w:line="600" w:lineRule="atLeast"/>
        <w:ind w:left="0"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2024年度一般公共预算财政拨款基本支出2556.1</w:t>
      </w:r>
      <w:r>
        <w:rPr>
          <w:rFonts w:hint="eastAsia" w:ascii="仿宋" w:hAnsi="仿宋" w:eastAsia="仿宋" w:cs="仿宋"/>
          <w:spacing w:val="0"/>
          <w:kern w:val="0"/>
          <w:sz w:val="32"/>
          <w:szCs w:val="32"/>
          <w:lang w:val="en-US" w:eastAsia="zh-CN"/>
        </w:rPr>
        <w:t>2</w:t>
      </w:r>
      <w:r>
        <w:rPr>
          <w:rFonts w:ascii="仿宋" w:hAnsi="仿宋" w:eastAsia="仿宋" w:cs="仿宋"/>
          <w:spacing w:val="0"/>
          <w:kern w:val="0"/>
          <w:sz w:val="32"/>
          <w:szCs w:val="32"/>
        </w:rPr>
        <w:t>万元，其中：</w:t>
      </w:r>
    </w:p>
    <w:p>
      <w:pPr>
        <w:pStyle w:val="25"/>
        <w:widowControl/>
        <w:spacing w:before="100" w:after="100" w:line="600" w:lineRule="atLeast"/>
        <w:ind w:left="0"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一）人员经费2316.53万元，主要包括：基本工资、津贴补贴、奖金、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w:t>
      </w:r>
    </w:p>
    <w:p>
      <w:pPr>
        <w:pStyle w:val="25"/>
        <w:widowControl/>
        <w:spacing w:before="100" w:after="100" w:line="600" w:lineRule="atLeast"/>
        <w:ind w:left="0"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二）公用经费239.59万元，主要包括：办公费、印刷费、咨询费、手续费、水费、电费、邮电费、取暖费、物业管理费、差旅费、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交通工具购置、文物和陈列品购置、无形资产购置、其他资本性支出、赠与。</w:t>
      </w:r>
    </w:p>
    <w:p>
      <w:pPr>
        <w:pStyle w:val="6"/>
        <w:spacing w:before="100" w:after="100" w:line="600" w:lineRule="atLeast"/>
        <w:ind w:left="0" w:right="0" w:firstLine="640" w:firstLineChars="0"/>
        <w:jc w:val="both"/>
        <w:rPr>
          <w:rFonts w:ascii="Times New Roman" w:hAnsi="Times New Roman" w:eastAsia="Times New Roman" w:cs="Times New Roman"/>
          <w:b/>
          <w:bCs/>
          <w:kern w:val="0"/>
          <w:sz w:val="28"/>
          <w:szCs w:val="28"/>
        </w:rPr>
      </w:pPr>
      <w:bookmarkStart w:id="97" w:name="_Toc256000086"/>
      <w:bookmarkStart w:id="98" w:name="_Toc256000055"/>
      <w:bookmarkStart w:id="99" w:name="_Toc256000117"/>
      <w:bookmarkStart w:id="100" w:name="_Toc256000024"/>
      <w:r>
        <w:rPr>
          <w:rFonts w:ascii="黑体" w:hAnsi="黑体" w:eastAsia="黑体" w:cs="黑体"/>
          <w:b/>
          <w:spacing w:val="0"/>
        </w:rPr>
        <w:t>七、一般公共预算拨款“三公”经费支出决算情况说明</w:t>
      </w:r>
      <w:bookmarkEnd w:id="97"/>
      <w:bookmarkEnd w:id="98"/>
      <w:bookmarkEnd w:id="99"/>
      <w:bookmarkEnd w:id="100"/>
    </w:p>
    <w:p>
      <w:pPr>
        <w:pStyle w:val="25"/>
        <w:widowControl/>
        <w:spacing w:before="100" w:after="100" w:line="600" w:lineRule="atLeast"/>
        <w:ind w:left="0" w:right="0" w:firstLine="704"/>
        <w:jc w:val="both"/>
        <w:rPr>
          <w:rFonts w:ascii="Times New Roman" w:hAnsi="Times New Roman" w:eastAsia="Times New Roman" w:cs="Times New Roman"/>
          <w:kern w:val="0"/>
          <w:sz w:val="24"/>
        </w:rPr>
      </w:pPr>
      <w:r>
        <w:rPr>
          <w:rFonts w:ascii="仿宋" w:hAnsi="仿宋" w:eastAsia="仿宋" w:cs="仿宋"/>
          <w:spacing w:val="0"/>
          <w:kern w:val="0"/>
          <w:sz w:val="32"/>
          <w:szCs w:val="32"/>
        </w:rPr>
        <w:t>2024年度一般公共预算拨款“三公”经费支出0万元，完成全年预算的 0%；较上年增加0万元，增长0%。主要原因是</w:t>
      </w:r>
      <w:r>
        <w:rPr>
          <w:rFonts w:hint="eastAsia" w:ascii="仿宋" w:hAnsi="仿宋" w:eastAsia="仿宋" w:cs="仿宋"/>
          <w:kern w:val="0"/>
          <w:sz w:val="32"/>
          <w:szCs w:val="32"/>
          <w:shd w:val="clear" w:color="auto" w:fill="FFFFFF"/>
          <w:lang w:eastAsia="zh-CN"/>
        </w:rPr>
        <w:t>本单位没有使用“三公”经费支出</w:t>
      </w:r>
      <w:r>
        <w:rPr>
          <w:rFonts w:ascii="仿宋" w:hAnsi="仿宋" w:eastAsia="仿宋" w:cs="仿宋"/>
          <w:spacing w:val="0"/>
          <w:kern w:val="0"/>
          <w:sz w:val="32"/>
          <w:szCs w:val="32"/>
        </w:rPr>
        <w:t>。具体情况如下：</w:t>
      </w:r>
    </w:p>
    <w:p>
      <w:pPr>
        <w:pStyle w:val="25"/>
        <w:widowControl/>
        <w:spacing w:before="100" w:after="100" w:line="600" w:lineRule="atLeast"/>
        <w:ind w:left="0" w:right="0" w:firstLine="704"/>
        <w:jc w:val="both"/>
        <w:rPr>
          <w:rFonts w:ascii="Times New Roman" w:hAnsi="Times New Roman" w:eastAsia="Times New Roman" w:cs="Times New Roman"/>
          <w:kern w:val="0"/>
          <w:sz w:val="24"/>
        </w:rPr>
      </w:pPr>
      <w:r>
        <w:rPr>
          <w:rFonts w:ascii="仿宋" w:hAnsi="仿宋" w:eastAsia="仿宋" w:cs="仿宋"/>
          <w:spacing w:val="0"/>
          <w:kern w:val="0"/>
          <w:sz w:val="32"/>
          <w:szCs w:val="32"/>
        </w:rPr>
        <w:t>（一）因公出国（境）费支出0万元，完成全年预算的 0%；较上年增加0万元，增长0%。全年安排本单位组织的出国团组0 个，参加其他单位出国团组个；全年因公出国（境）累计0人次。主要是</w:t>
      </w:r>
      <w:r>
        <w:rPr>
          <w:rFonts w:hint="eastAsia" w:ascii="仿宋" w:hAnsi="仿宋" w:eastAsia="仿宋" w:cs="仿宋"/>
          <w:color w:val="000000"/>
          <w:kern w:val="0"/>
          <w:sz w:val="31"/>
          <w:szCs w:val="31"/>
          <w:lang w:val="en-US" w:eastAsia="zh-CN" w:bidi="ar"/>
        </w:rPr>
        <w:t>本单位没有组织出国团组及参加其他部</w:t>
      </w:r>
      <w:r>
        <w:rPr>
          <w:rFonts w:hint="default" w:ascii="仿宋" w:hAnsi="仿宋" w:eastAsia="仿宋" w:cs="仿宋"/>
          <w:color w:val="000000"/>
          <w:kern w:val="0"/>
          <w:sz w:val="31"/>
          <w:szCs w:val="31"/>
          <w:lang w:val="en-US" w:eastAsia="zh-CN" w:bidi="ar"/>
        </w:rPr>
        <w:t>门出国团组。</w:t>
      </w:r>
    </w:p>
    <w:p>
      <w:pPr>
        <w:pStyle w:val="25"/>
        <w:widowControl/>
        <w:spacing w:before="100" w:after="100" w:line="600" w:lineRule="atLeast"/>
        <w:ind w:left="0" w:right="0" w:firstLine="645"/>
        <w:jc w:val="both"/>
        <w:rPr>
          <w:rFonts w:ascii="Times New Roman" w:hAnsi="Times New Roman" w:eastAsia="Times New Roman" w:cs="Times New Roman"/>
          <w:kern w:val="0"/>
          <w:sz w:val="24"/>
        </w:rPr>
      </w:pPr>
      <w:r>
        <w:rPr>
          <w:rFonts w:ascii="仿宋" w:hAnsi="仿宋" w:eastAsia="仿宋" w:cs="仿宋"/>
          <w:spacing w:val="0"/>
          <w:kern w:val="0"/>
          <w:sz w:val="32"/>
          <w:szCs w:val="32"/>
        </w:rPr>
        <w:t>（二）公务用车购置及运行费支出0万元，完成全年预算的0%；较上年增加0万元，增长0%。</w:t>
      </w:r>
      <w:r>
        <w:rPr>
          <w:rFonts w:hint="eastAsia" w:ascii="仿宋" w:hAnsi="仿宋" w:eastAsia="仿宋" w:cs="仿宋"/>
          <w:spacing w:val="0"/>
          <w:kern w:val="0"/>
          <w:sz w:val="32"/>
          <w:szCs w:val="32"/>
        </w:rPr>
        <w:t>主要是</w:t>
      </w:r>
      <w:r>
        <w:rPr>
          <w:rFonts w:hint="eastAsia" w:ascii="仿宋" w:hAnsi="仿宋" w:eastAsia="仿宋" w:cs="仿宋"/>
          <w:spacing w:val="0"/>
          <w:kern w:val="0"/>
          <w:sz w:val="32"/>
          <w:szCs w:val="32"/>
          <w:lang w:val="en-US" w:eastAsia="zh-CN"/>
        </w:rPr>
        <w:t>本单位没有购置</w:t>
      </w:r>
      <w:r>
        <w:rPr>
          <w:rFonts w:hint="default" w:ascii="仿宋" w:hAnsi="仿宋" w:eastAsia="仿宋" w:cs="仿宋"/>
          <w:spacing w:val="0"/>
          <w:kern w:val="0"/>
          <w:sz w:val="32"/>
          <w:szCs w:val="32"/>
          <w:lang w:val="en-US" w:eastAsia="zh-CN"/>
        </w:rPr>
        <w:t>公务用车及运行</w:t>
      </w:r>
      <w:r>
        <w:rPr>
          <w:rFonts w:hint="eastAsia" w:ascii="仿宋" w:hAnsi="仿宋" w:eastAsia="仿宋" w:cs="仿宋"/>
          <w:spacing w:val="0"/>
          <w:kern w:val="0"/>
          <w:sz w:val="32"/>
          <w:szCs w:val="32"/>
          <w:lang w:val="en-US" w:eastAsia="zh-CN"/>
        </w:rPr>
        <w:t>维护</w:t>
      </w:r>
      <w:r>
        <w:rPr>
          <w:rFonts w:hint="default" w:ascii="仿宋" w:hAnsi="仿宋" w:eastAsia="仿宋" w:cs="仿宋"/>
          <w:spacing w:val="0"/>
          <w:kern w:val="0"/>
          <w:sz w:val="32"/>
          <w:szCs w:val="32"/>
          <w:lang w:val="en-US" w:eastAsia="zh-CN"/>
        </w:rPr>
        <w:t>费支出。</w:t>
      </w:r>
      <w:r>
        <w:rPr>
          <w:rFonts w:ascii="仿宋" w:hAnsi="仿宋" w:eastAsia="仿宋" w:cs="仿宋"/>
          <w:spacing w:val="0"/>
          <w:kern w:val="0"/>
          <w:sz w:val="32"/>
          <w:szCs w:val="32"/>
        </w:rPr>
        <w:t>其中：</w:t>
      </w:r>
    </w:p>
    <w:p>
      <w:pPr>
        <w:pStyle w:val="25"/>
        <w:widowControl/>
        <w:spacing w:before="100" w:after="100" w:line="600" w:lineRule="atLeast"/>
        <w:ind w:left="0" w:right="0" w:firstLine="645"/>
        <w:jc w:val="both"/>
        <w:rPr>
          <w:rFonts w:ascii="Times New Roman" w:hAnsi="Times New Roman" w:eastAsia="Times New Roman" w:cs="Times New Roman"/>
          <w:kern w:val="0"/>
          <w:sz w:val="24"/>
        </w:rPr>
      </w:pPr>
      <w:r>
        <w:rPr>
          <w:rFonts w:ascii="仿宋" w:hAnsi="仿宋" w:eastAsia="仿宋" w:cs="仿宋"/>
          <w:spacing w:val="0"/>
          <w:kern w:val="0"/>
          <w:sz w:val="32"/>
          <w:szCs w:val="32"/>
        </w:rPr>
        <w:t>公务用车购置费支出0万元，完成全年预算的0%；较上年增加0万元，增长0%。2024年公务用车购置0辆，主要是:</w:t>
      </w:r>
      <w:r>
        <w:rPr>
          <w:rFonts w:hint="eastAsia" w:ascii="仿宋" w:hAnsi="仿宋" w:eastAsia="仿宋" w:cs="仿宋"/>
          <w:kern w:val="0"/>
          <w:sz w:val="32"/>
          <w:szCs w:val="32"/>
          <w:lang w:val="en-US" w:eastAsia="zh-CN"/>
        </w:rPr>
        <w:t>本单位</w:t>
      </w:r>
      <w:r>
        <w:rPr>
          <w:rFonts w:hint="default" w:ascii="仿宋" w:hAnsi="仿宋" w:eastAsia="仿宋" w:cs="仿宋"/>
          <w:kern w:val="0"/>
          <w:sz w:val="32"/>
          <w:szCs w:val="32"/>
          <w:lang w:val="en-US" w:eastAsia="zh-CN"/>
        </w:rPr>
        <w:t>没有购置公务用车。</w:t>
      </w:r>
    </w:p>
    <w:p>
      <w:pPr>
        <w:pStyle w:val="25"/>
        <w:widowControl/>
        <w:spacing w:before="100" w:after="100" w:line="600" w:lineRule="atLeast"/>
        <w:ind w:left="0" w:right="0" w:firstLine="645"/>
        <w:jc w:val="both"/>
        <w:rPr>
          <w:rFonts w:ascii="Times New Roman" w:hAnsi="Times New Roman" w:eastAsia="Times New Roman" w:cs="Times New Roman"/>
          <w:kern w:val="0"/>
          <w:sz w:val="24"/>
        </w:rPr>
      </w:pPr>
      <w:r>
        <w:rPr>
          <w:rFonts w:ascii="仿宋" w:hAnsi="仿宋" w:eastAsia="仿宋" w:cs="仿宋"/>
          <w:spacing w:val="0"/>
          <w:kern w:val="0"/>
          <w:sz w:val="32"/>
          <w:szCs w:val="32"/>
        </w:rPr>
        <w:t>公务用车运行费支出0万元，完成全年预算的0%；较上年增加0万元，增长0%。主要是</w:t>
      </w:r>
      <w:r>
        <w:rPr>
          <w:rFonts w:hint="eastAsia" w:ascii="仿宋" w:hAnsi="仿宋" w:eastAsia="仿宋" w:cs="仿宋"/>
          <w:kern w:val="0"/>
          <w:sz w:val="32"/>
          <w:szCs w:val="32"/>
          <w:lang w:val="en-US" w:eastAsia="zh-CN"/>
        </w:rPr>
        <w:t>本单位</w:t>
      </w:r>
      <w:r>
        <w:rPr>
          <w:rFonts w:hint="default" w:ascii="仿宋" w:hAnsi="仿宋" w:eastAsia="仿宋" w:cs="仿宋"/>
          <w:kern w:val="0"/>
          <w:sz w:val="32"/>
          <w:szCs w:val="32"/>
          <w:lang w:val="en-US" w:eastAsia="zh-CN"/>
        </w:rPr>
        <w:t>没有</w:t>
      </w:r>
      <w:r>
        <w:rPr>
          <w:rFonts w:ascii="仿宋" w:hAnsi="仿宋" w:eastAsia="仿宋" w:cs="仿宋"/>
          <w:spacing w:val="0"/>
          <w:kern w:val="0"/>
          <w:sz w:val="32"/>
          <w:szCs w:val="32"/>
        </w:rPr>
        <w:t>公务用车运行</w:t>
      </w:r>
      <w:r>
        <w:rPr>
          <w:rFonts w:hint="eastAsia" w:ascii="仿宋" w:hAnsi="仿宋" w:eastAsia="仿宋" w:cs="仿宋"/>
          <w:spacing w:val="0"/>
          <w:kern w:val="0"/>
          <w:sz w:val="32"/>
          <w:szCs w:val="32"/>
          <w:lang w:eastAsia="zh-CN"/>
        </w:rPr>
        <w:t>维护</w:t>
      </w:r>
      <w:r>
        <w:rPr>
          <w:rFonts w:ascii="仿宋" w:hAnsi="仿宋" w:eastAsia="仿宋" w:cs="仿宋"/>
          <w:spacing w:val="0"/>
          <w:kern w:val="0"/>
          <w:sz w:val="32"/>
          <w:szCs w:val="32"/>
        </w:rPr>
        <w:t>费</w:t>
      </w:r>
      <w:r>
        <w:rPr>
          <w:rFonts w:hint="eastAsia" w:ascii="仿宋" w:hAnsi="仿宋" w:eastAsia="仿宋" w:cs="仿宋"/>
          <w:spacing w:val="0"/>
          <w:kern w:val="0"/>
          <w:sz w:val="32"/>
          <w:szCs w:val="32"/>
          <w:lang w:eastAsia="zh-CN"/>
        </w:rPr>
        <w:t>的</w:t>
      </w:r>
      <w:r>
        <w:rPr>
          <w:rFonts w:ascii="仿宋" w:hAnsi="仿宋" w:eastAsia="仿宋" w:cs="仿宋"/>
          <w:spacing w:val="0"/>
          <w:kern w:val="0"/>
          <w:sz w:val="32"/>
          <w:szCs w:val="32"/>
        </w:rPr>
        <w:t>支出。截至2024年12月31日，本单位公务用车保有量为0辆。</w:t>
      </w:r>
    </w:p>
    <w:p>
      <w:pPr>
        <w:pStyle w:val="25"/>
        <w:pageBreakBefore w:val="0"/>
        <w:widowControl/>
        <w:numPr>
          <w:ilvl w:val="0"/>
          <w:numId w:val="4"/>
        </w:numPr>
        <w:kinsoku/>
        <w:wordWrap/>
        <w:overflowPunct/>
        <w:topLinePunct w:val="0"/>
        <w:autoSpaceDE/>
        <w:autoSpaceDN/>
        <w:bidi w:val="0"/>
        <w:adjustRightInd/>
        <w:snapToGrid/>
        <w:spacing w:before="100" w:after="100" w:line="360" w:lineRule="auto"/>
        <w:ind w:left="0" w:right="0" w:firstLine="645"/>
        <w:jc w:val="both"/>
        <w:textAlignment w:val="auto"/>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公务接待费支出0.00万元，与全年预算0.00万元持平，较上年决算的0.00万元相比持平。主要是本单位没有公务接待活动。累计接待0 批次、0人次。</w:t>
      </w:r>
      <w:bookmarkStart w:id="101" w:name="_Toc256000118"/>
      <w:bookmarkStart w:id="102" w:name="_Toc256000056"/>
      <w:bookmarkStart w:id="103" w:name="_Toc256000087"/>
      <w:bookmarkStart w:id="104" w:name="_Toc256000025"/>
    </w:p>
    <w:p>
      <w:pPr>
        <w:pStyle w:val="6"/>
        <w:spacing w:before="100" w:after="100" w:line="600" w:lineRule="atLeast"/>
        <w:ind w:left="0" w:right="0" w:firstLine="640" w:firstLineChars="0"/>
        <w:jc w:val="both"/>
        <w:rPr>
          <w:rFonts w:ascii="黑体" w:hAnsi="黑体" w:eastAsia="黑体" w:cs="黑体"/>
          <w:b/>
          <w:spacing w:val="0"/>
        </w:rPr>
      </w:pPr>
      <w:r>
        <w:rPr>
          <w:rFonts w:ascii="黑体" w:hAnsi="黑体" w:eastAsia="黑体" w:cs="黑体"/>
          <w:b/>
          <w:spacing w:val="0"/>
        </w:rPr>
        <w:t>八、预算绩效情况说明</w:t>
      </w:r>
      <w:bookmarkEnd w:id="101"/>
      <w:bookmarkEnd w:id="102"/>
      <w:bookmarkEnd w:id="103"/>
      <w:bookmarkEnd w:id="104"/>
    </w:p>
    <w:p>
      <w:pPr>
        <w:pStyle w:val="25"/>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jc w:val="both"/>
        <w:textAlignment w:val="auto"/>
        <w:rPr>
          <w:rFonts w:ascii="Times New Roman" w:hAnsi="Times New Roman" w:eastAsia="Times New Roman" w:cs="Times New Roman"/>
          <w:kern w:val="0"/>
          <w:sz w:val="32"/>
          <w:szCs w:val="32"/>
        </w:rPr>
      </w:pPr>
      <w:r>
        <w:rPr>
          <w:rFonts w:ascii="仿宋" w:hAnsi="仿宋" w:eastAsia="仿宋" w:cs="仿宋"/>
          <w:spacing w:val="0"/>
          <w:kern w:val="0"/>
          <w:sz w:val="32"/>
          <w:szCs w:val="32"/>
        </w:rPr>
        <w:t>根据预算绩效管理要求，本单位组织对2024年度</w:t>
      </w:r>
      <w:r>
        <w:rPr>
          <w:rFonts w:hint="eastAsia" w:ascii="仿宋" w:hAnsi="仿宋" w:eastAsia="仿宋" w:cs="仿宋"/>
          <w:spacing w:val="0"/>
          <w:kern w:val="0"/>
          <w:sz w:val="32"/>
          <w:szCs w:val="32"/>
          <w:lang w:val="en-US" w:eastAsia="zh-CN"/>
        </w:rPr>
        <w:t>1</w:t>
      </w:r>
      <w:r>
        <w:rPr>
          <w:rFonts w:ascii="仿宋" w:hAnsi="仿宋" w:eastAsia="仿宋" w:cs="仿宋"/>
          <w:spacing w:val="0"/>
          <w:kern w:val="0"/>
          <w:sz w:val="32"/>
          <w:szCs w:val="32"/>
        </w:rPr>
        <w:t>个项目实施单位自评，</w:t>
      </w:r>
      <w:r>
        <w:rPr>
          <w:rFonts w:hint="eastAsia" w:ascii="仿宋" w:hAnsi="仿宋" w:eastAsia="仿宋" w:cs="仿宋"/>
          <w:spacing w:val="0"/>
          <w:kern w:val="0"/>
          <w:sz w:val="32"/>
          <w:szCs w:val="32"/>
          <w:lang w:eastAsia="zh-CN"/>
        </w:rPr>
        <w:t>项目名称为</w:t>
      </w:r>
      <w:r>
        <w:rPr>
          <w:rFonts w:hint="eastAsia" w:ascii="仿宋" w:hAnsi="仿宋" w:eastAsia="仿宋" w:cs="仿宋"/>
          <w:spacing w:val="0"/>
          <w:kern w:val="0"/>
          <w:sz w:val="32"/>
          <w:szCs w:val="32"/>
        </w:rPr>
        <w:t>义务教育阶段家庭经济困难学生营养餐补助</w:t>
      </w:r>
      <w:r>
        <w:rPr>
          <w:rFonts w:ascii="仿宋" w:hAnsi="仿宋" w:eastAsia="仿宋" w:cs="仿宋"/>
          <w:spacing w:val="0"/>
          <w:kern w:val="0"/>
          <w:sz w:val="32"/>
          <w:szCs w:val="32"/>
        </w:rPr>
        <w:t>，涉及财政拨款资金共计</w:t>
      </w:r>
      <w:r>
        <w:rPr>
          <w:rFonts w:hint="eastAsia" w:ascii="仿宋" w:hAnsi="仿宋" w:eastAsia="仿宋" w:cs="仿宋"/>
          <w:spacing w:val="0"/>
          <w:kern w:val="0"/>
          <w:sz w:val="32"/>
          <w:szCs w:val="32"/>
          <w:lang w:val="en-US" w:eastAsia="zh-CN"/>
        </w:rPr>
        <w:t>0.036</w:t>
      </w:r>
      <w:r>
        <w:rPr>
          <w:rFonts w:ascii="仿宋" w:hAnsi="仿宋" w:eastAsia="仿宋" w:cs="仿宋"/>
          <w:spacing w:val="0"/>
          <w:kern w:val="0"/>
          <w:sz w:val="32"/>
          <w:szCs w:val="32"/>
        </w:rPr>
        <w:t>万元。（《项目支出绩效自评表》详见附件）</w:t>
      </w:r>
    </w:p>
    <w:p>
      <w:pPr>
        <w:pStyle w:val="6"/>
        <w:spacing w:before="100" w:after="100" w:line="600" w:lineRule="atLeast"/>
        <w:ind w:left="0" w:right="0" w:firstLine="640" w:firstLineChars="0"/>
        <w:jc w:val="both"/>
        <w:rPr>
          <w:rFonts w:ascii="Times New Roman" w:hAnsi="Times New Roman" w:eastAsia="Times New Roman" w:cs="Times New Roman"/>
          <w:b/>
          <w:bCs/>
          <w:kern w:val="0"/>
          <w:sz w:val="28"/>
          <w:szCs w:val="28"/>
        </w:rPr>
      </w:pPr>
      <w:r>
        <w:rPr>
          <w:rFonts w:ascii="Times New Roman" w:hAnsi="Times New Roman" w:eastAsia="Times New Roman" w:cs="Times New Roman"/>
          <w:spacing w:val="0"/>
          <w:kern w:val="0"/>
          <w:sz w:val="27"/>
          <w:szCs w:val="27"/>
        </w:rPr>
        <w:t> </w:t>
      </w:r>
      <w:bookmarkStart w:id="105" w:name="_Toc256000026"/>
      <w:bookmarkStart w:id="106" w:name="_Toc256000057"/>
      <w:bookmarkStart w:id="107" w:name="_Toc256000119"/>
      <w:bookmarkStart w:id="108" w:name="_Toc256000088"/>
      <w:r>
        <w:rPr>
          <w:rFonts w:ascii="黑体" w:hAnsi="黑体" w:eastAsia="黑体" w:cs="黑体"/>
          <w:b/>
          <w:spacing w:val="0"/>
        </w:rPr>
        <w:t>九、其他重要事项说明</w:t>
      </w:r>
      <w:bookmarkEnd w:id="105"/>
      <w:bookmarkEnd w:id="106"/>
      <w:bookmarkEnd w:id="107"/>
      <w:bookmarkEnd w:id="108"/>
    </w:p>
    <w:p>
      <w:pPr>
        <w:pStyle w:val="25"/>
        <w:widowControl/>
        <w:spacing w:before="100" w:after="100" w:line="600" w:lineRule="atLeast"/>
        <w:ind w:left="0" w:right="0" w:firstLine="643"/>
        <w:jc w:val="both"/>
        <w:rPr>
          <w:rFonts w:ascii="Times New Roman" w:hAnsi="Times New Roman" w:eastAsia="Times New Roman" w:cs="Times New Roman"/>
          <w:kern w:val="0"/>
          <w:sz w:val="24"/>
        </w:rPr>
      </w:pPr>
      <w:r>
        <w:rPr>
          <w:rStyle w:val="31"/>
          <w:b/>
          <w:bCs/>
          <w:spacing w:val="0"/>
          <w:kern w:val="0"/>
          <w:sz w:val="32"/>
          <w:szCs w:val="32"/>
        </w:rPr>
        <w:t>（一）机关运行经费</w:t>
      </w:r>
      <w:r>
        <w:rPr>
          <w:rFonts w:ascii="宋体" w:hAnsi="宋体" w:cs="宋体"/>
          <w:spacing w:val="0"/>
          <w:kern w:val="0"/>
          <w:sz w:val="32"/>
          <w:szCs w:val="32"/>
        </w:rPr>
        <w:t> </w:t>
      </w:r>
    </w:p>
    <w:p>
      <w:pPr>
        <w:pStyle w:val="25"/>
        <w:widowControl/>
        <w:spacing w:before="240" w:after="240" w:line="600" w:lineRule="atLeast"/>
        <w:ind w:firstLine="640"/>
        <w:jc w:val="both"/>
        <w:outlineLvl w:val="3"/>
        <w:rPr>
          <w:rFonts w:ascii="Times New Roman" w:hAnsi="Times New Roman" w:eastAsia="Times New Roman" w:cs="Times New Roman"/>
          <w:kern w:val="0"/>
          <w:sz w:val="24"/>
        </w:rPr>
      </w:pPr>
      <w:r>
        <w:rPr>
          <w:rFonts w:ascii="仿宋" w:hAnsi="仿宋" w:eastAsia="仿宋" w:cs="仿宋"/>
          <w:spacing w:val="0"/>
          <w:kern w:val="0"/>
          <w:sz w:val="32"/>
          <w:szCs w:val="32"/>
        </w:rPr>
        <w:t>2024年度机关运行经费支出0万元，比上年决算数增长0%，主要原因是:</w:t>
      </w:r>
      <w:r>
        <w:rPr>
          <w:rFonts w:ascii="宋体" w:hAnsi="宋体" w:cs="宋体"/>
          <w:spacing w:val="0"/>
          <w:kern w:val="0"/>
          <w:sz w:val="32"/>
          <w:szCs w:val="32"/>
        </w:rPr>
        <w:t xml:space="preserve"> </w:t>
      </w:r>
      <w:r>
        <w:rPr>
          <w:rFonts w:hint="eastAsia" w:ascii="仿宋" w:hAnsi="仿宋" w:eastAsia="仿宋" w:cs="仿宋"/>
          <w:spacing w:val="0"/>
          <w:kern w:val="0"/>
          <w:sz w:val="32"/>
          <w:szCs w:val="32"/>
        </w:rPr>
        <w:t>本单位为事业单位</w:t>
      </w:r>
      <w:r>
        <w:rPr>
          <w:rFonts w:hint="eastAsia" w:ascii="仿宋" w:hAnsi="仿宋" w:eastAsia="仿宋" w:cs="仿宋"/>
          <w:spacing w:val="0"/>
          <w:kern w:val="0"/>
          <w:sz w:val="32"/>
          <w:szCs w:val="32"/>
          <w:lang w:eastAsia="zh-CN"/>
        </w:rPr>
        <w:t>，</w:t>
      </w:r>
      <w:r>
        <w:rPr>
          <w:rFonts w:hint="eastAsia" w:ascii="仿宋" w:hAnsi="仿宋" w:eastAsia="仿宋" w:cs="仿宋"/>
          <w:spacing w:val="0"/>
          <w:kern w:val="0"/>
          <w:sz w:val="32"/>
          <w:szCs w:val="32"/>
        </w:rPr>
        <w:t>没有机关运行经费。</w:t>
      </w:r>
    </w:p>
    <w:p>
      <w:pPr>
        <w:pStyle w:val="25"/>
        <w:widowControl/>
        <w:spacing w:before="100" w:after="100" w:line="600" w:lineRule="atLeast"/>
        <w:ind w:left="0" w:right="0" w:firstLine="643"/>
        <w:jc w:val="both"/>
        <w:rPr>
          <w:rFonts w:ascii="Times New Roman" w:hAnsi="Times New Roman" w:eastAsia="Times New Roman" w:cs="Times New Roman"/>
          <w:kern w:val="0"/>
          <w:sz w:val="24"/>
        </w:rPr>
      </w:pPr>
      <w:r>
        <w:rPr>
          <w:rStyle w:val="31"/>
          <w:b/>
          <w:bCs/>
          <w:spacing w:val="0"/>
          <w:kern w:val="0"/>
          <w:sz w:val="32"/>
          <w:szCs w:val="32"/>
        </w:rPr>
        <w:t>（二）政府采购情况</w:t>
      </w:r>
    </w:p>
    <w:p>
      <w:pPr>
        <w:pStyle w:val="25"/>
        <w:widowControl/>
        <w:spacing w:before="100" w:after="100" w:line="600" w:lineRule="atLeast"/>
        <w:ind w:left="0" w:right="0" w:firstLine="640"/>
        <w:jc w:val="both"/>
        <w:rPr>
          <w:rFonts w:hint="eastAsia" w:ascii="Times New Roman" w:hAnsi="Times New Roman" w:eastAsia="仿宋" w:cs="Times New Roman"/>
          <w:kern w:val="0"/>
          <w:sz w:val="24"/>
          <w:lang w:eastAsia="zh-CN"/>
        </w:rPr>
      </w:pPr>
      <w:r>
        <w:rPr>
          <w:rFonts w:ascii="仿宋" w:hAnsi="仿宋" w:eastAsia="仿宋" w:cs="仿宋"/>
          <w:spacing w:val="0"/>
          <w:kern w:val="0"/>
          <w:sz w:val="32"/>
          <w:szCs w:val="32"/>
        </w:rPr>
        <w:t>本单位2024年度政府采购支出总额0万元，其中：政府采购货物支出0万元、政府采购工程支出0万元、政府采购服务支出0万元。授予中小企业合同金额0万元，占政府采购支出总额的0%，其中：授予小微企业合同金额0万元，占授予中小企业合同金额的0%；货物采购授予中小企业合同金额占货物支出金额的</w:t>
      </w:r>
      <w:r>
        <w:rPr>
          <w:rFonts w:hint="eastAsia" w:ascii="仿宋" w:hAnsi="仿宋" w:eastAsia="仿宋" w:cs="仿宋"/>
          <w:spacing w:val="0"/>
          <w:kern w:val="0"/>
          <w:sz w:val="32"/>
          <w:szCs w:val="32"/>
          <w:lang w:val="en-US" w:eastAsia="zh-CN"/>
        </w:rPr>
        <w:t>0</w:t>
      </w:r>
      <w:r>
        <w:rPr>
          <w:rFonts w:ascii="仿宋" w:hAnsi="仿宋" w:eastAsia="仿宋" w:cs="仿宋"/>
          <w:spacing w:val="0"/>
          <w:kern w:val="0"/>
          <w:sz w:val="32"/>
          <w:szCs w:val="32"/>
        </w:rPr>
        <w:t>%，工程采购授予中小企业合同金额占工程支出金额的</w:t>
      </w:r>
      <w:r>
        <w:rPr>
          <w:rFonts w:hint="eastAsia" w:ascii="仿宋" w:hAnsi="仿宋" w:eastAsia="仿宋" w:cs="仿宋"/>
          <w:spacing w:val="0"/>
          <w:kern w:val="0"/>
          <w:sz w:val="32"/>
          <w:szCs w:val="32"/>
          <w:lang w:val="en-US" w:eastAsia="zh-CN"/>
        </w:rPr>
        <w:t>0</w:t>
      </w:r>
      <w:r>
        <w:rPr>
          <w:rFonts w:ascii="仿宋" w:hAnsi="仿宋" w:eastAsia="仿宋" w:cs="仿宋"/>
          <w:spacing w:val="0"/>
          <w:kern w:val="0"/>
          <w:sz w:val="32"/>
          <w:szCs w:val="32"/>
        </w:rPr>
        <w:t>%，服务采购授予中小企业合同金额占服务支出金额的</w:t>
      </w:r>
      <w:r>
        <w:rPr>
          <w:rFonts w:hint="eastAsia" w:ascii="仿宋" w:hAnsi="仿宋" w:eastAsia="仿宋" w:cs="仿宋"/>
          <w:spacing w:val="0"/>
          <w:kern w:val="0"/>
          <w:sz w:val="32"/>
          <w:szCs w:val="32"/>
          <w:lang w:val="en-US" w:eastAsia="zh-CN"/>
        </w:rPr>
        <w:t>0</w:t>
      </w:r>
      <w:r>
        <w:rPr>
          <w:rFonts w:ascii="仿宋" w:hAnsi="仿宋" w:eastAsia="仿宋" w:cs="仿宋"/>
          <w:spacing w:val="0"/>
          <w:kern w:val="0"/>
          <w:sz w:val="32"/>
          <w:szCs w:val="32"/>
        </w:rPr>
        <w:t>%</w:t>
      </w:r>
      <w:r>
        <w:rPr>
          <w:rFonts w:hint="eastAsia" w:ascii="仿宋" w:hAnsi="仿宋" w:eastAsia="仿宋" w:cs="仿宋"/>
          <w:spacing w:val="0"/>
          <w:kern w:val="0"/>
          <w:sz w:val="32"/>
          <w:szCs w:val="32"/>
          <w:lang w:eastAsia="zh-CN"/>
        </w:rPr>
        <w:t>。</w:t>
      </w:r>
    </w:p>
    <w:p>
      <w:pPr>
        <w:pStyle w:val="25"/>
        <w:widowControl/>
        <w:spacing w:before="100" w:after="100" w:line="600" w:lineRule="atLeast"/>
        <w:ind w:left="0" w:right="0" w:firstLine="640"/>
        <w:jc w:val="both"/>
        <w:rPr>
          <w:rFonts w:hint="eastAsia" w:ascii="仿宋" w:hAnsi="仿宋" w:eastAsia="仿宋" w:cs="仿宋"/>
          <w:kern w:val="0"/>
          <w:sz w:val="24"/>
        </w:rPr>
      </w:pPr>
      <w:r>
        <w:rPr>
          <w:rFonts w:hint="eastAsia" w:ascii="仿宋" w:hAnsi="仿宋" w:eastAsia="仿宋" w:cs="仿宋"/>
          <w:spacing w:val="0"/>
          <w:kern w:val="0"/>
          <w:sz w:val="32"/>
          <w:szCs w:val="32"/>
        </w:rPr>
        <w:t>本单位2024年度没有政府采购支出。</w:t>
      </w:r>
    </w:p>
    <w:p>
      <w:pPr>
        <w:pStyle w:val="25"/>
        <w:widowControl/>
        <w:spacing w:before="100" w:after="100" w:line="600" w:lineRule="atLeast"/>
        <w:ind w:left="0" w:right="0" w:firstLine="640"/>
        <w:jc w:val="both"/>
        <w:rPr>
          <w:rFonts w:ascii="Times New Roman" w:hAnsi="Times New Roman" w:eastAsia="Times New Roman" w:cs="Times New Roman"/>
          <w:kern w:val="0"/>
          <w:sz w:val="24"/>
        </w:rPr>
      </w:pPr>
      <w:r>
        <w:rPr>
          <w:rFonts w:ascii="Calibri" w:hAnsi="Calibri" w:eastAsia="Calibri" w:cs="Calibri"/>
          <w:spacing w:val="0"/>
          <w:kern w:val="0"/>
          <w:sz w:val="32"/>
          <w:szCs w:val="32"/>
        </w:rPr>
        <w:t> </w:t>
      </w:r>
      <w:r>
        <w:rPr>
          <w:rStyle w:val="31"/>
          <w:b/>
          <w:bCs/>
          <w:spacing w:val="0"/>
          <w:kern w:val="0"/>
          <w:sz w:val="32"/>
          <w:szCs w:val="32"/>
        </w:rPr>
        <w:t>（三）国有资产占用使用情况</w:t>
      </w:r>
      <w:r>
        <w:rPr>
          <w:rFonts w:ascii="宋体" w:hAnsi="宋体" w:cs="宋体"/>
          <w:spacing w:val="0"/>
          <w:kern w:val="0"/>
          <w:sz w:val="32"/>
          <w:szCs w:val="32"/>
        </w:rPr>
        <w:t> </w:t>
      </w:r>
    </w:p>
    <w:p>
      <w:pPr>
        <w:pStyle w:val="26"/>
        <w:keepNext w:val="0"/>
        <w:keepLines w:val="0"/>
        <w:pageBreakBefore w:val="0"/>
        <w:widowControl/>
        <w:kinsoku/>
        <w:wordWrap/>
        <w:overflowPunct/>
        <w:topLinePunct w:val="0"/>
        <w:autoSpaceDE/>
        <w:autoSpaceDN/>
        <w:bidi w:val="0"/>
        <w:adjustRightInd/>
        <w:snapToGrid/>
        <w:spacing w:before="100" w:after="100" w:line="360" w:lineRule="auto"/>
        <w:ind w:left="0" w:right="0" w:firstLine="640" w:firstLineChars="200"/>
        <w:jc w:val="both"/>
        <w:textAlignment w:val="auto"/>
        <w:rPr>
          <w:rFonts w:ascii="Times New Roman" w:hAnsi="Times New Roman" w:eastAsia="Times New Roman" w:cs="Times New Roman"/>
          <w:spacing w:val="0"/>
          <w:kern w:val="0"/>
          <w:sz w:val="27"/>
          <w:szCs w:val="27"/>
        </w:rPr>
      </w:pPr>
      <w:r>
        <w:rPr>
          <w:rFonts w:ascii="仿宋" w:hAnsi="仿宋" w:eastAsia="仿宋" w:cs="仿宋"/>
          <w:spacing w:val="0"/>
          <w:kern w:val="0"/>
          <w:sz w:val="32"/>
          <w:szCs w:val="32"/>
        </w:rPr>
        <w:t>截至2024年12月31日，本单位共有车辆0 辆，其中：副部（省）级以上领导用车0 辆、主要领导干部用车0 辆、机要通信用车0辆、应急保障用车0辆、执法执勤用车0辆、特种专业技术用车0辆、离退休干部用车0辆、其他用车0辆</w:t>
      </w:r>
      <w:r>
        <w:rPr>
          <w:rFonts w:hint="eastAsia" w:ascii="仿宋" w:hAnsi="仿宋" w:eastAsia="仿宋" w:cs="仿宋"/>
          <w:spacing w:val="0"/>
          <w:kern w:val="0"/>
          <w:sz w:val="32"/>
          <w:szCs w:val="32"/>
          <w:lang w:val="en-US" w:eastAsia="zh-CN"/>
        </w:rPr>
        <w:t>,</w:t>
      </w:r>
      <w:r>
        <w:rPr>
          <w:rFonts w:ascii="仿宋" w:hAnsi="仿宋" w:eastAsia="仿宋" w:cs="仿宋"/>
          <w:spacing w:val="0"/>
          <w:kern w:val="0"/>
          <w:sz w:val="32"/>
          <w:szCs w:val="32"/>
        </w:rPr>
        <w:t>单位价值100万元以上设备（不含车辆）0台（套）。</w:t>
      </w:r>
    </w:p>
    <w:p>
      <w:pPr>
        <w:pStyle w:val="26"/>
        <w:widowControl/>
        <w:spacing w:before="100" w:after="100"/>
        <w:ind w:left="0" w:right="0" w:firstLine="0"/>
        <w:jc w:val="left"/>
        <w:rPr>
          <w:rFonts w:ascii="Times New Roman" w:hAnsi="Times New Roman" w:eastAsia="Times New Roman" w:cs="Times New Roman"/>
          <w:spacing w:val="0"/>
          <w:kern w:val="0"/>
          <w:sz w:val="27"/>
          <w:szCs w:val="27"/>
        </w:rPr>
      </w:pPr>
    </w:p>
    <w:p>
      <w:pPr>
        <w:pStyle w:val="26"/>
        <w:widowControl/>
        <w:spacing w:before="100" w:after="100"/>
        <w:ind w:left="0" w:right="0" w:firstLine="0"/>
        <w:jc w:val="left"/>
        <w:rPr>
          <w:rFonts w:ascii="Times New Roman" w:hAnsi="Times New Roman" w:eastAsia="Times New Roman" w:cs="Times New Roman"/>
          <w:spacing w:val="0"/>
          <w:kern w:val="0"/>
          <w:sz w:val="27"/>
          <w:szCs w:val="27"/>
        </w:rPr>
      </w:pPr>
    </w:p>
    <w:p>
      <w:pPr>
        <w:pStyle w:val="26"/>
        <w:widowControl/>
        <w:spacing w:before="100" w:after="100"/>
        <w:ind w:left="0" w:right="0" w:firstLine="0"/>
        <w:jc w:val="left"/>
        <w:rPr>
          <w:rFonts w:ascii="Times New Roman" w:hAnsi="Times New Roman" w:eastAsia="Times New Roman" w:cs="Times New Roman"/>
          <w:spacing w:val="0"/>
          <w:kern w:val="0"/>
          <w:sz w:val="27"/>
          <w:szCs w:val="27"/>
        </w:rPr>
      </w:pPr>
    </w:p>
    <w:p>
      <w:pPr>
        <w:pStyle w:val="26"/>
        <w:widowControl/>
        <w:spacing w:before="100" w:after="100"/>
        <w:ind w:left="0" w:right="0" w:firstLine="0"/>
        <w:jc w:val="left"/>
        <w:rPr>
          <w:rFonts w:ascii="Times New Roman" w:hAnsi="Times New Roman" w:eastAsia="Times New Roman" w:cs="Times New Roman"/>
          <w:spacing w:val="0"/>
          <w:kern w:val="0"/>
          <w:sz w:val="27"/>
          <w:szCs w:val="27"/>
        </w:rPr>
      </w:pPr>
    </w:p>
    <w:p>
      <w:pPr>
        <w:pStyle w:val="4"/>
        <w:spacing w:before="100" w:after="100" w:line="240" w:lineRule="auto"/>
        <w:ind w:left="0" w:right="0" w:firstLine="0" w:firstLineChars="0"/>
        <w:jc w:val="center"/>
        <w:rPr>
          <w:rFonts w:ascii="Times New Roman" w:hAnsi="Times New Roman" w:eastAsia="Times New Roman" w:cs="Times New Roman"/>
          <w:b/>
          <w:bCs/>
          <w:kern w:val="0"/>
          <w:sz w:val="36"/>
          <w:szCs w:val="36"/>
        </w:rPr>
      </w:pPr>
      <w:bookmarkStart w:id="109" w:name="_Toc256000120"/>
      <w:bookmarkStart w:id="110" w:name="_Toc256000027"/>
      <w:bookmarkStart w:id="111" w:name="_Toc256000089"/>
      <w:bookmarkStart w:id="112" w:name="_Toc256000058"/>
      <w:r>
        <w:rPr>
          <w:rFonts w:ascii="黑体" w:hAnsi="黑体" w:eastAsia="黑体" w:cs="黑体"/>
          <w:b/>
          <w:spacing w:val="0"/>
          <w:sz w:val="36"/>
          <w:szCs w:val="36"/>
        </w:rPr>
        <w:t>第四部分</w:t>
      </w:r>
      <w:bookmarkEnd w:id="109"/>
      <w:bookmarkEnd w:id="110"/>
      <w:bookmarkEnd w:id="111"/>
      <w:bookmarkEnd w:id="112"/>
      <w:bookmarkStart w:id="113" w:name="_Toc256000121"/>
      <w:bookmarkStart w:id="114" w:name="_Toc256000059"/>
      <w:bookmarkStart w:id="115" w:name="_Toc256000090"/>
      <w:bookmarkStart w:id="116" w:name="_Toc256000028"/>
      <w:r>
        <w:rPr>
          <w:rFonts w:hint="eastAsia" w:ascii="黑体" w:hAnsi="黑体" w:eastAsia="黑体" w:cs="黑体"/>
          <w:b/>
          <w:spacing w:val="0"/>
          <w:sz w:val="36"/>
          <w:szCs w:val="36"/>
          <w:lang w:val="en-US" w:eastAsia="zh-CN"/>
        </w:rPr>
        <w:t xml:space="preserve">  </w:t>
      </w:r>
      <w:r>
        <w:rPr>
          <w:rFonts w:ascii="黑体" w:hAnsi="黑体" w:eastAsia="黑体" w:cs="黑体"/>
          <w:b/>
          <w:spacing w:val="0"/>
          <w:sz w:val="36"/>
          <w:szCs w:val="36"/>
        </w:rPr>
        <w:t>名词解释</w:t>
      </w:r>
      <w:bookmarkEnd w:id="113"/>
      <w:bookmarkEnd w:id="114"/>
      <w:bookmarkEnd w:id="115"/>
      <w:bookmarkEnd w:id="116"/>
    </w:p>
    <w:p>
      <w:pPr>
        <w:pStyle w:val="25"/>
        <w:widowControl/>
        <w:spacing w:before="100" w:after="100" w:line="600" w:lineRule="atLeast"/>
        <w:ind w:left="0" w:right="0" w:firstLine="710"/>
        <w:jc w:val="both"/>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一、财政拨款收入：</w:t>
      </w:r>
      <w:r>
        <w:rPr>
          <w:rFonts w:ascii="仿宋" w:hAnsi="仿宋" w:eastAsia="仿宋" w:cs="仿宋"/>
          <w:spacing w:val="0"/>
          <w:kern w:val="0"/>
          <w:sz w:val="32"/>
          <w:szCs w:val="32"/>
        </w:rPr>
        <w:t>指单位从本级财政单位取得的财政预算资金，包括一般公共预算财政拨款、政府性基金预算财政拨款和国有资本经营预算财政拨款。</w:t>
      </w:r>
    </w:p>
    <w:p>
      <w:pPr>
        <w:pStyle w:val="25"/>
        <w:widowControl/>
        <w:spacing w:before="100" w:after="100" w:line="600" w:lineRule="atLeast"/>
        <w:ind w:left="0" w:right="0" w:firstLine="710"/>
        <w:jc w:val="both"/>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二、事业收入：</w:t>
      </w:r>
      <w:r>
        <w:rPr>
          <w:rFonts w:ascii="仿宋" w:hAnsi="仿宋" w:eastAsia="仿宋" w:cs="仿宋"/>
          <w:spacing w:val="0"/>
          <w:kern w:val="0"/>
          <w:sz w:val="32"/>
          <w:szCs w:val="32"/>
        </w:rPr>
        <w:t>指事业单位开展专业业务活动及辅助活动所取得的收入。</w:t>
      </w:r>
    </w:p>
    <w:p>
      <w:pPr>
        <w:pStyle w:val="25"/>
        <w:widowControl/>
        <w:spacing w:before="100" w:after="100" w:line="600" w:lineRule="atLeast"/>
        <w:ind w:left="0" w:right="0" w:firstLine="710"/>
        <w:jc w:val="both"/>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三、经营收入：</w:t>
      </w:r>
      <w:r>
        <w:rPr>
          <w:rFonts w:ascii="仿宋" w:hAnsi="仿宋" w:eastAsia="仿宋" w:cs="仿宋"/>
          <w:spacing w:val="0"/>
          <w:kern w:val="0"/>
          <w:sz w:val="32"/>
          <w:szCs w:val="32"/>
        </w:rPr>
        <w:t>指事业单位在专业业务活动及其辅助活动之外开展非独立核算经营活动取得的收入。</w:t>
      </w:r>
    </w:p>
    <w:p>
      <w:pPr>
        <w:pStyle w:val="25"/>
        <w:widowControl/>
        <w:spacing w:before="100" w:after="100" w:line="600" w:lineRule="atLeast"/>
        <w:ind w:left="0" w:right="0" w:firstLine="710"/>
        <w:jc w:val="both"/>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四、其他收入：</w:t>
      </w:r>
      <w:r>
        <w:rPr>
          <w:rFonts w:ascii="仿宋" w:hAnsi="仿宋" w:eastAsia="仿宋" w:cs="仿宋"/>
          <w:spacing w:val="0"/>
          <w:kern w:val="0"/>
          <w:sz w:val="32"/>
          <w:szCs w:val="32"/>
        </w:rPr>
        <w:t>指除上述“财政拨款收入”“事业收入”</w:t>
      </w:r>
      <w:r>
        <w:rPr>
          <w:rFonts w:ascii="宋体" w:hAnsi="宋体" w:cs="宋体"/>
          <w:spacing w:val="0"/>
          <w:kern w:val="0"/>
          <w:szCs w:val="21"/>
        </w:rPr>
        <w:t> </w:t>
      </w:r>
      <w:r>
        <w:rPr>
          <w:rFonts w:ascii="仿宋" w:hAnsi="仿宋" w:eastAsia="仿宋" w:cs="仿宋"/>
          <w:spacing w:val="0"/>
          <w:kern w:val="0"/>
          <w:sz w:val="32"/>
          <w:szCs w:val="32"/>
        </w:rPr>
        <w:t>“上级补助收入”“附属单位上缴收入”“经营收入”等以外取得的各项收入。主要是事业单位固定资产出租收入等。</w:t>
      </w:r>
    </w:p>
    <w:p>
      <w:pPr>
        <w:pStyle w:val="25"/>
        <w:widowControl/>
        <w:spacing w:before="100" w:after="100" w:line="600" w:lineRule="atLeast"/>
        <w:ind w:left="0" w:right="0" w:firstLine="710"/>
        <w:jc w:val="both"/>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五、使用非财政拨款结余：</w:t>
      </w:r>
      <w:r>
        <w:rPr>
          <w:rFonts w:ascii="仿宋" w:hAnsi="仿宋" w:eastAsia="仿宋" w:cs="仿宋"/>
          <w:spacing w:val="0"/>
          <w:kern w:val="0"/>
          <w:sz w:val="32"/>
          <w:szCs w:val="32"/>
        </w:rPr>
        <w:t>指事业单位使用以前年度积累的非财政拨款结余弥补当年收支差额的金额。</w:t>
      </w:r>
    </w:p>
    <w:p>
      <w:pPr>
        <w:pStyle w:val="25"/>
        <w:widowControl/>
        <w:spacing w:before="100" w:after="100" w:line="600" w:lineRule="atLeast"/>
        <w:ind w:left="0" w:right="0" w:firstLine="710"/>
        <w:jc w:val="both"/>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六、年初结转和结余：</w:t>
      </w:r>
      <w:r>
        <w:rPr>
          <w:rFonts w:ascii="仿宋" w:hAnsi="仿宋" w:eastAsia="仿宋" w:cs="仿宋"/>
          <w:spacing w:val="0"/>
          <w:kern w:val="0"/>
          <w:sz w:val="32"/>
          <w:szCs w:val="32"/>
        </w:rPr>
        <w:t>指单位以前年度尚未完成、结转到本年仍按原规定用途继续使用的资金，或项目已完成等产生的结余资金。</w:t>
      </w:r>
    </w:p>
    <w:p>
      <w:pPr>
        <w:pStyle w:val="26"/>
        <w:widowControl/>
        <w:spacing w:before="100" w:after="100" w:line="600" w:lineRule="atLeast"/>
        <w:ind w:left="0" w:right="0" w:firstLine="640"/>
        <w:jc w:val="both"/>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七、结余分配：</w:t>
      </w:r>
      <w:r>
        <w:rPr>
          <w:rFonts w:ascii="仿宋" w:hAnsi="仿宋" w:eastAsia="仿宋" w:cs="仿宋"/>
          <w:spacing w:val="0"/>
          <w:kern w:val="0"/>
          <w:sz w:val="32"/>
          <w:szCs w:val="32"/>
        </w:rPr>
        <w:t>指事业单位按照会计制度规定缴纳的所得税、提取的专用结余以及转入非财政拨款结余的金额等。</w:t>
      </w:r>
    </w:p>
    <w:p>
      <w:pPr>
        <w:pStyle w:val="26"/>
        <w:widowControl/>
        <w:spacing w:before="100" w:after="100" w:line="600" w:lineRule="atLeast"/>
        <w:ind w:left="0" w:right="0" w:firstLine="640"/>
        <w:jc w:val="both"/>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八、年末结转和结余：</w:t>
      </w:r>
      <w:r>
        <w:rPr>
          <w:rFonts w:ascii="仿宋" w:hAnsi="仿宋" w:eastAsia="仿宋" w:cs="仿宋"/>
          <w:spacing w:val="0"/>
          <w:kern w:val="0"/>
          <w:sz w:val="32"/>
          <w:szCs w:val="32"/>
        </w:rPr>
        <w:t>指单位按有关规定结转到下年或以后年度继续使用的资金，或项目已完成等产生的结余资金。</w:t>
      </w:r>
    </w:p>
    <w:p>
      <w:pPr>
        <w:pStyle w:val="26"/>
        <w:widowControl/>
        <w:spacing w:before="100" w:after="100" w:line="600" w:lineRule="atLeast"/>
        <w:ind w:left="0" w:right="0" w:firstLine="640"/>
        <w:jc w:val="both"/>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九、基本支出：</w:t>
      </w:r>
      <w:r>
        <w:rPr>
          <w:rFonts w:ascii="仿宋" w:hAnsi="仿宋" w:eastAsia="仿宋" w:cs="仿宋"/>
          <w:spacing w:val="0"/>
          <w:kern w:val="0"/>
          <w:sz w:val="32"/>
          <w:szCs w:val="32"/>
        </w:rPr>
        <w:t>指为保障机构正常运转、完成日常工作任务而发生的人员支出和公用支出。</w:t>
      </w:r>
    </w:p>
    <w:p>
      <w:pPr>
        <w:pStyle w:val="26"/>
        <w:widowControl/>
        <w:spacing w:before="100" w:after="100" w:line="600" w:lineRule="atLeast"/>
        <w:ind w:left="0" w:right="0" w:firstLine="640"/>
        <w:jc w:val="both"/>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十、项目支出：</w:t>
      </w:r>
      <w:r>
        <w:rPr>
          <w:rFonts w:ascii="仿宋" w:hAnsi="仿宋" w:eastAsia="仿宋" w:cs="仿宋"/>
          <w:spacing w:val="0"/>
          <w:kern w:val="0"/>
          <w:sz w:val="32"/>
          <w:szCs w:val="32"/>
        </w:rPr>
        <w:t>指在基本支出之外为完成特定行政任务和事业发展目标所发生的支出。</w:t>
      </w:r>
    </w:p>
    <w:p>
      <w:pPr>
        <w:pStyle w:val="26"/>
        <w:widowControl/>
        <w:spacing w:before="100" w:after="100" w:line="600" w:lineRule="atLeast"/>
        <w:ind w:left="0" w:right="0" w:firstLine="640"/>
        <w:jc w:val="both"/>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十一、经营支出：</w:t>
      </w:r>
      <w:r>
        <w:rPr>
          <w:rFonts w:ascii="仿宋" w:hAnsi="仿宋" w:eastAsia="仿宋" w:cs="仿宋"/>
          <w:spacing w:val="0"/>
          <w:kern w:val="0"/>
          <w:sz w:val="32"/>
          <w:szCs w:val="32"/>
        </w:rPr>
        <w:t>指事业单位在专业业务活动及其辅助活动之外开展非独立核算经营活动发生的支出。</w:t>
      </w:r>
    </w:p>
    <w:p>
      <w:pPr>
        <w:pStyle w:val="26"/>
        <w:widowControl/>
        <w:spacing w:before="100" w:after="100" w:line="600" w:lineRule="atLeast"/>
        <w:ind w:left="0" w:right="0" w:firstLine="640"/>
        <w:jc w:val="both"/>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十二、“三公”经费：</w:t>
      </w:r>
      <w:r>
        <w:rPr>
          <w:rFonts w:ascii="仿宋" w:hAnsi="仿宋" w:eastAsia="仿宋" w:cs="仿宋"/>
          <w:spacing w:val="0"/>
          <w:kern w:val="0"/>
          <w:sz w:val="32"/>
          <w:szCs w:val="32"/>
        </w:rPr>
        <w:t>纳入本级财政预决算管理的“三公”经费，是指本级单位用一般公共预算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牌照费）及燃料费、维修费、过桥过路费、保险费、安全奖励费用等支出；公务接待费反映单位按规定开支的各类公务接待（含外宾接待）支出。</w:t>
      </w:r>
    </w:p>
    <w:p>
      <w:pPr>
        <w:pStyle w:val="26"/>
        <w:widowControl/>
        <w:spacing w:before="100" w:after="100"/>
        <w:ind w:left="0" w:right="0" w:firstLine="643" w:firstLineChars="200"/>
        <w:jc w:val="both"/>
        <w:rPr>
          <w:rStyle w:val="31"/>
          <w:rFonts w:ascii="仿宋" w:hAnsi="仿宋" w:eastAsia="仿宋" w:cs="仿宋"/>
          <w:b/>
          <w:bCs/>
          <w:spacing w:val="0"/>
          <w:kern w:val="0"/>
          <w:sz w:val="32"/>
          <w:szCs w:val="32"/>
        </w:rPr>
      </w:pPr>
      <w:r>
        <w:rPr>
          <w:rStyle w:val="31"/>
          <w:rFonts w:ascii="仿宋" w:hAnsi="仿宋" w:eastAsia="仿宋" w:cs="仿宋"/>
          <w:b/>
          <w:bCs/>
          <w:spacing w:val="0"/>
          <w:kern w:val="0"/>
          <w:sz w:val="32"/>
          <w:szCs w:val="32"/>
        </w:rPr>
        <w:t>十三、机关运行经费：</w:t>
      </w:r>
    </w:p>
    <w:p>
      <w:pPr>
        <w:pStyle w:val="26"/>
        <w:keepNext w:val="0"/>
        <w:keepLines w:val="0"/>
        <w:pageBreakBefore w:val="0"/>
        <w:widowControl/>
        <w:kinsoku/>
        <w:wordWrap/>
        <w:overflowPunct/>
        <w:topLinePunct w:val="0"/>
        <w:autoSpaceDE/>
        <w:autoSpaceDN/>
        <w:bidi w:val="0"/>
        <w:adjustRightInd/>
        <w:snapToGrid/>
        <w:spacing w:before="100" w:after="100" w:line="360" w:lineRule="auto"/>
        <w:ind w:left="0" w:right="0" w:firstLine="640" w:firstLineChars="200"/>
        <w:jc w:val="both"/>
        <w:textAlignment w:val="auto"/>
        <w:rPr>
          <w:rFonts w:ascii="仿宋" w:hAnsi="仿宋" w:eastAsia="仿宋" w:cs="仿宋"/>
          <w:spacing w:val="0"/>
          <w:kern w:val="0"/>
          <w:sz w:val="32"/>
          <w:szCs w:val="32"/>
        </w:rPr>
      </w:pPr>
      <w:r>
        <w:rPr>
          <w:rFonts w:ascii="仿宋" w:hAnsi="仿宋" w:eastAsia="仿宋" w:cs="仿宋"/>
          <w:spacing w:val="0"/>
          <w:kern w:val="0"/>
          <w:sz w:val="32"/>
          <w:szCs w:val="32"/>
        </w:rPr>
        <w:t>为保障行政单位（含参照公务员法管理的事业单位）运行用于购买货物和服务的各项资金，包括办公及印刷费、邮电费、差旅费、会议费、福利费、日常维修费、专用材料及一般设备购置</w:t>
      </w:r>
    </w:p>
    <w:p>
      <w:pPr>
        <w:pStyle w:val="26"/>
        <w:keepNext w:val="0"/>
        <w:keepLines w:val="0"/>
        <w:pageBreakBefore w:val="0"/>
        <w:widowControl/>
        <w:kinsoku/>
        <w:wordWrap/>
        <w:overflowPunct/>
        <w:topLinePunct w:val="0"/>
        <w:autoSpaceDE/>
        <w:autoSpaceDN/>
        <w:bidi w:val="0"/>
        <w:adjustRightInd/>
        <w:snapToGrid/>
        <w:spacing w:before="100" w:after="100" w:line="360" w:lineRule="auto"/>
        <w:ind w:right="0"/>
        <w:jc w:val="both"/>
        <w:textAlignment w:val="auto"/>
        <w:rPr>
          <w:rFonts w:ascii="Times New Roman" w:hAnsi="Times New Roman" w:eastAsia="Times New Roman" w:cs="Times New Roman"/>
          <w:spacing w:val="0"/>
          <w:kern w:val="0"/>
          <w:sz w:val="27"/>
          <w:szCs w:val="27"/>
        </w:rPr>
      </w:pPr>
      <w:r>
        <w:rPr>
          <w:rFonts w:ascii="仿宋" w:hAnsi="仿宋" w:eastAsia="仿宋" w:cs="仿宋"/>
          <w:spacing w:val="0"/>
          <w:kern w:val="0"/>
          <w:sz w:val="32"/>
          <w:szCs w:val="32"/>
        </w:rPr>
        <w:t>费、办公用房水电费、办公用房取暖费、办公用房物业管理费、公务用车运行维护费以及其他费用。</w:t>
      </w:r>
    </w:p>
    <w:p>
      <w:pPr>
        <w:pStyle w:val="26"/>
        <w:widowControl/>
        <w:spacing w:before="100" w:after="100"/>
        <w:ind w:left="0" w:right="0" w:firstLine="0"/>
        <w:jc w:val="left"/>
        <w:rPr>
          <w:rFonts w:ascii="Times New Roman" w:hAnsi="Times New Roman" w:eastAsia="Times New Roman" w:cs="Times New Roman"/>
          <w:spacing w:val="0"/>
          <w:kern w:val="0"/>
          <w:sz w:val="27"/>
          <w:szCs w:val="27"/>
        </w:rPr>
      </w:pPr>
    </w:p>
    <w:p>
      <w:pPr>
        <w:pStyle w:val="26"/>
        <w:widowControl/>
        <w:spacing w:before="100" w:after="100"/>
        <w:ind w:left="0" w:right="0" w:firstLine="0"/>
        <w:jc w:val="left"/>
        <w:rPr>
          <w:rFonts w:ascii="Times New Roman" w:hAnsi="Times New Roman" w:eastAsia="Times New Roman" w:cs="Times New Roman"/>
          <w:spacing w:val="0"/>
          <w:kern w:val="0"/>
          <w:sz w:val="27"/>
          <w:szCs w:val="27"/>
        </w:rPr>
      </w:pPr>
    </w:p>
    <w:p>
      <w:pPr>
        <w:pStyle w:val="26"/>
        <w:widowControl/>
        <w:spacing w:before="100" w:after="100"/>
        <w:ind w:left="0" w:right="0" w:firstLine="0"/>
        <w:jc w:val="left"/>
        <w:rPr>
          <w:rFonts w:ascii="Times New Roman" w:hAnsi="Times New Roman" w:eastAsia="Times New Roman" w:cs="Times New Roman"/>
          <w:spacing w:val="0"/>
          <w:kern w:val="0"/>
          <w:sz w:val="27"/>
          <w:szCs w:val="27"/>
        </w:rPr>
      </w:pPr>
    </w:p>
    <w:p>
      <w:pPr>
        <w:sectPr>
          <w:footerReference r:id="rId10" w:type="default"/>
          <w:pgSz w:w="11906" w:h="16383"/>
          <w:pgMar w:top="1803" w:right="1440" w:bottom="1803" w:left="1440" w:header="720" w:footer="720" w:gutter="0"/>
          <w:pgBorders>
            <w:top w:val="none" w:sz="0" w:space="0"/>
            <w:left w:val="none" w:sz="0" w:space="0"/>
            <w:bottom w:val="none" w:sz="0" w:space="0"/>
            <w:right w:val="none" w:sz="0" w:space="0"/>
          </w:pgBorders>
          <w:cols w:space="720" w:num="1"/>
          <w:docGrid w:linePitch="1" w:charSpace="0"/>
        </w:sectPr>
      </w:pP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p>
      <w:pPr>
        <w:pStyle w:val="4"/>
        <w:spacing w:before="299" w:after="299" w:line="240" w:lineRule="auto"/>
        <w:ind w:firstLine="0" w:firstLineChars="0"/>
        <w:jc w:val="center"/>
        <w:rPr>
          <w:rFonts w:ascii="Times New Roman" w:hAnsi="Times New Roman" w:eastAsia="Times New Roman" w:cs="Times New Roman"/>
          <w:b/>
          <w:bCs/>
          <w:kern w:val="0"/>
          <w:sz w:val="36"/>
          <w:szCs w:val="36"/>
        </w:rPr>
      </w:pPr>
      <w:bookmarkStart w:id="117" w:name="_Toc256000122"/>
      <w:bookmarkStart w:id="118" w:name="_Toc256000091"/>
      <w:bookmarkStart w:id="119" w:name="_Toc256000029"/>
      <w:bookmarkStart w:id="120" w:name="_Toc256000060"/>
      <w:r>
        <w:rPr>
          <w:rFonts w:ascii="黑体" w:hAnsi="黑体" w:eastAsia="黑体" w:cs="黑体"/>
          <w:b/>
          <w:sz w:val="36"/>
          <w:szCs w:val="36"/>
        </w:rPr>
        <w:t>第五部分</w:t>
      </w:r>
      <w:bookmarkEnd w:id="117"/>
      <w:bookmarkEnd w:id="118"/>
      <w:bookmarkEnd w:id="119"/>
      <w:bookmarkEnd w:id="120"/>
      <w:r>
        <w:rPr>
          <w:rFonts w:ascii="Calibri" w:hAnsi="Calibri" w:eastAsia="Calibri" w:cs="Calibri"/>
          <w:b/>
          <w:sz w:val="36"/>
          <w:szCs w:val="36"/>
        </w:rPr>
        <w:t> </w:t>
      </w:r>
      <w:bookmarkStart w:id="121" w:name="_Toc256000092"/>
      <w:bookmarkStart w:id="122" w:name="_Toc256000030"/>
      <w:bookmarkStart w:id="123" w:name="_Toc256000123"/>
      <w:bookmarkStart w:id="124" w:name="_Toc256000061"/>
      <w:r>
        <w:rPr>
          <w:rFonts w:hint="eastAsia" w:ascii="Calibri" w:hAnsi="Calibri" w:eastAsia="宋体" w:cs="Calibri"/>
          <w:b/>
          <w:sz w:val="36"/>
          <w:szCs w:val="36"/>
          <w:lang w:val="en-US" w:eastAsia="zh-CN"/>
        </w:rPr>
        <w:t xml:space="preserve">  </w:t>
      </w:r>
      <w:r>
        <w:rPr>
          <w:rFonts w:ascii="黑体" w:hAnsi="黑体" w:eastAsia="黑体" w:cs="黑体"/>
          <w:b/>
          <w:sz w:val="36"/>
          <w:szCs w:val="36"/>
        </w:rPr>
        <w:t>附件</w:t>
      </w:r>
      <w:bookmarkEnd w:id="121"/>
      <w:bookmarkEnd w:id="122"/>
      <w:bookmarkEnd w:id="123"/>
      <w:bookmarkEnd w:id="124"/>
    </w:p>
    <w:p>
      <w:pPr>
        <w:pStyle w:val="2"/>
      </w:pPr>
    </w:p>
    <w:tbl>
      <w:tblPr>
        <w:tblStyle w:val="23"/>
        <w:tblW w:w="924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94"/>
        <w:gridCol w:w="628"/>
        <w:gridCol w:w="1857"/>
        <w:gridCol w:w="1036"/>
        <w:gridCol w:w="627"/>
        <w:gridCol w:w="837"/>
        <w:gridCol w:w="730"/>
        <w:gridCol w:w="625"/>
        <w:gridCol w:w="634"/>
        <w:gridCol w:w="421"/>
        <w:gridCol w:w="75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9242" w:type="dxa"/>
            <w:gridSpan w:val="11"/>
            <w:tcBorders>
              <w:top w:val="nil"/>
              <w:left w:val="nil"/>
              <w:bottom w:val="nil"/>
              <w:right w:val="nil"/>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部门（单位）项目支出绩效自评表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42" w:type="dxa"/>
            <w:gridSpan w:val="11"/>
            <w:tcBorders>
              <w:top w:val="nil"/>
              <w:left w:val="nil"/>
              <w:bottom w:val="nil"/>
              <w:right w:val="nil"/>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1094" w:type="dxa"/>
            <w:tcBorders>
              <w:top w:val="nil"/>
              <w:left w:val="nil"/>
              <w:bottom w:val="single" w:color="000000" w:sz="4" w:space="0"/>
              <w:right w:val="nil"/>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预算单位（盖章）：                                                                                                  </w:t>
            </w:r>
          </w:p>
        </w:tc>
        <w:tc>
          <w:tcPr>
            <w:tcW w:w="628" w:type="dxa"/>
            <w:tcBorders>
              <w:top w:val="nil"/>
              <w:left w:val="nil"/>
              <w:bottom w:val="single" w:color="000000" w:sz="4" w:space="0"/>
              <w:right w:val="nil"/>
            </w:tcBorders>
            <w:noWrap/>
            <w:vAlign w:val="center"/>
          </w:tcPr>
          <w:p>
            <w:pPr>
              <w:rPr>
                <w:rFonts w:hint="eastAsia" w:ascii="宋体" w:hAnsi="宋体" w:eastAsia="宋体" w:cs="宋体"/>
                <w:i w:val="0"/>
                <w:iCs w:val="0"/>
                <w:color w:val="000000"/>
                <w:sz w:val="16"/>
                <w:szCs w:val="16"/>
                <w:u w:val="none"/>
              </w:rPr>
            </w:pPr>
          </w:p>
        </w:tc>
        <w:tc>
          <w:tcPr>
            <w:tcW w:w="1857" w:type="dxa"/>
            <w:tcBorders>
              <w:top w:val="nil"/>
              <w:left w:val="nil"/>
              <w:bottom w:val="single" w:color="000000" w:sz="4" w:space="0"/>
              <w:right w:val="nil"/>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厦门市华昌小学</w:t>
            </w:r>
          </w:p>
        </w:tc>
        <w:tc>
          <w:tcPr>
            <w:tcW w:w="1036" w:type="dxa"/>
            <w:tcBorders>
              <w:top w:val="nil"/>
              <w:left w:val="nil"/>
              <w:bottom w:val="single" w:color="000000" w:sz="4" w:space="0"/>
              <w:right w:val="nil"/>
            </w:tcBorders>
            <w:noWrap/>
            <w:vAlign w:val="center"/>
          </w:tcPr>
          <w:p>
            <w:pPr>
              <w:rPr>
                <w:rFonts w:hint="eastAsia" w:ascii="宋体" w:hAnsi="宋体" w:eastAsia="宋体" w:cs="宋体"/>
                <w:i w:val="0"/>
                <w:iCs w:val="0"/>
                <w:color w:val="000000"/>
                <w:sz w:val="16"/>
                <w:szCs w:val="16"/>
                <w:u w:val="none"/>
              </w:rPr>
            </w:pPr>
          </w:p>
        </w:tc>
        <w:tc>
          <w:tcPr>
            <w:tcW w:w="627" w:type="dxa"/>
            <w:tcBorders>
              <w:top w:val="nil"/>
              <w:left w:val="nil"/>
              <w:bottom w:val="single" w:color="000000" w:sz="4" w:space="0"/>
              <w:right w:val="nil"/>
            </w:tcBorders>
            <w:noWrap/>
            <w:vAlign w:val="center"/>
          </w:tcPr>
          <w:p>
            <w:pPr>
              <w:rPr>
                <w:rFonts w:hint="eastAsia" w:ascii="宋体" w:hAnsi="宋体" w:eastAsia="宋体" w:cs="宋体"/>
                <w:i w:val="0"/>
                <w:iCs w:val="0"/>
                <w:color w:val="000000"/>
                <w:sz w:val="16"/>
                <w:szCs w:val="16"/>
                <w:u w:val="none"/>
              </w:rPr>
            </w:pPr>
          </w:p>
        </w:tc>
        <w:tc>
          <w:tcPr>
            <w:tcW w:w="837" w:type="dxa"/>
            <w:tcBorders>
              <w:top w:val="nil"/>
              <w:left w:val="nil"/>
              <w:bottom w:val="single" w:color="000000" w:sz="4" w:space="0"/>
              <w:right w:val="nil"/>
            </w:tcBorders>
            <w:noWrap/>
            <w:vAlign w:val="center"/>
          </w:tcPr>
          <w:p>
            <w:pPr>
              <w:jc w:val="center"/>
              <w:rPr>
                <w:rFonts w:hint="eastAsia" w:ascii="宋体" w:hAnsi="宋体" w:eastAsia="宋体" w:cs="宋体"/>
                <w:i w:val="0"/>
                <w:iCs w:val="0"/>
                <w:color w:val="000000"/>
                <w:sz w:val="16"/>
                <w:szCs w:val="16"/>
                <w:u w:val="none"/>
              </w:rPr>
            </w:pPr>
          </w:p>
        </w:tc>
        <w:tc>
          <w:tcPr>
            <w:tcW w:w="730" w:type="dxa"/>
            <w:tcBorders>
              <w:top w:val="nil"/>
              <w:left w:val="nil"/>
              <w:bottom w:val="single" w:color="000000" w:sz="4" w:space="0"/>
              <w:right w:val="nil"/>
            </w:tcBorders>
            <w:noWrap/>
            <w:vAlign w:val="center"/>
          </w:tcPr>
          <w:p>
            <w:pPr>
              <w:rPr>
                <w:rFonts w:hint="eastAsia" w:ascii="宋体" w:hAnsi="宋体" w:eastAsia="宋体" w:cs="宋体"/>
                <w:i w:val="0"/>
                <w:iCs w:val="0"/>
                <w:color w:val="000000"/>
                <w:sz w:val="16"/>
                <w:szCs w:val="16"/>
                <w:u w:val="none"/>
              </w:rPr>
            </w:pPr>
          </w:p>
        </w:tc>
        <w:tc>
          <w:tcPr>
            <w:tcW w:w="625" w:type="dxa"/>
            <w:tcBorders>
              <w:top w:val="nil"/>
              <w:left w:val="nil"/>
              <w:bottom w:val="single" w:color="000000" w:sz="4" w:space="0"/>
              <w:right w:val="nil"/>
            </w:tcBorders>
            <w:noWrap/>
            <w:vAlign w:val="center"/>
          </w:tcPr>
          <w:p>
            <w:pPr>
              <w:rPr>
                <w:rFonts w:hint="eastAsia" w:ascii="宋体" w:hAnsi="宋体" w:eastAsia="宋体" w:cs="宋体"/>
                <w:i w:val="0"/>
                <w:iCs w:val="0"/>
                <w:color w:val="000000"/>
                <w:sz w:val="16"/>
                <w:szCs w:val="16"/>
                <w:u w:val="none"/>
              </w:rPr>
            </w:pPr>
          </w:p>
        </w:tc>
        <w:tc>
          <w:tcPr>
            <w:tcW w:w="634" w:type="dxa"/>
            <w:tcBorders>
              <w:top w:val="nil"/>
              <w:left w:val="nil"/>
              <w:bottom w:val="single" w:color="000000" w:sz="4" w:space="0"/>
              <w:right w:val="nil"/>
            </w:tcBorders>
            <w:noWrap/>
            <w:vAlign w:val="center"/>
          </w:tcPr>
          <w:p>
            <w:pPr>
              <w:rPr>
                <w:rFonts w:hint="eastAsia" w:ascii="宋体" w:hAnsi="宋体" w:eastAsia="宋体" w:cs="宋体"/>
                <w:i w:val="0"/>
                <w:iCs w:val="0"/>
                <w:color w:val="000000"/>
                <w:sz w:val="16"/>
                <w:szCs w:val="16"/>
                <w:u w:val="none"/>
              </w:rPr>
            </w:pPr>
          </w:p>
        </w:tc>
        <w:tc>
          <w:tcPr>
            <w:tcW w:w="421" w:type="dxa"/>
            <w:tcBorders>
              <w:top w:val="nil"/>
              <w:left w:val="nil"/>
              <w:bottom w:val="single" w:color="000000" w:sz="4" w:space="0"/>
              <w:right w:val="nil"/>
            </w:tcBorders>
            <w:noWrap/>
            <w:vAlign w:val="center"/>
          </w:tcPr>
          <w:p>
            <w:pPr>
              <w:rPr>
                <w:rFonts w:hint="eastAsia" w:ascii="宋体" w:hAnsi="宋体" w:eastAsia="宋体" w:cs="宋体"/>
                <w:i w:val="0"/>
                <w:iCs w:val="0"/>
                <w:color w:val="000000"/>
                <w:sz w:val="16"/>
                <w:szCs w:val="16"/>
                <w:u w:val="none"/>
              </w:rPr>
            </w:pPr>
          </w:p>
        </w:tc>
        <w:tc>
          <w:tcPr>
            <w:tcW w:w="753" w:type="dxa"/>
            <w:tcBorders>
              <w:top w:val="nil"/>
              <w:left w:val="nil"/>
              <w:bottom w:val="single" w:color="000000" w:sz="4" w:space="0"/>
              <w:right w:val="nil"/>
            </w:tcBorders>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1722" w:type="dxa"/>
            <w:gridSpan w:val="2"/>
            <w:tcBorders>
              <w:top w:val="nil"/>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1857" w:type="dxa"/>
            <w:tcBorders>
              <w:top w:val="single" w:color="000000" w:sz="4" w:space="0"/>
              <w:left w:val="single" w:color="000000" w:sz="4" w:space="0"/>
              <w:bottom w:val="single" w:color="000000" w:sz="4" w:space="0"/>
              <w:right w:val="nil"/>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义务教育阶段家庭经济困难学生营养餐补助</w:t>
            </w:r>
          </w:p>
        </w:tc>
        <w:tc>
          <w:tcPr>
            <w:tcW w:w="1036" w:type="dxa"/>
            <w:tcBorders>
              <w:top w:val="single" w:color="000000" w:sz="4" w:space="0"/>
              <w:left w:val="nil"/>
              <w:bottom w:val="single" w:color="000000" w:sz="4" w:space="0"/>
              <w:right w:val="nil"/>
            </w:tcBorders>
            <w:noWrap/>
            <w:vAlign w:val="center"/>
          </w:tcPr>
          <w:p>
            <w:pPr>
              <w:rPr>
                <w:rFonts w:hint="eastAsia" w:ascii="宋体" w:hAnsi="宋体" w:eastAsia="宋体" w:cs="宋体"/>
                <w:i w:val="0"/>
                <w:iCs w:val="0"/>
                <w:color w:val="000000"/>
                <w:sz w:val="18"/>
                <w:szCs w:val="18"/>
                <w:u w:val="none"/>
              </w:rPr>
            </w:pPr>
          </w:p>
        </w:tc>
        <w:tc>
          <w:tcPr>
            <w:tcW w:w="627" w:type="dxa"/>
            <w:tcBorders>
              <w:top w:val="single" w:color="000000" w:sz="4" w:space="0"/>
              <w:left w:val="nil"/>
              <w:bottom w:val="single" w:color="000000" w:sz="4" w:space="0"/>
              <w:right w:val="nil"/>
            </w:tcBorders>
            <w:noWrap/>
            <w:vAlign w:val="center"/>
          </w:tcPr>
          <w:p>
            <w:pPr>
              <w:rPr>
                <w:rFonts w:hint="eastAsia" w:ascii="宋体" w:hAnsi="宋体" w:eastAsia="宋体" w:cs="宋体"/>
                <w:i w:val="0"/>
                <w:iCs w:val="0"/>
                <w:color w:val="000000"/>
                <w:sz w:val="18"/>
                <w:szCs w:val="18"/>
                <w:u w:val="none"/>
              </w:rPr>
            </w:pPr>
          </w:p>
        </w:tc>
        <w:tc>
          <w:tcPr>
            <w:tcW w:w="837" w:type="dxa"/>
            <w:tcBorders>
              <w:top w:val="single" w:color="000000" w:sz="4" w:space="0"/>
              <w:left w:val="nil"/>
              <w:bottom w:val="single" w:color="000000" w:sz="4" w:space="0"/>
              <w:right w:val="nil"/>
            </w:tcBorders>
            <w:noWrap/>
            <w:vAlign w:val="center"/>
          </w:tcPr>
          <w:p>
            <w:pPr>
              <w:jc w:val="center"/>
              <w:rPr>
                <w:rFonts w:hint="eastAsia" w:ascii="宋体" w:hAnsi="宋体" w:eastAsia="宋体" w:cs="宋体"/>
                <w:i w:val="0"/>
                <w:iCs w:val="0"/>
                <w:color w:val="000000"/>
                <w:sz w:val="18"/>
                <w:szCs w:val="18"/>
                <w:u w:val="none"/>
              </w:rPr>
            </w:pPr>
          </w:p>
        </w:tc>
        <w:tc>
          <w:tcPr>
            <w:tcW w:w="73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自评年度</w:t>
            </w:r>
          </w:p>
        </w:tc>
        <w:tc>
          <w:tcPr>
            <w:tcW w:w="2433" w:type="dxa"/>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2024年1月1日-2024年12月31日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172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4357" w:type="dxa"/>
            <w:gridSpan w:val="4"/>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湖里区教育局</w:t>
            </w:r>
          </w:p>
        </w:tc>
        <w:tc>
          <w:tcPr>
            <w:tcW w:w="7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433" w:type="dxa"/>
            <w:gridSpan w:val="4"/>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厦门市华昌小学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72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年度预算执行情况</w:t>
            </w:r>
          </w:p>
        </w:tc>
        <w:tc>
          <w:tcPr>
            <w:tcW w:w="18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000000"/>
                <w:sz w:val="18"/>
                <w:szCs w:val="18"/>
                <w:u w:val="none"/>
              </w:rPr>
            </w:pPr>
          </w:p>
        </w:tc>
        <w:tc>
          <w:tcPr>
            <w:tcW w:w="10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已调整数</w:t>
            </w:r>
          </w:p>
        </w:tc>
        <w:tc>
          <w:tcPr>
            <w:tcW w:w="8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调整后预算数</w:t>
            </w:r>
          </w:p>
        </w:tc>
        <w:tc>
          <w:tcPr>
            <w:tcW w:w="7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634"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设置分值</w:t>
            </w:r>
          </w:p>
        </w:tc>
        <w:tc>
          <w:tcPr>
            <w:tcW w:w="4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c>
          <w:tcPr>
            <w:tcW w:w="7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存在问题及原因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0" w:hRule="atLeast"/>
        </w:trPr>
        <w:tc>
          <w:tcPr>
            <w:tcW w:w="172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b/>
                <w:bCs/>
                <w:i w:val="0"/>
                <w:iCs w:val="0"/>
                <w:color w:val="000000"/>
                <w:sz w:val="18"/>
                <w:szCs w:val="18"/>
                <w:u w:val="none"/>
              </w:rPr>
            </w:pPr>
          </w:p>
        </w:tc>
        <w:tc>
          <w:tcPr>
            <w:tcW w:w="18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10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0.12</w:t>
            </w:r>
          </w:p>
        </w:tc>
        <w:tc>
          <w:tcPr>
            <w:tcW w:w="6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0.12</w:t>
            </w:r>
          </w:p>
        </w:tc>
        <w:tc>
          <w:tcPr>
            <w:tcW w:w="7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0.036</w:t>
            </w:r>
          </w:p>
        </w:tc>
        <w:tc>
          <w:tcPr>
            <w:tcW w:w="6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634"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7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只有一个困难生</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在校用餐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0" w:hRule="atLeast"/>
        </w:trPr>
        <w:tc>
          <w:tcPr>
            <w:tcW w:w="172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b/>
                <w:bCs/>
                <w:i w:val="0"/>
                <w:iCs w:val="0"/>
                <w:color w:val="000000"/>
                <w:sz w:val="18"/>
                <w:szCs w:val="18"/>
                <w:u w:val="none"/>
              </w:rPr>
            </w:pPr>
          </w:p>
        </w:tc>
        <w:tc>
          <w:tcPr>
            <w:tcW w:w="18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10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0.12</w:t>
            </w:r>
          </w:p>
        </w:tc>
        <w:tc>
          <w:tcPr>
            <w:tcW w:w="62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0.12</w:t>
            </w:r>
          </w:p>
        </w:tc>
        <w:tc>
          <w:tcPr>
            <w:tcW w:w="7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0.036</w:t>
            </w:r>
          </w:p>
        </w:tc>
        <w:tc>
          <w:tcPr>
            <w:tcW w:w="6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634"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0" w:hRule="atLeast"/>
        </w:trPr>
        <w:tc>
          <w:tcPr>
            <w:tcW w:w="172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bCs/>
                <w:i w:val="0"/>
                <w:iCs w:val="0"/>
                <w:color w:val="000000"/>
                <w:sz w:val="18"/>
                <w:szCs w:val="18"/>
                <w:u w:val="none"/>
              </w:rPr>
            </w:pPr>
          </w:p>
        </w:tc>
        <w:tc>
          <w:tcPr>
            <w:tcW w:w="185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上年结转资金</w:t>
            </w:r>
          </w:p>
        </w:tc>
        <w:tc>
          <w:tcPr>
            <w:tcW w:w="103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18"/>
                <w:szCs w:val="18"/>
                <w:u w:val="none"/>
              </w:rPr>
            </w:pPr>
          </w:p>
        </w:tc>
        <w:tc>
          <w:tcPr>
            <w:tcW w:w="627"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18"/>
                <w:szCs w:val="18"/>
                <w:u w:val="none"/>
              </w:rPr>
            </w:pPr>
          </w:p>
        </w:tc>
        <w:tc>
          <w:tcPr>
            <w:tcW w:w="83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18"/>
                <w:szCs w:val="18"/>
                <w:u w:val="none"/>
              </w:rPr>
            </w:pPr>
          </w:p>
        </w:tc>
        <w:tc>
          <w:tcPr>
            <w:tcW w:w="73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18"/>
                <w:szCs w:val="18"/>
                <w:u w:val="none"/>
              </w:rPr>
            </w:pPr>
          </w:p>
        </w:tc>
        <w:tc>
          <w:tcPr>
            <w:tcW w:w="634" w:type="dxa"/>
            <w:tcBorders>
              <w:top w:val="single" w:color="000000" w:sz="4" w:space="0"/>
              <w:left w:val="single" w:color="000000" w:sz="4" w:space="0"/>
              <w:bottom w:val="single" w:color="000000" w:sz="4" w:space="0"/>
              <w:right w:val="nil"/>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2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3"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0" w:hRule="atLeast"/>
        </w:trPr>
        <w:tc>
          <w:tcPr>
            <w:tcW w:w="172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bCs/>
                <w:i w:val="0"/>
                <w:iCs w:val="0"/>
                <w:color w:val="000000"/>
                <w:sz w:val="18"/>
                <w:szCs w:val="18"/>
                <w:u w:val="none"/>
              </w:rPr>
            </w:pPr>
          </w:p>
        </w:tc>
        <w:tc>
          <w:tcPr>
            <w:tcW w:w="185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103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18"/>
                <w:szCs w:val="18"/>
                <w:u w:val="none"/>
              </w:rPr>
            </w:pPr>
          </w:p>
        </w:tc>
        <w:tc>
          <w:tcPr>
            <w:tcW w:w="627"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18"/>
                <w:szCs w:val="18"/>
                <w:u w:val="none"/>
              </w:rPr>
            </w:pPr>
          </w:p>
        </w:tc>
        <w:tc>
          <w:tcPr>
            <w:tcW w:w="83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18"/>
                <w:szCs w:val="18"/>
                <w:u w:val="none"/>
              </w:rPr>
            </w:pPr>
          </w:p>
        </w:tc>
        <w:tc>
          <w:tcPr>
            <w:tcW w:w="73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18"/>
                <w:szCs w:val="18"/>
                <w:u w:val="none"/>
              </w:rPr>
            </w:pPr>
          </w:p>
        </w:tc>
        <w:tc>
          <w:tcPr>
            <w:tcW w:w="62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18"/>
                <w:szCs w:val="18"/>
                <w:u w:val="none"/>
              </w:rPr>
            </w:pPr>
          </w:p>
        </w:tc>
        <w:tc>
          <w:tcPr>
            <w:tcW w:w="634" w:type="dxa"/>
            <w:tcBorders>
              <w:top w:val="single" w:color="000000" w:sz="4" w:space="0"/>
              <w:left w:val="single" w:color="000000" w:sz="4" w:space="0"/>
              <w:bottom w:val="single" w:color="000000" w:sz="4" w:space="0"/>
              <w:right w:val="nil"/>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2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3"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109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总体</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目标</w:t>
            </w:r>
          </w:p>
        </w:tc>
        <w:tc>
          <w:tcPr>
            <w:tcW w:w="4985" w:type="dxa"/>
            <w:gridSpan w:val="5"/>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3163" w:type="dxa"/>
            <w:gridSpan w:val="5"/>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109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bCs/>
                <w:i w:val="0"/>
                <w:iCs w:val="0"/>
                <w:color w:val="000000"/>
                <w:sz w:val="18"/>
                <w:szCs w:val="18"/>
                <w:u w:val="none"/>
              </w:rPr>
            </w:pPr>
          </w:p>
        </w:tc>
        <w:tc>
          <w:tcPr>
            <w:tcW w:w="4985" w:type="dxa"/>
            <w:gridSpan w:val="5"/>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厦门市教育局等五部门关于印发《厦门市学生资助资金管理实施办法》的通知（厦教发〔2022〕83号）及厦门市教育局等八部门关于印发《厦门市家庭经济困难学生认定办法》的通知（厦教规【2022】3号）等文件，对义务教育阶段公办校（学校提供午餐）家庭经济困难学生营养餐补助，确保补助工作顺利实施。</w:t>
            </w:r>
          </w:p>
        </w:tc>
        <w:tc>
          <w:tcPr>
            <w:tcW w:w="3163" w:type="dxa"/>
            <w:gridSpan w:val="5"/>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2024年完成春、秋两季关于我区义务教育阶段公办校（学校提供午餐）家庭经济困难学生营养餐补助对象审核及资金下拨。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560" w:hRule="atLeast"/>
        </w:trPr>
        <w:tc>
          <w:tcPr>
            <w:tcW w:w="109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bCs/>
                <w:i w:val="0"/>
                <w:iCs w:val="0"/>
                <w:color w:val="000000"/>
                <w:sz w:val="18"/>
                <w:szCs w:val="18"/>
                <w:u w:val="none"/>
              </w:rPr>
            </w:pPr>
          </w:p>
        </w:tc>
        <w:tc>
          <w:tcPr>
            <w:tcW w:w="4985" w:type="dxa"/>
            <w:gridSpan w:val="5"/>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c>
          <w:tcPr>
            <w:tcW w:w="3163" w:type="dxa"/>
            <w:gridSpan w:val="5"/>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5" w:hRule="atLeast"/>
        </w:trPr>
        <w:tc>
          <w:tcPr>
            <w:tcW w:w="1094"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18"/>
                <w:szCs w:val="18"/>
                <w:u w:val="none"/>
              </w:rPr>
            </w:pPr>
          </w:p>
        </w:tc>
        <w:tc>
          <w:tcPr>
            <w:tcW w:w="6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85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03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62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指标类型</w:t>
            </w:r>
          </w:p>
        </w:tc>
        <w:tc>
          <w:tcPr>
            <w:tcW w:w="8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绩效目标值</w:t>
            </w:r>
          </w:p>
        </w:tc>
        <w:tc>
          <w:tcPr>
            <w:tcW w:w="73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实际完成值</w:t>
            </w:r>
          </w:p>
        </w:tc>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完成比例</w:t>
            </w:r>
          </w:p>
        </w:tc>
        <w:tc>
          <w:tcPr>
            <w:tcW w:w="634" w:type="dxa"/>
            <w:tcBorders>
              <w:top w:val="single" w:color="000000" w:sz="4" w:space="0"/>
              <w:left w:val="single" w:color="000000" w:sz="4" w:space="0"/>
              <w:bottom w:val="single" w:color="000000" w:sz="4" w:space="0"/>
              <w:right w:val="nil"/>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设置分值</w:t>
            </w:r>
          </w:p>
        </w:tc>
        <w:tc>
          <w:tcPr>
            <w:tcW w:w="42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c>
          <w:tcPr>
            <w:tcW w:w="7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存在问题及原因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60" w:hRule="atLeast"/>
        </w:trPr>
        <w:tc>
          <w:tcPr>
            <w:tcW w:w="1094"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绩</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效</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指</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标</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完</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成</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情</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况</w:t>
            </w:r>
          </w:p>
        </w:tc>
        <w:tc>
          <w:tcPr>
            <w:tcW w:w="62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产出指标</w:t>
            </w:r>
          </w:p>
        </w:tc>
        <w:tc>
          <w:tcPr>
            <w:tcW w:w="1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03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审核义务教育阶段受助学生</w:t>
            </w:r>
          </w:p>
        </w:tc>
        <w:tc>
          <w:tcPr>
            <w:tcW w:w="6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ascii="宋体" w:hAnsi="宋体" w:eastAsia="宋体" w:cs="宋体"/>
                <w:i w:val="0"/>
                <w:iCs w:val="0"/>
                <w:color w:val="000000"/>
                <w:sz w:val="13"/>
                <w:szCs w:val="13"/>
                <w:u w:val="none"/>
              </w:rPr>
            </w:pPr>
            <w:r>
              <w:rPr>
                <w:rFonts w:ascii="宋体" w:hAnsi="宋体" w:eastAsia="宋体" w:cs="宋体"/>
                <w:i w:val="0"/>
                <w:iCs w:val="0"/>
                <w:color w:val="000000"/>
                <w:kern w:val="0"/>
                <w:sz w:val="18"/>
                <w:szCs w:val="18"/>
                <w:u w:val="none"/>
                <w:lang w:val="en-US" w:eastAsia="zh-CN" w:bidi="ar"/>
              </w:rPr>
              <w:t>定量</w:t>
            </w:r>
          </w:p>
        </w:tc>
        <w:tc>
          <w:tcPr>
            <w:tcW w:w="8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大于等于7人</w:t>
            </w:r>
          </w:p>
        </w:tc>
        <w:tc>
          <w:tcPr>
            <w:tcW w:w="7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7人</w:t>
            </w:r>
          </w:p>
        </w:tc>
        <w:tc>
          <w:tcPr>
            <w:tcW w:w="6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3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4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00" w:hRule="atLeast"/>
        </w:trPr>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b/>
                <w:bCs/>
                <w:i w:val="0"/>
                <w:iCs w:val="0"/>
                <w:color w:val="000000"/>
                <w:sz w:val="18"/>
                <w:szCs w:val="18"/>
                <w:u w:val="none"/>
              </w:rPr>
            </w:pPr>
          </w:p>
        </w:tc>
        <w:tc>
          <w:tcPr>
            <w:tcW w:w="62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18"/>
                <w:szCs w:val="18"/>
                <w:u w:val="none"/>
              </w:rPr>
            </w:pPr>
          </w:p>
        </w:tc>
        <w:tc>
          <w:tcPr>
            <w:tcW w:w="1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03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全年营养餐</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补助学生</w:t>
            </w:r>
          </w:p>
        </w:tc>
        <w:tc>
          <w:tcPr>
            <w:tcW w:w="6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定量</w:t>
            </w:r>
          </w:p>
        </w:tc>
        <w:tc>
          <w:tcPr>
            <w:tcW w:w="8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大于等于1人</w:t>
            </w:r>
          </w:p>
        </w:tc>
        <w:tc>
          <w:tcPr>
            <w:tcW w:w="7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1人</w:t>
            </w:r>
          </w:p>
        </w:tc>
        <w:tc>
          <w:tcPr>
            <w:tcW w:w="6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3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4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80" w:hRule="atLeast"/>
        </w:trPr>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b/>
                <w:bCs/>
                <w:i w:val="0"/>
                <w:iCs w:val="0"/>
                <w:color w:val="000000"/>
                <w:sz w:val="18"/>
                <w:szCs w:val="18"/>
                <w:u w:val="none"/>
              </w:rPr>
            </w:pPr>
          </w:p>
        </w:tc>
        <w:tc>
          <w:tcPr>
            <w:tcW w:w="62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18"/>
                <w:szCs w:val="18"/>
                <w:u w:val="none"/>
              </w:rPr>
            </w:pPr>
          </w:p>
        </w:tc>
        <w:tc>
          <w:tcPr>
            <w:tcW w:w="1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03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营养餐发放标准</w:t>
            </w:r>
          </w:p>
        </w:tc>
        <w:tc>
          <w:tcPr>
            <w:tcW w:w="6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定量</w:t>
            </w:r>
          </w:p>
        </w:tc>
        <w:tc>
          <w:tcPr>
            <w:tcW w:w="8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6元/餐</w:t>
            </w:r>
          </w:p>
        </w:tc>
        <w:tc>
          <w:tcPr>
            <w:tcW w:w="7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6元/餐</w:t>
            </w:r>
          </w:p>
        </w:tc>
        <w:tc>
          <w:tcPr>
            <w:tcW w:w="6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3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60" w:hRule="atLeast"/>
        </w:trPr>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b/>
                <w:bCs/>
                <w:i w:val="0"/>
                <w:iCs w:val="0"/>
                <w:color w:val="000000"/>
                <w:sz w:val="18"/>
                <w:szCs w:val="18"/>
                <w:u w:val="none"/>
              </w:rPr>
            </w:pPr>
          </w:p>
        </w:tc>
        <w:tc>
          <w:tcPr>
            <w:tcW w:w="62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18"/>
                <w:szCs w:val="18"/>
                <w:u w:val="none"/>
              </w:rPr>
            </w:pPr>
          </w:p>
        </w:tc>
        <w:tc>
          <w:tcPr>
            <w:tcW w:w="1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03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义务教育困难生资助资金下拨及时率</w:t>
            </w:r>
          </w:p>
        </w:tc>
        <w:tc>
          <w:tcPr>
            <w:tcW w:w="6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定量</w:t>
            </w:r>
          </w:p>
        </w:tc>
        <w:tc>
          <w:tcPr>
            <w:tcW w:w="8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3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0" w:hRule="atLeast"/>
        </w:trPr>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b/>
                <w:bCs/>
                <w:i w:val="0"/>
                <w:iCs w:val="0"/>
                <w:color w:val="000000"/>
                <w:sz w:val="18"/>
                <w:szCs w:val="18"/>
                <w:u w:val="none"/>
              </w:rPr>
            </w:pPr>
          </w:p>
        </w:tc>
        <w:tc>
          <w:tcPr>
            <w:tcW w:w="6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效益指标</w:t>
            </w:r>
          </w:p>
        </w:tc>
        <w:tc>
          <w:tcPr>
            <w:tcW w:w="1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03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改善受助学生</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学习生活质量</w:t>
            </w:r>
          </w:p>
        </w:tc>
        <w:tc>
          <w:tcPr>
            <w:tcW w:w="6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8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有所改善</w:t>
            </w:r>
          </w:p>
        </w:tc>
        <w:tc>
          <w:tcPr>
            <w:tcW w:w="7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有所改善</w:t>
            </w:r>
          </w:p>
        </w:tc>
        <w:tc>
          <w:tcPr>
            <w:tcW w:w="6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3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4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7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80" w:hRule="atLeast"/>
        </w:trPr>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b/>
                <w:bCs/>
                <w:i w:val="0"/>
                <w:iCs w:val="0"/>
                <w:color w:val="000000"/>
                <w:sz w:val="18"/>
                <w:szCs w:val="18"/>
                <w:u w:val="none"/>
              </w:rPr>
            </w:pP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指标</w:t>
            </w:r>
          </w:p>
        </w:tc>
        <w:tc>
          <w:tcPr>
            <w:tcW w:w="185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103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受资助对象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满意度</w:t>
            </w:r>
          </w:p>
        </w:tc>
        <w:tc>
          <w:tcPr>
            <w:tcW w:w="6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定量</w:t>
            </w:r>
          </w:p>
        </w:tc>
        <w:tc>
          <w:tcPr>
            <w:tcW w:w="8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大于等于90%</w:t>
            </w:r>
          </w:p>
        </w:tc>
        <w:tc>
          <w:tcPr>
            <w:tcW w:w="7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6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3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trPr>
        <w:tc>
          <w:tcPr>
            <w:tcW w:w="7434" w:type="dxa"/>
            <w:gridSpan w:val="8"/>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63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100</w:t>
            </w:r>
          </w:p>
        </w:tc>
        <w:tc>
          <w:tcPr>
            <w:tcW w:w="42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93</w:t>
            </w:r>
          </w:p>
        </w:tc>
        <w:tc>
          <w:tcPr>
            <w:tcW w:w="753"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860" w:hRule="atLeast"/>
        </w:trPr>
        <w:tc>
          <w:tcPr>
            <w:tcW w:w="9242" w:type="dxa"/>
            <w:gridSpan w:val="1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填表说明：1.年度总体目标和绩效指标中的“具体指标”“年度指标值”按照部门预算批复的绩效目标填写，必须有量化指标。</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         2.设置分值原则：预算执行率和一级指标权重统一设置为：预算执行率10%、产出指标50%、效益指标30%、服务对象满意度指标10%。如有特殊情况，一级指标权重可做适当调整。二、三级指标应当根据指标重要程度等因素综合确定，准确反映项目的产出和效益。</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         3.存在问题及原因主要针对进度是否滞后，管理制度是否健全，是否违反财务管理制度，绩效目标完成情况是否明显偏离，以及其他资金使用及管理方面的问题进行阐述，并分析产生问题的原因。</w:t>
            </w:r>
          </w:p>
        </w:tc>
      </w:tr>
      <w:bookmarkEnd w:id="4"/>
    </w:tbl>
    <w:p>
      <w:pPr>
        <w:widowControl w:val="0"/>
        <w:tabs>
          <w:tab w:val="left" w:pos="8415"/>
        </w:tabs>
        <w:wordWrap/>
        <w:adjustRightInd/>
        <w:snapToGrid/>
        <w:textAlignment w:val="auto"/>
      </w:pPr>
    </w:p>
    <w:sectPr>
      <w:footerReference r:id="rId11" w:type="default"/>
      <w:pgSz w:w="11906" w:h="16838"/>
      <w:pgMar w:top="1803" w:right="1440" w:bottom="1803" w:left="1440" w:header="0" w:footer="720" w:gutter="0"/>
      <w:pgBorders>
        <w:top w:val="none" w:sz="0" w:space="0"/>
        <w:left w:val="none" w:sz="0" w:space="0"/>
        <w:bottom w:val="none" w:sz="0" w:space="0"/>
        <w:right w:val="none" w:sz="0" w:space="0"/>
      </w:pgBorders>
      <w:cols w:space="720" w:num="1"/>
      <w:rtlGutter w:val="0"/>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2FF" w:usb1="400004FF"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2000000000000000000"/>
    <w:charset w:val="86"/>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1</w:t>
    </w:r>
    <w:r>
      <w:rPr>
        <w:rFonts w:ascii="宋体" w:hAnsi="宋体" w:eastAsia="宋体" w:cs="宋体"/>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3</w:t>
    </w:r>
    <w:r>
      <w:rPr>
        <w:rFonts w:ascii="宋体" w:hAnsi="宋体" w:eastAsia="宋体" w:cs="宋体"/>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5</w:t>
    </w:r>
    <w:r>
      <w:rPr>
        <w:rFonts w:ascii="宋体" w:hAnsi="宋体" w:eastAsia="宋体" w:cs="宋体"/>
        <w:sz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6</w:t>
    </w:r>
    <w:r>
      <w:rPr>
        <w:rFonts w:ascii="宋体" w:hAnsi="宋体" w:eastAsia="宋体" w:cs="宋体"/>
        <w:sz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7</w:t>
    </w:r>
    <w:r>
      <w:rPr>
        <w:rFonts w:ascii="宋体" w:hAnsi="宋体" w:eastAsia="宋体" w:cs="宋体"/>
        <w:sz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11</w:t>
    </w:r>
    <w:r>
      <w:rPr>
        <w:rFonts w:ascii="宋体" w:hAnsi="宋体" w:eastAsia="宋体" w:cs="宋体"/>
        <w:sz w:val="1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14</w:t>
    </w:r>
    <w:r>
      <w:rPr>
        <w:rFonts w:ascii="宋体" w:hAnsi="宋体" w:eastAsia="宋体" w:cs="宋体"/>
        <w:sz w:val="18"/>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22</w:t>
    </w:r>
    <w:r>
      <w:rPr>
        <w:rFonts w:ascii="宋体" w:hAnsi="宋体" w:eastAsia="宋体" w:cs="宋体"/>
        <w:sz w:val="18"/>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43</w:t>
    </w:r>
    <w:r>
      <w:rPr>
        <w:rFonts w:ascii="宋体" w:hAnsi="宋体" w:eastAsia="宋体" w:cs="宋体"/>
        <w:sz w:val="1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D383F2"/>
    <w:multiLevelType w:val="singleLevel"/>
    <w:tmpl w:val="81D383F2"/>
    <w:lvl w:ilvl="0" w:tentative="0">
      <w:start w:val="3"/>
      <w:numFmt w:val="chineseCounting"/>
      <w:suff w:val="nothing"/>
      <w:lvlText w:val="%1、"/>
      <w:lvlJc w:val="left"/>
      <w:rPr>
        <w:rFonts w:hint="eastAsia"/>
      </w:rPr>
    </w:lvl>
  </w:abstractNum>
  <w:abstractNum w:abstractNumId="1">
    <w:nsid w:val="BB4506C8"/>
    <w:multiLevelType w:val="singleLevel"/>
    <w:tmpl w:val="BB4506C8"/>
    <w:lvl w:ilvl="0" w:tentative="0">
      <w:start w:val="5"/>
      <w:numFmt w:val="chineseCounting"/>
      <w:suff w:val="nothing"/>
      <w:lvlText w:val="%1、"/>
      <w:lvlJc w:val="left"/>
      <w:rPr>
        <w:rFonts w:hint="eastAsia" w:ascii="黑体" w:hAnsi="黑体" w:eastAsia="黑体" w:cs="黑体"/>
        <w:b/>
        <w:bCs/>
        <w:sz w:val="32"/>
        <w:szCs w:val="32"/>
      </w:rPr>
    </w:lvl>
  </w:abstractNum>
  <w:abstractNum w:abstractNumId="2">
    <w:nsid w:val="1E0BDBE6"/>
    <w:multiLevelType w:val="singleLevel"/>
    <w:tmpl w:val="1E0BDBE6"/>
    <w:lvl w:ilvl="0" w:tentative="0">
      <w:start w:val="3"/>
      <w:numFmt w:val="chineseCounting"/>
      <w:suff w:val="nothing"/>
      <w:lvlText w:val="%1、"/>
      <w:lvlJc w:val="left"/>
      <w:rPr>
        <w:rFonts w:hint="eastAsia"/>
      </w:rPr>
    </w:lvl>
  </w:abstractNum>
  <w:abstractNum w:abstractNumId="3">
    <w:nsid w:val="6C2C93E5"/>
    <w:multiLevelType w:val="singleLevel"/>
    <w:tmpl w:val="6C2C93E5"/>
    <w:lvl w:ilvl="0" w:tentative="0">
      <w:start w:val="3"/>
      <w:numFmt w:val="chineseCounting"/>
      <w:suff w:val="nothing"/>
      <w:lvlText w:val="（%1）"/>
      <w:lvlJc w:val="left"/>
      <w:rPr>
        <w:rFonts w:hint="eastAsia"/>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051334"/>
    <w:rsid w:val="17561565"/>
    <w:rsid w:val="1AE978AD"/>
    <w:rsid w:val="1BFE0162"/>
    <w:rsid w:val="22AD31A5"/>
    <w:rsid w:val="33EC3061"/>
    <w:rsid w:val="34806536"/>
    <w:rsid w:val="3CFE300A"/>
    <w:rsid w:val="3E832D95"/>
    <w:rsid w:val="49026375"/>
    <w:rsid w:val="4BC77089"/>
    <w:rsid w:val="52576CD3"/>
    <w:rsid w:val="56575978"/>
    <w:rsid w:val="56602B2A"/>
    <w:rsid w:val="5EC761FE"/>
    <w:rsid w:val="5EE35938"/>
    <w:rsid w:val="61E60DE6"/>
    <w:rsid w:val="64D7774B"/>
    <w:rsid w:val="66D60455"/>
    <w:rsid w:val="6E356549"/>
    <w:rsid w:val="6EF7129F"/>
    <w:rsid w:val="6FA90E5A"/>
    <w:rsid w:val="761211A3"/>
    <w:rsid w:val="76B43924"/>
    <w:rsid w:val="7F3E3BEA"/>
    <w:rsid w:val="7FDE05B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rFonts w:eastAsia="仿宋"/>
      <w:bCs/>
      <w:kern w:val="44"/>
      <w:sz w:val="32"/>
      <w:szCs w:val="44"/>
    </w:rPr>
  </w:style>
  <w:style w:type="paragraph" w:styleId="4">
    <w:name w:val="heading 2"/>
    <w:basedOn w:val="5"/>
    <w:next w:val="5"/>
    <w:qFormat/>
    <w:uiPriority w:val="0"/>
    <w:pPr>
      <w:keepNext/>
      <w:keepLines/>
      <w:spacing w:before="260" w:after="260" w:line="416" w:lineRule="auto"/>
      <w:outlineLvl w:val="1"/>
    </w:pPr>
    <w:rPr>
      <w:rFonts w:ascii="Arial" w:hAnsi="Arial" w:eastAsia="仿宋"/>
      <w:bCs/>
      <w:sz w:val="32"/>
      <w:szCs w:val="32"/>
    </w:rPr>
  </w:style>
  <w:style w:type="paragraph" w:styleId="6">
    <w:name w:val="heading 3"/>
    <w:basedOn w:val="5"/>
    <w:next w:val="5"/>
    <w:link w:val="29"/>
    <w:qFormat/>
    <w:uiPriority w:val="0"/>
    <w:pPr>
      <w:keepNext/>
      <w:keepLines/>
      <w:spacing w:before="260" w:after="260" w:line="416" w:lineRule="auto"/>
      <w:outlineLvl w:val="2"/>
    </w:pPr>
    <w:rPr>
      <w:rFonts w:eastAsia="仿宋"/>
      <w:bCs/>
      <w:sz w:val="32"/>
      <w:szCs w:val="32"/>
    </w:rPr>
  </w:style>
  <w:style w:type="paragraph" w:styleId="7">
    <w:name w:val="heading 4"/>
    <w:basedOn w:val="5"/>
    <w:next w:val="5"/>
    <w:link w:val="28"/>
    <w:qFormat/>
    <w:uiPriority w:val="0"/>
    <w:pPr>
      <w:keepNext/>
      <w:keepLines/>
      <w:spacing w:before="280" w:after="290" w:line="376" w:lineRule="auto"/>
      <w:outlineLvl w:val="3"/>
    </w:pPr>
    <w:rPr>
      <w:rFonts w:ascii="Cambria" w:hAnsi="Cambria" w:eastAsia="仿宋"/>
      <w:bCs/>
      <w:sz w:val="32"/>
      <w:szCs w:val="28"/>
    </w:rPr>
  </w:style>
  <w:style w:type="character" w:default="1" w:styleId="20">
    <w:name w:val="Default Paragraph Font"/>
    <w:unhideWhenUsed/>
    <w:qFormat/>
    <w:uiPriority w:val="1"/>
  </w:style>
  <w:style w:type="table" w:default="1" w:styleId="23">
    <w:name w:val="Normal Table"/>
    <w:unhideWhenUsed/>
    <w:qFormat/>
    <w:uiPriority w:val="99"/>
    <w:tblPr>
      <w:tblLayout w:type="fixed"/>
      <w:tblCellMar>
        <w:top w:w="0" w:type="dxa"/>
        <w:left w:w="108" w:type="dxa"/>
        <w:bottom w:w="0" w:type="dxa"/>
        <w:right w:w="108" w:type="dxa"/>
      </w:tblCellMar>
    </w:tblPr>
  </w:style>
  <w:style w:type="paragraph" w:customStyle="1" w:styleId="2">
    <w:name w:val="1.正文"/>
    <w:basedOn w:val="1"/>
    <w:qFormat/>
    <w:uiPriority w:val="0"/>
    <w:pPr>
      <w:spacing w:before="0" w:beforeAutospacing="0" w:after="0" w:afterAutospacing="0"/>
      <w:ind w:left="0" w:right="0"/>
      <w:jc w:val="left"/>
    </w:pPr>
    <w:rPr>
      <w:rFonts w:hint="eastAsia" w:ascii="宋体" w:hAnsi="Times New Roman" w:eastAsia="宋体" w:cs="宋体"/>
      <w:kern w:val="0"/>
      <w:sz w:val="24"/>
      <w:szCs w:val="24"/>
      <w:lang w:val="en-US" w:eastAsia="zh-CN" w:bidi="ar"/>
    </w:rPr>
  </w:style>
  <w:style w:type="paragraph" w:customStyle="1" w:styleId="5">
    <w:name w:val="No Spacing"/>
    <w:link w:val="27"/>
    <w:qFormat/>
    <w:uiPriority w:val="0"/>
    <w:pPr>
      <w:ind w:firstLine="200" w:firstLineChars="200"/>
    </w:pPr>
    <w:rPr>
      <w:rFonts w:ascii="Times New Roman" w:hAnsi="Times New Roman" w:eastAsia="仿宋_GB2312" w:cs="Times New Roman"/>
      <w:sz w:val="30"/>
      <w:szCs w:val="22"/>
      <w:lang w:val="en-US" w:eastAsia="zh-CN" w:bidi="ar-SA"/>
    </w:rPr>
  </w:style>
  <w:style w:type="paragraph" w:styleId="8">
    <w:name w:val="toc 7"/>
    <w:basedOn w:val="1"/>
    <w:next w:val="1"/>
    <w:qFormat/>
    <w:uiPriority w:val="0"/>
    <w:pPr>
      <w:ind w:left="1260"/>
      <w:jc w:val="left"/>
    </w:pPr>
    <w:rPr>
      <w:sz w:val="20"/>
      <w:szCs w:val="20"/>
    </w:rPr>
  </w:style>
  <w:style w:type="paragraph" w:styleId="9">
    <w:name w:val="Document Map"/>
    <w:basedOn w:val="1"/>
    <w:qFormat/>
    <w:uiPriority w:val="0"/>
    <w:pPr>
      <w:shd w:val="clear" w:color="auto" w:fill="000080"/>
    </w:pPr>
  </w:style>
  <w:style w:type="paragraph" w:styleId="10">
    <w:name w:val="toc 5"/>
    <w:basedOn w:val="1"/>
    <w:next w:val="1"/>
    <w:qFormat/>
    <w:uiPriority w:val="0"/>
    <w:pPr>
      <w:ind w:left="840"/>
      <w:jc w:val="left"/>
    </w:pPr>
    <w:rPr>
      <w:sz w:val="20"/>
      <w:szCs w:val="20"/>
    </w:rPr>
  </w:style>
  <w:style w:type="paragraph" w:styleId="11">
    <w:name w:val="toc 3"/>
    <w:next w:val="6"/>
    <w:qFormat/>
    <w:uiPriority w:val="0"/>
    <w:pPr>
      <w:adjustRightInd w:val="0"/>
      <w:snapToGrid w:val="0"/>
      <w:spacing w:line="360" w:lineRule="auto"/>
      <w:ind w:firstLine="400" w:firstLineChars="400"/>
      <w:jc w:val="left"/>
    </w:pPr>
    <w:rPr>
      <w:rFonts w:ascii="Times New Roman" w:hAnsi="Times New Roman" w:eastAsia="仿宋" w:cs="Times New Roman"/>
      <w:sz w:val="32"/>
      <w:szCs w:val="20"/>
      <w:lang w:val="en-US" w:eastAsia="zh-CN" w:bidi="ar-SA"/>
    </w:rPr>
  </w:style>
  <w:style w:type="paragraph" w:styleId="12">
    <w:name w:val="toc 8"/>
    <w:basedOn w:val="1"/>
    <w:next w:val="1"/>
    <w:qFormat/>
    <w:uiPriority w:val="0"/>
    <w:pPr>
      <w:ind w:left="1470"/>
      <w:jc w:val="left"/>
    </w:pPr>
    <w:rPr>
      <w:sz w:val="20"/>
      <w:szCs w:val="20"/>
    </w:rPr>
  </w:style>
  <w:style w:type="paragraph" w:styleId="13">
    <w:name w:val="footer"/>
    <w:basedOn w:val="1"/>
    <w:link w:val="30"/>
    <w:qFormat/>
    <w:uiPriority w:val="0"/>
    <w:pPr>
      <w:tabs>
        <w:tab w:val="center" w:pos="4153"/>
        <w:tab w:val="right" w:pos="8306"/>
      </w:tabs>
      <w:snapToGrid w:val="0"/>
      <w:jc w:val="left"/>
    </w:pPr>
    <w:rPr>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5">
    <w:name w:val="toc 1"/>
    <w:next w:val="5"/>
    <w:qFormat/>
    <w:uiPriority w:val="0"/>
    <w:pPr>
      <w:adjustRightInd w:val="0"/>
      <w:snapToGrid w:val="0"/>
      <w:spacing w:line="360" w:lineRule="auto"/>
      <w:jc w:val="left"/>
    </w:pPr>
    <w:rPr>
      <w:rFonts w:ascii="Times New Roman" w:hAnsi="Times New Roman" w:eastAsia="仿宋" w:cs="Times New Roman"/>
      <w:bCs/>
      <w:sz w:val="32"/>
      <w:szCs w:val="20"/>
      <w:lang w:val="en-US" w:eastAsia="zh-CN" w:bidi="ar-SA"/>
    </w:rPr>
  </w:style>
  <w:style w:type="paragraph" w:styleId="16">
    <w:name w:val="toc 4"/>
    <w:basedOn w:val="1"/>
    <w:next w:val="1"/>
    <w:qFormat/>
    <w:uiPriority w:val="0"/>
    <w:pPr>
      <w:ind w:left="630"/>
      <w:jc w:val="left"/>
    </w:pPr>
    <w:rPr>
      <w:sz w:val="20"/>
      <w:szCs w:val="20"/>
    </w:rPr>
  </w:style>
  <w:style w:type="paragraph" w:styleId="17">
    <w:name w:val="toc 6"/>
    <w:basedOn w:val="1"/>
    <w:next w:val="1"/>
    <w:qFormat/>
    <w:uiPriority w:val="0"/>
    <w:pPr>
      <w:ind w:left="1050"/>
      <w:jc w:val="left"/>
    </w:pPr>
    <w:rPr>
      <w:sz w:val="20"/>
      <w:szCs w:val="20"/>
    </w:rPr>
  </w:style>
  <w:style w:type="paragraph" w:styleId="18">
    <w:name w:val="toc 2"/>
    <w:next w:val="5"/>
    <w:qFormat/>
    <w:uiPriority w:val="0"/>
    <w:pPr>
      <w:adjustRightInd w:val="0"/>
      <w:snapToGrid w:val="0"/>
      <w:spacing w:line="360" w:lineRule="auto"/>
      <w:ind w:firstLine="200" w:firstLineChars="200"/>
      <w:jc w:val="left"/>
    </w:pPr>
    <w:rPr>
      <w:rFonts w:ascii="Times New Roman" w:hAnsi="Times New Roman" w:eastAsia="仿宋" w:cs="Times New Roman"/>
      <w:iCs/>
      <w:sz w:val="32"/>
      <w:szCs w:val="20"/>
      <w:lang w:val="en-US" w:eastAsia="zh-CN" w:bidi="ar-SA"/>
    </w:rPr>
  </w:style>
  <w:style w:type="paragraph" w:styleId="19">
    <w:name w:val="toc 9"/>
    <w:basedOn w:val="1"/>
    <w:next w:val="1"/>
    <w:qFormat/>
    <w:uiPriority w:val="0"/>
    <w:pPr>
      <w:ind w:left="1680"/>
      <w:jc w:val="left"/>
    </w:pPr>
    <w:rPr>
      <w:sz w:val="20"/>
      <w:szCs w:val="20"/>
    </w:rPr>
  </w:style>
  <w:style w:type="character" w:styleId="21">
    <w:name w:val="page number"/>
    <w:basedOn w:val="20"/>
    <w:qFormat/>
    <w:uiPriority w:val="0"/>
  </w:style>
  <w:style w:type="character" w:styleId="22">
    <w:name w:val="Hyperlink"/>
    <w:qFormat/>
    <w:uiPriority w:val="0"/>
    <w:rPr>
      <w:rFonts w:ascii="宋体" w:hAnsi="宋体" w:eastAsia="仿宋" w:cs="Times New Roman"/>
      <w:kern w:val="2"/>
      <w:sz w:val="32"/>
      <w:szCs w:val="32"/>
      <w:lang w:val="en-US" w:eastAsia="zh-CN" w:bidi="ar-SA"/>
    </w:rPr>
  </w:style>
  <w:style w:type="paragraph" w:customStyle="1" w:styleId="24">
    <w:name w:val="List Paragraph"/>
    <w:basedOn w:val="1"/>
    <w:qFormat/>
    <w:uiPriority w:val="0"/>
    <w:pPr>
      <w:ind w:firstLine="420" w:firstLineChars="200"/>
    </w:pPr>
  </w:style>
  <w:style w:type="paragraph" w:customStyle="1" w:styleId="25">
    <w:name w:val="MsoNormal"/>
    <w:basedOn w:val="1"/>
    <w:qFormat/>
    <w:uiPriority w:val="0"/>
  </w:style>
  <w:style w:type="paragraph" w:customStyle="1" w:styleId="26">
    <w:name w:val="p"/>
    <w:basedOn w:val="1"/>
    <w:qFormat/>
    <w:uiPriority w:val="0"/>
  </w:style>
  <w:style w:type="character" w:customStyle="1" w:styleId="27">
    <w:name w:val="无间隔 字符"/>
    <w:link w:val="5"/>
    <w:qFormat/>
    <w:locked/>
    <w:uiPriority w:val="0"/>
    <w:rPr>
      <w:rFonts w:eastAsia="仿宋_GB2312"/>
      <w:sz w:val="30"/>
      <w:szCs w:val="22"/>
      <w:lang w:bidi="ar-SA"/>
    </w:rPr>
  </w:style>
  <w:style w:type="character" w:customStyle="1" w:styleId="28">
    <w:name w:val="标题 4 字符"/>
    <w:basedOn w:val="20"/>
    <w:link w:val="7"/>
    <w:qFormat/>
    <w:uiPriority w:val="0"/>
    <w:rPr>
      <w:rFonts w:ascii="Cambria" w:hAnsi="Cambria" w:eastAsia="仿宋"/>
      <w:bCs/>
      <w:kern w:val="2"/>
      <w:sz w:val="32"/>
      <w:szCs w:val="28"/>
    </w:rPr>
  </w:style>
  <w:style w:type="character" w:customStyle="1" w:styleId="29">
    <w:name w:val="标题 3 字符"/>
    <w:basedOn w:val="20"/>
    <w:link w:val="6"/>
    <w:qFormat/>
    <w:uiPriority w:val="0"/>
    <w:rPr>
      <w:rFonts w:eastAsia="仿宋"/>
      <w:bCs/>
      <w:kern w:val="2"/>
      <w:sz w:val="32"/>
      <w:szCs w:val="32"/>
    </w:rPr>
  </w:style>
  <w:style w:type="character" w:customStyle="1" w:styleId="30">
    <w:name w:val="页脚 字符"/>
    <w:basedOn w:val="20"/>
    <w:link w:val="13"/>
    <w:qFormat/>
    <w:uiPriority w:val="0"/>
    <w:rPr>
      <w:kern w:val="2"/>
      <w:sz w:val="18"/>
      <w:szCs w:val="18"/>
    </w:rPr>
  </w:style>
  <w:style w:type="character" w:customStyle="1" w:styleId="31">
    <w:name w:val="15"/>
    <w:basedOn w:val="20"/>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33</Pages>
  <Words>2300</Words>
  <Characters>2383</Characters>
  <Lines>1</Lines>
  <Paragraphs>1</Paragraphs>
  <TotalTime>1</TotalTime>
  <ScaleCrop>false</ScaleCrop>
  <LinksUpToDate>false</LinksUpToDate>
  <CharactersWithSpaces>2455</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2022-03-23T12:40:00Z</dcterms:created>
  <dc:creator>Administrator</dc:creator>
  <cp:lastModifiedBy>Administrator</cp:lastModifiedBy>
  <cp:lastPrinted>2021-04-16T00:45:00Z</cp:lastPrinted>
  <dcterms:modified xsi:type="dcterms:W3CDTF">2026-02-05T06:57:36Z</dcterms:modified>
  <dc:title>××年度××部门/单位</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62F03A5AA2F5480CA5FBE6FC9AD8CD52_13</vt:lpwstr>
  </property>
  <property fmtid="{D5CDD505-2E9C-101B-9397-08002B2CF9AE}" pid="3" name="KSOProductBuildVer">
    <vt:lpwstr>2052-11.8.2.8053</vt:lpwstr>
  </property>
  <property fmtid="{D5CDD505-2E9C-101B-9397-08002B2CF9AE}" pid="4" name="KSOTemplateDocerSaveRecord">
    <vt:lpwstr>eyJoZGlkIjoiNTc1OTZiNmM0NTM0NDI0MTA5NWIzNDM5ZTZkOWIzOTAiLCJ1c2VySWQiOiI4OTg1MzYxMjEifQ==</vt:lpwstr>
  </property>
</Properties>
</file>