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keepNext w:val="0"/>
        <w:keepLines w:val="0"/>
        <w:widowControl/>
        <w:suppressLineNumbers w:val="0"/>
        <w:shd w:val="clear" w:fill="FFFFFF"/>
        <w:spacing w:before="240" w:beforeAutospacing="0" w:after="240" w:afterAutospacing="0"/>
        <w:ind w:left="0" w:right="0"/>
        <w:jc w:val="center"/>
        <w:rPr>
          <w:rFonts w:hint="eastAsia" w:ascii="黑体" w:hAnsi="宋体" w:eastAsia="黑体" w:cs="黑体"/>
          <w:kern w:val="0"/>
          <w:sz w:val="44"/>
          <w:szCs w:val="44"/>
          <w:shd w:val="clear" w:fill="FFFFFF"/>
          <w:lang w:val="en-US" w:eastAsia="zh-CN" w:bidi="ar"/>
        </w:rPr>
      </w:pPr>
      <w:r>
        <w:rPr>
          <w:rFonts w:hint="eastAsia" w:ascii="黑体" w:hAnsi="宋体" w:eastAsia="黑体" w:cs="黑体"/>
          <w:kern w:val="0"/>
          <w:sz w:val="44"/>
          <w:szCs w:val="44"/>
          <w:shd w:val="clear" w:fill="FFFFFF"/>
          <w:lang w:val="en-US" w:eastAsia="zh-CN" w:bidi="ar"/>
        </w:rPr>
        <w:t>2024年度</w:t>
      </w:r>
    </w:p>
    <w:p>
      <w:pPr>
        <w:keepNext w:val="0"/>
        <w:keepLines w:val="0"/>
        <w:widowControl/>
        <w:suppressLineNumbers w:val="0"/>
        <w:shd w:val="clear" w:fill="FFFFFF"/>
        <w:spacing w:before="240" w:beforeAutospacing="0" w:after="240" w:afterAutospacing="0"/>
        <w:ind w:left="0" w:right="0"/>
        <w:jc w:val="center"/>
        <w:rPr>
          <w:rFonts w:hint="eastAsia" w:ascii="黑体" w:hAnsi="宋体" w:eastAsia="黑体" w:cs="黑体"/>
          <w:kern w:val="0"/>
          <w:sz w:val="44"/>
          <w:szCs w:val="44"/>
          <w:shd w:val="clear" w:fill="FFFFFF"/>
          <w:lang w:val="en-US" w:eastAsia="zh-CN" w:bidi="ar"/>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黑体" w:hAnsi="宋体" w:eastAsia="黑体" w:cs="黑体"/>
          <w:kern w:val="0"/>
          <w:sz w:val="44"/>
          <w:szCs w:val="44"/>
          <w:shd w:val="clear" w:fill="FFFFFF"/>
          <w:lang w:val="en-US" w:eastAsia="zh-CN" w:bidi="ar"/>
        </w:rPr>
        <w:t>厦门市吕岭小学单位决算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8"/>
            <w:tabs>
              <w:tab w:val="right" w:leader="dot" w:pos="9730"/>
            </w:tabs>
            <w:rPr>
              <w:rFonts w:asciiTheme="minorHAnsi" w:hAnsiTheme="minorHAnsi"/>
              <w:sz w:val="2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fldChar w:fldCharType="begin"/>
          </w:r>
          <w:r>
            <w:instrText xml:space="preserve"> HYPERLINK \l "_Toc256000093" </w:instrText>
          </w:r>
          <w:r>
            <w:fldChar w:fldCharType="separate"/>
          </w:r>
          <w:r>
            <w:rPr>
              <w:rStyle w:val="22"/>
              <w:rFonts w:ascii="黑体" w:hAnsi="黑体" w:eastAsia="黑体" w:cs="黑体"/>
            </w:rPr>
            <w:t>第一部分</w:t>
          </w:r>
          <w:r>
            <w:tab/>
          </w:r>
          <w:r>
            <w:fldChar w:fldCharType="begin"/>
          </w:r>
          <w:r>
            <w:instrText xml:space="preserve"> PAGEREF _Toc256000093 \h </w:instrText>
          </w:r>
          <w:r>
            <w:fldChar w:fldCharType="separate"/>
          </w:r>
          <w:r>
            <w:t>4</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"_Toc256000094" </w:instrText>
          </w:r>
          <w:r>
            <w:fldChar w:fldCharType="separate"/>
          </w:r>
          <w:r>
            <w:rPr>
              <w:rStyle w:val="22"/>
              <w:rFonts w:ascii="黑体" w:hAnsi="黑体" w:eastAsia="黑体" w:cs="黑体"/>
            </w:rPr>
            <w:t>单位概况</w:t>
          </w:r>
          <w:r>
            <w:tab/>
          </w:r>
          <w:r>
            <w:fldChar w:fldCharType="begin"/>
          </w:r>
          <w:r>
            <w:instrText xml:space="preserve"> PAGEREF _Toc256000094 \h </w:instrText>
          </w:r>
          <w:r>
            <w:fldChar w:fldCharType="separate"/>
          </w:r>
          <w:r>
            <w:t>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"_Toc256000095" </w:instrText>
          </w:r>
          <w:r>
            <w:fldChar w:fldCharType="separate"/>
          </w:r>
          <w:r>
            <w:rPr>
              <w:rStyle w:val="22"/>
              <w:rFonts w:ascii="黑体" w:hAnsi="黑体" w:eastAsia="黑体" w:cs="黑体"/>
            </w:rPr>
            <w:t>一、单位主要职责</w:t>
          </w:r>
          <w:r>
            <w:tab/>
          </w:r>
          <w:r>
            <w:fldChar w:fldCharType="begin"/>
          </w:r>
          <w:r>
            <w:instrText xml:space="preserve"> PAGEREF _Toc256000095 \h </w:instrText>
          </w:r>
          <w:r>
            <w:fldChar w:fldCharType="separate"/>
          </w:r>
          <w:r>
            <w:t>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"_Toc256000096" </w:instrText>
          </w:r>
          <w:r>
            <w:fldChar w:fldCharType="separate"/>
          </w:r>
          <w:r>
            <w:rPr>
              <w:rStyle w:val="22"/>
              <w:rFonts w:ascii="黑体" w:hAnsi="黑体" w:eastAsia="黑体" w:cs="黑体"/>
            </w:rPr>
            <w:t>二、单位基本情况</w:t>
          </w:r>
          <w:r>
            <w:tab/>
          </w:r>
          <w:r>
            <w:fldChar w:fldCharType="begin"/>
          </w:r>
          <w:r>
            <w:instrText xml:space="preserve"> PAGEREF _Toc256000096 \h </w:instrText>
          </w:r>
          <w:r>
            <w:fldChar w:fldCharType="separate"/>
          </w:r>
          <w:r>
            <w:t>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"_Toc256000097" </w:instrText>
          </w:r>
          <w:r>
            <w:fldChar w:fldCharType="separate"/>
          </w:r>
          <w:r>
            <w:rPr>
              <w:rStyle w:val="22"/>
              <w:rFonts w:ascii="黑体" w:hAnsi="黑体" w:eastAsia="黑体" w:cs="黑体"/>
            </w:rPr>
            <w:t>三、单位主要工作总结</w:t>
          </w:r>
          <w:r>
            <w:tab/>
          </w:r>
          <w:r>
            <w:fldChar w:fldCharType="begin"/>
          </w:r>
          <w:r>
            <w:instrText xml:space="preserve"> PAGEREF _Toc256000097 \h </w:instrText>
          </w:r>
          <w:r>
            <w:fldChar w:fldCharType="separate"/>
          </w:r>
          <w:r>
            <w:t>4</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"_Toc256000098" </w:instrText>
          </w:r>
          <w:r>
            <w:fldChar w:fldCharType="separate"/>
          </w:r>
          <w:r>
            <w:rPr>
              <w:rStyle w:val="22"/>
              <w:rFonts w:ascii="黑体" w:hAnsi="黑体" w:eastAsia="黑体" w:cs="黑体"/>
            </w:rPr>
            <w:t>第二部分</w:t>
          </w:r>
          <w:r>
            <w:tab/>
          </w:r>
          <w:r>
            <w:fldChar w:fldCharType="begin"/>
          </w:r>
          <w:r>
            <w:instrText xml:space="preserve"> PAGEREF _Toc256000098 \h </w:instrText>
          </w:r>
          <w:r>
            <w:fldChar w:fldCharType="separate"/>
          </w:r>
          <w:r>
            <w:t>6</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"_Toc256000099" </w:instrText>
          </w:r>
          <w:r>
            <w:fldChar w:fldCharType="separate"/>
          </w:r>
          <w:r>
            <w:rPr>
              <w:rStyle w:val="22"/>
              <w:rFonts w:ascii="黑体" w:hAnsi="黑体" w:eastAsia="黑体" w:cs="黑体"/>
            </w:rPr>
            <w:t>2024年度决算表</w:t>
          </w:r>
          <w:r>
            <w:tab/>
          </w:r>
          <w:r>
            <w:fldChar w:fldCharType="begin"/>
          </w:r>
          <w:r>
            <w:instrText xml:space="preserve"> PAGEREF _Toc256000099 \h </w:instrText>
          </w:r>
          <w:r>
            <w:fldChar w:fldCharType="separate"/>
          </w:r>
          <w:r>
            <w:t>6</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"_Toc256000100" </w:instrText>
          </w:r>
          <w:r>
            <w:fldChar w:fldCharType="separate"/>
          </w:r>
          <w:r>
            <w:rPr>
              <w:rStyle w:val="22"/>
              <w:rFonts w:ascii="黑体" w:hAnsi="黑体" w:eastAsia="黑体" w:cs="黑体"/>
            </w:rPr>
            <w:t>一、收入支出决算总表</w:t>
          </w:r>
          <w:r>
            <w:tab/>
          </w:r>
          <w:r>
            <w:fldChar w:fldCharType="begin"/>
          </w:r>
          <w:r>
            <w:instrText xml:space="preserve"> PAGEREF _Toc256000100 \h </w:instrText>
          </w:r>
          <w:r>
            <w:fldChar w:fldCharType="separate"/>
          </w:r>
          <w:r>
            <w:t>6</w:t>
          </w:r>
          <w:r>
            <w:fldChar w:fldCharType="end"/>
          </w:r>
          <w:r>
            <w:fldChar w:fldCharType="end"/>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"_Toc256000101" </w:instrText>
          </w:r>
          <w:r>
            <w:fldChar w:fldCharType="separate"/>
          </w:r>
          <w:r>
            <w:rPr>
              <w:rStyle w:val="22"/>
              <w:rFonts w:ascii="黑体" w:hAnsi="黑体" w:eastAsia="黑体" w:cs="黑体"/>
            </w:rPr>
            <w:t>二、收入决算表</w:t>
          </w:r>
          <w:r>
            <w:tab/>
          </w:r>
          <w:r>
            <w:rPr>
              <w:rFonts w:hint="eastAsia"/>
              <w:lang w:val="en-US" w:eastAsia="zh-CN"/>
            </w:rPr>
            <w:t>.</w:t>
          </w:r>
          <w:r>
            <w:fldChar w:fldCharType="end"/>
          </w:r>
          <w:r>
            <w:rPr>
              <w:rFonts w:hint="eastAsia"/>
              <w:lang w:val="en-US" w:eastAsia="zh-CN"/>
            </w:rPr>
            <w:t>7</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"_Toc256000102" </w:instrText>
          </w:r>
          <w:r>
            <w:fldChar w:fldCharType="separate"/>
          </w:r>
          <w:r>
            <w:rPr>
              <w:rStyle w:val="22"/>
              <w:rFonts w:ascii="黑体" w:hAnsi="黑体" w:eastAsia="黑体" w:cs="黑体"/>
            </w:rPr>
            <w:t>三、支出决算表</w:t>
          </w:r>
          <w:r>
            <w:tab/>
          </w:r>
          <w:r>
            <w:rPr>
              <w:rFonts w:hint="eastAsia"/>
              <w:lang w:val="en-US" w:eastAsia="zh-CN"/>
            </w:rPr>
            <w:t>.</w:t>
          </w:r>
          <w:r>
            <w:fldChar w:fldCharType="end"/>
          </w:r>
          <w:r>
            <w:rPr>
              <w:rFonts w:hint="eastAsia"/>
              <w:lang w:val="en-US" w:eastAsia="zh-CN"/>
            </w:rPr>
            <w:t>8</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"_Toc256000103" </w:instrText>
          </w:r>
          <w:r>
            <w:fldChar w:fldCharType="separate"/>
          </w:r>
          <w:r>
            <w:rPr>
              <w:rStyle w:val="22"/>
              <w:rFonts w:ascii="黑体" w:hAnsi="黑体" w:eastAsia="黑体" w:cs="黑体"/>
            </w:rPr>
            <w:t>四、财政拨款收入支出决算总表</w:t>
          </w:r>
          <w:r>
            <w:tab/>
          </w:r>
          <w:r>
            <w:rPr>
              <w:rFonts w:hint="eastAsia"/>
              <w:lang w:val="en-US" w:eastAsia="zh-CN"/>
            </w:rPr>
            <w:t>.</w:t>
          </w:r>
          <w:r>
            <w:fldChar w:fldCharType="end"/>
          </w:r>
          <w:r>
            <w:rPr>
              <w:rFonts w:hint="eastAsia"/>
              <w:lang w:val="en-US" w:eastAsia="zh-CN"/>
            </w:rPr>
            <w:t>9</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"_Toc256000104" </w:instrText>
          </w:r>
          <w:r>
            <w:fldChar w:fldCharType="separate"/>
          </w:r>
          <w:r>
            <w:rPr>
              <w:rStyle w:val="22"/>
              <w:rFonts w:ascii="黑体" w:hAnsi="黑体" w:eastAsia="黑体" w:cs="黑体"/>
            </w:rPr>
            <w:t>五、一般公共预算财政拨款支出决算表</w:t>
          </w:r>
          <w:r>
            <w:rPr>
              <w:rFonts w:hint="eastAsia" w:eastAsia="黑体"/>
              <w:lang w:val="en-US" w:eastAsia="zh-CN"/>
            </w:rPr>
            <w:t>.</w:t>
          </w:r>
          <w:r>
            <w:fldChar w:fldCharType="end"/>
          </w:r>
          <w:r>
            <w:rPr>
              <w:rFonts w:hint="eastAsia"/>
              <w:lang w:val="en-US" w:eastAsia="zh-CN"/>
            </w:rPr>
            <w:t>................................11</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"_Toc256000105" </w:instrText>
          </w:r>
          <w:r>
            <w:fldChar w:fldCharType="separate"/>
          </w:r>
          <w:r>
            <w:rPr>
              <w:rStyle w:val="22"/>
              <w:rFonts w:ascii="黑体" w:hAnsi="黑体" w:eastAsia="黑体" w:cs="黑体"/>
            </w:rPr>
            <w:t>六、一般公共预算财政拨款基本支出决算表</w:t>
          </w:r>
          <w:r>
            <w:fldChar w:fldCharType="end"/>
          </w:r>
          <w:r>
            <w:rPr>
              <w:rFonts w:hint="eastAsia"/>
              <w:lang w:val="en-US" w:eastAsia="zh-CN"/>
            </w:rPr>
            <w:t>.........................12</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"_Toc256000106" </w:instrText>
          </w:r>
          <w:r>
            <w:fldChar w:fldCharType="separate"/>
          </w:r>
          <w:r>
            <w:rPr>
              <w:rStyle w:val="22"/>
              <w:rFonts w:ascii="黑体" w:hAnsi="黑体" w:eastAsia="黑体" w:cs="黑体"/>
            </w:rPr>
            <w:t>七、一般公共预算财政拨款“三公”经费支出决算表</w:t>
          </w:r>
          <w:r>
            <w:fldChar w:fldCharType="end"/>
          </w:r>
          <w:r>
            <w:rPr>
              <w:rFonts w:hint="eastAsia"/>
              <w:lang w:val="en-US" w:eastAsia="zh-CN"/>
            </w:rPr>
            <w:t>.........14</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"_Toc256000107" </w:instrText>
          </w:r>
          <w:r>
            <w:fldChar w:fldCharType="separate"/>
          </w:r>
          <w:r>
            <w:rPr>
              <w:rStyle w:val="22"/>
              <w:rFonts w:ascii="黑体" w:hAnsi="黑体" w:eastAsia="黑体" w:cs="黑体"/>
            </w:rPr>
            <w:t>八、政府性基金预算财政拨款收入支出决算表</w:t>
          </w:r>
          <w:r>
            <w:rPr>
              <w:rFonts w:hint="eastAsia" w:eastAsia="黑体"/>
              <w:lang w:val="en-US" w:eastAsia="zh-CN"/>
            </w:rPr>
            <w:t>.</w:t>
          </w:r>
          <w:r>
            <w:fldChar w:fldCharType="end"/>
          </w:r>
          <w:r>
            <w:rPr>
              <w:rFonts w:hint="eastAsia"/>
              <w:lang w:val="en-US" w:eastAsia="zh-CN"/>
            </w:rPr>
            <w:t>....................15</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"_Toc256000108" </w:instrText>
          </w:r>
          <w:r>
            <w:fldChar w:fldCharType="separate"/>
          </w:r>
          <w:r>
            <w:rPr>
              <w:rStyle w:val="22"/>
              <w:rFonts w:ascii="黑体" w:hAnsi="黑体" w:eastAsia="黑体" w:cs="黑体"/>
            </w:rPr>
            <w:t>九、国有资本经营预算财政拨款支出决算表</w:t>
          </w:r>
          <w:r>
            <w:tab/>
          </w:r>
          <w:r>
            <w:fldChar w:fldCharType="end"/>
          </w:r>
          <w:r>
            <w:rPr>
              <w:rFonts w:hint="eastAsia"/>
              <w:lang w:val="en-US" w:eastAsia="zh-CN"/>
            </w:rPr>
            <w:t>15</w:t>
          </w:r>
        </w:p>
        <w:p>
          <w:pPr>
            <w:pStyle w:val="18"/>
            <w:tabs>
              <w:tab w:val="right" w:leader="dot" w:pos="9730"/>
            </w:tabs>
            <w:rPr>
              <w:rFonts w:hint="default" w:eastAsia="仿宋" w:asciiTheme="minorHAnsi" w:hAnsiTheme="minorHAnsi"/>
              <w:sz w:val="22"/>
              <w:lang w:val="en-US" w:eastAsia="zh-CN"/>
            </w:rPr>
          </w:pPr>
          <w:r>
            <w:fldChar w:fldCharType="begin"/>
          </w:r>
          <w:r>
            <w:instrText xml:space="preserve"> HYPERLINK \l "_Toc256000109" </w:instrText>
          </w:r>
          <w:r>
            <w:fldChar w:fldCharType="separate"/>
          </w:r>
          <w:r>
            <w:rPr>
              <w:rStyle w:val="22"/>
              <w:rFonts w:ascii="黑体" w:hAnsi="黑体" w:eastAsia="黑体" w:cs="黑体"/>
            </w:rPr>
            <w:t>第三部分</w:t>
          </w:r>
          <w:r>
            <w:tab/>
          </w:r>
          <w:r>
            <w:rPr>
              <w:rFonts w:hint="eastAsia"/>
              <w:lang w:val="en-US" w:eastAsia="zh-CN"/>
            </w:rPr>
            <w:t>.</w:t>
          </w:r>
          <w:r>
            <w:fldChar w:fldCharType="end"/>
          </w:r>
          <w:r>
            <w:rPr>
              <w:rFonts w:hint="eastAsia"/>
              <w:lang w:val="en-US" w:eastAsia="zh-CN"/>
            </w:rPr>
            <w:t>16</w:t>
          </w:r>
        </w:p>
        <w:p>
          <w:pPr>
            <w:pStyle w:val="18"/>
            <w:tabs>
              <w:tab w:val="right" w:leader="dot" w:pos="9730"/>
            </w:tabs>
            <w:rPr>
              <w:rFonts w:hint="default" w:eastAsia="仿宋" w:asciiTheme="minorHAnsi" w:hAnsiTheme="minorHAnsi"/>
              <w:sz w:val="22"/>
              <w:lang w:val="en-US" w:eastAsia="zh-CN"/>
            </w:rPr>
          </w:pPr>
          <w:r>
            <w:fldChar w:fldCharType="begin"/>
          </w:r>
          <w:r>
            <w:instrText xml:space="preserve"> HYPERLINK \l "_Toc256000110" </w:instrText>
          </w:r>
          <w:r>
            <w:fldChar w:fldCharType="separate"/>
          </w:r>
          <w:r>
            <w:rPr>
              <w:rStyle w:val="22"/>
              <w:rFonts w:ascii="黑体" w:hAnsi="黑体" w:eastAsia="黑体" w:cs="黑体"/>
            </w:rPr>
            <w:t>2024年度决算情况说明</w:t>
          </w:r>
          <w:r>
            <w:tab/>
          </w:r>
          <w:r>
            <w:rPr>
              <w:rFonts w:hint="eastAsia"/>
              <w:lang w:val="en-US" w:eastAsia="zh-CN"/>
            </w:rPr>
            <w:t>.</w:t>
          </w:r>
          <w:r>
            <w:fldChar w:fldCharType="end"/>
          </w:r>
          <w:r>
            <w:rPr>
              <w:rFonts w:hint="eastAsia"/>
              <w:lang w:val="en-US" w:eastAsia="zh-CN"/>
            </w:rPr>
            <w:t>16</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"_Toc256000111" </w:instrText>
          </w:r>
          <w:r>
            <w:fldChar w:fldCharType="separate"/>
          </w:r>
          <w:r>
            <w:rPr>
              <w:rStyle w:val="22"/>
              <w:rFonts w:ascii="黑体" w:hAnsi="黑体" w:eastAsia="黑体" w:cs="黑体"/>
            </w:rPr>
            <w:t>一、收入支出决算总体情况说明</w:t>
          </w:r>
          <w:r>
            <w:tab/>
          </w:r>
          <w:r>
            <w:rPr>
              <w:rFonts w:hint="eastAsia"/>
              <w:lang w:val="en-US" w:eastAsia="zh-CN"/>
            </w:rPr>
            <w:t>.</w:t>
          </w:r>
          <w:r>
            <w:fldChar w:fldCharType="end"/>
          </w:r>
          <w:r>
            <w:rPr>
              <w:rFonts w:hint="eastAsia"/>
              <w:lang w:val="en-US" w:eastAsia="zh-CN"/>
            </w:rPr>
            <w:t>16</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"_Toc256000112" </w:instrText>
          </w:r>
          <w:r>
            <w:fldChar w:fldCharType="separate"/>
          </w:r>
          <w:r>
            <w:rPr>
              <w:rStyle w:val="22"/>
              <w:rFonts w:ascii="黑体" w:hAnsi="黑体" w:eastAsia="黑体" w:cs="黑体"/>
            </w:rPr>
            <w:t>二、财政拨款收入支出决算总体情况说明</w:t>
          </w:r>
          <w:r>
            <w:rPr>
              <w:rFonts w:hint="eastAsia" w:eastAsia="黑体"/>
              <w:lang w:val="en-US" w:eastAsia="zh-CN"/>
            </w:rPr>
            <w:t>.</w:t>
          </w:r>
          <w:r>
            <w:fldChar w:fldCharType="end"/>
          </w:r>
          <w:r>
            <w:rPr>
              <w:rFonts w:hint="eastAsia"/>
              <w:lang w:val="en-US" w:eastAsia="zh-CN"/>
            </w:rPr>
            <w:t>............................17</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"_Toc256000113" </w:instrText>
          </w:r>
          <w:r>
            <w:fldChar w:fldCharType="separate"/>
          </w:r>
          <w:r>
            <w:rPr>
              <w:rStyle w:val="22"/>
              <w:rFonts w:ascii="黑体" w:hAnsi="黑体" w:eastAsia="黑体" w:cs="黑体"/>
            </w:rPr>
            <w:t>三、一般公共预算拨款支出决算情况说明</w:t>
          </w:r>
          <w:r>
            <w:fldChar w:fldCharType="end"/>
          </w:r>
          <w:r>
            <w:rPr>
              <w:rFonts w:hint="eastAsia"/>
              <w:lang w:val="en-US" w:eastAsia="zh-CN"/>
            </w:rPr>
            <w:t>.............................17</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"_Toc256000114" </w:instrText>
          </w:r>
          <w:r>
            <w:fldChar w:fldCharType="separate"/>
          </w:r>
          <w:r>
            <w:rPr>
              <w:rStyle w:val="22"/>
              <w:rFonts w:ascii="黑体" w:hAnsi="黑体" w:eastAsia="黑体" w:cs="黑体"/>
            </w:rPr>
            <w:t>四、政府性基金预算财政拨款支出决算情况说明</w:t>
          </w:r>
          <w:r>
            <w:fldChar w:fldCharType="end"/>
          </w:r>
          <w:r>
            <w:rPr>
              <w:rFonts w:hint="eastAsia"/>
              <w:lang w:val="en-US" w:eastAsia="zh-CN"/>
            </w:rPr>
            <w:t>.................19</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"_Toc256000115" </w:instrText>
          </w:r>
          <w:r>
            <w:fldChar w:fldCharType="separate"/>
          </w:r>
          <w:r>
            <w:rPr>
              <w:rStyle w:val="22"/>
              <w:rFonts w:ascii="黑体" w:hAnsi="黑体" w:eastAsia="黑体" w:cs="黑体"/>
            </w:rPr>
            <w:t>五、国有资本经营预算财政拨款支出决算情况说明</w:t>
          </w:r>
          <w:r>
            <w:tab/>
          </w:r>
          <w:r>
            <w:fldChar w:fldCharType="end"/>
          </w:r>
          <w:r>
            <w:rPr>
              <w:rFonts w:hint="eastAsia"/>
              <w:lang w:val="en-US" w:eastAsia="zh-CN"/>
            </w:rPr>
            <w:t>19</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"_Toc256000116" </w:instrText>
          </w:r>
          <w:r>
            <w:fldChar w:fldCharType="separate"/>
          </w:r>
          <w:r>
            <w:rPr>
              <w:rStyle w:val="22"/>
              <w:rFonts w:ascii="黑体" w:hAnsi="黑体" w:eastAsia="黑体" w:cs="黑体"/>
            </w:rPr>
            <w:t>六、一般公共预算财政拨款基本支出决算情况说明</w:t>
          </w:r>
          <w:r>
            <w:rPr>
              <w:rFonts w:hint="eastAsia" w:eastAsia="黑体"/>
              <w:lang w:val="en-US" w:eastAsia="zh-CN"/>
            </w:rPr>
            <w:t>.</w:t>
          </w:r>
          <w:r>
            <w:fldChar w:fldCharType="end"/>
          </w:r>
          <w:r>
            <w:rPr>
              <w:rFonts w:hint="eastAsia"/>
              <w:lang w:val="en-US" w:eastAsia="zh-CN"/>
            </w:rPr>
            <w:t>............20</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"_Toc256000117" </w:instrText>
          </w:r>
          <w:r>
            <w:fldChar w:fldCharType="separate"/>
          </w:r>
          <w:r>
            <w:rPr>
              <w:rStyle w:val="22"/>
              <w:rFonts w:ascii="黑体" w:hAnsi="黑体" w:eastAsia="黑体" w:cs="黑体"/>
            </w:rPr>
            <w:t>七、一般公共预算拨款“三公”经费支出决算情况说明</w:t>
          </w:r>
          <w:r>
            <w:rPr>
              <w:rFonts w:hint="eastAsia" w:eastAsia="黑体"/>
              <w:lang w:val="en-US" w:eastAsia="zh-CN"/>
            </w:rPr>
            <w:t>.</w:t>
          </w:r>
          <w:r>
            <w:fldChar w:fldCharType="end"/>
          </w:r>
          <w:r>
            <w:rPr>
              <w:rFonts w:hint="eastAsia"/>
              <w:lang w:val="en-US" w:eastAsia="zh-CN"/>
            </w:rPr>
            <w:t>....20</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"_Toc256000118" </w:instrText>
          </w:r>
          <w:r>
            <w:fldChar w:fldCharType="separate"/>
          </w:r>
          <w:r>
            <w:rPr>
              <w:rStyle w:val="22"/>
              <w:rFonts w:ascii="黑体" w:hAnsi="黑体" w:eastAsia="黑体" w:cs="黑体"/>
            </w:rPr>
            <w:t>八、预算绩效情况说明</w:t>
          </w:r>
          <w:r>
            <w:tab/>
          </w:r>
          <w:r>
            <w:rPr>
              <w:rFonts w:hint="eastAsia"/>
              <w:lang w:val="en-US" w:eastAsia="zh-CN"/>
            </w:rPr>
            <w:t>.</w:t>
          </w:r>
          <w:r>
            <w:fldChar w:fldCharType="end"/>
          </w:r>
          <w:r>
            <w:rPr>
              <w:rFonts w:hint="eastAsia"/>
              <w:lang w:val="en-US" w:eastAsia="zh-CN"/>
            </w:rPr>
            <w:t>22</w:t>
          </w:r>
        </w:p>
        <w:p>
          <w:pPr>
            <w:pStyle w:val="11"/>
            <w:tabs>
              <w:tab w:val="right" w:leader="dot" w:pos="9730"/>
            </w:tabs>
            <w:rPr>
              <w:rFonts w:hint="default" w:eastAsia="仿宋" w:asciiTheme="minorHAnsi" w:hAnsiTheme="minorHAnsi"/>
              <w:sz w:val="22"/>
              <w:lang w:val="en-US" w:eastAsia="zh-CN"/>
            </w:rPr>
          </w:pPr>
          <w:r>
            <w:fldChar w:fldCharType="begin"/>
          </w:r>
          <w:r>
            <w:instrText xml:space="preserve"> HYPERLINK \l "_Toc256000119" </w:instrText>
          </w:r>
          <w:r>
            <w:fldChar w:fldCharType="separate"/>
          </w:r>
          <w:r>
            <w:rPr>
              <w:rStyle w:val="22"/>
              <w:rFonts w:ascii="黑体" w:hAnsi="黑体" w:eastAsia="黑体" w:cs="黑体"/>
            </w:rPr>
            <w:t>九、其他重要事项说明</w:t>
          </w:r>
          <w:r>
            <w:tab/>
          </w:r>
          <w:r>
            <w:rPr>
              <w:rFonts w:hint="eastAsia"/>
              <w:lang w:val="en-US" w:eastAsia="zh-CN"/>
            </w:rPr>
            <w:t>.</w:t>
          </w:r>
          <w:r>
            <w:fldChar w:fldCharType="end"/>
          </w:r>
          <w:r>
            <w:rPr>
              <w:rFonts w:hint="eastAsia"/>
              <w:lang w:val="en-US" w:eastAsia="zh-CN"/>
            </w:rPr>
            <w:t>22</w:t>
          </w:r>
        </w:p>
        <w:p>
          <w:pPr>
            <w:pStyle w:val="18"/>
            <w:tabs>
              <w:tab w:val="right" w:leader="dot" w:pos="9730"/>
            </w:tabs>
            <w:rPr>
              <w:rFonts w:hint="default" w:eastAsia="仿宋" w:asciiTheme="minorHAnsi" w:hAnsiTheme="minorHAnsi"/>
              <w:sz w:val="22"/>
              <w:lang w:val="en-US" w:eastAsia="zh-CN"/>
            </w:rPr>
          </w:pPr>
          <w:r>
            <w:fldChar w:fldCharType="begin"/>
          </w:r>
          <w:r>
            <w:instrText xml:space="preserve"> HYPERLINK \l "_Toc256000120" </w:instrText>
          </w:r>
          <w:r>
            <w:fldChar w:fldCharType="separate"/>
          </w:r>
          <w:r>
            <w:rPr>
              <w:rStyle w:val="22"/>
              <w:rFonts w:ascii="黑体" w:hAnsi="黑体" w:eastAsia="黑体" w:cs="黑体"/>
            </w:rPr>
            <w:t>第四部分</w:t>
          </w:r>
          <w:r>
            <w:tab/>
          </w:r>
          <w:r>
            <w:rPr>
              <w:rFonts w:hint="eastAsia"/>
              <w:lang w:val="en-US" w:eastAsia="zh-CN"/>
            </w:rPr>
            <w:t>.</w:t>
          </w:r>
          <w:r>
            <w:fldChar w:fldCharType="end"/>
          </w:r>
          <w:r>
            <w:rPr>
              <w:rFonts w:hint="eastAsia"/>
              <w:lang w:val="en-US" w:eastAsia="zh-CN"/>
            </w:rPr>
            <w:t>24</w:t>
          </w:r>
        </w:p>
        <w:p>
          <w:pPr>
            <w:pStyle w:val="18"/>
            <w:tabs>
              <w:tab w:val="right" w:leader="dot" w:pos="9730"/>
            </w:tabs>
            <w:rPr>
              <w:rFonts w:hint="eastAsia" w:eastAsia="仿宋" w:asciiTheme="minorHAnsi" w:hAnsiTheme="minorHAnsi"/>
              <w:sz w:val="22"/>
              <w:lang w:val="en-US" w:eastAsia="zh-CN"/>
            </w:rPr>
          </w:pPr>
          <w:r>
            <w:fldChar w:fldCharType="begin"/>
          </w:r>
          <w:r>
            <w:instrText xml:space="preserve"> HYPERLINK \l "_Toc256000121" </w:instrText>
          </w:r>
          <w:r>
            <w:fldChar w:fldCharType="separate"/>
          </w:r>
          <w:r>
            <w:rPr>
              <w:rStyle w:val="22"/>
              <w:rFonts w:ascii="黑体" w:hAnsi="黑体" w:eastAsia="黑体" w:cs="黑体"/>
            </w:rPr>
            <w:t>名词解释</w:t>
          </w:r>
          <w:r>
            <w:tab/>
          </w:r>
          <w:r>
            <w:rPr>
              <w:rFonts w:hint="eastAsia"/>
              <w:lang w:val="en-US" w:eastAsia="zh-CN"/>
            </w:rPr>
            <w:t>2</w:t>
          </w:r>
          <w:r>
            <w:fldChar w:fldCharType="end"/>
          </w:r>
          <w:r>
            <w:rPr>
              <w:rFonts w:hint="eastAsia"/>
              <w:lang w:val="en-US" w:eastAsia="zh-CN"/>
            </w:rPr>
            <w:t>4</w:t>
          </w:r>
        </w:p>
        <w:p>
          <w:pPr>
            <w:pStyle w:val="18"/>
            <w:tabs>
              <w:tab w:val="right" w:leader="dot" w:pos="9730"/>
            </w:tabs>
            <w:rPr>
              <w:rFonts w:hint="eastAsia" w:eastAsia="仿宋" w:asciiTheme="minorHAnsi" w:hAnsiTheme="minorHAnsi"/>
              <w:sz w:val="22"/>
              <w:lang w:val="en-US" w:eastAsia="zh-CN"/>
            </w:rPr>
          </w:pPr>
          <w:r>
            <w:fldChar w:fldCharType="begin"/>
          </w:r>
          <w:r>
            <w:instrText xml:space="preserve"> HYPERLINK \l "_Toc256000122" </w:instrText>
          </w:r>
          <w:r>
            <w:fldChar w:fldCharType="separate"/>
          </w:r>
          <w:r>
            <w:rPr>
              <w:rStyle w:val="22"/>
              <w:rFonts w:ascii="黑体" w:hAnsi="黑体" w:eastAsia="黑体" w:cs="黑体"/>
            </w:rPr>
            <w:t>第五部分</w:t>
          </w:r>
          <w:r>
            <w:tab/>
          </w:r>
          <w:r>
            <w:rPr>
              <w:rFonts w:hint="eastAsia"/>
              <w:lang w:val="en-US" w:eastAsia="zh-CN"/>
            </w:rPr>
            <w:t>2</w:t>
          </w:r>
          <w:r>
            <w:fldChar w:fldCharType="end"/>
          </w:r>
          <w:r>
            <w:rPr>
              <w:rFonts w:hint="eastAsia"/>
              <w:lang w:val="en-US" w:eastAsia="zh-CN"/>
            </w:rPr>
            <w:t>6</w:t>
          </w:r>
        </w:p>
        <w:p>
          <w:pPr>
            <w:pStyle w:val="18"/>
            <w:tabs>
              <w:tab w:val="right" w:leader="dot" w:pos="9730"/>
            </w:tabs>
            <w:rPr>
              <w:rFonts w:hint="eastAsia" w:eastAsia="仿宋" w:asciiTheme="minorHAnsi" w:hAnsiTheme="minorHAnsi"/>
              <w:sz w:val="22"/>
              <w:lang w:val="en-US" w:eastAsia="zh-CN"/>
            </w:rPr>
          </w:pPr>
          <w:r>
            <w:fldChar w:fldCharType="begin"/>
          </w:r>
          <w:r>
            <w:instrText xml:space="preserve"> HYPERLINK \l "_Toc256000123" </w:instrText>
          </w:r>
          <w:r>
            <w:fldChar w:fldCharType="separate"/>
          </w:r>
          <w:r>
            <w:rPr>
              <w:rStyle w:val="22"/>
              <w:rFonts w:ascii="黑体" w:hAnsi="黑体" w:eastAsia="黑体" w:cs="黑体"/>
            </w:rPr>
            <w:t>附件</w:t>
          </w:r>
          <w:r>
            <w:tab/>
          </w:r>
          <w:r>
            <w:rPr>
              <w:rFonts w:hint="eastAsia"/>
              <w:lang w:val="en-US" w:eastAsia="zh-CN"/>
            </w:rPr>
            <w:t>2</w:t>
          </w:r>
          <w:r>
            <w:fldChar w:fldCharType="end"/>
          </w:r>
          <w:r>
            <w:rPr>
              <w:rFonts w:hint="eastAsia"/>
              <w:lang w:val="en-US" w:eastAsia="zh-CN"/>
            </w:rPr>
            <w:t>6</w:t>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29"/>
        <w:widowControl/>
        <w:spacing w:before="100" w:after="100"/>
        <w:ind w:left="0" w:right="0" w:firstLine="0"/>
        <w:jc w:val="center"/>
        <w:rPr>
          <w:rFonts w:hint="eastAsia" w:ascii="黑体" w:hAnsi="宋体" w:eastAsia="黑体" w:cs="黑体"/>
          <w:kern w:val="0"/>
          <w:sz w:val="32"/>
          <w:szCs w:val="32"/>
          <w:shd w:val="clear" w:fill="FFFFFF"/>
        </w:rPr>
      </w:pPr>
      <w:bookmarkStart w:id="0" w:name="_Toc256000031"/>
      <w:bookmarkStart w:id="1" w:name="_Toc256000093"/>
      <w:bookmarkStart w:id="2" w:name="_Toc256000000"/>
      <w:bookmarkStart w:id="3" w:name="_Toc256000062"/>
      <w:bookmarkStart w:id="4" w:name="a000"/>
      <w:r>
        <w:rPr>
          <w:rFonts w:hint="eastAsia" w:ascii="黑体" w:hAnsi="宋体" w:eastAsia="黑体" w:cs="黑体"/>
          <w:kern w:val="0"/>
          <w:sz w:val="36"/>
          <w:szCs w:val="36"/>
          <w:shd w:val="clear" w:fill="FFFFFF"/>
          <w:lang w:bidi="ar"/>
        </w:rPr>
        <w:t>第一部分</w:t>
      </w:r>
      <w:bookmarkEnd w:id="0"/>
      <w:bookmarkEnd w:id="1"/>
      <w:bookmarkEnd w:id="2"/>
      <w:bookmarkEnd w:id="3"/>
      <w:bookmarkStart w:id="5" w:name="_Toc256000063"/>
      <w:bookmarkStart w:id="6" w:name="_Toc256000032"/>
      <w:bookmarkStart w:id="7" w:name="_Toc256000094"/>
      <w:bookmarkStart w:id="8" w:name="_Toc256000001"/>
      <w:r>
        <w:rPr>
          <w:rFonts w:hint="eastAsia" w:ascii="黑体" w:hAnsi="宋体" w:eastAsia="黑体" w:cs="黑体"/>
          <w:kern w:val="0"/>
          <w:sz w:val="36"/>
          <w:szCs w:val="36"/>
          <w:shd w:val="clear" w:fill="FFFFFF"/>
          <w:lang w:val="en-US" w:eastAsia="zh-CN" w:bidi="ar"/>
        </w:rPr>
        <w:t xml:space="preserve">  </w:t>
      </w:r>
      <w:r>
        <w:rPr>
          <w:rFonts w:hint="eastAsia" w:ascii="黑体" w:hAnsi="宋体" w:eastAsia="黑体" w:cs="黑体"/>
          <w:kern w:val="0"/>
          <w:sz w:val="36"/>
          <w:szCs w:val="36"/>
          <w:shd w:val="clear" w:fill="FFFFFF"/>
          <w:lang w:bidi="ar"/>
        </w:rPr>
        <w:t>单位概况</w:t>
      </w:r>
      <w:bookmarkEnd w:id="5"/>
      <w:bookmarkEnd w:id="6"/>
      <w:bookmarkEnd w:id="7"/>
      <w:bookmarkEnd w:id="8"/>
    </w:p>
    <w:p>
      <w:pPr>
        <w:keepNext w:val="0"/>
        <w:keepLines w:val="0"/>
        <w:widowControl/>
        <w:suppressLineNumbers w:val="0"/>
        <w:shd w:val="clear" w:fill="FFFFFF"/>
        <w:spacing w:before="240" w:beforeAutospacing="0" w:after="240" w:afterAutospacing="0" w:line="600" w:lineRule="atLeast"/>
        <w:ind w:left="0" w:right="0" w:firstLine="640"/>
        <w:rPr>
          <w:rFonts w:hint="eastAsia" w:ascii="黑体" w:hAnsi="宋体" w:eastAsia="黑体" w:cs="黑体"/>
          <w:kern w:val="0"/>
          <w:sz w:val="32"/>
          <w:szCs w:val="32"/>
          <w:shd w:val="clear" w:fill="FFFFFF"/>
        </w:rPr>
      </w:pPr>
      <w:bookmarkStart w:id="9" w:name="_Toc256000095"/>
      <w:bookmarkStart w:id="10" w:name="_Toc256000033"/>
      <w:bookmarkStart w:id="11" w:name="_Toc256000064"/>
      <w:bookmarkStart w:id="12" w:name="_Toc256000002"/>
      <w:r>
        <w:rPr>
          <w:rFonts w:hint="eastAsia" w:ascii="黑体" w:hAnsi="宋体" w:eastAsia="黑体" w:cs="黑体"/>
          <w:kern w:val="0"/>
          <w:sz w:val="32"/>
          <w:szCs w:val="32"/>
          <w:shd w:val="clear" w:fill="FFFFFF"/>
        </w:rPr>
        <w:t>一、单位主要职责</w:t>
      </w:r>
      <w:bookmarkEnd w:id="9"/>
      <w:bookmarkEnd w:id="10"/>
      <w:bookmarkEnd w:id="11"/>
      <w:bookmarkEnd w:id="12"/>
    </w:p>
    <w:p>
      <w:pPr>
        <w:pStyle w:val="29"/>
        <w:widowControl/>
        <w:numPr>
          <w:ilvl w:val="0"/>
          <w:numId w:val="0"/>
        </w:numPr>
        <w:spacing w:before="240" w:after="240" w:line="600" w:lineRule="atLeast"/>
        <w:ind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厦门市吕岭小学单位的主要职责是：</w:t>
      </w:r>
    </w:p>
    <w:p>
      <w:pPr>
        <w:pStyle w:val="29"/>
        <w:widowControl/>
        <w:numPr>
          <w:ilvl w:val="0"/>
          <w:numId w:val="1"/>
        </w:numPr>
        <w:spacing w:before="240" w:after="240" w:line="600" w:lineRule="atLeast"/>
        <w:ind w:firstLine="640"/>
        <w:jc w:val="left"/>
        <w:rPr>
          <w:rFonts w:hint="eastAsia" w:ascii="仿宋" w:hAnsi="仿宋" w:eastAsia="仿宋" w:cs="仿宋"/>
          <w:kern w:val="0"/>
          <w:sz w:val="32"/>
          <w:szCs w:val="32"/>
        </w:rPr>
      </w:pPr>
      <w:r>
        <w:rPr>
          <w:rFonts w:hint="eastAsia" w:ascii="仿宋" w:hAnsi="仿宋" w:eastAsia="仿宋" w:cs="仿宋"/>
          <w:kern w:val="0"/>
          <w:sz w:val="32"/>
          <w:szCs w:val="32"/>
        </w:rPr>
        <w:t>实施小学义务教育。</w:t>
      </w:r>
    </w:p>
    <w:p>
      <w:pPr>
        <w:pStyle w:val="29"/>
        <w:widowControl/>
        <w:numPr>
          <w:ilvl w:val="0"/>
          <w:numId w:val="1"/>
        </w:numPr>
        <w:spacing w:before="240" w:after="240" w:line="600" w:lineRule="atLeast"/>
        <w:ind w:left="0" w:leftChars="0" w:firstLine="640" w:firstLineChars="0"/>
        <w:jc w:val="left"/>
        <w:rPr>
          <w:rFonts w:hint="eastAsia" w:ascii="仿宋" w:hAnsi="仿宋" w:eastAsia="仿宋" w:cs="仿宋"/>
          <w:kern w:val="0"/>
          <w:sz w:val="32"/>
          <w:szCs w:val="32"/>
        </w:rPr>
      </w:pPr>
      <w:r>
        <w:rPr>
          <w:rFonts w:hint="eastAsia" w:ascii="仿宋" w:hAnsi="仿宋" w:eastAsia="仿宋" w:cs="仿宋"/>
          <w:kern w:val="0"/>
          <w:sz w:val="32"/>
          <w:szCs w:val="32"/>
        </w:rPr>
        <w:t>促进基础教育发展。</w:t>
      </w:r>
    </w:p>
    <w:p>
      <w:pPr>
        <w:pStyle w:val="29"/>
        <w:widowControl/>
        <w:spacing w:before="240" w:after="240" w:line="600" w:lineRule="atLeast"/>
        <w:ind w:firstLine="640"/>
        <w:jc w:val="left"/>
        <w:rPr>
          <w:rFonts w:ascii="Times New Roman" w:hAnsi="Times New Roman" w:eastAsia="Times New Roman" w:cs="Times New Roman"/>
          <w:kern w:val="0"/>
          <w:sz w:val="32"/>
          <w:szCs w:val="32"/>
        </w:rPr>
      </w:pPr>
      <w:r>
        <w:rPr>
          <w:rFonts w:hint="eastAsia" w:ascii="仿宋" w:hAnsi="仿宋" w:eastAsia="仿宋" w:cs="仿宋"/>
          <w:kern w:val="0"/>
          <w:sz w:val="32"/>
          <w:szCs w:val="32"/>
        </w:rPr>
        <w:t>（三）促进小学学历教育。</w:t>
      </w:r>
    </w:p>
    <w:p>
      <w:pPr>
        <w:pStyle w:val="29"/>
        <w:widowControl/>
        <w:spacing w:before="100" w:after="100" w:line="600" w:lineRule="atLeast"/>
        <w:ind w:left="0" w:right="0" w:firstLine="640"/>
        <w:jc w:val="left"/>
        <w:rPr>
          <w:rFonts w:hint="default" w:ascii="仿宋_GB2312" w:hAnsi="仿宋" w:eastAsia="仿宋_GB2312" w:cs="仿宋_GB2312"/>
          <w:color w:val="FF0000"/>
          <w:kern w:val="0"/>
          <w:sz w:val="32"/>
          <w:szCs w:val="32"/>
          <w:lang w:val="en-US" w:eastAsia="zh-CN" w:bidi="ar-SA"/>
        </w:rPr>
      </w:pPr>
    </w:p>
    <w:p>
      <w:pPr>
        <w:keepNext w:val="0"/>
        <w:keepLines w:val="0"/>
        <w:widowControl/>
        <w:suppressLineNumbers w:val="0"/>
        <w:shd w:val="clear" w:fill="FFFFFF"/>
        <w:spacing w:before="240" w:beforeAutospacing="0" w:after="240" w:afterAutospacing="0" w:line="600" w:lineRule="atLeast"/>
        <w:ind w:left="0" w:right="0" w:firstLine="640"/>
        <w:rPr>
          <w:rFonts w:hint="eastAsia" w:ascii="黑体" w:hAnsi="宋体" w:eastAsia="黑体" w:cs="黑体"/>
          <w:kern w:val="0"/>
          <w:sz w:val="32"/>
          <w:szCs w:val="32"/>
          <w:shd w:val="clear" w:fill="FFFFFF"/>
          <w:lang w:val="en-US" w:eastAsia="zh-CN"/>
        </w:rPr>
      </w:pPr>
      <w:bookmarkStart w:id="13" w:name="_Toc256000065"/>
      <w:bookmarkStart w:id="14" w:name="_Toc256000034"/>
      <w:bookmarkStart w:id="15" w:name="_Toc256000096"/>
      <w:bookmarkStart w:id="16" w:name="_Toc256000003"/>
      <w:r>
        <w:rPr>
          <w:rFonts w:hint="eastAsia" w:ascii="黑体" w:hAnsi="宋体" w:eastAsia="黑体" w:cs="黑体"/>
          <w:kern w:val="0"/>
          <w:sz w:val="32"/>
          <w:szCs w:val="32"/>
          <w:shd w:val="clear" w:fill="FFFFFF"/>
          <w:lang w:val="en-US" w:eastAsia="zh-CN"/>
        </w:rPr>
        <w:t>二、单位基本情况</w:t>
      </w:r>
      <w:bookmarkEnd w:id="13"/>
      <w:bookmarkEnd w:id="14"/>
      <w:bookmarkEnd w:id="15"/>
      <w:bookmarkEnd w:id="16"/>
    </w:p>
    <w:p>
      <w:pPr>
        <w:pStyle w:val="29"/>
        <w:widowControl/>
        <w:spacing w:before="100" w:after="100" w:line="600" w:lineRule="atLeast"/>
        <w:ind w:left="0" w:right="0" w:firstLine="640"/>
        <w:jc w:val="left"/>
        <w:rPr>
          <w:rFonts w:hint="eastAsia" w:ascii="仿宋" w:hAnsi="仿宋" w:eastAsia="仿宋" w:cs="仿宋"/>
          <w:kern w:val="0"/>
          <w:sz w:val="32"/>
          <w:szCs w:val="32"/>
          <w:shd w:val="clear" w:fill="FFFFFF"/>
          <w:lang w:val="en-US" w:eastAsia="zh-CN" w:bidi="ar-SA"/>
        </w:rPr>
      </w:pPr>
      <w:r>
        <w:rPr>
          <w:rFonts w:ascii="仿宋" w:hAnsi="仿宋" w:eastAsia="仿宋" w:cs="仿宋"/>
          <w:color w:val="auto"/>
          <w:spacing w:val="0"/>
          <w:kern w:val="0"/>
          <w:sz w:val="32"/>
          <w:szCs w:val="32"/>
        </w:rPr>
        <w:t>从决算单位构成看，本单位包括</w:t>
      </w:r>
      <w:r>
        <w:rPr>
          <w:rFonts w:hint="eastAsia" w:ascii="仿宋" w:hAnsi="仿宋" w:eastAsia="仿宋" w:cs="仿宋"/>
          <w:color w:val="auto"/>
          <w:spacing w:val="0"/>
          <w:kern w:val="0"/>
          <w:sz w:val="32"/>
          <w:szCs w:val="32"/>
          <w:lang w:val="en-US" w:eastAsia="zh-CN"/>
        </w:rPr>
        <w:t>3</w:t>
      </w:r>
      <w:r>
        <w:rPr>
          <w:rFonts w:ascii="仿宋" w:hAnsi="仿宋" w:eastAsia="仿宋" w:cs="仿宋"/>
          <w:color w:val="auto"/>
          <w:spacing w:val="0"/>
          <w:kern w:val="0"/>
          <w:sz w:val="32"/>
          <w:szCs w:val="32"/>
        </w:rPr>
        <w:t>个内设机构，其中：列入2024年决算编制范围的单位详细情况见下表</w:t>
      </w:r>
      <w:r>
        <w:rPr>
          <w:rFonts w:hint="eastAsia" w:ascii="仿宋" w:hAnsi="仿宋" w:eastAsia="仿宋" w:cs="仿宋"/>
          <w:kern w:val="0"/>
          <w:sz w:val="32"/>
          <w:szCs w:val="32"/>
          <w:shd w:val="clear" w:fill="FFFFFF"/>
          <w:lang w:val="en-US" w:eastAsia="zh-CN" w:bidi="ar-SA"/>
        </w:rPr>
        <w:t>:</w:t>
      </w:r>
    </w:p>
    <w:tbl>
      <w:tblPr>
        <w:tblStyle w:val="23"/>
        <w:tblW w:w="8310" w:type="dxa"/>
        <w:tblInd w:w="166"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920"/>
        <w:gridCol w:w="539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920" w:type="dxa"/>
            <w:tcBorders>
              <w:bottom w:val="single" w:color="auto" w:sz="4" w:space="0"/>
              <w:right w:val="inset" w:color="80808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line="600" w:lineRule="atLeast"/>
              <w:ind w:left="0" w:right="0"/>
              <w:jc w:val="center"/>
              <w:rPr>
                <w:rFonts w:hint="eastAsia" w:ascii="仿宋" w:hAnsi="仿宋" w:eastAsia="仿宋" w:cs="仿宋"/>
                <w:b w:val="0"/>
                <w:bCs w:val="0"/>
                <w:kern w:val="0"/>
                <w:sz w:val="32"/>
                <w:szCs w:val="32"/>
                <w:shd w:val="clear" w:fill="FFFFFF"/>
              </w:rPr>
            </w:pPr>
            <w:r>
              <w:rPr>
                <w:rFonts w:hint="eastAsia" w:ascii="仿宋" w:hAnsi="仿宋" w:eastAsia="仿宋" w:cs="仿宋"/>
                <w:b w:val="0"/>
                <w:bCs w:val="0"/>
                <w:kern w:val="0"/>
                <w:sz w:val="32"/>
                <w:szCs w:val="32"/>
                <w:shd w:val="clear" w:fill="FFFFFF"/>
              </w:rPr>
              <w:t>序号</w:t>
            </w:r>
          </w:p>
        </w:tc>
        <w:tc>
          <w:tcPr>
            <w:tcW w:w="5390" w:type="dxa"/>
            <w:tcBorders>
              <w:left w:val="inset" w:color="808080" w:sz="6" w:space="0"/>
              <w:bottom w:val="single" w:color="auto" w:sz="4"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line="600" w:lineRule="atLeast"/>
              <w:ind w:left="0" w:right="0"/>
              <w:jc w:val="center"/>
              <w:rPr>
                <w:rFonts w:hint="eastAsia" w:ascii="仿宋" w:hAnsi="仿宋" w:eastAsia="仿宋" w:cs="仿宋"/>
                <w:b w:val="0"/>
                <w:bCs w:val="0"/>
                <w:kern w:val="0"/>
                <w:sz w:val="32"/>
                <w:szCs w:val="32"/>
                <w:shd w:val="clear" w:fill="FFFFFF"/>
              </w:rPr>
            </w:pPr>
            <w:r>
              <w:rPr>
                <w:rFonts w:hint="eastAsia" w:ascii="仿宋" w:hAnsi="仿宋" w:eastAsia="仿宋" w:cs="仿宋"/>
                <w:b w:val="0"/>
                <w:bCs w:val="0"/>
                <w:kern w:val="0"/>
                <w:sz w:val="32"/>
                <w:szCs w:val="32"/>
                <w:shd w:val="clear" w:fill="FFFFFF"/>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920" w:type="dxa"/>
            <w:tcBorders>
              <w:right w:val="inset" w:color="80808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line="600" w:lineRule="atLeast"/>
              <w:ind w:left="0" w:right="0"/>
              <w:jc w:val="center"/>
              <w:rPr>
                <w:rFonts w:hint="eastAsia" w:ascii="仿宋" w:hAnsi="仿宋" w:eastAsia="仿宋" w:cs="仿宋"/>
                <w:b w:val="0"/>
                <w:bCs w:val="0"/>
                <w:kern w:val="0"/>
                <w:sz w:val="32"/>
                <w:szCs w:val="32"/>
                <w:shd w:val="clear" w:fill="FFFFFF"/>
                <w:lang w:val="en-US" w:eastAsia="zh-CN"/>
              </w:rPr>
            </w:pPr>
            <w:r>
              <w:rPr>
                <w:rFonts w:hint="eastAsia" w:ascii="仿宋" w:hAnsi="仿宋" w:eastAsia="仿宋" w:cs="仿宋"/>
                <w:b w:val="0"/>
                <w:bCs w:val="0"/>
                <w:kern w:val="0"/>
                <w:sz w:val="32"/>
                <w:szCs w:val="32"/>
                <w:shd w:val="clear" w:fill="FFFFFF"/>
                <w:lang w:val="en-US" w:eastAsia="zh-CN"/>
              </w:rPr>
              <w:t>1</w:t>
            </w:r>
          </w:p>
        </w:tc>
        <w:tc>
          <w:tcPr>
            <w:tcW w:w="5390" w:type="dxa"/>
            <w:tcBorders>
              <w:left w:val="inset" w:color="80808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line="600" w:lineRule="atLeast"/>
              <w:ind w:left="0" w:right="0"/>
              <w:jc w:val="center"/>
              <w:rPr>
                <w:rFonts w:hint="eastAsia" w:ascii="仿宋" w:hAnsi="仿宋" w:eastAsia="仿宋" w:cs="仿宋"/>
                <w:b w:val="0"/>
                <w:bCs w:val="0"/>
                <w:kern w:val="0"/>
                <w:sz w:val="32"/>
                <w:szCs w:val="32"/>
                <w:shd w:val="clear" w:fill="FFFFFF"/>
                <w:lang w:val="en-US" w:eastAsia="zh-CN"/>
              </w:rPr>
            </w:pPr>
            <w:r>
              <w:rPr>
                <w:rFonts w:hint="eastAsia" w:ascii="仿宋" w:hAnsi="仿宋" w:eastAsia="仿宋" w:cs="仿宋"/>
                <w:b w:val="0"/>
                <w:bCs w:val="0"/>
                <w:kern w:val="0"/>
                <w:sz w:val="32"/>
                <w:szCs w:val="32"/>
                <w:shd w:val="clear" w:fill="FFFFFF"/>
                <w:lang w:val="en-US" w:eastAsia="zh-CN"/>
              </w:rPr>
              <w:t>厦门市吕岭小学</w:t>
            </w:r>
          </w:p>
        </w:tc>
      </w:tr>
    </w:tbl>
    <w:p>
      <w:pPr>
        <w:pStyle w:val="6"/>
        <w:keepNext w:val="0"/>
        <w:keepLines w:val="0"/>
        <w:spacing w:before="100" w:after="100" w:line="600" w:lineRule="atLeast"/>
        <w:ind w:left="0" w:right="0" w:firstLine="640" w:firstLineChars="0"/>
        <w:rPr>
          <w:rFonts w:hint="eastAsia" w:ascii="黑体" w:hAnsi="宋体" w:eastAsia="黑体" w:cs="黑体"/>
          <w:bCs w:val="0"/>
          <w:kern w:val="0"/>
          <w:sz w:val="32"/>
          <w:szCs w:val="32"/>
          <w:shd w:val="clear" w:fill="FFFFFF"/>
          <w:lang w:val="en-US" w:eastAsia="zh-CN" w:bidi="ar-SA"/>
        </w:rPr>
      </w:pPr>
      <w:bookmarkStart w:id="17" w:name="_Toc256000097"/>
      <w:bookmarkStart w:id="18" w:name="_Toc256000004"/>
      <w:bookmarkStart w:id="19" w:name="_Toc256000066"/>
      <w:bookmarkStart w:id="20" w:name="_Toc256000035"/>
      <w:r>
        <w:rPr>
          <w:rFonts w:hint="eastAsia" w:ascii="黑体" w:hAnsi="宋体" w:eastAsia="黑体" w:cs="黑体"/>
          <w:bCs w:val="0"/>
          <w:kern w:val="0"/>
          <w:sz w:val="32"/>
          <w:szCs w:val="32"/>
          <w:shd w:val="clear" w:fill="FFFFFF"/>
          <w:lang w:val="en-US" w:eastAsia="zh-CN" w:bidi="ar-SA"/>
        </w:rPr>
        <w:t>三、单位主要工作总结</w:t>
      </w:r>
      <w:bookmarkEnd w:id="17"/>
      <w:bookmarkEnd w:id="18"/>
      <w:bookmarkEnd w:id="19"/>
      <w:bookmarkEnd w:id="20"/>
    </w:p>
    <w:p>
      <w:pPr>
        <w:pStyle w:val="29"/>
        <w:widowControl/>
        <w:spacing w:before="100" w:after="100" w:line="600" w:lineRule="atLeast"/>
        <w:ind w:left="0" w:right="0" w:firstLine="640"/>
        <w:jc w:val="both"/>
        <w:rPr>
          <w:rFonts w:hint="eastAsia" w:ascii="仿宋" w:hAnsi="仿宋" w:eastAsia="仿宋" w:cs="仿宋"/>
          <w:kern w:val="0"/>
          <w:sz w:val="32"/>
          <w:szCs w:val="32"/>
          <w:shd w:val="clear" w:fill="FFFFFF"/>
          <w:lang w:val="en-US" w:eastAsia="zh-CN" w:bidi="ar-SA"/>
        </w:rPr>
      </w:pPr>
      <w:r>
        <w:rPr>
          <w:rFonts w:hint="eastAsia" w:ascii="仿宋" w:hAnsi="仿宋" w:eastAsia="仿宋" w:cs="仿宋"/>
          <w:kern w:val="0"/>
          <w:sz w:val="32"/>
          <w:szCs w:val="32"/>
          <w:shd w:val="clear" w:fill="FFFFFF"/>
          <w:lang w:val="en-US" w:eastAsia="zh-CN" w:bidi="ar-SA"/>
        </w:rPr>
        <w:t>2024年，厦门市吕岭小学单位主要任务是：</w:t>
      </w:r>
    </w:p>
    <w:p>
      <w:pPr>
        <w:pStyle w:val="29"/>
        <w:widowControl/>
        <w:spacing w:before="100" w:after="100" w:line="600" w:lineRule="atLeast"/>
        <w:ind w:left="0" w:right="0" w:firstLine="640"/>
        <w:jc w:val="both"/>
        <w:rPr>
          <w:rFonts w:hint="eastAsia" w:ascii="仿宋" w:hAnsi="仿宋" w:eastAsia="仿宋" w:cs="仿宋"/>
          <w:kern w:val="0"/>
          <w:sz w:val="32"/>
          <w:szCs w:val="32"/>
          <w:shd w:val="clear" w:fill="FFFFFF"/>
          <w:lang w:val="en-US" w:eastAsia="zh-CN" w:bidi="ar-SA"/>
        </w:rPr>
      </w:pPr>
      <w:r>
        <w:rPr>
          <w:rFonts w:hint="eastAsia" w:ascii="仿宋" w:hAnsi="仿宋" w:eastAsia="仿宋" w:cs="仿宋"/>
          <w:kern w:val="0"/>
          <w:sz w:val="32"/>
          <w:szCs w:val="32"/>
          <w:shd w:val="clear" w:fill="FFFFFF"/>
          <w:lang w:val="en-US" w:eastAsia="zh-CN" w:bidi="ar-SA"/>
        </w:rPr>
        <w:t>校园环境改造从隐患处入手并兼顾文化建设需要，新购设备设施体现教学需要，合理使用公用经费和零星修缮专项经费，完成义务教育教育教学工作。围绕上述任务，重点完成了以下工作：</w:t>
      </w:r>
    </w:p>
    <w:p>
      <w:pPr>
        <w:pStyle w:val="29"/>
        <w:widowControl/>
        <w:spacing w:before="100" w:after="100" w:line="600" w:lineRule="atLeast"/>
        <w:ind w:left="0" w:right="0" w:firstLine="640"/>
        <w:jc w:val="both"/>
        <w:rPr>
          <w:rFonts w:hint="eastAsia" w:ascii="仿宋" w:hAnsi="仿宋" w:eastAsia="仿宋" w:cs="仿宋"/>
          <w:kern w:val="0"/>
          <w:sz w:val="32"/>
          <w:szCs w:val="32"/>
          <w:shd w:val="clear" w:fill="FFFFFF"/>
          <w:lang w:val="en-US" w:eastAsia="zh-CN" w:bidi="ar-SA"/>
        </w:rPr>
      </w:pPr>
      <w:r>
        <w:rPr>
          <w:rFonts w:hint="eastAsia" w:ascii="仿宋" w:hAnsi="仿宋" w:eastAsia="仿宋" w:cs="仿宋"/>
          <w:kern w:val="0"/>
          <w:sz w:val="32"/>
          <w:szCs w:val="32"/>
          <w:shd w:val="clear" w:fill="FFFFFF"/>
          <w:lang w:val="en-US" w:eastAsia="zh-CN" w:bidi="ar-SA"/>
        </w:rPr>
        <w:t>（一）我校 2024 年度采购任务全部完成：图书馆采购一套设备设施，采购图书一批，校园安防监控系统采购。</w:t>
      </w:r>
    </w:p>
    <w:p>
      <w:pPr>
        <w:pStyle w:val="29"/>
        <w:widowControl/>
        <w:spacing w:before="100" w:after="100" w:line="600" w:lineRule="atLeast"/>
        <w:ind w:left="0" w:right="0" w:firstLine="640"/>
        <w:jc w:val="both"/>
        <w:rPr>
          <w:rFonts w:hint="default" w:ascii="仿宋" w:hAnsi="仿宋" w:eastAsia="仿宋" w:cs="仿宋"/>
          <w:kern w:val="0"/>
          <w:sz w:val="32"/>
          <w:szCs w:val="32"/>
          <w:shd w:val="clear" w:fill="FFFFFF"/>
          <w:lang w:val="en-US" w:eastAsia="zh-CN" w:bidi="ar-SA"/>
        </w:rPr>
      </w:pPr>
      <w:r>
        <w:rPr>
          <w:rFonts w:hint="eastAsia" w:ascii="仿宋" w:hAnsi="仿宋" w:eastAsia="仿宋" w:cs="仿宋"/>
          <w:kern w:val="0"/>
          <w:sz w:val="32"/>
          <w:szCs w:val="32"/>
          <w:shd w:val="clear" w:fill="FFFFFF"/>
          <w:lang w:val="en-US" w:eastAsia="zh-CN" w:bidi="ar-SA"/>
        </w:rPr>
        <w:t>（二）我校 2024 年度修缮任务全部完成：日常水电修缮，校园局部立面改造，确保校园正常运转。</w:t>
      </w:r>
    </w:p>
    <w:p>
      <w:pPr>
        <w:pStyle w:val="29"/>
        <w:widowControl/>
        <w:numPr>
          <w:ilvl w:val="0"/>
          <w:numId w:val="0"/>
        </w:numPr>
        <w:spacing w:before="100" w:after="100" w:line="600" w:lineRule="atLeast"/>
        <w:ind w:right="0" w:rightChars="0"/>
        <w:jc w:val="left"/>
        <w:rPr>
          <w:rFonts w:hint="eastAsia" w:ascii="仿宋" w:hAnsi="仿宋" w:eastAsia="仿宋" w:cs="仿宋"/>
          <w:spacing w:val="0"/>
          <w:kern w:val="0"/>
          <w:sz w:val="32"/>
          <w:szCs w:val="32"/>
        </w:rPr>
      </w:pPr>
    </w:p>
    <w:p>
      <w:pPr>
        <w:pStyle w:val="29"/>
        <w:widowControl/>
        <w:spacing w:before="100" w:after="100" w:line="600" w:lineRule="atLeast"/>
        <w:ind w:left="0" w:right="0" w:firstLine="640"/>
        <w:jc w:val="left"/>
        <w:rPr>
          <w:rFonts w:ascii="仿宋" w:hAnsi="仿宋" w:eastAsia="仿宋" w:cs="仿宋"/>
          <w:spacing w:val="0"/>
          <w:kern w:val="0"/>
          <w:sz w:val="32"/>
          <w:szCs w:val="32"/>
        </w:rPr>
      </w:pPr>
    </w:p>
    <w:p>
      <w:pPr>
        <w:sectPr>
          <w:footerReference r:id="rId5" w:type="default"/>
          <w:pgSz w:w="11906" w:h="16838"/>
          <w:pgMar w:top="1440" w:right="1587" w:bottom="1440" w:left="1587"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240" w:lineRule="auto"/>
        <w:ind w:left="0" w:right="0"/>
        <w:jc w:val="center"/>
        <w:textAlignment w:val="auto"/>
        <w:rPr>
          <w:rFonts w:hint="eastAsia" w:ascii="黑体" w:hAnsi="宋体" w:eastAsia="黑体" w:cs="黑体"/>
          <w:kern w:val="0"/>
          <w:sz w:val="36"/>
          <w:szCs w:val="36"/>
          <w:shd w:val="clear" w:fill="FFFFFF"/>
          <w:lang w:bidi="ar"/>
        </w:rPr>
      </w:pPr>
      <w:bookmarkStart w:id="21" w:name="_Toc256000036"/>
      <w:bookmarkStart w:id="22" w:name="_Toc256000005"/>
      <w:bookmarkStart w:id="23" w:name="_Toc256000098"/>
      <w:bookmarkStart w:id="24" w:name="_Toc256000067"/>
      <w:r>
        <w:rPr>
          <w:rFonts w:hint="eastAsia" w:ascii="黑体" w:hAnsi="宋体" w:eastAsia="黑体" w:cs="黑体"/>
          <w:kern w:val="0"/>
          <w:sz w:val="36"/>
          <w:szCs w:val="36"/>
          <w:shd w:val="clear" w:fill="FFFFFF"/>
          <w:lang w:bidi="ar"/>
        </w:rPr>
        <w:t>第二部分</w:t>
      </w:r>
      <w:bookmarkEnd w:id="21"/>
      <w:bookmarkEnd w:id="22"/>
      <w:bookmarkEnd w:id="23"/>
      <w:bookmarkEnd w:id="24"/>
      <w:r>
        <w:rPr>
          <w:rFonts w:hint="eastAsia" w:ascii="黑体" w:hAnsi="宋体" w:eastAsia="黑体" w:cs="黑体"/>
          <w:kern w:val="0"/>
          <w:sz w:val="36"/>
          <w:szCs w:val="36"/>
          <w:shd w:val="clear" w:fill="FFFFFF"/>
          <w:lang w:bidi="ar"/>
        </w:rPr>
        <w:t> </w:t>
      </w:r>
      <w:bookmarkStart w:id="25" w:name="_Toc256000006"/>
      <w:bookmarkStart w:id="26" w:name="_Toc256000099"/>
      <w:bookmarkStart w:id="27" w:name="_Toc256000037"/>
      <w:bookmarkStart w:id="28" w:name="_Toc256000068"/>
      <w:r>
        <w:rPr>
          <w:rFonts w:hint="eastAsia" w:ascii="黑体" w:hAnsi="宋体" w:eastAsia="黑体" w:cs="黑体"/>
          <w:kern w:val="0"/>
          <w:sz w:val="36"/>
          <w:szCs w:val="36"/>
          <w:shd w:val="clear" w:fill="FFFFFF"/>
          <w:lang w:bidi="ar"/>
        </w:rPr>
        <w:t>2024年度决算表</w:t>
      </w:r>
      <w:bookmarkEnd w:id="25"/>
      <w:bookmarkEnd w:id="26"/>
      <w:bookmarkEnd w:id="27"/>
      <w:bookmarkEnd w:id="28"/>
    </w:p>
    <w:p>
      <w:pPr>
        <w:pStyle w:val="2"/>
        <w:rPr>
          <w:rFonts w:hint="eastAsia" w:ascii="黑体" w:hAnsi="黑体" w:eastAsia="黑体" w:cs="黑体"/>
          <w:sz w:val="32"/>
          <w:szCs w:val="32"/>
          <w:lang w:eastAsia="zh-CN"/>
        </w:rPr>
      </w:pPr>
      <w:bookmarkStart w:id="29" w:name="_Toc256000007"/>
      <w:bookmarkStart w:id="30" w:name="_Toc256000100"/>
      <w:bookmarkStart w:id="31" w:name="_Toc256000069"/>
      <w:bookmarkStart w:id="32" w:name="_Toc256000038"/>
      <w:r>
        <w:rPr>
          <w:rFonts w:hint="eastAsia" w:ascii="黑体" w:hAnsi="黑体" w:eastAsia="黑体" w:cs="黑体"/>
          <w:sz w:val="32"/>
          <w:szCs w:val="32"/>
          <w:lang w:eastAsia="zh-CN"/>
        </w:rPr>
        <w:t>一、收入支出决算总表</w:t>
      </w:r>
      <w:bookmarkEnd w:id="29"/>
      <w:bookmarkEnd w:id="30"/>
      <w:bookmarkEnd w:id="31"/>
      <w:bookmarkEnd w:id="32"/>
    </w:p>
    <w:p/>
    <w:p>
      <w:pPr>
        <w:pStyle w:val="2"/>
      </w:pPr>
    </w:p>
    <w:tbl>
      <w:tblPr>
        <w:tblStyle w:val="23"/>
        <w:tblpPr w:leftFromText="180" w:rightFromText="180" w:vertAnchor="text" w:horzAnchor="page" w:tblpX="589" w:tblpY="72"/>
        <w:tblOverlap w:val="never"/>
        <w:tblW w:w="9780" w:type="dxa"/>
        <w:tblInd w:w="0" w:type="dxa"/>
        <w:tblLayout w:type="fixed"/>
        <w:tblCellMar>
          <w:top w:w="15" w:type="dxa"/>
          <w:left w:w="15" w:type="dxa"/>
          <w:bottom w:w="15" w:type="dxa"/>
          <w:right w:w="15" w:type="dxa"/>
        </w:tblCellMar>
      </w:tblPr>
      <w:tblGrid>
        <w:gridCol w:w="3300"/>
        <w:gridCol w:w="465"/>
        <w:gridCol w:w="924"/>
        <w:gridCol w:w="3099"/>
        <w:gridCol w:w="465"/>
        <w:gridCol w:w="1527"/>
      </w:tblGrid>
      <w:tr>
        <w:tblPrEx>
          <w:tblLayout w:type="fixed"/>
          <w:tblCellMar>
            <w:top w:w="15" w:type="dxa"/>
            <w:left w:w="15" w:type="dxa"/>
            <w:bottom w:w="15" w:type="dxa"/>
            <w:right w:w="15" w:type="dxa"/>
          </w:tblCellMar>
        </w:tblPrEx>
        <w:trPr>
          <w:tblHeader/>
        </w:trPr>
        <w:tc>
          <w:tcPr>
            <w:tcW w:w="9780" w:type="dxa"/>
            <w:gridSpan w:val="6"/>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收入支出决算总表</w:t>
            </w:r>
          </w:p>
        </w:tc>
      </w:tr>
      <w:tr>
        <w:tblPrEx>
          <w:tblLayout w:type="fixed"/>
          <w:tblCellMar>
            <w:top w:w="15" w:type="dxa"/>
            <w:left w:w="15" w:type="dxa"/>
            <w:bottom w:w="15" w:type="dxa"/>
            <w:right w:w="15" w:type="dxa"/>
          </w:tblCellMar>
        </w:tblPrEx>
        <w:trPr>
          <w:tblHeader/>
        </w:trPr>
        <w:tc>
          <w:tcPr>
            <w:tcW w:w="4689"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/单位：厦门市吕岭小学</w:t>
            </w:r>
          </w:p>
        </w:tc>
        <w:tc>
          <w:tcPr>
            <w:tcW w:w="3564"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152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468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收入</w:t>
            </w:r>
          </w:p>
        </w:tc>
        <w:tc>
          <w:tcPr>
            <w:tcW w:w="509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支出</w:t>
            </w: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行次</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行次</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一、一般公共预算财政拨款收入</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一、一般公共服务支出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32</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二、政府性基金预算财政拨款收入</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二、外交支出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33</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三、国有资本经营预算财政拨款收入</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三、国防支出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四、上级补助收入</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四、公共安全支出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35</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五、事业收入</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五、教育支出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1,768.52</w:t>
            </w: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六、经营收入</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六、科学技术支出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37</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七、附属单位上缴收入</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七、文化旅游体育与传媒支出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38</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八、其他收入</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八、社会保障和就业支出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九、卫生健康支出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十、节能环保支出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十一、城乡社区支出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42</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十二、农林水支出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43</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十三、交通运输支出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44</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十四、资源勘探工业信息等支出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十五、商业服务业等支出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46</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十六、金融支出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十七、援助其他地区支出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48</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十八、自然资源海洋气象等支出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49</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十九、住房保障支出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二十、粮油物资储备支出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51</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二十一、国有资本经营预算支出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二十二、灾害防治及应急管理支出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53</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二十三、其他支出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54</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二十四、债务还本支出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55</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二十五、债务付息支出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56</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二十六、抗疫特别国债安排的支出</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57</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本年收入合计</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本年支出合计</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58</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使用非财政拨款结余（含专用结余）</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结余分配</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59</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年初结转和结余</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年末结转和结余</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60</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61</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总计</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c>
          <w:tcPr>
            <w:tcW w:w="30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总计</w:t>
            </w:r>
          </w:p>
        </w:tc>
        <w:tc>
          <w:tcPr>
            <w:tcW w:w="4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62</w:t>
            </w:r>
          </w:p>
        </w:tc>
        <w:tc>
          <w:tcPr>
            <w:tcW w:w="15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r>
      <w:tr>
        <w:tblPrEx>
          <w:tblLayout w:type="fixed"/>
          <w:tblCellMar>
            <w:top w:w="15" w:type="dxa"/>
            <w:left w:w="15" w:type="dxa"/>
            <w:bottom w:w="15" w:type="dxa"/>
            <w:right w:w="15" w:type="dxa"/>
          </w:tblCellMar>
        </w:tblPrEx>
        <w:tc>
          <w:tcPr>
            <w:tcW w:w="9780" w:type="dxa"/>
            <w:gridSpan w:val="6"/>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注：1.本表反映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本年度的总收支和年末结转结余情况。</w:t>
            </w:r>
          </w:p>
        </w:tc>
      </w:tr>
      <w:tr>
        <w:tblPrEx>
          <w:tblLayout w:type="fixed"/>
          <w:tblCellMar>
            <w:top w:w="15" w:type="dxa"/>
            <w:left w:w="15" w:type="dxa"/>
            <w:bottom w:w="15" w:type="dxa"/>
            <w:right w:w="15" w:type="dxa"/>
          </w:tblCellMar>
        </w:tblPrEx>
        <w:tc>
          <w:tcPr>
            <w:tcW w:w="9780" w:type="dxa"/>
            <w:gridSpan w:val="6"/>
            <w:noWrap w:val="0"/>
            <w:tcMar>
              <w:top w:w="20" w:type="dxa"/>
              <w:left w:w="485"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2.本套报表金额单位转换时可能存在尾数误差。</w:t>
            </w:r>
          </w:p>
        </w:tc>
      </w:tr>
    </w:tbl>
    <w:p>
      <w:pPr>
        <w:pStyle w:val="2"/>
      </w:pPr>
    </w:p>
    <w:p>
      <w:pPr>
        <w:pStyle w:val="2"/>
      </w:pPr>
    </w:p>
    <w:p>
      <w:pPr>
        <w:pStyle w:val="2"/>
        <w:jc w:val="both"/>
        <w:rPr>
          <w:rFonts w:hint="eastAsia" w:ascii="黑体" w:hAnsi="黑体" w:eastAsia="黑体" w:cs="黑体"/>
          <w:sz w:val="32"/>
          <w:szCs w:val="32"/>
          <w:lang w:eastAsia="zh-CN"/>
        </w:rPr>
      </w:pPr>
      <w:r>
        <w:rPr>
          <w:rFonts w:hint="eastAsia" w:ascii="黑体" w:hAnsi="黑体" w:eastAsia="黑体" w:cs="黑体"/>
          <w:sz w:val="32"/>
          <w:szCs w:val="32"/>
          <w:lang w:eastAsia="zh-CN"/>
        </w:rPr>
        <w:t>二、收入决算表</w:t>
      </w:r>
    </w:p>
    <w:p>
      <w:pPr>
        <w:pStyle w:val="2"/>
      </w:pPr>
    </w:p>
    <w:tbl>
      <w:tblPr>
        <w:tblStyle w:val="23"/>
        <w:tblpPr w:leftFromText="180" w:rightFromText="180" w:vertAnchor="text" w:horzAnchor="page" w:tblpX="799" w:tblpY="334"/>
        <w:tblOverlap w:val="never"/>
        <w:tblW w:w="9780" w:type="dxa"/>
        <w:tblInd w:w="0" w:type="dxa"/>
        <w:tblLayout w:type="fixed"/>
        <w:tblCellMar>
          <w:top w:w="15" w:type="dxa"/>
          <w:left w:w="15" w:type="dxa"/>
          <w:bottom w:w="15" w:type="dxa"/>
          <w:right w:w="15" w:type="dxa"/>
        </w:tblCellMar>
      </w:tblPr>
      <w:tblGrid>
        <w:gridCol w:w="1080"/>
        <w:gridCol w:w="2392"/>
        <w:gridCol w:w="1175"/>
        <w:gridCol w:w="1175"/>
        <w:gridCol w:w="892"/>
        <w:gridCol w:w="641"/>
        <w:gridCol w:w="641"/>
        <w:gridCol w:w="1143"/>
        <w:gridCol w:w="641"/>
      </w:tblGrid>
      <w:tr>
        <w:tblPrEx>
          <w:tblLayout w:type="fixed"/>
          <w:tblCellMar>
            <w:top w:w="15" w:type="dxa"/>
            <w:left w:w="15" w:type="dxa"/>
            <w:bottom w:w="15" w:type="dxa"/>
            <w:right w:w="15" w:type="dxa"/>
          </w:tblCellMar>
        </w:tblPrEx>
        <w:trPr>
          <w:tblHeader/>
        </w:trPr>
        <w:tc>
          <w:tcPr>
            <w:tcW w:w="9780" w:type="dxa"/>
            <w:gridSpan w:val="9"/>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收入决算表</w:t>
            </w:r>
          </w:p>
        </w:tc>
      </w:tr>
      <w:tr>
        <w:tblPrEx>
          <w:tblLayout w:type="fixed"/>
          <w:tblCellMar>
            <w:top w:w="15" w:type="dxa"/>
            <w:left w:w="15" w:type="dxa"/>
            <w:bottom w:w="15" w:type="dxa"/>
            <w:right w:w="15" w:type="dxa"/>
          </w:tblCellMar>
        </w:tblPrEx>
        <w:tc>
          <w:tcPr>
            <w:tcW w:w="4647"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/单位：厦门市吕岭小学</w:t>
            </w:r>
          </w:p>
        </w:tc>
        <w:tc>
          <w:tcPr>
            <w:tcW w:w="334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1784"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tblHeader/>
        </w:trPr>
        <w:tc>
          <w:tcPr>
            <w:tcW w:w="347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117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本年收入合计</w:t>
            </w:r>
          </w:p>
        </w:tc>
        <w:tc>
          <w:tcPr>
            <w:tcW w:w="117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财政拨款收入</w:t>
            </w:r>
          </w:p>
        </w:tc>
        <w:tc>
          <w:tcPr>
            <w:tcW w:w="89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上级补助收入</w:t>
            </w:r>
          </w:p>
        </w:tc>
        <w:tc>
          <w:tcPr>
            <w:tcW w:w="64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事业收入</w:t>
            </w:r>
          </w:p>
        </w:tc>
        <w:tc>
          <w:tcPr>
            <w:tcW w:w="64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经营收入</w:t>
            </w:r>
          </w:p>
        </w:tc>
        <w:tc>
          <w:tcPr>
            <w:tcW w:w="114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附属单位上缴收入</w:t>
            </w:r>
          </w:p>
        </w:tc>
        <w:tc>
          <w:tcPr>
            <w:tcW w:w="64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其他收入</w:t>
            </w:r>
          </w:p>
        </w:tc>
      </w:tr>
      <w:tr>
        <w:tblPrEx>
          <w:tblLayout w:type="fixed"/>
          <w:tblCellMar>
            <w:top w:w="15" w:type="dxa"/>
            <w:left w:w="15" w:type="dxa"/>
            <w:bottom w:w="15" w:type="dxa"/>
            <w:right w:w="15" w:type="dxa"/>
          </w:tblCellMar>
        </w:tblPrEx>
        <w:trPr>
          <w:tblHeader/>
        </w:trPr>
        <w:tc>
          <w:tcPr>
            <w:tcW w:w="108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科目代码</w:t>
            </w:r>
          </w:p>
        </w:tc>
        <w:tc>
          <w:tcPr>
            <w:tcW w:w="239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117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7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9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8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39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7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7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9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47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w:t>
            </w:r>
          </w:p>
        </w:tc>
      </w:tr>
      <w:tr>
        <w:tblPrEx>
          <w:tblLayout w:type="fixed"/>
          <w:tblCellMar>
            <w:top w:w="15" w:type="dxa"/>
            <w:left w:w="15" w:type="dxa"/>
            <w:bottom w:w="15" w:type="dxa"/>
            <w:right w:w="15" w:type="dxa"/>
          </w:tblCellMar>
        </w:tblPrEx>
        <w:tc>
          <w:tcPr>
            <w:tcW w:w="347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教育支出</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1,768.52</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1,768.52</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普通教育</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1,622.08</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1,622.08</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2050202</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小学教育</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1,478.43</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1,478.43</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2050299</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其他普通教育支出</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143.65</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143.65</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教育费附加安排的支出</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145.84</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145.84</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2050999</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其他教育费附加安排的支出</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145.84</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145.84</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20599</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其他教育支出</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0.6</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0.6</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2059999</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其他教育支出</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0.6</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0.6</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社会保障和就业支出</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行政事业单位养老支出</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2080502</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事业单位离退休</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105.16</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105.16</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2080505</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机关事业单位基本养老保险缴费支出</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117.51</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117.51</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2080506</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机关事业单位职业年金缴费支出</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77.37</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77.37</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卫生健康支出</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行政事业单位医疗</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2101102</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事业单位医疗</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50.31</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50.31</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2101199</w:t>
            </w:r>
          </w:p>
        </w:tc>
        <w:tc>
          <w:tcPr>
            <w:tcW w:w="23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其他行政事业单位医疗支出</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25.71</w:t>
            </w:r>
          </w:p>
        </w:tc>
        <w:tc>
          <w:tcPr>
            <w:tcW w:w="11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25.71</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9780" w:type="dxa"/>
            <w:gridSpan w:val="9"/>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本年度取得的各项收入情况。</w:t>
            </w:r>
          </w:p>
        </w:tc>
      </w:tr>
    </w:tbl>
    <w:p>
      <w:pPr>
        <w:pStyle w:val="2"/>
      </w:pPr>
    </w:p>
    <w:p>
      <w:pPr>
        <w:pStyle w:val="2"/>
      </w:pPr>
    </w:p>
    <w:p>
      <w:pPr>
        <w:pStyle w:val="2"/>
        <w:rPr>
          <w:rFonts w:hint="eastAsia" w:ascii="黑体" w:hAnsi="黑体" w:eastAsia="黑体" w:cs="黑体"/>
          <w:sz w:val="32"/>
          <w:szCs w:val="32"/>
          <w:lang w:eastAsia="zh-CN"/>
        </w:rPr>
      </w:pPr>
    </w:p>
    <w:p>
      <w:pPr>
        <w:pStyle w:val="2"/>
        <w:rPr>
          <w:rFonts w:hint="eastAsia" w:ascii="黑体" w:hAnsi="黑体" w:eastAsia="黑体" w:cs="黑体"/>
          <w:sz w:val="32"/>
          <w:szCs w:val="32"/>
          <w:lang w:eastAsia="zh-CN"/>
        </w:rPr>
      </w:pPr>
    </w:p>
    <w:p>
      <w:pPr>
        <w:pStyle w:val="2"/>
        <w:rPr>
          <w:rFonts w:hint="eastAsia" w:ascii="黑体" w:hAnsi="黑体" w:eastAsia="黑体" w:cs="黑体"/>
          <w:sz w:val="32"/>
          <w:szCs w:val="32"/>
          <w:lang w:eastAsia="zh-CN"/>
        </w:rPr>
      </w:pPr>
      <w:r>
        <w:rPr>
          <w:rFonts w:hint="eastAsia" w:ascii="黑体" w:hAnsi="黑体" w:eastAsia="黑体" w:cs="黑体"/>
          <w:sz w:val="32"/>
          <w:szCs w:val="32"/>
          <w:lang w:eastAsia="zh-CN"/>
        </w:rPr>
        <w:t>三</w:t>
      </w:r>
      <w:r>
        <w:rPr>
          <w:rFonts w:hint="eastAsia" w:ascii="黑体" w:hAnsi="黑体" w:eastAsia="黑体" w:cs="黑体"/>
          <w:sz w:val="32"/>
          <w:szCs w:val="32"/>
          <w:lang w:val="en-US" w:eastAsia="zh-CN"/>
        </w:rPr>
        <w:t>、支出决算表</w:t>
      </w:r>
    </w:p>
    <w:tbl>
      <w:tblPr>
        <w:tblStyle w:val="23"/>
        <w:tblpPr w:leftFromText="180" w:rightFromText="180" w:vertAnchor="text" w:horzAnchor="page" w:tblpX="694" w:tblpY="316"/>
        <w:tblOverlap w:val="never"/>
        <w:tblW w:w="9780" w:type="dxa"/>
        <w:tblInd w:w="0" w:type="dxa"/>
        <w:tblLayout w:type="fixed"/>
        <w:tblCellMar>
          <w:top w:w="15" w:type="dxa"/>
          <w:left w:w="15" w:type="dxa"/>
          <w:bottom w:w="15" w:type="dxa"/>
          <w:right w:w="15" w:type="dxa"/>
        </w:tblCellMar>
      </w:tblPr>
      <w:tblGrid>
        <w:gridCol w:w="891"/>
        <w:gridCol w:w="2594"/>
        <w:gridCol w:w="1235"/>
        <w:gridCol w:w="924"/>
        <w:gridCol w:w="859"/>
        <w:gridCol w:w="1041"/>
        <w:gridCol w:w="730"/>
        <w:gridCol w:w="1506"/>
      </w:tblGrid>
      <w:tr>
        <w:tblPrEx>
          <w:tblLayout w:type="fixed"/>
          <w:tblCellMar>
            <w:top w:w="15" w:type="dxa"/>
            <w:left w:w="15" w:type="dxa"/>
            <w:bottom w:w="15" w:type="dxa"/>
            <w:right w:w="15" w:type="dxa"/>
          </w:tblCellMar>
        </w:tblPrEx>
        <w:trPr>
          <w:tblHeader/>
        </w:trPr>
        <w:tc>
          <w:tcPr>
            <w:tcW w:w="9780" w:type="dxa"/>
            <w:gridSpan w:val="8"/>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支出决算表</w:t>
            </w:r>
          </w:p>
        </w:tc>
      </w:tr>
      <w:tr>
        <w:tblPrEx>
          <w:tblLayout w:type="fixed"/>
          <w:tblCellMar>
            <w:top w:w="15" w:type="dxa"/>
            <w:left w:w="15" w:type="dxa"/>
            <w:bottom w:w="15" w:type="dxa"/>
            <w:right w:w="15" w:type="dxa"/>
          </w:tblCellMar>
        </w:tblPrEx>
        <w:trPr>
          <w:trHeight w:val="264" w:hRule="atLeast"/>
        </w:trPr>
        <w:tc>
          <w:tcPr>
            <w:tcW w:w="4720"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/单位：厦门市吕岭小学</w:t>
            </w:r>
          </w:p>
        </w:tc>
        <w:tc>
          <w:tcPr>
            <w:tcW w:w="2824"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  </w:t>
            </w:r>
          </w:p>
        </w:tc>
        <w:tc>
          <w:tcPr>
            <w:tcW w:w="223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tblHeader/>
        </w:trPr>
        <w:tc>
          <w:tcPr>
            <w:tcW w:w="348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12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本年支出合计</w:t>
            </w:r>
          </w:p>
        </w:tc>
        <w:tc>
          <w:tcPr>
            <w:tcW w:w="92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基本支出</w:t>
            </w:r>
          </w:p>
        </w:tc>
        <w:tc>
          <w:tcPr>
            <w:tcW w:w="85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项目支出</w:t>
            </w:r>
          </w:p>
        </w:tc>
        <w:tc>
          <w:tcPr>
            <w:tcW w:w="104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上缴上级支出</w:t>
            </w:r>
          </w:p>
        </w:tc>
        <w:tc>
          <w:tcPr>
            <w:tcW w:w="73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经营支出</w:t>
            </w:r>
          </w:p>
        </w:tc>
        <w:tc>
          <w:tcPr>
            <w:tcW w:w="150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对附属单位补助支出</w:t>
            </w:r>
          </w:p>
        </w:tc>
      </w:tr>
      <w:tr>
        <w:tblPrEx>
          <w:tblLayout w:type="fixed"/>
          <w:tblCellMar>
            <w:top w:w="15" w:type="dxa"/>
            <w:left w:w="15" w:type="dxa"/>
            <w:bottom w:w="15" w:type="dxa"/>
            <w:right w:w="15" w:type="dxa"/>
          </w:tblCellMar>
        </w:tblPrEx>
        <w:trPr>
          <w:tblHeader/>
        </w:trPr>
        <w:tc>
          <w:tcPr>
            <w:tcW w:w="89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科目代码</w:t>
            </w:r>
          </w:p>
        </w:tc>
        <w:tc>
          <w:tcPr>
            <w:tcW w:w="259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12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4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3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50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89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59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4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3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50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48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r>
      <w:tr>
        <w:tblPrEx>
          <w:tblLayout w:type="fixed"/>
          <w:tblCellMar>
            <w:top w:w="15" w:type="dxa"/>
            <w:left w:w="15" w:type="dxa"/>
            <w:bottom w:w="15" w:type="dxa"/>
            <w:right w:w="15" w:type="dxa"/>
          </w:tblCellMar>
        </w:tblPrEx>
        <w:tc>
          <w:tcPr>
            <w:tcW w:w="348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1,890.97</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253.62</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教育支出</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1,768.52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1,514.9</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253.62</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普通教育</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1,622.08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1,514.9</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107.18</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2050202</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小学教育</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1,478.43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1,478.43</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2050299</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其他普通教育支出</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143.65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36.47</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107.18</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教育费附加安排的支出</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145.84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145.84</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2050999</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其他教育费附加安排的支出</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145.84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145.84</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20599</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其他教育支出</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0.6</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2059999</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其他教育支出</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0.6</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社会保障和就业支出</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行政事业单位养老支出</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2080502</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事业单位离退休</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105.16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105.16</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2080505</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机关事业单位基本养老保险缴费支出</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117.51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117.51</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2080506</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机关事业单位职业年金缴费支出</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77.37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77.37</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卫生健康支出</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行政事业单位医疗</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2101102</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事业单位医疗</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50.31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50.31</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8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2101199</w:t>
            </w:r>
          </w:p>
        </w:tc>
        <w:tc>
          <w:tcPr>
            <w:tcW w:w="2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其他行政事业单位医疗支出</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25.71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25.71</w:t>
            </w:r>
          </w:p>
        </w:tc>
        <w:tc>
          <w:tcPr>
            <w:tcW w:w="8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780" w:type="dxa"/>
            <w:gridSpan w:val="8"/>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本年度各项支出情况。</w:t>
            </w:r>
          </w:p>
        </w:tc>
      </w:tr>
    </w:tbl>
    <w:p>
      <w:pPr>
        <w:pStyle w:val="2"/>
      </w:pPr>
    </w:p>
    <w:p>
      <w:pPr>
        <w:pStyle w:val="2"/>
      </w:pPr>
    </w:p>
    <w:p>
      <w:pPr>
        <w:pStyle w:val="2"/>
      </w:pPr>
    </w:p>
    <w:p>
      <w:pPr>
        <w:pStyle w:val="2"/>
      </w:pPr>
    </w:p>
    <w:p>
      <w:pPr>
        <w:pStyle w:val="2"/>
      </w:pPr>
    </w:p>
    <w:p>
      <w:pPr>
        <w:pStyle w:val="2"/>
      </w:pPr>
    </w:p>
    <w:p>
      <w:pPr>
        <w:pStyle w:val="2"/>
      </w:pPr>
    </w:p>
    <w:p>
      <w:pPr>
        <w:pStyle w:val="2"/>
        <w:rPr>
          <w:rFonts w:hint="eastAsia" w:ascii="黑体" w:hAnsi="黑体" w:eastAsia="黑体" w:cs="黑体"/>
          <w:sz w:val="32"/>
          <w:szCs w:val="32"/>
          <w:lang w:eastAsia="zh-CN"/>
        </w:rPr>
      </w:pPr>
      <w:r>
        <w:rPr>
          <w:rFonts w:hint="eastAsia" w:ascii="黑体" w:hAnsi="黑体" w:eastAsia="黑体" w:cs="黑体"/>
          <w:sz w:val="32"/>
          <w:szCs w:val="32"/>
          <w:lang w:eastAsia="zh-CN"/>
        </w:rPr>
        <w:t>四、财政拨款收入支出决算总表</w:t>
      </w:r>
    </w:p>
    <w:p>
      <w:pPr>
        <w:pStyle w:val="2"/>
      </w:pPr>
    </w:p>
    <w:tbl>
      <w:tblPr>
        <w:tblStyle w:val="23"/>
        <w:tblpPr w:leftFromText="180" w:rightFromText="180" w:vertAnchor="text" w:horzAnchor="page" w:tblpX="664" w:tblpY="193"/>
        <w:tblOverlap w:val="never"/>
        <w:tblW w:w="9780" w:type="dxa"/>
        <w:tblInd w:w="0" w:type="dxa"/>
        <w:tblLayout w:type="fixed"/>
        <w:tblCellMar>
          <w:top w:w="15" w:type="dxa"/>
          <w:left w:w="15" w:type="dxa"/>
          <w:bottom w:w="15" w:type="dxa"/>
          <w:right w:w="15" w:type="dxa"/>
        </w:tblCellMar>
      </w:tblPr>
      <w:tblGrid>
        <w:gridCol w:w="1592"/>
        <w:gridCol w:w="356"/>
        <w:gridCol w:w="924"/>
        <w:gridCol w:w="1684"/>
        <w:gridCol w:w="356"/>
        <w:gridCol w:w="924"/>
        <w:gridCol w:w="1478"/>
        <w:gridCol w:w="1187"/>
        <w:gridCol w:w="1279"/>
      </w:tblGrid>
      <w:tr>
        <w:tblPrEx>
          <w:tblLayout w:type="fixed"/>
          <w:tblCellMar>
            <w:top w:w="15" w:type="dxa"/>
            <w:left w:w="15" w:type="dxa"/>
            <w:bottom w:w="15" w:type="dxa"/>
            <w:right w:w="15" w:type="dxa"/>
          </w:tblCellMar>
        </w:tblPrEx>
        <w:trPr>
          <w:tblHeader/>
        </w:trPr>
        <w:tc>
          <w:tcPr>
            <w:tcW w:w="9780" w:type="dxa"/>
            <w:gridSpan w:val="9"/>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财政拨款收入支出决算总表</w:t>
            </w:r>
          </w:p>
        </w:tc>
      </w:tr>
      <w:tr>
        <w:tblPrEx>
          <w:tblLayout w:type="fixed"/>
          <w:tblCellMar>
            <w:top w:w="15" w:type="dxa"/>
            <w:left w:w="15" w:type="dxa"/>
            <w:bottom w:w="15" w:type="dxa"/>
            <w:right w:w="15" w:type="dxa"/>
          </w:tblCellMar>
        </w:tblPrEx>
        <w:trPr>
          <w:tblHeader/>
        </w:trPr>
        <w:tc>
          <w:tcPr>
            <w:tcW w:w="4556"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/单位：厦门市吕岭小学</w:t>
            </w:r>
          </w:p>
        </w:tc>
        <w:tc>
          <w:tcPr>
            <w:tcW w:w="2758"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 </w:t>
            </w:r>
          </w:p>
        </w:tc>
        <w:tc>
          <w:tcPr>
            <w:tcW w:w="246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28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收入</w:t>
            </w:r>
          </w:p>
        </w:tc>
        <w:tc>
          <w:tcPr>
            <w:tcW w:w="6908"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支出</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项目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行次</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行次</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一般公共预算财政拨款</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政府性基金预算财政拨款</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国有资本经营预算财政拨款</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一、一般公共预算财政拨款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一、一般公共服务支出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二、政府性基金预算财政拨款</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二、外交支出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三、国有资本经营预算财政拨款</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三、国防支出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四、公共安全支出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五、教育支出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1,768.52</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1,768.52</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六、科学技术支出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七、文化旅游体育与传媒支出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八、社会保障和就业支出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九、卫生健康支出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十、节能环保支出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十一、城乡社区支出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十二、农林水支出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十三、交通运输支出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十四、资源勘探工业信息等支出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十五、商业服务业等支出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十六、金融支出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十七、援助其他地区支出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十八、自然资源海洋气象等支出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十九、住房保障支出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二十、粮油物资储备支出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二十一、国有资本经营预算支出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二十二、灾害防治及应急管理支出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二十三、其他支出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二十四、债务还本支出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二十五、债务付息支出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二十六、抗疫特别国债安排的支出</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本年收入合计</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本年支出合计</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年初财政拨款结转和结余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年末财政拨款结转和结余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一、一般公共预算财政拨款</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二、政府性基金预算财政拨款</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三、国有资本经营预算财政拨款</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5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总计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c>
          <w:tcPr>
            <w:tcW w:w="16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总计 </w:t>
            </w:r>
          </w:p>
        </w:tc>
        <w:tc>
          <w:tcPr>
            <w:tcW w:w="3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c>
          <w:tcPr>
            <w:tcW w:w="14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c>
          <w:tcPr>
            <w:tcW w:w="11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780" w:type="dxa"/>
            <w:gridSpan w:val="9"/>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本年度一般公共预算财政拨款、政府性基金预算财政拨款和国有资本经营预算财政拨款的总收支和年末结转结余情况。</w:t>
            </w:r>
          </w:p>
        </w:tc>
      </w:tr>
    </w:tbl>
    <w:p>
      <w:pPr>
        <w:pStyle w:val="2"/>
      </w:pPr>
    </w:p>
    <w:p>
      <w:pPr>
        <w:pStyle w:val="2"/>
      </w:pPr>
    </w:p>
    <w:p>
      <w:pPr>
        <w:pStyle w:val="2"/>
      </w:pPr>
    </w:p>
    <w:p>
      <w:pPr>
        <w:pStyle w:val="2"/>
      </w:pPr>
    </w:p>
    <w:p>
      <w:pPr>
        <w:pStyle w:val="2"/>
        <w:numPr>
          <w:ilvl w:val="0"/>
          <w:numId w:val="2"/>
        </w:numPr>
        <w:rPr>
          <w:rFonts w:hint="eastAsia" w:ascii="黑体" w:hAnsi="黑体" w:eastAsia="黑体" w:cs="黑体"/>
          <w:sz w:val="32"/>
          <w:szCs w:val="32"/>
          <w:lang w:eastAsia="zh-CN"/>
        </w:rPr>
      </w:pPr>
      <w:r>
        <w:rPr>
          <w:rFonts w:hint="eastAsia" w:ascii="黑体" w:hAnsi="黑体" w:eastAsia="黑体" w:cs="黑体"/>
          <w:sz w:val="32"/>
          <w:szCs w:val="32"/>
          <w:lang w:eastAsia="zh-CN"/>
        </w:rPr>
        <w:t>一般公共预算财政拨款支出决算表</w:t>
      </w:r>
    </w:p>
    <w:tbl>
      <w:tblPr>
        <w:tblStyle w:val="23"/>
        <w:tblpPr w:leftFromText="180" w:rightFromText="180" w:vertAnchor="text" w:horzAnchor="page" w:tblpX="1099" w:tblpY="715"/>
        <w:tblOverlap w:val="never"/>
        <w:tblW w:w="9666" w:type="dxa"/>
        <w:tblInd w:w="0" w:type="dxa"/>
        <w:tblLayout w:type="fixed"/>
        <w:tblCellMar>
          <w:top w:w="15" w:type="dxa"/>
          <w:left w:w="15" w:type="dxa"/>
          <w:bottom w:w="15" w:type="dxa"/>
          <w:right w:w="15" w:type="dxa"/>
        </w:tblCellMar>
      </w:tblPr>
      <w:tblGrid>
        <w:gridCol w:w="1140"/>
        <w:gridCol w:w="2775"/>
        <w:gridCol w:w="2220"/>
        <w:gridCol w:w="1815"/>
        <w:gridCol w:w="1716"/>
      </w:tblGrid>
      <w:tr>
        <w:tblPrEx>
          <w:tblLayout w:type="fixed"/>
          <w:tblCellMar>
            <w:top w:w="15" w:type="dxa"/>
            <w:left w:w="15" w:type="dxa"/>
            <w:bottom w:w="15" w:type="dxa"/>
            <w:right w:w="15" w:type="dxa"/>
          </w:tblCellMar>
        </w:tblPrEx>
        <w:trPr>
          <w:tblHeader/>
        </w:trPr>
        <w:tc>
          <w:tcPr>
            <w:tcW w:w="9666" w:type="dxa"/>
            <w:gridSpan w:val="5"/>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一般公共预算财政拨款支出决算表</w:t>
            </w:r>
          </w:p>
        </w:tc>
      </w:tr>
      <w:tr>
        <w:tblPrEx>
          <w:tblLayout w:type="fixed"/>
          <w:tblCellMar>
            <w:top w:w="15" w:type="dxa"/>
            <w:left w:w="15" w:type="dxa"/>
            <w:bottom w:w="15" w:type="dxa"/>
            <w:right w:w="15" w:type="dxa"/>
          </w:tblCellMar>
        </w:tblPrEx>
        <w:tc>
          <w:tcPr>
            <w:tcW w:w="391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/单位：厦门市吕岭小学</w:t>
            </w:r>
          </w:p>
        </w:tc>
        <w:tc>
          <w:tcPr>
            <w:tcW w:w="403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171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391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575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w:t>
            </w:r>
          </w:p>
        </w:tc>
      </w:tr>
      <w:tr>
        <w:tblPrEx>
          <w:tblLayout w:type="fixed"/>
          <w:tblCellMar>
            <w:top w:w="15" w:type="dxa"/>
            <w:left w:w="15" w:type="dxa"/>
            <w:bottom w:w="15" w:type="dxa"/>
            <w:right w:w="15" w:type="dxa"/>
          </w:tblCellMar>
        </w:tblPrEx>
        <w:trPr>
          <w:tblHeader/>
        </w:trPr>
        <w:tc>
          <w:tcPr>
            <w:tcW w:w="114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科目代码</w:t>
            </w:r>
          </w:p>
        </w:tc>
        <w:tc>
          <w:tcPr>
            <w:tcW w:w="277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222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小计</w:t>
            </w:r>
          </w:p>
        </w:tc>
        <w:tc>
          <w:tcPr>
            <w:tcW w:w="18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基本支出</w:t>
            </w:r>
          </w:p>
        </w:tc>
        <w:tc>
          <w:tcPr>
            <w:tcW w:w="171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项目支出</w:t>
            </w:r>
          </w:p>
        </w:tc>
      </w:tr>
      <w:tr>
        <w:tblPrEx>
          <w:tblLayout w:type="fixed"/>
          <w:tblCellMar>
            <w:top w:w="15" w:type="dxa"/>
            <w:left w:w="15" w:type="dxa"/>
            <w:bottom w:w="15" w:type="dxa"/>
            <w:right w:w="15" w:type="dxa"/>
          </w:tblCellMar>
        </w:tblPrEx>
        <w:trPr>
          <w:tblHeader/>
        </w:trPr>
        <w:tc>
          <w:tcPr>
            <w:tcW w:w="114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77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22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81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71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14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77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r>
      <w:tr>
        <w:tblPrEx>
          <w:tblLayout w:type="fixed"/>
          <w:tblCellMar>
            <w:top w:w="15" w:type="dxa"/>
            <w:left w:w="15" w:type="dxa"/>
            <w:bottom w:w="15" w:type="dxa"/>
            <w:right w:w="15" w:type="dxa"/>
          </w:tblCellMar>
        </w:tblPrEx>
        <w:tc>
          <w:tcPr>
            <w:tcW w:w="391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2,144.59</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1,890.97</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253.62</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教育支出</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1,768.52</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1,514.9</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253.62</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普通教育</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1,622.08</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1,514.9</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107.18</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2050202</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小学教育</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1,478.43</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1,478.43</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2050299</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其他普通教育支出</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143.65</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36.47</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107.18</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教育费附加安排的支出</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145.84</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145.84</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2050999</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其他教育费附加安排的支出</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145.84</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145.84</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20599</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其他教育支出</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0.6</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0.6</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2059999</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其他教育支出</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0.6</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0.6</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社会保障和就业支出</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行政事业单位养老支出</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300.05</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2080502</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事业单位离退休</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105.16</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105.16</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2080505</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机关事业单位基本养老保险缴费支出</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117.51</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117.51</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2080506</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机关事业单位职业年金缴费支出</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77.37</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77.37</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卫生健康支出</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行政事业单位医疗</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76.02</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2101102</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事业单位医疗</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50.31</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50.31</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2101199</w:t>
            </w:r>
          </w:p>
        </w:tc>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其他行政事业单位医疗支出</w:t>
            </w:r>
          </w:p>
        </w:tc>
        <w:tc>
          <w:tcPr>
            <w:tcW w:w="22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25.71</w:t>
            </w:r>
          </w:p>
        </w:tc>
        <w:tc>
          <w:tcPr>
            <w:tcW w:w="18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25.71</w:t>
            </w:r>
          </w:p>
        </w:tc>
        <w:tc>
          <w:tcPr>
            <w:tcW w:w="17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666" w:type="dxa"/>
            <w:gridSpan w:val="5"/>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本年度一般公共预算财政拨款支出情况。</w:t>
            </w:r>
          </w:p>
        </w:tc>
      </w:tr>
    </w:tbl>
    <w:p>
      <w:pPr>
        <w:pStyle w:val="2"/>
        <w:widowControl w:val="0"/>
        <w:numPr>
          <w:ilvl w:val="0"/>
          <w:numId w:val="0"/>
        </w:numPr>
        <w:spacing w:before="0" w:beforeAutospacing="0" w:after="0" w:afterAutospacing="0"/>
        <w:ind w:right="0" w:rightChars="0"/>
        <w:jc w:val="left"/>
        <w:rPr>
          <w:rFonts w:hint="eastAsia" w:ascii="黑体" w:hAnsi="黑体" w:eastAsia="黑体" w:cs="黑体"/>
          <w:sz w:val="32"/>
          <w:szCs w:val="32"/>
          <w:lang w:eastAsia="zh-CN"/>
        </w:rPr>
      </w:pPr>
    </w:p>
    <w:p>
      <w:pPr>
        <w:pStyle w:val="2"/>
        <w:widowControl w:val="0"/>
        <w:numPr>
          <w:ilvl w:val="0"/>
          <w:numId w:val="0"/>
        </w:numPr>
        <w:spacing w:before="0" w:beforeAutospacing="0" w:after="0" w:afterAutospacing="0"/>
        <w:ind w:right="0" w:rightChars="0"/>
        <w:jc w:val="left"/>
        <w:rPr>
          <w:rFonts w:hint="eastAsia" w:ascii="黑体" w:hAnsi="黑体" w:eastAsia="黑体" w:cs="黑体"/>
          <w:sz w:val="32"/>
          <w:szCs w:val="32"/>
          <w:lang w:eastAsia="zh-CN"/>
        </w:rPr>
      </w:pPr>
    </w:p>
    <w:p>
      <w:pPr>
        <w:pStyle w:val="2"/>
        <w:numPr>
          <w:ilvl w:val="0"/>
          <w:numId w:val="0"/>
        </w:numPr>
        <w:ind w:right="0" w:rightChars="0"/>
        <w:rPr>
          <w:rFonts w:hint="eastAsia" w:ascii="黑体" w:hAnsi="黑体" w:eastAsia="黑体" w:cs="黑体"/>
          <w:sz w:val="32"/>
          <w:szCs w:val="32"/>
          <w:lang w:eastAsia="zh-CN"/>
        </w:rPr>
      </w:pPr>
    </w:p>
    <w:p>
      <w:pPr>
        <w:pStyle w:val="2"/>
        <w:numPr>
          <w:ilvl w:val="0"/>
          <w:numId w:val="2"/>
        </w:numPr>
        <w:ind w:left="0" w:leftChars="0" w:right="0" w:rightChars="0" w:firstLine="0" w:firstLineChars="0"/>
        <w:rPr>
          <w:rFonts w:hint="eastAsia" w:ascii="黑体" w:hAnsi="黑体" w:eastAsia="黑体" w:cs="黑体"/>
          <w:sz w:val="32"/>
          <w:szCs w:val="32"/>
          <w:lang w:eastAsia="zh-CN"/>
        </w:rPr>
      </w:pPr>
      <w:r>
        <w:rPr>
          <w:rFonts w:hint="eastAsia" w:ascii="黑体" w:hAnsi="黑体" w:eastAsia="黑体" w:cs="黑体"/>
          <w:sz w:val="32"/>
          <w:szCs w:val="32"/>
          <w:lang w:eastAsia="zh-CN"/>
        </w:rPr>
        <w:t>一般公共预算财政拨款基本支出决算表</w:t>
      </w:r>
    </w:p>
    <w:p>
      <w:pPr>
        <w:pStyle w:val="2"/>
        <w:widowControl w:val="0"/>
        <w:numPr>
          <w:ilvl w:val="0"/>
          <w:numId w:val="0"/>
        </w:numPr>
        <w:spacing w:before="0" w:beforeAutospacing="0" w:after="0" w:afterAutospacing="0"/>
        <w:ind w:right="0" w:rightChars="0"/>
        <w:jc w:val="left"/>
        <w:rPr>
          <w:rFonts w:hint="eastAsia" w:ascii="黑体" w:hAnsi="黑体" w:eastAsia="黑体" w:cs="黑体"/>
          <w:sz w:val="32"/>
          <w:szCs w:val="32"/>
          <w:lang w:eastAsia="zh-CN"/>
        </w:rPr>
      </w:pPr>
    </w:p>
    <w:p>
      <w:pPr>
        <w:pStyle w:val="2"/>
        <w:widowControl w:val="0"/>
        <w:numPr>
          <w:ilvl w:val="0"/>
          <w:numId w:val="0"/>
        </w:numPr>
        <w:spacing w:before="0" w:beforeAutospacing="0" w:after="0" w:afterAutospacing="0"/>
        <w:ind w:right="0" w:rightChars="0"/>
        <w:jc w:val="left"/>
        <w:rPr>
          <w:rFonts w:hint="eastAsia" w:ascii="黑体" w:hAnsi="黑体" w:eastAsia="黑体" w:cs="黑体"/>
          <w:sz w:val="32"/>
          <w:szCs w:val="32"/>
          <w:lang w:eastAsia="zh-CN"/>
        </w:rPr>
      </w:pPr>
    </w:p>
    <w:tbl>
      <w:tblPr>
        <w:tblStyle w:val="23"/>
        <w:tblpPr w:leftFromText="180" w:rightFromText="180" w:vertAnchor="text" w:horzAnchor="page" w:tblpX="807" w:tblpY="251"/>
        <w:tblOverlap w:val="never"/>
        <w:tblW w:w="9780" w:type="dxa"/>
        <w:tblInd w:w="0" w:type="dxa"/>
        <w:tblLayout w:type="fixed"/>
        <w:tblCellMar>
          <w:top w:w="15" w:type="dxa"/>
          <w:left w:w="15" w:type="dxa"/>
          <w:bottom w:w="15" w:type="dxa"/>
          <w:right w:w="15" w:type="dxa"/>
        </w:tblCellMar>
      </w:tblPr>
      <w:tblGrid>
        <w:gridCol w:w="1052"/>
        <w:gridCol w:w="1622"/>
        <w:gridCol w:w="924"/>
        <w:gridCol w:w="1053"/>
        <w:gridCol w:w="1205"/>
        <w:gridCol w:w="704"/>
        <w:gridCol w:w="1053"/>
        <w:gridCol w:w="1683"/>
        <w:gridCol w:w="484"/>
      </w:tblGrid>
      <w:tr>
        <w:tblPrEx>
          <w:tblLayout w:type="fixed"/>
          <w:tblCellMar>
            <w:top w:w="15" w:type="dxa"/>
            <w:left w:w="15" w:type="dxa"/>
            <w:bottom w:w="15" w:type="dxa"/>
            <w:right w:w="15" w:type="dxa"/>
          </w:tblCellMar>
        </w:tblPrEx>
        <w:trPr>
          <w:tblHeader/>
        </w:trPr>
        <w:tc>
          <w:tcPr>
            <w:tcW w:w="9780" w:type="dxa"/>
            <w:gridSpan w:val="9"/>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一般公共预算财政拨款基本支出决算表</w:t>
            </w:r>
          </w:p>
        </w:tc>
      </w:tr>
      <w:tr>
        <w:tblPrEx>
          <w:tblLayout w:type="fixed"/>
          <w:tblCellMar>
            <w:top w:w="15" w:type="dxa"/>
            <w:left w:w="15" w:type="dxa"/>
            <w:bottom w:w="15" w:type="dxa"/>
            <w:right w:w="15" w:type="dxa"/>
          </w:tblCellMar>
        </w:tblPrEx>
        <w:trPr>
          <w:tblHeader/>
        </w:trPr>
        <w:tc>
          <w:tcPr>
            <w:tcW w:w="4651"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/单位：厦门市吕岭小学</w:t>
            </w:r>
          </w:p>
        </w:tc>
        <w:tc>
          <w:tcPr>
            <w:tcW w:w="1909"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3220"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tblHeader/>
        </w:trPr>
        <w:tc>
          <w:tcPr>
            <w:tcW w:w="105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经济分类科目编码</w:t>
            </w:r>
          </w:p>
        </w:tc>
        <w:tc>
          <w:tcPr>
            <w:tcW w:w="16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92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c>
          <w:tcPr>
            <w:tcW w:w="105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经济分类科目编码</w:t>
            </w:r>
          </w:p>
        </w:tc>
        <w:tc>
          <w:tcPr>
            <w:tcW w:w="120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70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c>
          <w:tcPr>
            <w:tcW w:w="105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经济分类科目编码</w:t>
            </w:r>
          </w:p>
        </w:tc>
        <w:tc>
          <w:tcPr>
            <w:tcW w:w="168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48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r>
      <w:tr>
        <w:tblPrEx>
          <w:tblLayout w:type="fixed"/>
          <w:tblCellMar>
            <w:top w:w="15" w:type="dxa"/>
            <w:left w:w="15" w:type="dxa"/>
            <w:bottom w:w="15" w:type="dxa"/>
            <w:right w:w="15" w:type="dxa"/>
          </w:tblCellMar>
        </w:tblPrEx>
        <w:trPr>
          <w:tblHeader/>
        </w:trPr>
        <w:tc>
          <w:tcPr>
            <w:tcW w:w="105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62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0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0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68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8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工资福利支出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1,615.51</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商品和服务支出</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157.96</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30703</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国内债务发行费用</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30101</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基本工资</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210.71</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30201</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办公费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69.14</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30704</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国外债务发行费用</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30102</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津贴补贴</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291.32</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30202</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印刷费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资本性支出</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5.62</w:t>
            </w: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30103</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奖金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505.62</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30203</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咨询费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31001</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房屋建筑物购建</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30106</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伙食补助费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30204</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手续费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31002</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办公设备购置</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5.62</w:t>
            </w: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30107</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绩效工资</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89.33</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30205</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水费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2.75</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31003</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专用设备购置</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30108</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机关事业单位基本养老保险缴费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117.51</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30206</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电费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10.5</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31005</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基础设施建设</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30109</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职业年金缴费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77.37</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30207</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邮电费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0.83</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31006</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大型修缮</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30110</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职工基本医疗保险缴费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50.31</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30208</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取暖费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31007</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信息网络及软件购置更新</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30111</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公务员医疗补助缴费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30209</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物业管理费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31008</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物资储备</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30112</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其他社会保障缴费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32.32</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30211</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差旅费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31009</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土地补偿</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30113</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住房公积金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127.51</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30212</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因公出国（境）费用</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31010</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安置补助</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30114</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医疗费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30213</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维修（护）费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21.18</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31011</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地上附着物和青苗补偿</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30199</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其他工资福利支出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113.51</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30214</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租赁费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31012</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拆迁补偿</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对个人和家庭的补助</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111.88</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30215</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会议费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31013</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30301</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离休费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30216</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培训费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10.91</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31019</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其他交通工具购置</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30302</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退休费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30217</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公务接待费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31021</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文物和陈列品购置</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30303</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退职（役）费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30218</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专用材料费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31022</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无形资产购置</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30304</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抚恤金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30224</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被装购置费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31099</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其他资本性支出</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30305</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生活补助</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30225</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专用燃料费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对企业补助</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30306</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救济费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30226</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劳务费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1.56</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31201</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资本金注入</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30307</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医疗费补助</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2.87</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30227</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委托业务费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31203</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政府投资基金股权投资</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30308</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助学金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30228</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工会经费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29.54</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31204</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费用补贴</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30309</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奖励金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3.84</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30229</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福利费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2.03</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31205</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利息补贴</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30310</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个人农业生产补贴</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30231</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公务用车运行维护费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31206</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其他资本性补助</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30311</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代缴社会保险费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30239</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其他交通费用</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1.35</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31299</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其他对企业补助</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30399</w:t>
            </w: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其他对个人和家庭的补助</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105.16</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30240</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税金及附加费用</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其他支出</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30299</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其他商品和服务支出</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8.16</w:t>
            </w: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39907</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国家赔偿费用支出</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债务利息及费用支出</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39908</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对民间非营利组织和群众性自治组织补贴</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30701</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国内债务付息</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39909</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经常性赠与</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30702</w:t>
            </w: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国外债务付息</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39910</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资本性赠与</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0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39999</w:t>
            </w:r>
          </w:p>
        </w:tc>
        <w:tc>
          <w:tcPr>
            <w:tcW w:w="16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其他支出</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267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人员经费合计</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1,727.39</w:t>
            </w:r>
          </w:p>
        </w:tc>
        <w:tc>
          <w:tcPr>
            <w:tcW w:w="4015"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公用经费合计</w:t>
            </w:r>
          </w:p>
        </w:tc>
        <w:tc>
          <w:tcPr>
            <w:tcW w:w="216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163.58</w:t>
            </w:r>
          </w:p>
        </w:tc>
      </w:tr>
      <w:tr>
        <w:tblPrEx>
          <w:tblLayout w:type="fixed"/>
          <w:tblCellMar>
            <w:top w:w="15" w:type="dxa"/>
            <w:left w:w="15" w:type="dxa"/>
            <w:bottom w:w="15" w:type="dxa"/>
            <w:right w:w="15" w:type="dxa"/>
          </w:tblCellMar>
        </w:tblPrEx>
        <w:trPr>
          <w:tblHeader/>
        </w:trPr>
        <w:tc>
          <w:tcPr>
            <w:tcW w:w="9780" w:type="dxa"/>
            <w:gridSpan w:val="9"/>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本年度一般公共预算财政拨款基本支出明细情况。</w:t>
            </w:r>
          </w:p>
        </w:tc>
      </w:tr>
    </w:tbl>
    <w:p>
      <w:pPr>
        <w:pStyle w:val="2"/>
        <w:widowControl w:val="0"/>
        <w:numPr>
          <w:ilvl w:val="0"/>
          <w:numId w:val="0"/>
        </w:numPr>
        <w:spacing w:before="0" w:beforeAutospacing="0" w:after="0" w:afterAutospacing="0"/>
        <w:ind w:right="0" w:rightChars="0"/>
        <w:jc w:val="left"/>
        <w:rPr>
          <w:rFonts w:hint="eastAsia" w:ascii="黑体" w:hAnsi="黑体" w:eastAsia="黑体" w:cs="黑体"/>
          <w:sz w:val="32"/>
          <w:szCs w:val="32"/>
          <w:lang w:eastAsia="zh-CN"/>
        </w:rPr>
      </w:pPr>
    </w:p>
    <w:p>
      <w:pPr>
        <w:pStyle w:val="2"/>
        <w:numPr>
          <w:ilvl w:val="0"/>
          <w:numId w:val="0"/>
        </w:numPr>
        <w:ind w:leftChars="0" w:right="0" w:rightChars="0"/>
        <w:rPr>
          <w:rFonts w:hint="eastAsia" w:ascii="黑体" w:hAnsi="黑体" w:eastAsia="黑体" w:cs="黑体"/>
          <w:sz w:val="32"/>
          <w:szCs w:val="32"/>
          <w:lang w:eastAsia="zh-CN"/>
        </w:rPr>
      </w:pPr>
      <w:r>
        <w:rPr>
          <w:rFonts w:hint="eastAsia" w:ascii="黑体" w:hAnsi="黑体" w:eastAsia="黑体" w:cs="黑体"/>
          <w:sz w:val="32"/>
          <w:szCs w:val="32"/>
          <w:lang w:eastAsia="zh-CN"/>
        </w:rPr>
        <w:t>七、一般公共预算财政拨款“三公”经费支出决算表</w:t>
      </w:r>
    </w:p>
    <w:p>
      <w:pPr>
        <w:pStyle w:val="2"/>
        <w:widowControl w:val="0"/>
        <w:numPr>
          <w:ilvl w:val="0"/>
          <w:numId w:val="0"/>
        </w:numPr>
        <w:spacing w:before="0" w:beforeAutospacing="0" w:after="0" w:afterAutospacing="0"/>
        <w:ind w:right="0" w:rightChars="0"/>
        <w:jc w:val="left"/>
        <w:rPr>
          <w:rFonts w:hint="eastAsia" w:ascii="黑体" w:hAnsi="黑体" w:eastAsia="黑体" w:cs="黑体"/>
          <w:sz w:val="32"/>
          <w:szCs w:val="32"/>
          <w:lang w:eastAsia="zh-CN"/>
        </w:rPr>
      </w:pPr>
    </w:p>
    <w:p>
      <w:pPr>
        <w:pStyle w:val="2"/>
        <w:widowControl w:val="0"/>
        <w:numPr>
          <w:ilvl w:val="0"/>
          <w:numId w:val="0"/>
        </w:numPr>
        <w:spacing w:before="0" w:beforeAutospacing="0" w:after="0" w:afterAutospacing="0"/>
        <w:ind w:right="0" w:rightChars="0"/>
        <w:jc w:val="left"/>
        <w:rPr>
          <w:rFonts w:hint="eastAsia" w:ascii="黑体" w:hAnsi="黑体" w:eastAsia="黑体" w:cs="黑体"/>
          <w:sz w:val="32"/>
          <w:szCs w:val="32"/>
          <w:lang w:eastAsia="zh-CN"/>
        </w:rPr>
      </w:pPr>
    </w:p>
    <w:tbl>
      <w:tblPr>
        <w:tblStyle w:val="23"/>
        <w:tblpPr w:leftFromText="180" w:rightFromText="180" w:vertAnchor="text" w:horzAnchor="page" w:tblpX="897" w:tblpY="243"/>
        <w:tblOverlap w:val="never"/>
        <w:tblW w:w="9780" w:type="dxa"/>
        <w:tblInd w:w="0" w:type="dxa"/>
        <w:tblLayout w:type="fixed"/>
        <w:tblCellMar>
          <w:top w:w="15" w:type="dxa"/>
          <w:left w:w="15" w:type="dxa"/>
          <w:bottom w:w="15" w:type="dxa"/>
          <w:right w:w="15" w:type="dxa"/>
        </w:tblCellMar>
      </w:tblPr>
      <w:tblGrid>
        <w:gridCol w:w="358"/>
        <w:gridCol w:w="1223"/>
        <w:gridCol w:w="358"/>
        <w:gridCol w:w="830"/>
        <w:gridCol w:w="1018"/>
        <w:gridCol w:w="641"/>
        <w:gridCol w:w="377"/>
        <w:gridCol w:w="1445"/>
        <w:gridCol w:w="1032"/>
        <w:gridCol w:w="830"/>
        <w:gridCol w:w="1018"/>
        <w:gridCol w:w="650"/>
      </w:tblGrid>
      <w:tr>
        <w:tblPrEx>
          <w:tblLayout w:type="fixed"/>
          <w:tblCellMar>
            <w:top w:w="15" w:type="dxa"/>
            <w:left w:w="15" w:type="dxa"/>
            <w:bottom w:w="15" w:type="dxa"/>
            <w:right w:w="15" w:type="dxa"/>
          </w:tblCellMar>
        </w:tblPrEx>
        <w:trPr>
          <w:tblHeader/>
        </w:trPr>
        <w:tc>
          <w:tcPr>
            <w:tcW w:w="9780" w:type="dxa"/>
            <w:gridSpan w:val="12"/>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一般公共预算财政拨款“三公”经费支出决算</w:t>
            </w:r>
          </w:p>
        </w:tc>
      </w:tr>
      <w:tr>
        <w:tblPrEx>
          <w:tblLayout w:type="fixed"/>
          <w:tblCellMar>
            <w:top w:w="15" w:type="dxa"/>
            <w:left w:w="15" w:type="dxa"/>
            <w:bottom w:w="15" w:type="dxa"/>
            <w:right w:w="15" w:type="dxa"/>
          </w:tblCellMar>
        </w:tblPrEx>
        <w:tc>
          <w:tcPr>
            <w:tcW w:w="4428" w:type="dxa"/>
            <w:gridSpan w:val="6"/>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/单位：厦门市吕岭小学</w:t>
            </w:r>
          </w:p>
        </w:tc>
        <w:tc>
          <w:tcPr>
            <w:tcW w:w="2854"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2498"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4428"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预算数</w:t>
            </w:r>
          </w:p>
        </w:tc>
        <w:tc>
          <w:tcPr>
            <w:tcW w:w="5352"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决算数</w:t>
            </w:r>
          </w:p>
        </w:tc>
      </w:tr>
      <w:tr>
        <w:tblPrEx>
          <w:tblLayout w:type="fixed"/>
          <w:tblCellMar>
            <w:top w:w="15" w:type="dxa"/>
            <w:left w:w="15" w:type="dxa"/>
            <w:bottom w:w="15" w:type="dxa"/>
            <w:right w:w="15" w:type="dxa"/>
          </w:tblCellMar>
        </w:tblPrEx>
        <w:trPr>
          <w:tblHeader/>
        </w:trPr>
        <w:tc>
          <w:tcPr>
            <w:tcW w:w="35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22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因公出国 （境）费</w:t>
            </w:r>
          </w:p>
        </w:tc>
        <w:tc>
          <w:tcPr>
            <w:tcW w:w="220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公务用车购置及运行维护费</w:t>
            </w:r>
          </w:p>
        </w:tc>
        <w:tc>
          <w:tcPr>
            <w:tcW w:w="64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公务接待费</w:t>
            </w:r>
          </w:p>
        </w:tc>
        <w:tc>
          <w:tcPr>
            <w:tcW w:w="37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44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因公出国 （境）费</w:t>
            </w:r>
          </w:p>
        </w:tc>
        <w:tc>
          <w:tcPr>
            <w:tcW w:w="288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公务用车购置及运行维护费</w:t>
            </w:r>
          </w:p>
        </w:tc>
        <w:tc>
          <w:tcPr>
            <w:tcW w:w="65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公务接待费</w:t>
            </w:r>
          </w:p>
        </w:tc>
      </w:tr>
      <w:tr>
        <w:tblPrEx>
          <w:tblLayout w:type="fixed"/>
          <w:tblCellMar>
            <w:top w:w="15" w:type="dxa"/>
            <w:left w:w="15" w:type="dxa"/>
            <w:bottom w:w="15" w:type="dxa"/>
            <w:right w:w="15" w:type="dxa"/>
          </w:tblCellMar>
        </w:tblPrEx>
        <w:trPr>
          <w:tblHeader/>
        </w:trPr>
        <w:tc>
          <w:tcPr>
            <w:tcW w:w="35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2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5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小计 </w:t>
            </w:r>
          </w:p>
        </w:tc>
        <w:tc>
          <w:tcPr>
            <w:tcW w:w="83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公务用车购置费</w:t>
            </w:r>
          </w:p>
        </w:tc>
        <w:tc>
          <w:tcPr>
            <w:tcW w:w="101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公务用车运行维护费</w:t>
            </w:r>
          </w:p>
        </w:tc>
        <w:tc>
          <w:tcPr>
            <w:tcW w:w="64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7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44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3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小计 </w:t>
            </w:r>
          </w:p>
        </w:tc>
        <w:tc>
          <w:tcPr>
            <w:tcW w:w="83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公务用车购置费</w:t>
            </w:r>
          </w:p>
        </w:tc>
        <w:tc>
          <w:tcPr>
            <w:tcW w:w="101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公务用车运行维护费</w:t>
            </w:r>
          </w:p>
        </w:tc>
        <w:tc>
          <w:tcPr>
            <w:tcW w:w="65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35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2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5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3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1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4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7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44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3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3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1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5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2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3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8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10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c>
          <w:tcPr>
            <w:tcW w:w="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w:t>
            </w:r>
          </w:p>
        </w:tc>
        <w:tc>
          <w:tcPr>
            <w:tcW w:w="14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w:t>
            </w:r>
          </w:p>
        </w:tc>
        <w:tc>
          <w:tcPr>
            <w:tcW w:w="10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w:t>
            </w:r>
          </w:p>
        </w:tc>
        <w:tc>
          <w:tcPr>
            <w:tcW w:w="8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w:t>
            </w:r>
          </w:p>
        </w:tc>
        <w:tc>
          <w:tcPr>
            <w:tcW w:w="10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w:t>
            </w:r>
          </w:p>
        </w:tc>
        <w:tc>
          <w:tcPr>
            <w:tcW w:w="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w:t>
            </w:r>
          </w:p>
        </w:tc>
      </w:tr>
      <w:tr>
        <w:tblPrEx>
          <w:tblLayout w:type="fixed"/>
          <w:tblCellMar>
            <w:top w:w="15" w:type="dxa"/>
            <w:left w:w="15" w:type="dxa"/>
            <w:bottom w:w="15" w:type="dxa"/>
            <w:right w:w="15" w:type="dxa"/>
          </w:tblCellMar>
        </w:tblPrEx>
        <w:tc>
          <w:tcPr>
            <w:tcW w:w="3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bookmarkStart w:id="33" w:name="_GoBack" w:colFirst="1" w:colLast="11"/>
            <w:r>
              <w:rPr>
                <w:rFonts w:hint="eastAsia" w:ascii="宋体" w:hAnsi="宋体" w:cs="宋体"/>
                <w:color w:val="000000"/>
                <w:kern w:val="0"/>
                <w:sz w:val="22"/>
                <w:szCs w:val="22"/>
                <w:shd w:val="clear" w:fill="FFFFFF"/>
                <w:lang w:val="en-US" w:eastAsia="zh-CN" w:bidi="ar"/>
              </w:rPr>
              <w:t>0</w:t>
            </w:r>
          </w:p>
        </w:tc>
        <w:tc>
          <w:tcPr>
            <w:tcW w:w="12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3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8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10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6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val="en-US" w:eastAsia="zh-CN" w:bidi="ar"/>
              </w:rPr>
              <w:t>0</w:t>
            </w:r>
          </w:p>
        </w:tc>
        <w:tc>
          <w:tcPr>
            <w:tcW w:w="14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10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8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10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r>
      <w:bookmarkEnd w:id="33"/>
      <w:tr>
        <w:tblPrEx>
          <w:tblLayout w:type="fixed"/>
          <w:tblCellMar>
            <w:top w:w="15" w:type="dxa"/>
            <w:left w:w="15" w:type="dxa"/>
            <w:bottom w:w="15" w:type="dxa"/>
            <w:right w:w="15" w:type="dxa"/>
          </w:tblCellMar>
        </w:tblPrEx>
        <w:tc>
          <w:tcPr>
            <w:tcW w:w="9780" w:type="dxa"/>
            <w:gridSpan w:val="12"/>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left"/>
              <w:rPr>
                <w:rFonts w:hint="eastAsia"/>
              </w:rPr>
            </w:pPr>
            <w:r>
              <w:rPr>
                <w:rFonts w:hint="eastAsia"/>
              </w:rPr>
              <w:t>注：本表反映</w:t>
            </w:r>
            <w:r>
              <w:rPr>
                <w:rFonts w:hint="eastAsia"/>
                <w:lang w:eastAsia="zh-CN"/>
              </w:rPr>
              <w:t>单位</w:t>
            </w:r>
            <w:r>
              <w:rPr>
                <w:rFonts w:hint="eastAsia"/>
              </w:rPr>
              <w:t>本年度财政拨款“三公”经费支出预决算情况。其中，预算数为“三公”经费全年预算数，反映按规定程序调整后的预算数；决算数是包括当年财政拨款和以前年度结转资金安排的实际支出。</w:t>
            </w:r>
          </w:p>
          <w:p>
            <w:pPr>
              <w:pStyle w:val="2"/>
              <w:ind w:firstLine="480" w:firstLineChars="200"/>
              <w:rPr>
                <w:rFonts w:hint="eastAsia"/>
              </w:rPr>
            </w:pPr>
            <w:r>
              <w:rPr>
                <w:rFonts w:hint="eastAsia" w:hAnsi="宋体" w:cs="宋体"/>
                <w:color w:val="000000"/>
                <w:kern w:val="0"/>
                <w:sz w:val="24"/>
                <w:szCs w:val="24"/>
                <w:shd w:val="clear" w:fill="FFFFFF"/>
                <w:lang w:eastAsia="zh-CN" w:bidi="ar"/>
              </w:rPr>
              <w:t>本单位</w:t>
            </w:r>
            <w:r>
              <w:rPr>
                <w:rFonts w:hint="eastAsia" w:hAnsi="宋体" w:cs="宋体"/>
                <w:color w:val="000000"/>
                <w:kern w:val="0"/>
                <w:sz w:val="24"/>
                <w:szCs w:val="24"/>
                <w:shd w:val="clear" w:fill="FFFFFF"/>
                <w:lang w:val="en-US" w:eastAsia="zh-CN" w:bidi="ar"/>
              </w:rPr>
              <w:t>2024年度没有使用一般公共预算财政拨款安排的“三公”经费支出。</w:t>
            </w:r>
          </w:p>
        </w:tc>
      </w:tr>
    </w:tbl>
    <w:p>
      <w:pPr>
        <w:pStyle w:val="2"/>
        <w:widowControl w:val="0"/>
        <w:numPr>
          <w:ilvl w:val="0"/>
          <w:numId w:val="0"/>
        </w:numPr>
        <w:spacing w:before="0" w:beforeAutospacing="0" w:after="0" w:afterAutospacing="0"/>
        <w:ind w:right="0" w:rightChars="0"/>
        <w:jc w:val="left"/>
        <w:rPr>
          <w:rFonts w:hint="eastAsia" w:ascii="黑体" w:hAnsi="黑体" w:eastAsia="黑体" w:cs="黑体"/>
          <w:sz w:val="32"/>
          <w:szCs w:val="32"/>
          <w:lang w:eastAsia="zh-CN"/>
        </w:rPr>
      </w:pPr>
    </w:p>
    <w:p>
      <w:pPr>
        <w:pStyle w:val="2"/>
        <w:numPr>
          <w:ilvl w:val="0"/>
          <w:numId w:val="0"/>
        </w:numPr>
        <w:ind w:leftChars="0" w:right="0" w:rightChars="0"/>
        <w:rPr>
          <w:rFonts w:hint="eastAsia" w:ascii="黑体" w:hAnsi="黑体" w:eastAsia="黑体" w:cs="黑体"/>
          <w:sz w:val="32"/>
          <w:szCs w:val="32"/>
          <w:lang w:eastAsia="zh-CN"/>
        </w:rPr>
      </w:pPr>
    </w:p>
    <w:p>
      <w:pPr>
        <w:pStyle w:val="2"/>
        <w:numPr>
          <w:ilvl w:val="0"/>
          <w:numId w:val="0"/>
        </w:numPr>
        <w:ind w:leftChars="0" w:right="0" w:rightChars="0"/>
        <w:rPr>
          <w:rFonts w:hint="eastAsia" w:ascii="黑体" w:hAnsi="黑体" w:eastAsia="黑体" w:cs="黑体"/>
          <w:sz w:val="32"/>
          <w:szCs w:val="32"/>
          <w:lang w:eastAsia="zh-CN"/>
        </w:rPr>
      </w:pPr>
    </w:p>
    <w:p>
      <w:pPr>
        <w:pStyle w:val="2"/>
        <w:numPr>
          <w:ilvl w:val="0"/>
          <w:numId w:val="0"/>
        </w:numPr>
        <w:ind w:leftChars="0" w:right="0" w:rightChars="0"/>
        <w:rPr>
          <w:rFonts w:hint="eastAsia" w:ascii="黑体" w:hAnsi="黑体" w:eastAsia="黑体" w:cs="黑体"/>
          <w:sz w:val="32"/>
          <w:szCs w:val="32"/>
          <w:lang w:eastAsia="zh-CN"/>
        </w:rPr>
      </w:pPr>
    </w:p>
    <w:p>
      <w:pPr>
        <w:pStyle w:val="2"/>
        <w:numPr>
          <w:ilvl w:val="0"/>
          <w:numId w:val="0"/>
        </w:numPr>
        <w:ind w:leftChars="0" w:right="0" w:rightChars="0"/>
        <w:rPr>
          <w:rFonts w:hint="eastAsia" w:ascii="黑体" w:hAnsi="黑体" w:eastAsia="黑体" w:cs="黑体"/>
          <w:sz w:val="32"/>
          <w:szCs w:val="32"/>
          <w:lang w:eastAsia="zh-CN"/>
        </w:rPr>
      </w:pPr>
    </w:p>
    <w:p>
      <w:pPr>
        <w:pStyle w:val="2"/>
        <w:numPr>
          <w:ilvl w:val="0"/>
          <w:numId w:val="0"/>
        </w:numPr>
        <w:ind w:leftChars="0" w:right="0" w:rightChars="0"/>
        <w:rPr>
          <w:rFonts w:hint="eastAsia" w:ascii="黑体" w:hAnsi="黑体" w:eastAsia="黑体" w:cs="黑体"/>
          <w:sz w:val="32"/>
          <w:szCs w:val="32"/>
          <w:lang w:eastAsia="zh-CN"/>
        </w:rPr>
      </w:pPr>
    </w:p>
    <w:p>
      <w:pPr>
        <w:pStyle w:val="2"/>
        <w:numPr>
          <w:ilvl w:val="0"/>
          <w:numId w:val="0"/>
        </w:numPr>
        <w:ind w:leftChars="0" w:right="0" w:rightChars="0"/>
        <w:rPr>
          <w:rFonts w:hint="eastAsia" w:ascii="黑体" w:hAnsi="黑体" w:eastAsia="黑体" w:cs="黑体"/>
          <w:sz w:val="32"/>
          <w:szCs w:val="32"/>
          <w:lang w:eastAsia="zh-CN"/>
        </w:rPr>
      </w:pPr>
      <w:r>
        <w:rPr>
          <w:rFonts w:hint="eastAsia" w:ascii="黑体" w:hAnsi="黑体" w:eastAsia="黑体" w:cs="黑体"/>
          <w:sz w:val="32"/>
          <w:szCs w:val="32"/>
          <w:lang w:eastAsia="zh-CN"/>
        </w:rPr>
        <w:t>八、政府性基金预算财政拨款收入支出决算表</w:t>
      </w:r>
    </w:p>
    <w:p>
      <w:pPr>
        <w:pStyle w:val="2"/>
      </w:pPr>
    </w:p>
    <w:p>
      <w:pPr>
        <w:pStyle w:val="2"/>
      </w:pPr>
    </w:p>
    <w:tbl>
      <w:tblPr>
        <w:tblStyle w:val="23"/>
        <w:tblpPr w:leftFromText="180" w:rightFromText="180" w:vertAnchor="text" w:horzAnchor="page" w:tblpX="912" w:tblpY="111"/>
        <w:tblOverlap w:val="never"/>
        <w:tblW w:w="9780" w:type="dxa"/>
        <w:tblInd w:w="0" w:type="dxa"/>
        <w:tblLayout w:type="fixed"/>
        <w:tblCellMar>
          <w:top w:w="15" w:type="dxa"/>
          <w:left w:w="15" w:type="dxa"/>
          <w:bottom w:w="15" w:type="dxa"/>
          <w:right w:w="15" w:type="dxa"/>
        </w:tblCellMar>
      </w:tblPr>
      <w:tblGrid>
        <w:gridCol w:w="2001"/>
        <w:gridCol w:w="981"/>
        <w:gridCol w:w="1195"/>
        <w:gridCol w:w="1440"/>
        <w:gridCol w:w="835"/>
        <w:gridCol w:w="451"/>
        <w:gridCol w:w="1000"/>
        <w:gridCol w:w="1877"/>
      </w:tblGrid>
      <w:tr>
        <w:tblPrEx>
          <w:tblLayout w:type="fixed"/>
          <w:tblCellMar>
            <w:top w:w="15" w:type="dxa"/>
            <w:left w:w="15" w:type="dxa"/>
            <w:bottom w:w="15" w:type="dxa"/>
            <w:right w:w="15" w:type="dxa"/>
          </w:tblCellMar>
        </w:tblPrEx>
        <w:trPr>
          <w:tblHeader/>
        </w:trPr>
        <w:tc>
          <w:tcPr>
            <w:tcW w:w="9780"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政府性基金预算财政拨款收入支出决算表</w:t>
            </w:r>
          </w:p>
        </w:tc>
      </w:tr>
      <w:tr>
        <w:tblPrEx>
          <w:tblLayout w:type="fixed"/>
          <w:tblCellMar>
            <w:top w:w="15" w:type="dxa"/>
            <w:left w:w="15" w:type="dxa"/>
            <w:bottom w:w="15" w:type="dxa"/>
            <w:right w:w="15" w:type="dxa"/>
          </w:tblCellMar>
        </w:tblPrEx>
        <w:tc>
          <w:tcPr>
            <w:tcW w:w="4177"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/单位：厦门市吕岭小学</w:t>
            </w:r>
          </w:p>
        </w:tc>
        <w:tc>
          <w:tcPr>
            <w:tcW w:w="3726"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187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tblHeader/>
        </w:trPr>
        <w:tc>
          <w:tcPr>
            <w:tcW w:w="298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119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年初结转和结余 </w:t>
            </w:r>
          </w:p>
        </w:tc>
        <w:tc>
          <w:tcPr>
            <w:tcW w:w="144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本年收入</w:t>
            </w:r>
          </w:p>
        </w:tc>
        <w:tc>
          <w:tcPr>
            <w:tcW w:w="228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w:t>
            </w:r>
          </w:p>
        </w:tc>
        <w:tc>
          <w:tcPr>
            <w:tcW w:w="187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年末结转和结余</w:t>
            </w:r>
          </w:p>
        </w:tc>
      </w:tr>
      <w:tr>
        <w:tblPrEx>
          <w:tblLayout w:type="fixed"/>
          <w:tblCellMar>
            <w:top w:w="15" w:type="dxa"/>
            <w:left w:w="15" w:type="dxa"/>
            <w:bottom w:w="15" w:type="dxa"/>
            <w:right w:w="15" w:type="dxa"/>
          </w:tblCellMar>
        </w:tblPrEx>
        <w:trPr>
          <w:tblHeader/>
        </w:trPr>
        <w:tc>
          <w:tcPr>
            <w:tcW w:w="200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支出功能分类科目编码</w:t>
            </w:r>
          </w:p>
        </w:tc>
        <w:tc>
          <w:tcPr>
            <w:tcW w:w="98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119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44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小计</w:t>
            </w:r>
          </w:p>
        </w:tc>
        <w:tc>
          <w:tcPr>
            <w:tcW w:w="45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基本支出 </w:t>
            </w:r>
          </w:p>
        </w:tc>
        <w:tc>
          <w:tcPr>
            <w:tcW w:w="100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项目支出</w:t>
            </w:r>
          </w:p>
        </w:tc>
        <w:tc>
          <w:tcPr>
            <w:tcW w:w="187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200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8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9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44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5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0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87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298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4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8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4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18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r>
      <w:tr>
        <w:tblPrEx>
          <w:tblLayout w:type="fixed"/>
          <w:tblCellMar>
            <w:top w:w="15" w:type="dxa"/>
            <w:left w:w="15" w:type="dxa"/>
            <w:bottom w:w="15" w:type="dxa"/>
            <w:right w:w="15" w:type="dxa"/>
          </w:tblCellMar>
        </w:tblPrEx>
        <w:tc>
          <w:tcPr>
            <w:tcW w:w="298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20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780" w:type="dxa"/>
            <w:gridSpan w:val="8"/>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left"/>
              <w:rPr>
                <w:rFonts w:hint="eastAsia"/>
              </w:rPr>
            </w:pPr>
            <w:r>
              <w:rPr>
                <w:rFonts w:hint="eastAsia"/>
              </w:rPr>
              <w:t>注：本表反映</w:t>
            </w:r>
            <w:r>
              <w:rPr>
                <w:rFonts w:hint="eastAsia"/>
                <w:lang w:eastAsia="zh-CN"/>
              </w:rPr>
              <w:t>单位</w:t>
            </w:r>
            <w:r>
              <w:rPr>
                <w:rFonts w:hint="eastAsia"/>
              </w:rPr>
              <w:t>本年度政府性基金预算财政拨款收入、支出及结转和结余情况。</w:t>
            </w:r>
          </w:p>
          <w:p>
            <w:pPr>
              <w:pStyle w:val="2"/>
              <w:ind w:firstLine="480" w:firstLineChars="200"/>
              <w:rPr>
                <w:rFonts w:hint="eastAsia"/>
              </w:rPr>
            </w:pPr>
            <w:r>
              <w:rPr>
                <w:rFonts w:hint="eastAsia"/>
              </w:rPr>
              <w:t>本</w:t>
            </w:r>
            <w:r>
              <w:rPr>
                <w:rFonts w:hint="eastAsia"/>
                <w:lang w:eastAsia="zh-CN"/>
              </w:rPr>
              <w:t>单位</w:t>
            </w:r>
            <w:r>
              <w:rPr>
                <w:rFonts w:hint="eastAsia"/>
              </w:rPr>
              <w:t xml:space="preserve"> 202</w:t>
            </w:r>
            <w:r>
              <w:rPr>
                <w:rFonts w:hint="eastAsia"/>
                <w:lang w:val="en-US" w:eastAsia="zh-CN"/>
              </w:rPr>
              <w:t>4</w:t>
            </w:r>
            <w:r>
              <w:rPr>
                <w:rFonts w:hint="eastAsia"/>
              </w:rPr>
              <w:t xml:space="preserve"> 年度没有使用</w:t>
            </w:r>
            <w:r>
              <w:rPr>
                <w:rFonts w:hint="eastAsia"/>
                <w:lang w:eastAsia="zh-CN"/>
              </w:rPr>
              <w:t>政府性基金</w:t>
            </w:r>
            <w:r>
              <w:rPr>
                <w:rFonts w:hint="eastAsia"/>
              </w:rPr>
              <w:t>预算财政拨款安排的</w:t>
            </w:r>
            <w:r>
              <w:rPr>
                <w:rFonts w:hint="eastAsia"/>
                <w:lang w:eastAsia="zh-CN"/>
              </w:rPr>
              <w:t>支出</w:t>
            </w:r>
            <w:r>
              <w:rPr>
                <w:rFonts w:hint="eastAsia"/>
              </w:rPr>
              <w:t>。</w:t>
            </w:r>
          </w:p>
        </w:tc>
      </w:tr>
    </w:tbl>
    <w:p>
      <w:pPr>
        <w:pStyle w:val="2"/>
      </w:pPr>
    </w:p>
    <w:p>
      <w:pPr>
        <w:pStyle w:val="2"/>
      </w:pPr>
    </w:p>
    <w:p>
      <w:pPr>
        <w:pStyle w:val="2"/>
        <w:numPr>
          <w:ilvl w:val="0"/>
          <w:numId w:val="0"/>
        </w:numPr>
        <w:ind w:leftChars="0" w:right="0" w:rightChars="0"/>
        <w:rPr>
          <w:rFonts w:hint="eastAsia" w:ascii="黑体" w:hAnsi="黑体" w:eastAsia="黑体" w:cs="黑体"/>
          <w:sz w:val="32"/>
          <w:szCs w:val="32"/>
          <w:lang w:eastAsia="zh-CN"/>
        </w:rPr>
      </w:pPr>
      <w:r>
        <w:rPr>
          <w:rFonts w:hint="eastAsia" w:ascii="黑体" w:hAnsi="黑体" w:eastAsia="黑体" w:cs="黑体"/>
          <w:sz w:val="32"/>
          <w:szCs w:val="32"/>
          <w:lang w:eastAsia="zh-CN"/>
        </w:rPr>
        <w:t>九、国有资本经营预算财政拨款支出决算表</w:t>
      </w:r>
    </w:p>
    <w:p>
      <w:pPr>
        <w:pStyle w:val="2"/>
      </w:pPr>
    </w:p>
    <w:p>
      <w:pPr>
        <w:pStyle w:val="2"/>
      </w:pPr>
    </w:p>
    <w:p>
      <w:pPr>
        <w:pStyle w:val="2"/>
      </w:pPr>
    </w:p>
    <w:tbl>
      <w:tblPr>
        <w:tblStyle w:val="23"/>
        <w:tblpPr w:leftFromText="180" w:rightFromText="180" w:vertAnchor="text" w:horzAnchor="page" w:tblpX="1362" w:tblpY="46"/>
        <w:tblOverlap w:val="never"/>
        <w:tblW w:w="9572" w:type="dxa"/>
        <w:tblInd w:w="0" w:type="dxa"/>
        <w:tblLayout w:type="fixed"/>
        <w:tblCellMar>
          <w:top w:w="15" w:type="dxa"/>
          <w:left w:w="15" w:type="dxa"/>
          <w:bottom w:w="15" w:type="dxa"/>
          <w:right w:w="15" w:type="dxa"/>
        </w:tblCellMar>
      </w:tblPr>
      <w:tblGrid>
        <w:gridCol w:w="2148"/>
        <w:gridCol w:w="1917"/>
        <w:gridCol w:w="632"/>
        <w:gridCol w:w="1089"/>
        <w:gridCol w:w="3786"/>
      </w:tblGrid>
      <w:tr>
        <w:tblPrEx>
          <w:tblLayout w:type="fixed"/>
          <w:tblCellMar>
            <w:top w:w="15" w:type="dxa"/>
            <w:left w:w="15" w:type="dxa"/>
            <w:bottom w:w="15" w:type="dxa"/>
            <w:right w:w="15" w:type="dxa"/>
          </w:tblCellMar>
        </w:tblPrEx>
        <w:trPr>
          <w:tblHeader/>
        </w:trPr>
        <w:tc>
          <w:tcPr>
            <w:tcW w:w="9572"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国有资本经营预算财政拨款支出决算表</w:t>
            </w:r>
          </w:p>
        </w:tc>
      </w:tr>
      <w:tr>
        <w:tblPrEx>
          <w:tblLayout w:type="fixed"/>
          <w:tblCellMar>
            <w:top w:w="15" w:type="dxa"/>
            <w:left w:w="15" w:type="dxa"/>
            <w:bottom w:w="15" w:type="dxa"/>
            <w:right w:w="15" w:type="dxa"/>
          </w:tblCellMar>
        </w:tblPrEx>
        <w:tc>
          <w:tcPr>
            <w:tcW w:w="406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/单位：厦门市吕岭小学</w:t>
            </w:r>
          </w:p>
        </w:tc>
        <w:tc>
          <w:tcPr>
            <w:tcW w:w="1721"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378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406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550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w:t>
            </w:r>
          </w:p>
        </w:tc>
      </w:tr>
      <w:tr>
        <w:tblPrEx>
          <w:tblLayout w:type="fixed"/>
          <w:tblCellMar>
            <w:top w:w="15" w:type="dxa"/>
            <w:left w:w="15" w:type="dxa"/>
            <w:bottom w:w="15" w:type="dxa"/>
            <w:right w:w="15" w:type="dxa"/>
          </w:tblCellMar>
        </w:tblPrEx>
        <w:trPr>
          <w:tblHeader/>
        </w:trPr>
        <w:tc>
          <w:tcPr>
            <w:tcW w:w="214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科目代码</w:t>
            </w:r>
          </w:p>
        </w:tc>
        <w:tc>
          <w:tcPr>
            <w:tcW w:w="191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63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08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基本支出</w:t>
            </w:r>
          </w:p>
        </w:tc>
        <w:tc>
          <w:tcPr>
            <w:tcW w:w="378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项目支出</w:t>
            </w:r>
          </w:p>
        </w:tc>
      </w:tr>
      <w:tr>
        <w:tblPrEx>
          <w:tblLayout w:type="fixed"/>
          <w:tblCellMar>
            <w:top w:w="15" w:type="dxa"/>
            <w:left w:w="15" w:type="dxa"/>
            <w:bottom w:w="15" w:type="dxa"/>
            <w:right w:w="15" w:type="dxa"/>
          </w:tblCellMar>
        </w:tblPrEx>
        <w:trPr>
          <w:tblHeader/>
        </w:trPr>
        <w:tc>
          <w:tcPr>
            <w:tcW w:w="214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91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3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8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78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rHeight w:val="312" w:hRule="atLeast"/>
          <w:tblHeader/>
        </w:trPr>
        <w:tc>
          <w:tcPr>
            <w:tcW w:w="214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91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63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8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78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406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6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0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37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r>
      <w:tr>
        <w:tblPrEx>
          <w:tblLayout w:type="fixed"/>
          <w:tblCellMar>
            <w:top w:w="15" w:type="dxa"/>
            <w:left w:w="15" w:type="dxa"/>
            <w:bottom w:w="15" w:type="dxa"/>
            <w:right w:w="15" w:type="dxa"/>
          </w:tblCellMar>
        </w:tblPrEx>
        <w:tc>
          <w:tcPr>
            <w:tcW w:w="406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6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7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2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6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0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7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572" w:type="dxa"/>
            <w:gridSpan w:val="5"/>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left"/>
              <w:rPr>
                <w:rFonts w:hint="eastAsia"/>
              </w:rPr>
            </w:pPr>
            <w:r>
              <w:rPr>
                <w:rFonts w:hint="eastAsia"/>
              </w:rPr>
              <w:t>注：本表反映</w:t>
            </w:r>
            <w:r>
              <w:rPr>
                <w:rFonts w:hint="eastAsia"/>
                <w:lang w:eastAsia="zh-CN"/>
              </w:rPr>
              <w:t>单位</w:t>
            </w:r>
            <w:r>
              <w:rPr>
                <w:rFonts w:hint="eastAsia"/>
              </w:rPr>
              <w:t>本年度国有资本经营预算财政拨款支出情况。</w:t>
            </w:r>
          </w:p>
          <w:p>
            <w:pPr>
              <w:pStyle w:val="2"/>
              <w:ind w:firstLine="480" w:firstLineChars="200"/>
              <w:rPr>
                <w:rFonts w:hint="eastAsia"/>
              </w:rPr>
            </w:pPr>
            <w:r>
              <w:rPr>
                <w:rFonts w:hint="eastAsia"/>
              </w:rPr>
              <w:t>本</w:t>
            </w:r>
            <w:r>
              <w:rPr>
                <w:rFonts w:hint="eastAsia"/>
                <w:lang w:eastAsia="zh-CN"/>
              </w:rPr>
              <w:t>单位</w:t>
            </w:r>
            <w:r>
              <w:rPr>
                <w:rFonts w:hint="eastAsia"/>
              </w:rPr>
              <w:t xml:space="preserve"> 202</w:t>
            </w:r>
            <w:r>
              <w:rPr>
                <w:rFonts w:hint="eastAsia"/>
                <w:lang w:val="en-US" w:eastAsia="zh-CN"/>
              </w:rPr>
              <w:t>4</w:t>
            </w:r>
            <w:r>
              <w:rPr>
                <w:rFonts w:hint="eastAsia"/>
              </w:rPr>
              <w:t xml:space="preserve"> 年度没有使用国有资本经营预算财政拨款安排的</w:t>
            </w:r>
            <w:r>
              <w:rPr>
                <w:rFonts w:hint="eastAsia"/>
                <w:lang w:eastAsia="zh-CN"/>
              </w:rPr>
              <w:t>支出</w:t>
            </w:r>
            <w:r>
              <w:rPr>
                <w:rFonts w:hint="eastAsia"/>
              </w:rPr>
              <w:t>。</w:t>
            </w:r>
          </w:p>
        </w:tc>
      </w:tr>
    </w:tbl>
    <w:p>
      <w:pPr>
        <w:keepNext w:val="0"/>
        <w:keepLines w:val="0"/>
        <w:widowControl/>
        <w:suppressLineNumbers w:val="0"/>
        <w:shd w:val="clear" w:fill="FFFFFF"/>
        <w:spacing w:before="240" w:beforeAutospacing="0" w:after="240" w:afterAutospacing="0" w:line="600" w:lineRule="atLeast"/>
        <w:ind w:left="0" w:leftChars="0" w:right="0" w:rightChars="0"/>
        <w:jc w:val="center"/>
        <w:rPr>
          <w:rFonts w:hint="eastAsia" w:ascii="黑体" w:hAnsi="宋体" w:eastAsia="黑体" w:cs="黑体"/>
          <w:kern w:val="0"/>
          <w:sz w:val="36"/>
          <w:szCs w:val="36"/>
          <w:shd w:val="clear" w:fill="FFFFFF"/>
          <w:lang w:bidi="ar"/>
        </w:rPr>
      </w:pPr>
      <w:r>
        <w:rPr>
          <w:rFonts w:hint="eastAsia" w:ascii="黑体" w:hAnsi="宋体" w:eastAsia="黑体" w:cs="黑体"/>
          <w:kern w:val="0"/>
          <w:sz w:val="36"/>
          <w:szCs w:val="36"/>
          <w:shd w:val="clear" w:fill="FFFFFF"/>
          <w:lang w:bidi="ar"/>
        </w:rPr>
        <w:t>第三部分 2024年度决算情况说明</w:t>
      </w:r>
    </w:p>
    <w:p>
      <w:pPr>
        <w:pStyle w:val="2"/>
      </w:pPr>
    </w:p>
    <w:p>
      <w:pPr>
        <w:pStyle w:val="2"/>
        <w:keepNext w:val="0"/>
        <w:keepLines w:val="0"/>
        <w:widowControl/>
        <w:suppressLineNumbers w:val="0"/>
        <w:ind w:left="0" w:right="0" w:rightChars="0" w:firstLine="640" w:firstLineChars="200"/>
        <w:jc w:val="both"/>
        <w:rPr>
          <w:rFonts w:hint="eastAsia" w:ascii="黑体" w:hAnsi="宋体" w:eastAsia="黑体" w:cs="黑体"/>
          <w:kern w:val="0"/>
          <w:sz w:val="32"/>
          <w:szCs w:val="32"/>
          <w:shd w:val="clear" w:fill="FFFFFF"/>
        </w:rPr>
      </w:pPr>
      <w:r>
        <w:rPr>
          <w:rFonts w:hint="eastAsia" w:ascii="黑体" w:hAnsi="宋体" w:eastAsia="黑体" w:cs="黑体"/>
          <w:kern w:val="0"/>
          <w:sz w:val="32"/>
          <w:szCs w:val="32"/>
          <w:shd w:val="clear" w:fill="FFFFFF"/>
        </w:rPr>
        <w:t>一、收入支出决算总体情况说明</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（一）收入支出决算总体情况说明</w:t>
      </w:r>
    </w:p>
    <w:p>
      <w:pPr>
        <w:pStyle w:val="29"/>
        <w:widowControl/>
        <w:spacing w:before="100" w:after="100" w:line="600" w:lineRule="atLeast"/>
        <w:ind w:left="0" w:right="0" w:firstLine="640"/>
        <w:jc w:val="both"/>
        <w:rPr>
          <w:rFonts w:hint="eastAsia" w:ascii="仿宋" w:hAnsi="仿宋" w:eastAsia="仿宋" w:cs="仿宋"/>
          <w:color w:val="C00000"/>
          <w:kern w:val="0"/>
          <w:sz w:val="32"/>
          <w:szCs w:val="32"/>
          <w:lang w:val="en-US" w:eastAsia="zh-CN" w:bidi="ar-SA"/>
        </w:rPr>
      </w:pPr>
      <w:r>
        <w:rPr>
          <w:rFonts w:hint="eastAsia" w:ascii="仿宋" w:hAnsi="仿宋" w:eastAsia="仿宋" w:cs="仿宋"/>
          <w:kern w:val="0"/>
          <w:sz w:val="32"/>
          <w:szCs w:val="32"/>
          <w:lang w:val="en-US" w:eastAsia="zh-CN" w:bidi="ar-SA"/>
        </w:rPr>
        <w:t>2024年度本单位收入总计2144.59万元，支出总计2144.59万元，与上年决算数相比，各减少10.89万元，各下降0.51%。主</w:t>
      </w:r>
      <w:r>
        <w:rPr>
          <w:rFonts w:hint="eastAsia" w:ascii="仿宋" w:hAnsi="仿宋" w:eastAsia="仿宋" w:cs="仿宋"/>
          <w:kern w:val="0"/>
          <w:sz w:val="32"/>
          <w:szCs w:val="32"/>
          <w:lang w:val="en-US" w:eastAsia="zh-CN"/>
        </w:rPr>
        <w:t>要是：减少大型修缮项目支出。</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（二）收入决算情况说明</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2024年度收入2144.59万元，比上年决算数减少10.89万元，下降0.51%，具体情况如下：</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1.一般公共预算财政拨款收入2144.59万元。</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2.政府性基金预算财政拨款收入0万元。</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3.国有资本经营预算财政拨款收入0万元。</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4.上级补助收入0万元。</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5.事业收入0万元。</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6.经营收入0万元。</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7.附属单位上缴收入0万元。</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8.其他收入0万元。</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（三）支出决算情况说明</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2024年度支出2144.59万元，比上年决算数减少10.89万元，下降0.51%，具体情况如下：</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1.基本支出1890.97万元。其中，人员支出1727.39万元，公用支出163.58万元。</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2.项目支出253.62万元。</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3.上缴上级支出0万元。</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4.经营支出0万元。</w:t>
      </w:r>
    </w:p>
    <w:p>
      <w:pPr>
        <w:pStyle w:val="29"/>
        <w:widowControl/>
        <w:spacing w:before="100" w:after="100" w:line="600" w:lineRule="atLeast"/>
        <w:ind w:left="0" w:right="0" w:firstLine="640"/>
        <w:jc w:val="both"/>
        <w:rPr>
          <w:rFonts w:hint="eastAsia" w:ascii="黑体" w:hAnsi="宋体" w:eastAsia="黑体" w:cs="黑体"/>
          <w:bCs w:val="0"/>
          <w:kern w:val="0"/>
          <w:sz w:val="32"/>
          <w:szCs w:val="32"/>
          <w:shd w:val="clear" w:fill="FFFFFF"/>
          <w:lang w:val="en-US" w:eastAsia="zh-CN" w:bidi="ar"/>
        </w:rPr>
      </w:pPr>
      <w:r>
        <w:rPr>
          <w:rFonts w:hint="eastAsia" w:ascii="仿宋" w:hAnsi="仿宋" w:eastAsia="仿宋" w:cs="仿宋"/>
          <w:kern w:val="0"/>
          <w:sz w:val="32"/>
          <w:szCs w:val="32"/>
          <w:lang w:val="en-US" w:eastAsia="zh-CN" w:bidi="ar-SA"/>
        </w:rPr>
        <w:t>5.对附属单位补助支出0万元。</w:t>
      </w:r>
    </w:p>
    <w:p>
      <w:pPr>
        <w:pStyle w:val="6"/>
        <w:keepNext w:val="0"/>
        <w:keepLines w:val="0"/>
        <w:spacing w:before="100" w:after="100" w:line="240" w:lineRule="auto"/>
        <w:ind w:left="0" w:right="0" w:firstLine="480" w:firstLineChars="0"/>
        <w:jc w:val="both"/>
        <w:rPr>
          <w:rFonts w:hint="eastAsia" w:ascii="黑体" w:hAnsi="宋体" w:eastAsia="黑体" w:cs="黑体"/>
          <w:bCs w:val="0"/>
          <w:kern w:val="0"/>
          <w:sz w:val="32"/>
          <w:szCs w:val="32"/>
          <w:shd w:val="clear" w:fill="FFFFFF"/>
          <w:lang w:val="en-US" w:eastAsia="zh-CN" w:bidi="ar"/>
        </w:rPr>
      </w:pPr>
      <w:r>
        <w:rPr>
          <w:rFonts w:hint="eastAsia" w:ascii="黑体" w:hAnsi="宋体" w:eastAsia="黑体" w:cs="黑体"/>
          <w:bCs w:val="0"/>
          <w:kern w:val="0"/>
          <w:sz w:val="32"/>
          <w:szCs w:val="32"/>
          <w:shd w:val="clear" w:fill="FFFFFF"/>
          <w:lang w:val="en-US" w:eastAsia="zh-CN" w:bidi="ar"/>
        </w:rPr>
        <w:t>二、财政拨款收入支出决算总体情况说明</w:t>
      </w:r>
    </w:p>
    <w:p>
      <w:pPr>
        <w:pStyle w:val="29"/>
        <w:widowControl/>
        <w:spacing w:before="100" w:after="100" w:line="600" w:lineRule="atLeast"/>
        <w:ind w:left="0" w:right="0" w:firstLine="640"/>
        <w:jc w:val="both"/>
        <w:rPr>
          <w:rFonts w:hint="eastAsia" w:ascii="黑体" w:hAnsi="宋体" w:eastAsia="黑体" w:cs="黑体"/>
          <w:bCs w:val="0"/>
          <w:kern w:val="0"/>
          <w:sz w:val="32"/>
          <w:szCs w:val="32"/>
          <w:shd w:val="clear" w:fill="FFFFFF"/>
          <w:lang w:val="en-US" w:eastAsia="zh-CN" w:bidi="ar"/>
        </w:rPr>
      </w:pPr>
      <w:r>
        <w:rPr>
          <w:rFonts w:ascii="仿宋" w:hAnsi="仿宋" w:eastAsia="仿宋" w:cs="仿宋"/>
          <w:spacing w:val="0"/>
          <w:kern w:val="0"/>
          <w:sz w:val="32"/>
          <w:szCs w:val="32"/>
        </w:rPr>
        <w:t>2</w:t>
      </w:r>
      <w:r>
        <w:rPr>
          <w:rFonts w:hint="eastAsia" w:ascii="仿宋" w:hAnsi="仿宋" w:eastAsia="仿宋" w:cs="仿宋"/>
          <w:kern w:val="0"/>
          <w:sz w:val="32"/>
          <w:szCs w:val="32"/>
          <w:lang w:val="en-US" w:eastAsia="zh-CN" w:bidi="ar-SA"/>
        </w:rPr>
        <w:t>024年度财政拨款收入总计2144.59万元，支出总计2144.59万元，与上年决算数相比，各减少10.89万元，下降0.51%，主要是：</w:t>
      </w:r>
      <w:r>
        <w:rPr>
          <w:rFonts w:hint="eastAsia" w:ascii="仿宋" w:hAnsi="仿宋" w:eastAsia="仿宋" w:cs="仿宋"/>
          <w:kern w:val="0"/>
          <w:sz w:val="32"/>
          <w:szCs w:val="32"/>
          <w:lang w:val="en-US" w:eastAsia="zh-CN"/>
        </w:rPr>
        <w:t>减少大型修缮项目支出</w:t>
      </w:r>
      <w:r>
        <w:rPr>
          <w:rFonts w:hint="eastAsia" w:ascii="仿宋" w:hAnsi="仿宋" w:eastAsia="仿宋" w:cs="仿宋"/>
          <w:kern w:val="0"/>
          <w:sz w:val="32"/>
          <w:szCs w:val="32"/>
          <w:lang w:val="en-US" w:eastAsia="zh-CN" w:bidi="ar-SA"/>
        </w:rPr>
        <w:t>。</w:t>
      </w:r>
    </w:p>
    <w:p>
      <w:pPr>
        <w:pStyle w:val="6"/>
        <w:keepNext w:val="0"/>
        <w:keepLines w:val="0"/>
        <w:spacing w:before="100" w:after="100" w:line="240" w:lineRule="auto"/>
        <w:ind w:left="0" w:right="0" w:firstLine="480" w:firstLineChars="0"/>
        <w:jc w:val="both"/>
        <w:rPr>
          <w:rFonts w:hint="eastAsia" w:ascii="黑体" w:hAnsi="宋体" w:eastAsia="黑体" w:cs="黑体"/>
          <w:bCs w:val="0"/>
          <w:kern w:val="0"/>
          <w:sz w:val="32"/>
          <w:szCs w:val="32"/>
          <w:shd w:val="clear" w:fill="FFFFFF"/>
          <w:lang w:val="en-US" w:eastAsia="zh-CN" w:bidi="ar"/>
        </w:rPr>
      </w:pPr>
      <w:r>
        <w:rPr>
          <w:rFonts w:hint="eastAsia" w:ascii="黑体" w:hAnsi="宋体" w:eastAsia="黑体" w:cs="黑体"/>
          <w:bCs w:val="0"/>
          <w:kern w:val="0"/>
          <w:sz w:val="32"/>
          <w:szCs w:val="32"/>
          <w:shd w:val="clear" w:fill="FFFFFF"/>
          <w:lang w:val="en-US" w:eastAsia="zh-CN" w:bidi="ar"/>
        </w:rPr>
        <w:t>三、一般公共预算拨款支出决算情况说明</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2024年一般公共预算支出2144.59万元，比上年决算数相比，各减少10.89万元，下降0.51%，具体情况如下(按项级科目分类统计)：</w:t>
      </w:r>
    </w:p>
    <w:p>
      <w:pPr>
        <w:pStyle w:val="29"/>
        <w:widowControl/>
        <w:spacing w:before="100" w:after="100" w:line="600" w:lineRule="atLeast"/>
        <w:ind w:right="0" w:firstLine="640" w:firstLineChars="20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（一）2050202 小学教育1,478.43万元，较上年决算数减少51.72万元，下降3.38%。主要原因是减少大型修缮项目支出。</w:t>
      </w:r>
      <w:r>
        <w:rPr>
          <w:rFonts w:hint="eastAsia" w:ascii="仿宋" w:hAnsi="仿宋" w:eastAsia="仿宋" w:cs="仿宋"/>
          <w:kern w:val="0"/>
          <w:sz w:val="32"/>
          <w:szCs w:val="32"/>
          <w:lang w:val="en-US" w:eastAsia="zh-CN" w:bidi="ar-SA"/>
        </w:rPr>
        <w:br w:type="textWrapping"/>
      </w:r>
      <w:r>
        <w:rPr>
          <w:rFonts w:hint="eastAsia" w:ascii="仿宋" w:hAnsi="仿宋" w:eastAsia="仿宋" w:cs="仿宋"/>
          <w:kern w:val="0"/>
          <w:sz w:val="32"/>
          <w:szCs w:val="32"/>
          <w:lang w:val="en-US" w:eastAsia="zh-CN" w:bidi="ar-SA"/>
        </w:rPr>
        <w:t xml:space="preserve">    （二）2050299 其他普通教育支出143.65万元，较上年决算数增加27.83万元，增长24.03%。主要原因是产假顶岗、少体校训练专项经费、校园开放学校管理经费等专项经费支出增加。</w:t>
      </w:r>
      <w:r>
        <w:rPr>
          <w:rFonts w:hint="eastAsia" w:ascii="仿宋" w:hAnsi="仿宋" w:eastAsia="仿宋" w:cs="仿宋"/>
          <w:kern w:val="0"/>
          <w:sz w:val="32"/>
          <w:szCs w:val="32"/>
          <w:lang w:val="en-US" w:eastAsia="zh-CN" w:bidi="ar-SA"/>
        </w:rPr>
        <w:br w:type="textWrapping"/>
      </w:r>
      <w:r>
        <w:rPr>
          <w:rFonts w:hint="eastAsia" w:ascii="仿宋" w:hAnsi="仿宋" w:eastAsia="仿宋" w:cs="仿宋"/>
          <w:kern w:val="0"/>
          <w:sz w:val="32"/>
          <w:szCs w:val="32"/>
          <w:lang w:val="en-US" w:eastAsia="zh-CN" w:bidi="ar-SA"/>
        </w:rPr>
        <w:t xml:space="preserve">    （三）2050999 其他教育费附加安排的支出145.84万元，较上年决算数增加50.46万元，增长52.91%。主要原因是图书馆设备设施采购、校园安防监控系统、教室及办公家具采购等专项经费支出增加。</w:t>
      </w:r>
      <w:r>
        <w:rPr>
          <w:rFonts w:hint="eastAsia" w:ascii="仿宋" w:hAnsi="仿宋" w:eastAsia="仿宋" w:cs="仿宋"/>
          <w:kern w:val="0"/>
          <w:sz w:val="32"/>
          <w:szCs w:val="32"/>
          <w:lang w:val="en-US" w:eastAsia="zh-CN" w:bidi="ar-SA"/>
        </w:rPr>
        <w:br w:type="textWrapping"/>
      </w:r>
      <w:r>
        <w:rPr>
          <w:rFonts w:hint="eastAsia" w:ascii="仿宋" w:hAnsi="仿宋" w:eastAsia="仿宋" w:cs="仿宋"/>
          <w:kern w:val="0"/>
          <w:sz w:val="32"/>
          <w:szCs w:val="32"/>
          <w:lang w:val="en-US" w:eastAsia="zh-CN" w:bidi="ar-SA"/>
        </w:rPr>
        <w:t xml:space="preserve">    （四）2059999 其他教育支出0.60万元，较上年决算数增加0.36万元，增长150.00%。主要原因是学校开展夏令营特色活动。</w:t>
      </w:r>
      <w:r>
        <w:rPr>
          <w:rFonts w:hint="eastAsia" w:ascii="仿宋" w:hAnsi="仿宋" w:eastAsia="仿宋" w:cs="仿宋"/>
          <w:kern w:val="0"/>
          <w:sz w:val="32"/>
          <w:szCs w:val="32"/>
          <w:lang w:val="en-US" w:eastAsia="zh-CN" w:bidi="ar-SA"/>
        </w:rPr>
        <w:br w:type="textWrapping"/>
      </w:r>
      <w:r>
        <w:rPr>
          <w:rFonts w:hint="eastAsia" w:ascii="仿宋" w:hAnsi="仿宋" w:eastAsia="仿宋" w:cs="仿宋"/>
          <w:kern w:val="0"/>
          <w:sz w:val="32"/>
          <w:szCs w:val="32"/>
          <w:lang w:val="en-US" w:eastAsia="zh-CN" w:bidi="ar-SA"/>
        </w:rPr>
        <w:t xml:space="preserve">    （五）2080502 事业单位离退休105.16万元，较上年决算数增加18.44万元，增长21.27%。主要原因是退休教师增加2人。</w:t>
      </w:r>
      <w:r>
        <w:rPr>
          <w:rFonts w:hint="eastAsia" w:ascii="仿宋" w:hAnsi="仿宋" w:eastAsia="仿宋" w:cs="仿宋"/>
          <w:kern w:val="0"/>
          <w:sz w:val="32"/>
          <w:szCs w:val="32"/>
          <w:lang w:val="en-US" w:eastAsia="zh-CN" w:bidi="ar-SA"/>
        </w:rPr>
        <w:br w:type="textWrapping"/>
      </w:r>
      <w:r>
        <w:rPr>
          <w:rFonts w:hint="eastAsia" w:ascii="仿宋" w:hAnsi="仿宋" w:eastAsia="仿宋" w:cs="仿宋"/>
          <w:kern w:val="0"/>
          <w:sz w:val="32"/>
          <w:szCs w:val="32"/>
          <w:lang w:val="en-US" w:eastAsia="zh-CN" w:bidi="ar-SA"/>
        </w:rPr>
        <w:t xml:space="preserve">   （六）2080505 机关事业单位基本养老保险缴费支出117.51万元，较上年决算数减少4.69万元，下降3.84%。主要原因是;养老保险缴费人员减少。</w:t>
      </w:r>
      <w:r>
        <w:rPr>
          <w:rFonts w:hint="eastAsia" w:ascii="仿宋" w:hAnsi="仿宋" w:eastAsia="仿宋" w:cs="仿宋"/>
          <w:kern w:val="0"/>
          <w:sz w:val="32"/>
          <w:szCs w:val="32"/>
          <w:lang w:val="en-US" w:eastAsia="zh-CN" w:bidi="ar-SA"/>
        </w:rPr>
        <w:br w:type="textWrapping"/>
      </w:r>
      <w:r>
        <w:rPr>
          <w:rFonts w:hint="eastAsia" w:ascii="仿宋" w:hAnsi="仿宋" w:eastAsia="仿宋" w:cs="仿宋"/>
          <w:kern w:val="0"/>
          <w:sz w:val="32"/>
          <w:szCs w:val="32"/>
          <w:lang w:val="en-US" w:eastAsia="zh-CN" w:bidi="ar-SA"/>
        </w:rPr>
        <w:t xml:space="preserve">    （七）2080506 机关事业单位职业年金缴费支出77.37万元，较上年决算数减少29.90万元，下降27.87%。主要原因是：缴费人员减少。</w:t>
      </w:r>
      <w:r>
        <w:rPr>
          <w:rFonts w:hint="eastAsia" w:ascii="仿宋" w:hAnsi="仿宋" w:eastAsia="仿宋" w:cs="仿宋"/>
          <w:kern w:val="0"/>
          <w:sz w:val="32"/>
          <w:szCs w:val="32"/>
          <w:lang w:val="en-US" w:eastAsia="zh-CN" w:bidi="ar-SA"/>
        </w:rPr>
        <w:br w:type="textWrapping"/>
      </w:r>
      <w:r>
        <w:rPr>
          <w:rFonts w:hint="eastAsia" w:ascii="仿宋" w:hAnsi="仿宋" w:eastAsia="仿宋" w:cs="仿宋"/>
          <w:kern w:val="0"/>
          <w:sz w:val="32"/>
          <w:szCs w:val="32"/>
          <w:lang w:val="en-US" w:eastAsia="zh-CN" w:bidi="ar-SA"/>
        </w:rPr>
        <w:t xml:space="preserve">    （八）2101102 事业单位医疗50.31万元，较上年决算数减少2.01万元，下降3.84%。主要原因是缴费人员减少。</w:t>
      </w:r>
      <w:r>
        <w:rPr>
          <w:rFonts w:hint="eastAsia" w:ascii="仿宋" w:hAnsi="仿宋" w:eastAsia="仿宋" w:cs="仿宋"/>
          <w:kern w:val="0"/>
          <w:sz w:val="32"/>
          <w:szCs w:val="32"/>
          <w:lang w:val="en-US" w:eastAsia="zh-CN" w:bidi="ar-SA"/>
        </w:rPr>
        <w:br w:type="textWrapping"/>
      </w:r>
      <w:r>
        <w:rPr>
          <w:rFonts w:hint="eastAsia" w:ascii="仿宋" w:hAnsi="仿宋" w:eastAsia="仿宋" w:cs="仿宋"/>
          <w:kern w:val="0"/>
          <w:sz w:val="32"/>
          <w:szCs w:val="32"/>
          <w:lang w:val="en-US" w:eastAsia="zh-CN" w:bidi="ar-SA"/>
        </w:rPr>
        <w:t xml:space="preserve">    （九）2101199 其他行政事业单位医疗支出25.71万元，较上年决算数减少1.03万元，下降3.84%。主要原因是缴费人员减少。</w:t>
      </w:r>
    </w:p>
    <w:p>
      <w:pPr>
        <w:pStyle w:val="6"/>
        <w:keepNext w:val="0"/>
        <w:keepLines w:val="0"/>
        <w:spacing w:before="100" w:after="100" w:line="240" w:lineRule="auto"/>
        <w:ind w:left="0" w:right="0" w:firstLine="480" w:firstLineChars="0"/>
        <w:jc w:val="both"/>
        <w:rPr>
          <w:rFonts w:hint="eastAsia" w:ascii="黑体" w:hAnsi="宋体" w:eastAsia="黑体" w:cs="黑体"/>
          <w:bCs w:val="0"/>
          <w:kern w:val="0"/>
          <w:sz w:val="32"/>
          <w:szCs w:val="32"/>
          <w:shd w:val="clear" w:fill="FFFFFF"/>
          <w:lang w:val="en-US" w:eastAsia="zh-CN" w:bidi="ar"/>
        </w:rPr>
      </w:pPr>
      <w:r>
        <w:rPr>
          <w:rFonts w:hint="eastAsia" w:ascii="黑体" w:hAnsi="宋体" w:eastAsia="黑体" w:cs="黑体"/>
          <w:bCs w:val="0"/>
          <w:kern w:val="0"/>
          <w:sz w:val="32"/>
          <w:szCs w:val="32"/>
          <w:shd w:val="clear" w:fill="FFFFFF"/>
          <w:lang w:val="en-US" w:eastAsia="zh-CN" w:bidi="ar"/>
        </w:rPr>
        <w:t>四、政府性基金预算财政拨款支出决算情况说明</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right="0" w:firstLine="640" w:firstLineChars="20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2024年度政府性基金支出0万元，比上年决算数增加0万元，增长0%</w:t>
      </w:r>
      <w:r>
        <w:rPr>
          <w:rFonts w:hint="eastAsia" w:ascii="仿宋" w:hAnsi="仿宋" w:eastAsia="仿宋" w:cs="仿宋"/>
          <w:spacing w:val="0"/>
          <w:kern w:val="0"/>
          <w:sz w:val="32"/>
          <w:szCs w:val="32"/>
          <w:lang w:eastAsia="zh-CN"/>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04"/>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本单位2024年度没有使用政府性基金预算拨款安排的支出。</w:t>
      </w:r>
    </w:p>
    <w:p>
      <w:pPr>
        <w:pStyle w:val="6"/>
        <w:keepNext w:val="0"/>
        <w:keepLines w:val="0"/>
        <w:spacing w:before="100" w:after="100" w:line="240" w:lineRule="auto"/>
        <w:ind w:left="0" w:right="0" w:firstLine="480" w:firstLineChars="0"/>
        <w:jc w:val="both"/>
        <w:rPr>
          <w:rFonts w:hint="eastAsia" w:ascii="黑体" w:hAnsi="宋体" w:eastAsia="黑体" w:cs="黑体"/>
          <w:bCs w:val="0"/>
          <w:kern w:val="0"/>
          <w:sz w:val="32"/>
          <w:szCs w:val="32"/>
          <w:shd w:val="clear" w:fill="FFFFFF"/>
          <w:lang w:val="en-US" w:eastAsia="zh-CN" w:bidi="ar"/>
        </w:rPr>
      </w:pPr>
      <w:r>
        <w:rPr>
          <w:rFonts w:hint="eastAsia" w:ascii="黑体" w:hAnsi="宋体" w:eastAsia="黑体" w:cs="黑体"/>
          <w:bCs w:val="0"/>
          <w:kern w:val="0"/>
          <w:sz w:val="32"/>
          <w:szCs w:val="32"/>
          <w:shd w:val="clear" w:fill="FFFFFF"/>
          <w:lang w:val="en-US" w:eastAsia="zh-CN" w:bidi="ar"/>
        </w:rPr>
        <w:t>五、国有资本经营预算财政拨款支出决算情况说明</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hint="eastAsia" w:ascii="仿宋" w:hAnsi="仿宋" w:eastAsia="仿宋" w:cs="仿宋"/>
          <w:kern w:val="0"/>
          <w:sz w:val="32"/>
          <w:szCs w:val="32"/>
          <w:lang w:val="en-US" w:eastAsia="zh-CN" w:bidi="ar-SA"/>
        </w:rPr>
      </w:pPr>
      <w:r>
        <w:rPr>
          <w:rFonts w:ascii="仿宋" w:hAnsi="仿宋" w:eastAsia="仿宋" w:cs="仿宋"/>
          <w:spacing w:val="0"/>
          <w:kern w:val="0"/>
          <w:sz w:val="32"/>
          <w:szCs w:val="32"/>
        </w:rPr>
        <w:t>本单位2024年度没有使用国有资本经营预算财政拨款安排的支出。</w:t>
      </w:r>
    </w:p>
    <w:p>
      <w:pPr>
        <w:pStyle w:val="6"/>
        <w:keepNext w:val="0"/>
        <w:keepLines w:val="0"/>
        <w:spacing w:before="100" w:after="100" w:line="240" w:lineRule="auto"/>
        <w:ind w:left="0" w:right="0" w:firstLine="480" w:firstLineChars="0"/>
        <w:jc w:val="both"/>
        <w:rPr>
          <w:rFonts w:hint="eastAsia" w:ascii="黑体" w:hAnsi="宋体" w:eastAsia="黑体" w:cs="黑体"/>
          <w:bCs w:val="0"/>
          <w:kern w:val="0"/>
          <w:sz w:val="32"/>
          <w:szCs w:val="32"/>
          <w:shd w:val="clear" w:fill="FFFFFF"/>
          <w:lang w:val="en-US" w:eastAsia="zh-CN" w:bidi="ar"/>
        </w:rPr>
      </w:pPr>
      <w:r>
        <w:rPr>
          <w:rFonts w:hint="eastAsia" w:ascii="黑体" w:hAnsi="宋体" w:eastAsia="黑体" w:cs="黑体"/>
          <w:bCs w:val="0"/>
          <w:kern w:val="0"/>
          <w:sz w:val="32"/>
          <w:szCs w:val="32"/>
          <w:shd w:val="clear" w:fill="FFFFFF"/>
          <w:lang w:val="en-US" w:eastAsia="zh-CN" w:bidi="ar"/>
        </w:rPr>
        <w:t>六、一般公共预算财政拨款基本支出决算情况说明</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2024年度一般公共预算财政拨款基本支出1890.97万元，其中：</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一）人员经费1727.39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二）公用经费163.58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spacing w:before="100" w:after="100" w:line="240" w:lineRule="auto"/>
        <w:ind w:left="0" w:right="0" w:firstLine="480" w:firstLineChars="0"/>
        <w:jc w:val="both"/>
        <w:rPr>
          <w:rFonts w:hint="eastAsia" w:ascii="黑体" w:hAnsi="宋体" w:eastAsia="黑体" w:cs="黑体"/>
          <w:bCs w:val="0"/>
          <w:kern w:val="0"/>
          <w:sz w:val="32"/>
          <w:szCs w:val="32"/>
          <w:shd w:val="clear" w:fill="FFFFFF"/>
          <w:lang w:val="en-US" w:eastAsia="zh-CN" w:bidi="ar"/>
        </w:rPr>
      </w:pPr>
      <w:r>
        <w:rPr>
          <w:rFonts w:hint="eastAsia" w:ascii="黑体" w:hAnsi="宋体" w:eastAsia="黑体" w:cs="黑体"/>
          <w:bCs w:val="0"/>
          <w:kern w:val="0"/>
          <w:sz w:val="32"/>
          <w:szCs w:val="32"/>
          <w:shd w:val="clear" w:fill="FFFFFF"/>
          <w:lang w:val="en-US" w:eastAsia="zh-CN" w:bidi="ar"/>
        </w:rPr>
        <w:t>七、一般公共预算拨款“三公”经费支出决算情况说明</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ascii="仿宋" w:hAnsi="仿宋" w:eastAsia="仿宋" w:cs="仿宋"/>
          <w:spacing w:val="0"/>
          <w:kern w:val="0"/>
          <w:sz w:val="32"/>
          <w:szCs w:val="32"/>
        </w:rPr>
        <w:t>2024年度一般公共预算拨款“三公”经费支出0万元，</w:t>
      </w:r>
      <w:r>
        <w:rPr>
          <w:rFonts w:hint="eastAsia" w:ascii="仿宋" w:hAnsi="仿宋" w:eastAsia="仿宋" w:cs="仿宋"/>
          <w:kern w:val="0"/>
          <w:sz w:val="32"/>
          <w:szCs w:val="32"/>
          <w:lang w:eastAsia="zh-CN"/>
        </w:rPr>
        <w:t>与</w:t>
      </w:r>
      <w:r>
        <w:rPr>
          <w:rFonts w:hint="eastAsia" w:ascii="仿宋" w:hAnsi="仿宋" w:eastAsia="仿宋" w:cs="仿宋"/>
          <w:kern w:val="0"/>
          <w:sz w:val="32"/>
          <w:szCs w:val="32"/>
        </w:rPr>
        <w:t>全年预算</w:t>
      </w:r>
      <w:r>
        <w:rPr>
          <w:rFonts w:hint="eastAsia" w:ascii="仿宋" w:hAnsi="仿宋" w:eastAsia="仿宋" w:cs="仿宋"/>
          <w:kern w:val="0"/>
          <w:sz w:val="32"/>
          <w:szCs w:val="32"/>
          <w:lang w:val="en-US" w:eastAsia="zh-CN"/>
        </w:rPr>
        <w:t>0.00万元持平，</w:t>
      </w:r>
      <w:r>
        <w:rPr>
          <w:rFonts w:hint="eastAsia" w:ascii="仿宋" w:hAnsi="仿宋" w:eastAsia="仿宋" w:cs="仿宋"/>
          <w:kern w:val="0"/>
          <w:sz w:val="32"/>
          <w:szCs w:val="32"/>
        </w:rPr>
        <w:t>较上年</w:t>
      </w:r>
      <w:r>
        <w:rPr>
          <w:rFonts w:hint="eastAsia" w:ascii="仿宋" w:hAnsi="仿宋" w:eastAsia="仿宋" w:cs="仿宋"/>
          <w:kern w:val="0"/>
          <w:sz w:val="32"/>
          <w:szCs w:val="32"/>
          <w:lang w:eastAsia="zh-CN"/>
        </w:rPr>
        <w:t>决算的</w:t>
      </w:r>
      <w:r>
        <w:rPr>
          <w:rFonts w:hint="eastAsia" w:ascii="仿宋" w:hAnsi="仿宋" w:eastAsia="仿宋" w:cs="仿宋"/>
          <w:kern w:val="0"/>
          <w:sz w:val="32"/>
          <w:szCs w:val="32"/>
          <w:lang w:val="en-US" w:eastAsia="zh-CN"/>
        </w:rPr>
        <w:t>0.00万元相比持平。</w:t>
      </w:r>
      <w:r>
        <w:rPr>
          <w:rFonts w:hint="eastAsia" w:ascii="仿宋" w:hAnsi="仿宋" w:eastAsia="仿宋" w:cs="仿宋"/>
          <w:kern w:val="0"/>
          <w:sz w:val="32"/>
          <w:szCs w:val="32"/>
          <w:shd w:val="clear" w:color="auto" w:fill="FFFFFF"/>
        </w:rPr>
        <w:t>主要原因是</w:t>
      </w:r>
      <w:r>
        <w:rPr>
          <w:rFonts w:hint="eastAsia" w:ascii="仿宋" w:hAnsi="仿宋" w:eastAsia="仿宋" w:cs="仿宋"/>
          <w:kern w:val="0"/>
          <w:sz w:val="32"/>
          <w:szCs w:val="32"/>
          <w:shd w:val="clear" w:color="auto" w:fill="FFFFFF"/>
          <w:lang w:eastAsia="zh-CN"/>
        </w:rPr>
        <w:t>本单位没有使用“三公”经费支出</w:t>
      </w:r>
      <w:r>
        <w:rPr>
          <w:rFonts w:hint="eastAsia" w:ascii="仿宋" w:hAnsi="仿宋" w:eastAsia="仿宋" w:cs="仿宋"/>
          <w:kern w:val="0"/>
          <w:sz w:val="32"/>
          <w:szCs w:val="32"/>
          <w:shd w:val="clear" w:color="auto" w:fill="FFFFFF"/>
        </w:rPr>
        <w:t>。</w:t>
      </w:r>
      <w:r>
        <w:rPr>
          <w:rFonts w:ascii="仿宋" w:hAnsi="仿宋" w:eastAsia="仿宋" w:cs="仿宋"/>
          <w:spacing w:val="0"/>
          <w:kern w:val="0"/>
          <w:sz w:val="32"/>
          <w:szCs w:val="32"/>
        </w:rPr>
        <w:t>具体情况如下：</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（一）因公出国（境）费支出0万元，完成全年预算的 0%；较上年增加0万元，增长0%。全年安排本单位组织的出国团组0 个，参加其他单位出国团组个；全年因公出国（境）累计0人次。主要是本单位没有组织出国团组，没有参加其他单位出国团组。</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（二）公务用车购置及运行费支出0万元，完成全年预算的0%；较上年增加0万元，增长0%。</w:t>
      </w:r>
      <w:r>
        <w:rPr>
          <w:rFonts w:hint="eastAsia" w:ascii="仿宋" w:hAnsi="仿宋" w:eastAsia="仿宋" w:cs="仿宋"/>
          <w:color w:val="auto"/>
          <w:kern w:val="0"/>
          <w:sz w:val="32"/>
          <w:szCs w:val="32"/>
          <w:shd w:val="clear" w:color="auto" w:fill="FFFFFF"/>
        </w:rPr>
        <w:t>主要是</w:t>
      </w:r>
      <w:r>
        <w:rPr>
          <w:rFonts w:hint="eastAsia" w:ascii="仿宋" w:hAnsi="仿宋" w:eastAsia="仿宋" w:cs="仿宋"/>
          <w:color w:val="auto"/>
          <w:kern w:val="0"/>
          <w:sz w:val="32"/>
          <w:szCs w:val="32"/>
          <w:lang w:val="en-US" w:eastAsia="zh-CN" w:bidi="ar"/>
        </w:rPr>
        <w:t>本单位没有购置</w:t>
      </w:r>
      <w:r>
        <w:rPr>
          <w:rFonts w:hint="default" w:ascii="仿宋" w:hAnsi="仿宋" w:eastAsia="仿宋" w:cs="仿宋"/>
          <w:color w:val="auto"/>
          <w:kern w:val="0"/>
          <w:sz w:val="32"/>
          <w:szCs w:val="32"/>
          <w:lang w:val="en-US" w:eastAsia="zh-CN" w:bidi="ar"/>
        </w:rPr>
        <w:t>公务用车及运行</w:t>
      </w:r>
      <w:r>
        <w:rPr>
          <w:rFonts w:hint="eastAsia" w:ascii="仿宋" w:hAnsi="仿宋" w:eastAsia="仿宋" w:cs="仿宋"/>
          <w:color w:val="auto"/>
          <w:kern w:val="0"/>
          <w:sz w:val="32"/>
          <w:szCs w:val="32"/>
          <w:lang w:val="en-US" w:eastAsia="zh-CN" w:bidi="ar"/>
        </w:rPr>
        <w:t>维护</w:t>
      </w:r>
      <w:r>
        <w:rPr>
          <w:rFonts w:hint="default" w:ascii="仿宋" w:hAnsi="仿宋" w:eastAsia="仿宋" w:cs="仿宋"/>
          <w:color w:val="auto"/>
          <w:kern w:val="0"/>
          <w:sz w:val="32"/>
          <w:szCs w:val="32"/>
          <w:lang w:val="en-US" w:eastAsia="zh-CN" w:bidi="ar"/>
        </w:rPr>
        <w:t>费支出。</w:t>
      </w:r>
      <w:r>
        <w:rPr>
          <w:rFonts w:hint="eastAsia" w:ascii="仿宋" w:hAnsi="仿宋" w:eastAsia="仿宋" w:cs="仿宋"/>
          <w:kern w:val="0"/>
          <w:sz w:val="32"/>
          <w:szCs w:val="32"/>
          <w:lang w:val="en-US" w:eastAsia="zh-CN" w:bidi="ar-SA"/>
        </w:rPr>
        <w:t>其中：</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公务用车购置费支出0万元，完成全年预算的0%；较上年增加0万元，增长0%。2024年公务用车购置0辆，主要是本单位没有购置公务用车。</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公务用车运行费支出0万元，完成全年预算的0%；较上年增加0万元，增长0%。主要是本单位没有公务用车运行维护支出。截至2024年12月31日，本单位公务用车保有量为0 辆。</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（三）公务接待费支出0万元，完成全年预算的 0%；较上年增加0万元，增长0%。主要是本单位没有公务接待活动，累计接待 0 批次、0 人次。</w:t>
      </w:r>
    </w:p>
    <w:p>
      <w:pPr>
        <w:pStyle w:val="6"/>
        <w:keepNext w:val="0"/>
        <w:keepLines w:val="0"/>
        <w:spacing w:before="100" w:after="100" w:line="240" w:lineRule="auto"/>
        <w:ind w:left="0" w:right="0" w:firstLine="480" w:firstLineChars="0"/>
        <w:jc w:val="both"/>
        <w:rPr>
          <w:rFonts w:hint="eastAsia" w:ascii="黑体" w:hAnsi="宋体" w:eastAsia="黑体" w:cs="黑体"/>
          <w:bCs w:val="0"/>
          <w:kern w:val="0"/>
          <w:sz w:val="32"/>
          <w:szCs w:val="32"/>
          <w:shd w:val="clear" w:fill="FFFFFF"/>
          <w:lang w:val="en-US" w:eastAsia="zh-CN" w:bidi="ar"/>
        </w:rPr>
      </w:pPr>
      <w:r>
        <w:rPr>
          <w:rFonts w:hint="eastAsia" w:ascii="黑体" w:hAnsi="宋体" w:eastAsia="黑体" w:cs="黑体"/>
          <w:bCs w:val="0"/>
          <w:kern w:val="0"/>
          <w:sz w:val="32"/>
          <w:szCs w:val="32"/>
          <w:shd w:val="clear" w:fill="FFFFFF"/>
          <w:lang w:val="en-US" w:eastAsia="zh-CN" w:bidi="ar"/>
        </w:rPr>
        <w:t>八、预算绩效情况说明</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hint="eastAsia" w:ascii="仿宋" w:hAnsi="仿宋" w:eastAsia="仿宋" w:cs="仿宋"/>
          <w:spacing w:val="0"/>
          <w:kern w:val="0"/>
          <w:sz w:val="32"/>
          <w:szCs w:val="32"/>
          <w:lang w:val="en-US" w:eastAsia="zh-CN" w:bidi="ar"/>
        </w:rPr>
      </w:pPr>
      <w:r>
        <w:rPr>
          <w:rFonts w:hint="eastAsia" w:ascii="仿宋" w:hAnsi="仿宋" w:eastAsia="仿宋" w:cs="仿宋"/>
          <w:spacing w:val="0"/>
          <w:kern w:val="0"/>
          <w:sz w:val="32"/>
          <w:szCs w:val="32"/>
          <w:lang w:val="en-US" w:eastAsia="zh-CN" w:bidi="ar"/>
        </w:rPr>
        <w:t>根据预算绩效管理要求，本单位组织对2024年度1个项目实施单位自评，项目名称是义务教育困难学生营养餐补助，涉及财政拨款资金共计0.5052万元。</w:t>
      </w:r>
      <w:r>
        <w:rPr>
          <w:rFonts w:ascii="仿宋" w:hAnsi="仿宋" w:eastAsia="仿宋" w:cs="仿宋"/>
          <w:spacing w:val="0"/>
          <w:kern w:val="0"/>
          <w:sz w:val="32"/>
          <w:szCs w:val="32"/>
        </w:rPr>
        <w:t>（《项目支出绩效自评表》详见附件）</w:t>
      </w:r>
    </w:p>
    <w:p>
      <w:pPr>
        <w:pStyle w:val="6"/>
        <w:keepNext w:val="0"/>
        <w:keepLines w:val="0"/>
        <w:spacing w:before="100" w:after="100" w:line="240" w:lineRule="auto"/>
        <w:ind w:left="0" w:right="0" w:firstLine="480" w:firstLineChars="0"/>
        <w:jc w:val="both"/>
        <w:rPr>
          <w:rFonts w:hint="eastAsia" w:ascii="黑体" w:hAnsi="宋体" w:eastAsia="黑体" w:cs="黑体"/>
          <w:bCs w:val="0"/>
          <w:kern w:val="0"/>
          <w:sz w:val="32"/>
          <w:szCs w:val="32"/>
          <w:shd w:val="clear" w:fill="FFFFFF"/>
          <w:lang w:val="en-US" w:eastAsia="zh-CN" w:bidi="ar"/>
        </w:rPr>
      </w:pPr>
      <w:r>
        <w:rPr>
          <w:rFonts w:hint="eastAsia" w:ascii="黑体" w:hAnsi="宋体" w:eastAsia="黑体" w:cs="黑体"/>
          <w:bCs w:val="0"/>
          <w:kern w:val="0"/>
          <w:sz w:val="32"/>
          <w:szCs w:val="32"/>
          <w:shd w:val="clear" w:fill="FFFFFF"/>
          <w:lang w:val="en-US" w:eastAsia="zh-CN" w:bidi="ar"/>
        </w:rPr>
        <w:t>九、其他重要事项说明</w:t>
      </w:r>
    </w:p>
    <w:p>
      <w:pPr>
        <w:pStyle w:val="29"/>
        <w:widowControl/>
        <w:spacing w:before="100" w:after="100" w:line="600" w:lineRule="atLeast"/>
        <w:ind w:left="0" w:right="0" w:firstLine="643"/>
        <w:jc w:val="both"/>
        <w:rPr>
          <w:rFonts w:hint="eastAsia" w:ascii="楷体" w:hAnsi="楷体" w:eastAsia="楷体" w:cs="楷体"/>
          <w:spacing w:val="0"/>
          <w:kern w:val="0"/>
          <w:sz w:val="32"/>
          <w:szCs w:val="32"/>
          <w:lang w:val="en-US" w:eastAsia="zh-CN"/>
        </w:rPr>
      </w:pPr>
      <w:r>
        <w:rPr>
          <w:rFonts w:hint="eastAsia" w:ascii="楷体" w:hAnsi="楷体" w:eastAsia="楷体" w:cs="楷体"/>
          <w:spacing w:val="0"/>
          <w:kern w:val="0"/>
          <w:sz w:val="32"/>
          <w:szCs w:val="32"/>
          <w:lang w:val="en-US" w:eastAsia="zh-CN"/>
        </w:rPr>
        <w:t>（一）机关运行经费 </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2024年度机关运行经费支出0万元，比上年决算数增加（减少）</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万元，增长（下降）</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%，主要原因是:本单位为事业单位</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没有机关运行经费。</w:t>
      </w:r>
    </w:p>
    <w:p>
      <w:pPr>
        <w:pStyle w:val="29"/>
        <w:widowControl/>
        <w:spacing w:before="100" w:after="100" w:line="600" w:lineRule="atLeast"/>
        <w:ind w:left="0" w:right="0" w:firstLine="643"/>
        <w:jc w:val="both"/>
        <w:rPr>
          <w:rFonts w:hint="eastAsia" w:ascii="楷体" w:hAnsi="楷体" w:eastAsia="楷体" w:cs="楷体"/>
          <w:spacing w:val="0"/>
          <w:kern w:val="0"/>
          <w:sz w:val="32"/>
          <w:szCs w:val="32"/>
          <w:lang w:val="en-US" w:eastAsia="zh-CN"/>
        </w:rPr>
      </w:pPr>
      <w:r>
        <w:rPr>
          <w:rFonts w:hint="eastAsia" w:ascii="楷体" w:hAnsi="楷体" w:eastAsia="楷体" w:cs="楷体"/>
          <w:spacing w:val="0"/>
          <w:kern w:val="0"/>
          <w:sz w:val="32"/>
          <w:szCs w:val="32"/>
          <w:lang w:val="en-US" w:eastAsia="zh-CN"/>
        </w:rPr>
        <w:t>（二）政府采购情况</w:t>
      </w:r>
    </w:p>
    <w:p>
      <w:pPr>
        <w:pStyle w:val="29"/>
        <w:widowControl/>
        <w:spacing w:before="100" w:after="100" w:line="600" w:lineRule="atLeast"/>
        <w:ind w:left="0" w:right="0" w:firstLine="643"/>
        <w:jc w:val="both"/>
        <w:rPr>
          <w:rFonts w:hint="eastAsia" w:ascii="仿宋" w:hAnsi="仿宋" w:eastAsia="仿宋" w:cs="仿宋"/>
          <w:kern w:val="0"/>
          <w:sz w:val="32"/>
          <w:szCs w:val="32"/>
          <w:lang w:val="en-US" w:eastAsia="zh-CN" w:bidi="ar-SA"/>
        </w:rPr>
      </w:pPr>
      <w:r>
        <w:rPr>
          <w:rFonts w:hint="eastAsia" w:ascii="仿宋" w:hAnsi="仿宋" w:eastAsia="仿宋" w:cs="仿宋"/>
          <w:color w:val="000000"/>
          <w:kern w:val="0"/>
          <w:sz w:val="32"/>
          <w:szCs w:val="32"/>
          <w:shd w:val="clear" w:fill="FFFFFF"/>
          <w:lang w:val="en-US" w:eastAsia="zh-CN" w:bidi="ar"/>
        </w:rPr>
        <w:t>本单位2024年度政府采购支出总额1.84万元，其中：政府采购货物支出1.84万元、政府采购工程支出0万元、政府采购服务支出0万元。授予中小企业合同金额1.84万元，占政府采购支出总额的100%，其中：授予小微企业合同金额1.84万元，占授予中小企业合同金额的100%；货物采购授予中小企业合同金额占货物支出金额的100%，工程采购授予中小企业合同金额占工程支出金额的0%，服务采购授予中小企业合同金额占服务支出金额的0%。</w:t>
      </w:r>
    </w:p>
    <w:p>
      <w:pPr>
        <w:pStyle w:val="29"/>
        <w:widowControl/>
        <w:spacing w:before="100" w:after="100" w:line="600" w:lineRule="atLeast"/>
        <w:ind w:left="0" w:right="0" w:firstLine="643"/>
        <w:jc w:val="both"/>
        <w:rPr>
          <w:rFonts w:hint="eastAsia" w:ascii="楷体" w:hAnsi="楷体" w:eastAsia="楷体" w:cs="楷体"/>
          <w:spacing w:val="0"/>
          <w:kern w:val="0"/>
          <w:sz w:val="32"/>
          <w:szCs w:val="32"/>
          <w:lang w:val="en-US" w:eastAsia="zh-CN"/>
        </w:rPr>
      </w:pPr>
      <w:r>
        <w:rPr>
          <w:rFonts w:hint="eastAsia" w:ascii="楷体" w:hAnsi="楷体" w:eastAsia="楷体" w:cs="楷体"/>
          <w:spacing w:val="0"/>
          <w:kern w:val="0"/>
          <w:sz w:val="32"/>
          <w:szCs w:val="32"/>
          <w:lang w:val="en-US" w:eastAsia="zh-CN"/>
        </w:rPr>
        <w:t>（三）国有资产占用使用情况 </w:t>
      </w:r>
    </w:p>
    <w:p>
      <w:pPr>
        <w:pStyle w:val="29"/>
        <w:widowControl/>
        <w:spacing w:before="100" w:after="100" w:line="600" w:lineRule="atLeast"/>
        <w:ind w:left="0" w:right="0" w:firstLine="643"/>
        <w:jc w:val="both"/>
        <w:rPr>
          <w:rFonts w:hint="eastAsia" w:ascii="黑体" w:hAnsi="宋体" w:eastAsia="黑体" w:cs="黑体"/>
          <w:kern w:val="0"/>
          <w:sz w:val="36"/>
          <w:szCs w:val="36"/>
          <w:shd w:val="clear" w:fill="FFFFFF"/>
          <w:lang w:bidi="ar"/>
        </w:rPr>
      </w:pPr>
      <w:r>
        <w:rPr>
          <w:rFonts w:hint="eastAsia" w:ascii="仿宋" w:hAnsi="仿宋" w:eastAsia="仿宋" w:cs="仿宋"/>
          <w:color w:val="000000"/>
          <w:kern w:val="0"/>
          <w:sz w:val="32"/>
          <w:szCs w:val="32"/>
          <w:shd w:val="clear" w:fill="FFFFFF"/>
          <w:lang w:val="en-US" w:eastAsia="zh-CN" w:bidi="ar"/>
        </w:rPr>
        <w:t xml:space="preserve">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   </w:t>
      </w:r>
    </w:p>
    <w:p>
      <w:pPr>
        <w:pStyle w:val="29"/>
        <w:widowControl/>
        <w:spacing w:before="100" w:after="100"/>
        <w:ind w:left="0" w:right="0" w:firstLine="0"/>
        <w:jc w:val="center"/>
        <w:rPr>
          <w:rFonts w:hint="eastAsia" w:ascii="黑体" w:hAnsi="宋体" w:eastAsia="黑体" w:cs="黑体"/>
          <w:kern w:val="0"/>
          <w:sz w:val="36"/>
          <w:szCs w:val="36"/>
          <w:shd w:val="clear" w:fill="FFFFFF"/>
          <w:lang w:bidi="ar"/>
        </w:rPr>
      </w:pPr>
    </w:p>
    <w:p>
      <w:pPr>
        <w:pStyle w:val="29"/>
        <w:widowControl/>
        <w:spacing w:before="100" w:after="100"/>
        <w:ind w:left="0" w:right="0" w:firstLine="0"/>
        <w:jc w:val="center"/>
        <w:rPr>
          <w:rFonts w:hint="eastAsia" w:ascii="黑体" w:hAnsi="宋体" w:eastAsia="黑体" w:cs="黑体"/>
          <w:kern w:val="0"/>
          <w:sz w:val="36"/>
          <w:szCs w:val="36"/>
          <w:shd w:val="clear" w:fill="FFFFFF"/>
          <w:lang w:bidi="ar"/>
        </w:rPr>
      </w:pPr>
      <w:r>
        <w:rPr>
          <w:rFonts w:hint="eastAsia" w:ascii="黑体" w:hAnsi="宋体" w:eastAsia="黑体" w:cs="黑体"/>
          <w:kern w:val="0"/>
          <w:sz w:val="36"/>
          <w:szCs w:val="36"/>
          <w:shd w:val="clear" w:fill="FFFFFF"/>
          <w:lang w:bidi="ar"/>
        </w:rPr>
        <w:t>第四部分 名词解释</w:t>
      </w:r>
    </w:p>
    <w:p>
      <w:pPr>
        <w:pStyle w:val="29"/>
        <w:widowControl/>
        <w:spacing w:before="240" w:after="240" w:line="600" w:lineRule="atLeast"/>
        <w:ind w:firstLine="640"/>
        <w:jc w:val="left"/>
        <w:rPr>
          <w:rFonts w:ascii="Times New Roman" w:hAnsi="Times New Roman" w:eastAsia="Times New Roman" w:cs="Times New Roman"/>
          <w:kern w:val="0"/>
          <w:sz w:val="32"/>
          <w:szCs w:val="32"/>
        </w:rPr>
      </w:pPr>
      <w:r>
        <w:rPr>
          <w:rFonts w:ascii="仿宋" w:hAnsi="仿宋" w:eastAsia="仿宋" w:cs="仿宋"/>
          <w:kern w:val="0"/>
          <w:sz w:val="32"/>
          <w:szCs w:val="32"/>
        </w:rPr>
        <w:t> </w:t>
      </w:r>
      <w:r>
        <w:rPr>
          <w:rFonts w:ascii="仿宋" w:hAnsi="仿宋" w:eastAsia="仿宋" w:cs="仿宋"/>
          <w:b/>
          <w:bCs/>
          <w:kern w:val="0"/>
          <w:sz w:val="32"/>
          <w:szCs w:val="32"/>
        </w:rPr>
        <w:t>一、财政拨款收入：</w:t>
      </w:r>
      <w:r>
        <w:rPr>
          <w:rFonts w:ascii="仿宋" w:hAnsi="仿宋" w:eastAsia="仿宋" w:cs="仿宋"/>
          <w:kern w:val="0"/>
          <w:sz w:val="32"/>
          <w:szCs w:val="32"/>
        </w:rPr>
        <w:t>指单位从本级财政</w:t>
      </w:r>
      <w:r>
        <w:rPr>
          <w:rFonts w:hint="eastAsia" w:ascii="仿宋" w:hAnsi="仿宋" w:eastAsia="仿宋" w:cs="仿宋"/>
          <w:kern w:val="0"/>
          <w:sz w:val="32"/>
          <w:szCs w:val="32"/>
          <w:lang w:eastAsia="zh-CN"/>
        </w:rPr>
        <w:t>单位</w:t>
      </w:r>
      <w:r>
        <w:rPr>
          <w:rFonts w:ascii="仿宋" w:hAnsi="仿宋" w:eastAsia="仿宋" w:cs="仿宋"/>
          <w:kern w:val="0"/>
          <w:sz w:val="32"/>
          <w:szCs w:val="32"/>
        </w:rPr>
        <w:t>取得的财政预算资金，包括一般公共预算财政拨款、政府性基金预算财政拨款和国有资本经营预算财政拨款。</w:t>
      </w:r>
    </w:p>
    <w:p>
      <w:pPr>
        <w:pStyle w:val="29"/>
        <w:widowControl/>
        <w:spacing w:before="240" w:after="240" w:line="600" w:lineRule="atLeast"/>
        <w:ind w:firstLine="710"/>
        <w:jc w:val="left"/>
        <w:rPr>
          <w:rFonts w:ascii="Times New Roman" w:hAnsi="Times New Roman" w:eastAsia="Times New Roman" w:cs="Times New Roman"/>
          <w:kern w:val="0"/>
          <w:sz w:val="32"/>
          <w:szCs w:val="32"/>
        </w:rPr>
      </w:pPr>
      <w:r>
        <w:rPr>
          <w:rFonts w:ascii="仿宋" w:hAnsi="仿宋" w:eastAsia="仿宋" w:cs="仿宋"/>
          <w:b/>
          <w:bCs/>
          <w:kern w:val="0"/>
          <w:sz w:val="32"/>
          <w:szCs w:val="32"/>
        </w:rPr>
        <w:t>二、事业收入：</w:t>
      </w:r>
      <w:r>
        <w:rPr>
          <w:rFonts w:ascii="仿宋" w:hAnsi="仿宋" w:eastAsia="仿宋" w:cs="仿宋"/>
          <w:kern w:val="0"/>
          <w:sz w:val="32"/>
          <w:szCs w:val="32"/>
        </w:rPr>
        <w:t>指事业单位开展专业业务活动及辅助活动所取得的收入。</w:t>
      </w:r>
    </w:p>
    <w:p>
      <w:pPr>
        <w:pStyle w:val="29"/>
        <w:widowControl/>
        <w:spacing w:before="240" w:after="240" w:line="600" w:lineRule="atLeast"/>
        <w:ind w:firstLine="710"/>
        <w:jc w:val="left"/>
        <w:rPr>
          <w:rFonts w:ascii="Times New Roman" w:hAnsi="Times New Roman" w:eastAsia="Times New Roman" w:cs="Times New Roman"/>
          <w:kern w:val="0"/>
          <w:sz w:val="32"/>
          <w:szCs w:val="32"/>
        </w:rPr>
      </w:pPr>
      <w:r>
        <w:rPr>
          <w:rFonts w:ascii="仿宋" w:hAnsi="仿宋" w:eastAsia="仿宋" w:cs="仿宋"/>
          <w:b/>
          <w:bCs/>
          <w:kern w:val="0"/>
          <w:sz w:val="32"/>
          <w:szCs w:val="32"/>
        </w:rPr>
        <w:t>三、经营收入：</w:t>
      </w:r>
      <w:r>
        <w:rPr>
          <w:rFonts w:ascii="仿宋" w:hAnsi="仿宋" w:eastAsia="仿宋" w:cs="仿宋"/>
          <w:kern w:val="0"/>
          <w:sz w:val="32"/>
          <w:szCs w:val="32"/>
        </w:rPr>
        <w:t>指事业单位在专业业务活动及其辅助活动之外开展非独立核算经营活动取得的收入。</w:t>
      </w:r>
    </w:p>
    <w:p>
      <w:pPr>
        <w:pStyle w:val="29"/>
        <w:widowControl/>
        <w:spacing w:before="240" w:after="240" w:line="600" w:lineRule="atLeast"/>
        <w:ind w:firstLine="710"/>
        <w:jc w:val="left"/>
        <w:rPr>
          <w:rFonts w:ascii="Times New Roman" w:hAnsi="Times New Roman" w:eastAsia="Times New Roman" w:cs="Times New Roman"/>
          <w:kern w:val="0"/>
          <w:sz w:val="32"/>
          <w:szCs w:val="32"/>
        </w:rPr>
      </w:pPr>
      <w:r>
        <w:rPr>
          <w:rFonts w:ascii="仿宋" w:hAnsi="仿宋" w:eastAsia="仿宋" w:cs="仿宋"/>
          <w:b/>
          <w:bCs/>
          <w:kern w:val="0"/>
          <w:sz w:val="32"/>
          <w:szCs w:val="32"/>
        </w:rPr>
        <w:t>四、其他收入：</w:t>
      </w:r>
      <w:r>
        <w:rPr>
          <w:rFonts w:ascii="仿宋" w:hAnsi="仿宋" w:eastAsia="仿宋" w:cs="仿宋"/>
          <w:kern w:val="0"/>
          <w:sz w:val="32"/>
          <w:szCs w:val="32"/>
        </w:rPr>
        <w:t>指除上述“财政拨款收入”“事业收入” “上级补助收入”“附属单位上缴收入”“经营收入”等以外取得的各项收入。主要是事业单位固定资产出租收入等。</w:t>
      </w:r>
    </w:p>
    <w:p>
      <w:pPr>
        <w:pStyle w:val="29"/>
        <w:widowControl/>
        <w:spacing w:before="240" w:after="240" w:line="600" w:lineRule="atLeast"/>
        <w:ind w:firstLine="710"/>
        <w:jc w:val="left"/>
        <w:rPr>
          <w:rFonts w:ascii="Times New Roman" w:hAnsi="Times New Roman" w:eastAsia="Times New Roman" w:cs="Times New Roman"/>
          <w:kern w:val="0"/>
          <w:sz w:val="32"/>
          <w:szCs w:val="32"/>
        </w:rPr>
      </w:pPr>
      <w:r>
        <w:rPr>
          <w:rFonts w:ascii="仿宋" w:hAnsi="仿宋" w:eastAsia="仿宋" w:cs="仿宋"/>
          <w:b/>
          <w:bCs/>
          <w:kern w:val="0"/>
          <w:sz w:val="32"/>
          <w:szCs w:val="32"/>
        </w:rPr>
        <w:t>五、使用非财政拨款结余：</w:t>
      </w:r>
      <w:r>
        <w:rPr>
          <w:rFonts w:ascii="仿宋" w:hAnsi="仿宋" w:eastAsia="仿宋" w:cs="仿宋"/>
          <w:kern w:val="0"/>
          <w:sz w:val="32"/>
          <w:szCs w:val="32"/>
        </w:rPr>
        <w:t>指事业单位使用以前年度积累的非财政拨款结余弥补当年收支差额的金额。</w:t>
      </w:r>
    </w:p>
    <w:p>
      <w:pPr>
        <w:pStyle w:val="29"/>
        <w:widowControl/>
        <w:spacing w:before="240" w:after="240" w:line="600" w:lineRule="atLeast"/>
        <w:ind w:firstLine="710"/>
        <w:jc w:val="left"/>
        <w:rPr>
          <w:rFonts w:ascii="Times New Roman" w:hAnsi="Times New Roman" w:eastAsia="Times New Roman" w:cs="Times New Roman"/>
          <w:kern w:val="0"/>
          <w:sz w:val="32"/>
          <w:szCs w:val="32"/>
        </w:rPr>
      </w:pPr>
      <w:r>
        <w:rPr>
          <w:rFonts w:ascii="仿宋" w:hAnsi="仿宋" w:eastAsia="仿宋" w:cs="仿宋"/>
          <w:b/>
          <w:bCs/>
          <w:kern w:val="0"/>
          <w:sz w:val="32"/>
          <w:szCs w:val="32"/>
        </w:rPr>
        <w:t>六、年初结转和结余：</w:t>
      </w:r>
      <w:r>
        <w:rPr>
          <w:rFonts w:ascii="仿宋" w:hAnsi="仿宋" w:eastAsia="仿宋" w:cs="仿宋"/>
          <w:kern w:val="0"/>
          <w:sz w:val="32"/>
          <w:szCs w:val="32"/>
        </w:rPr>
        <w:t>指单位以前年度尚未完成、结转到本年仍按原规定用途继续使用的资金，或项目已完成等产生的结余资金。</w:t>
      </w:r>
    </w:p>
    <w:p>
      <w:pPr>
        <w:widowControl/>
        <w:spacing w:before="240" w:after="240" w:line="600" w:lineRule="atLeast"/>
        <w:ind w:firstLine="640"/>
        <w:jc w:val="left"/>
        <w:rPr>
          <w:rFonts w:ascii="Times New Roman" w:hAnsi="Times New Roman" w:eastAsia="Times New Roman" w:cs="Times New Roman"/>
          <w:kern w:val="0"/>
          <w:sz w:val="32"/>
          <w:szCs w:val="32"/>
        </w:rPr>
      </w:pPr>
      <w:r>
        <w:rPr>
          <w:rFonts w:ascii="仿宋" w:hAnsi="仿宋" w:eastAsia="仿宋" w:cs="仿宋"/>
          <w:b/>
          <w:bCs/>
          <w:kern w:val="0"/>
          <w:sz w:val="32"/>
          <w:szCs w:val="32"/>
        </w:rPr>
        <w:t>七、结余分配：</w:t>
      </w:r>
      <w:r>
        <w:rPr>
          <w:rFonts w:ascii="仿宋" w:hAnsi="仿宋" w:eastAsia="仿宋" w:cs="仿宋"/>
          <w:kern w:val="0"/>
          <w:sz w:val="32"/>
          <w:szCs w:val="32"/>
        </w:rPr>
        <w:t>指事业单位按照会计制度规定缴纳的所得税、提取的专用结余以及转入非财政拨款结余的金额等。</w:t>
      </w:r>
    </w:p>
    <w:p>
      <w:pPr>
        <w:widowControl/>
        <w:spacing w:before="240" w:after="240" w:line="600" w:lineRule="atLeast"/>
        <w:ind w:firstLine="640"/>
        <w:jc w:val="left"/>
        <w:rPr>
          <w:rFonts w:ascii="Times New Roman" w:hAnsi="Times New Roman" w:eastAsia="Times New Roman" w:cs="Times New Roman"/>
          <w:kern w:val="0"/>
          <w:sz w:val="32"/>
          <w:szCs w:val="32"/>
        </w:rPr>
      </w:pPr>
      <w:r>
        <w:rPr>
          <w:rFonts w:ascii="仿宋" w:hAnsi="仿宋" w:eastAsia="仿宋" w:cs="仿宋"/>
          <w:b/>
          <w:bCs/>
          <w:kern w:val="0"/>
          <w:sz w:val="32"/>
          <w:szCs w:val="32"/>
        </w:rPr>
        <w:t>八、年末结转和结余：</w:t>
      </w:r>
      <w:r>
        <w:rPr>
          <w:rFonts w:ascii="仿宋" w:hAnsi="仿宋" w:eastAsia="仿宋" w:cs="仿宋"/>
          <w:kern w:val="0"/>
          <w:sz w:val="32"/>
          <w:szCs w:val="32"/>
        </w:rPr>
        <w:t>指单位按有关规定结转到下年或以后年度继续使用的资金，或项目已完成等产生的结余资金。</w:t>
      </w:r>
    </w:p>
    <w:p>
      <w:pPr>
        <w:widowControl/>
        <w:spacing w:before="240" w:after="240" w:line="600" w:lineRule="atLeast"/>
        <w:ind w:firstLine="640"/>
        <w:jc w:val="left"/>
        <w:rPr>
          <w:rFonts w:ascii="Times New Roman" w:hAnsi="Times New Roman" w:eastAsia="Times New Roman" w:cs="Times New Roman"/>
          <w:kern w:val="0"/>
          <w:sz w:val="32"/>
          <w:szCs w:val="32"/>
        </w:rPr>
      </w:pPr>
      <w:r>
        <w:rPr>
          <w:rFonts w:ascii="仿宋" w:hAnsi="仿宋" w:eastAsia="仿宋" w:cs="仿宋"/>
          <w:b/>
          <w:bCs/>
          <w:kern w:val="0"/>
          <w:sz w:val="32"/>
          <w:szCs w:val="32"/>
        </w:rPr>
        <w:t>九、基本支出：</w:t>
      </w:r>
      <w:r>
        <w:rPr>
          <w:rFonts w:ascii="仿宋" w:hAnsi="仿宋" w:eastAsia="仿宋" w:cs="仿宋"/>
          <w:kern w:val="0"/>
          <w:sz w:val="32"/>
          <w:szCs w:val="32"/>
        </w:rPr>
        <w:t>指为保障机构正常运转、完成日常工作任务而发生的人员支出和公用支出。</w:t>
      </w:r>
    </w:p>
    <w:p>
      <w:pPr>
        <w:widowControl/>
        <w:spacing w:before="240" w:after="240" w:line="600" w:lineRule="atLeast"/>
        <w:ind w:firstLine="640"/>
        <w:jc w:val="left"/>
        <w:rPr>
          <w:rFonts w:ascii="Times New Roman" w:hAnsi="Times New Roman" w:eastAsia="Times New Roman" w:cs="Times New Roman"/>
          <w:kern w:val="0"/>
          <w:sz w:val="32"/>
          <w:szCs w:val="32"/>
        </w:rPr>
      </w:pPr>
      <w:r>
        <w:rPr>
          <w:rFonts w:ascii="仿宋" w:hAnsi="仿宋" w:eastAsia="仿宋" w:cs="仿宋"/>
          <w:b/>
          <w:bCs/>
          <w:kern w:val="0"/>
          <w:sz w:val="32"/>
          <w:szCs w:val="32"/>
        </w:rPr>
        <w:t>十、项目支出：</w:t>
      </w:r>
      <w:r>
        <w:rPr>
          <w:rFonts w:ascii="仿宋" w:hAnsi="仿宋" w:eastAsia="仿宋" w:cs="仿宋"/>
          <w:kern w:val="0"/>
          <w:sz w:val="32"/>
          <w:szCs w:val="32"/>
        </w:rPr>
        <w:t>指在基本支出之外为完成特定行政任务和事业发展目标所发生的支出。</w:t>
      </w:r>
    </w:p>
    <w:p>
      <w:pPr>
        <w:widowControl/>
        <w:spacing w:before="240" w:after="240" w:line="600" w:lineRule="atLeast"/>
        <w:ind w:firstLine="640"/>
        <w:jc w:val="left"/>
        <w:rPr>
          <w:rFonts w:ascii="Times New Roman" w:hAnsi="Times New Roman" w:eastAsia="Times New Roman" w:cs="Times New Roman"/>
          <w:kern w:val="0"/>
          <w:sz w:val="32"/>
          <w:szCs w:val="32"/>
        </w:rPr>
      </w:pPr>
      <w:r>
        <w:rPr>
          <w:rFonts w:ascii="仿宋" w:hAnsi="仿宋" w:eastAsia="仿宋" w:cs="仿宋"/>
          <w:b/>
          <w:bCs/>
          <w:kern w:val="0"/>
          <w:sz w:val="32"/>
          <w:szCs w:val="32"/>
        </w:rPr>
        <w:t>十一、经营支出：</w:t>
      </w:r>
      <w:r>
        <w:rPr>
          <w:rFonts w:ascii="仿宋" w:hAnsi="仿宋" w:eastAsia="仿宋" w:cs="仿宋"/>
          <w:kern w:val="0"/>
          <w:sz w:val="32"/>
          <w:szCs w:val="32"/>
        </w:rPr>
        <w:t>指事业单位在专业业务活动及其辅助活动之外开展非独立核算经营活动发生的支出。</w:t>
      </w:r>
    </w:p>
    <w:p>
      <w:pPr>
        <w:widowControl/>
        <w:spacing w:before="240" w:after="240" w:line="600" w:lineRule="atLeast"/>
        <w:ind w:firstLine="640"/>
        <w:jc w:val="left"/>
        <w:rPr>
          <w:rFonts w:ascii="Times New Roman" w:hAnsi="Times New Roman" w:eastAsia="Times New Roman" w:cs="Times New Roman"/>
          <w:kern w:val="0"/>
          <w:sz w:val="32"/>
          <w:szCs w:val="32"/>
        </w:rPr>
      </w:pPr>
      <w:r>
        <w:rPr>
          <w:rFonts w:ascii="仿宋" w:hAnsi="仿宋" w:eastAsia="仿宋" w:cs="仿宋"/>
          <w:b/>
          <w:bCs/>
          <w:kern w:val="0"/>
          <w:sz w:val="32"/>
          <w:szCs w:val="32"/>
        </w:rPr>
        <w:t>十二、“三公”经费：</w:t>
      </w:r>
      <w:r>
        <w:rPr>
          <w:rFonts w:ascii="仿宋" w:hAnsi="仿宋" w:eastAsia="仿宋" w:cs="仿宋"/>
          <w:kern w:val="0"/>
          <w:sz w:val="32"/>
          <w:szCs w:val="32"/>
        </w:rPr>
        <w:t>纳入本级财政预决算管理的“三公”经费，是指本级</w:t>
      </w:r>
      <w:r>
        <w:rPr>
          <w:rFonts w:hint="eastAsia" w:ascii="仿宋" w:hAnsi="仿宋" w:eastAsia="仿宋" w:cs="仿宋"/>
          <w:kern w:val="0"/>
          <w:sz w:val="32"/>
          <w:szCs w:val="32"/>
          <w:lang w:eastAsia="zh-CN"/>
        </w:rPr>
        <w:t>单位</w:t>
      </w:r>
      <w:r>
        <w:rPr>
          <w:rFonts w:ascii="仿宋" w:hAnsi="仿宋" w:eastAsia="仿宋" w:cs="仿宋"/>
          <w:kern w:val="0"/>
          <w:sz w:val="32"/>
          <w:szCs w:val="32"/>
        </w:rPr>
        <w:t>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29"/>
        <w:widowControl/>
        <w:spacing w:before="240" w:after="240" w:line="560" w:lineRule="atLeast"/>
        <w:ind w:firstLine="643"/>
        <w:jc w:val="left"/>
        <w:rPr>
          <w:rFonts w:ascii="Times New Roman" w:hAnsi="Times New Roman" w:eastAsia="Times New Roman" w:cs="Times New Roman"/>
          <w:kern w:val="0"/>
          <w:sz w:val="24"/>
          <w:szCs w:val="24"/>
        </w:rPr>
      </w:pPr>
      <w:r>
        <w:rPr>
          <w:rFonts w:ascii="仿宋" w:hAnsi="仿宋" w:eastAsia="仿宋" w:cs="仿宋"/>
          <w:b/>
          <w:bCs/>
          <w:kern w:val="0"/>
          <w:sz w:val="32"/>
          <w:szCs w:val="32"/>
        </w:rPr>
        <w:t>十三、机关运行经费：</w:t>
      </w:r>
      <w:r>
        <w:rPr>
          <w:rFonts w:ascii="仿宋" w:hAnsi="仿宋" w:eastAsia="仿宋" w:cs="仿宋"/>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9"/>
        <w:widowControl/>
        <w:spacing w:before="240" w:after="240"/>
        <w:jc w:val="left"/>
        <w:rPr>
          <w:rFonts w:ascii="Times New Roman" w:hAnsi="Times New Roman" w:eastAsia="Times New Roman" w:cs="Times New Roman"/>
          <w:kern w:val="0"/>
          <w:sz w:val="24"/>
          <w:szCs w:val="24"/>
        </w:rPr>
      </w:pPr>
      <w:r>
        <w:rPr>
          <w:rFonts w:ascii="fang_song_gb2312" w:hAnsi="fang_song_gb2312" w:eastAsia="fang_song_gb2312" w:cs="fang_song_gb2312"/>
          <w:kern w:val="0"/>
          <w:sz w:val="27"/>
          <w:szCs w:val="27"/>
        </w:rPr>
        <w:t> </w:t>
      </w:r>
    </w:p>
    <w:p>
      <w:pPr>
        <w:pStyle w:val="29"/>
        <w:widowControl/>
        <w:numPr>
          <w:ilvl w:val="0"/>
          <w:numId w:val="3"/>
        </w:numPr>
        <w:spacing w:before="100" w:after="100"/>
        <w:ind w:left="0" w:right="0" w:firstLine="0"/>
        <w:jc w:val="center"/>
        <w:rPr>
          <w:rFonts w:hint="eastAsia" w:ascii="黑体" w:hAnsi="宋体" w:eastAsia="黑体" w:cs="黑体"/>
          <w:kern w:val="0"/>
          <w:sz w:val="36"/>
          <w:szCs w:val="36"/>
          <w:shd w:val="clear" w:fill="FFFFFF"/>
          <w:lang w:bidi="ar"/>
        </w:rPr>
      </w:pPr>
      <w:r>
        <w:rPr>
          <w:rFonts w:hint="eastAsia" w:ascii="黑体" w:hAnsi="宋体" w:eastAsia="黑体" w:cs="黑体"/>
          <w:kern w:val="0"/>
          <w:sz w:val="36"/>
          <w:szCs w:val="36"/>
          <w:shd w:val="clear" w:fill="FFFFFF"/>
          <w:lang w:bidi="ar"/>
        </w:rPr>
        <w:t>附件</w:t>
      </w:r>
    </w:p>
    <w:tbl>
      <w:tblPr>
        <w:tblStyle w:val="23"/>
        <w:tblW w:w="9770" w:type="dxa"/>
        <w:jc w:val="center"/>
        <w:tblInd w:w="0" w:type="dxa"/>
        <w:shd w:val="clear" w:color="auto" w:fill="auto"/>
        <w:tblLayout w:type="fixed"/>
        <w:tblCellMar>
          <w:top w:w="0" w:type="dxa"/>
          <w:left w:w="0" w:type="dxa"/>
          <w:bottom w:w="0" w:type="dxa"/>
          <w:right w:w="0" w:type="dxa"/>
        </w:tblCellMar>
      </w:tblPr>
      <w:tblGrid>
        <w:gridCol w:w="35"/>
        <w:gridCol w:w="915"/>
        <w:gridCol w:w="461"/>
        <w:gridCol w:w="2068"/>
        <w:gridCol w:w="1747"/>
        <w:gridCol w:w="461"/>
        <w:gridCol w:w="727"/>
        <w:gridCol w:w="710"/>
        <w:gridCol w:w="824"/>
        <w:gridCol w:w="461"/>
        <w:gridCol w:w="258"/>
        <w:gridCol w:w="1103"/>
      </w:tblGrid>
      <w:tr>
        <w:tblPrEx>
          <w:shd w:val="clear" w:color="auto" w:fill="auto"/>
          <w:tblLayout w:type="fixed"/>
          <w:tblCellMar>
            <w:top w:w="0" w:type="dxa"/>
            <w:left w:w="0" w:type="dxa"/>
            <w:bottom w:w="0" w:type="dxa"/>
            <w:right w:w="0" w:type="dxa"/>
          </w:tblCellMar>
        </w:tblPrEx>
        <w:trPr>
          <w:trHeight w:val="375"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735"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cs="宋体"/>
                <w:b/>
                <w:i w:val="0"/>
                <w:color w:val="000000"/>
                <w:kern w:val="0"/>
                <w:sz w:val="28"/>
                <w:szCs w:val="28"/>
                <w:u w:val="none"/>
                <w:lang w:val="en-US" w:eastAsia="zh-CN" w:bidi="ar"/>
              </w:rPr>
              <w:t>单位</w:t>
            </w:r>
            <w:r>
              <w:rPr>
                <w:rFonts w:hint="eastAsia" w:ascii="宋体" w:hAnsi="宋体" w:eastAsia="宋体" w:cs="宋体"/>
                <w:b/>
                <w:i w:val="0"/>
                <w:color w:val="000000"/>
                <w:kern w:val="0"/>
                <w:sz w:val="28"/>
                <w:szCs w:val="28"/>
                <w:u w:val="none"/>
                <w:lang w:val="en-US" w:eastAsia="zh-CN" w:bidi="ar"/>
              </w:rPr>
              <w:t>（单位）项目支出绩效自评表</w:t>
            </w:r>
          </w:p>
        </w:tc>
      </w:tr>
      <w:tr>
        <w:tblPrEx>
          <w:shd w:val="clear" w:color="auto" w:fill="auto"/>
          <w:tblLayout w:type="fixed"/>
          <w:tblCellMar>
            <w:top w:w="0" w:type="dxa"/>
            <w:left w:w="0" w:type="dxa"/>
            <w:bottom w:w="0" w:type="dxa"/>
            <w:right w:w="0" w:type="dxa"/>
          </w:tblCellMar>
        </w:tblPrEx>
        <w:trPr>
          <w:trHeight w:val="36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735"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（2024年度）</w:t>
            </w:r>
          </w:p>
        </w:tc>
      </w:tr>
      <w:tr>
        <w:tblPrEx>
          <w:shd w:val="clear" w:color="auto" w:fill="auto"/>
          <w:tblLayout w:type="fixed"/>
          <w:tblCellMar>
            <w:top w:w="0" w:type="dxa"/>
            <w:left w:w="0" w:type="dxa"/>
            <w:bottom w:w="0" w:type="dxa"/>
            <w:right w:w="0" w:type="dxa"/>
          </w:tblCellMar>
        </w:tblPrEx>
        <w:trPr>
          <w:trHeight w:val="39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5" w:type="dxa"/>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预算单位（盖章）：                                                                                                  </w:t>
            </w:r>
          </w:p>
        </w:tc>
        <w:tc>
          <w:tcPr>
            <w:tcW w:w="461"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068" w:type="dxa"/>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厦门市吕岭小学</w:t>
            </w:r>
          </w:p>
        </w:tc>
        <w:tc>
          <w:tcPr>
            <w:tcW w:w="1747"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61"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27" w:type="dxa"/>
            <w:tcBorders>
              <w:top w:val="nil"/>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10"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24"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61"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58"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03" w:type="dxa"/>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单位：万元</w:t>
            </w:r>
          </w:p>
        </w:tc>
      </w:tr>
      <w:tr>
        <w:tblPrEx>
          <w:shd w:val="clear" w:color="auto" w:fill="auto"/>
          <w:tblLayout w:type="fixed"/>
          <w:tblCellMar>
            <w:top w:w="0" w:type="dxa"/>
            <w:left w:w="0" w:type="dxa"/>
            <w:bottom w:w="0" w:type="dxa"/>
            <w:right w:w="0" w:type="dxa"/>
          </w:tblCellMar>
        </w:tblPrEx>
        <w:trPr>
          <w:trHeight w:val="36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76" w:type="dxa"/>
            <w:gridSpan w:val="2"/>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项目名称</w:t>
            </w:r>
          </w:p>
        </w:tc>
        <w:tc>
          <w:tcPr>
            <w:tcW w:w="2068"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义务教育阶段家庭经济困难学生营养餐补助</w:t>
            </w:r>
          </w:p>
        </w:tc>
        <w:tc>
          <w:tcPr>
            <w:tcW w:w="1747"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61"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27"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自评年度</w:t>
            </w:r>
          </w:p>
        </w:tc>
        <w:tc>
          <w:tcPr>
            <w:tcW w:w="264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2024年1月1日-2024年12月31日</w:t>
            </w:r>
          </w:p>
        </w:tc>
      </w:tr>
      <w:tr>
        <w:tblPrEx>
          <w:shd w:val="clear" w:color="auto" w:fill="auto"/>
          <w:tblLayout w:type="fixed"/>
          <w:tblCellMar>
            <w:top w:w="0" w:type="dxa"/>
            <w:left w:w="0" w:type="dxa"/>
            <w:bottom w:w="0" w:type="dxa"/>
            <w:right w:w="0" w:type="dxa"/>
          </w:tblCellMar>
        </w:tblPrEx>
        <w:trPr>
          <w:trHeight w:val="36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主管</w:t>
            </w:r>
            <w:r>
              <w:rPr>
                <w:rFonts w:hint="eastAsia" w:ascii="宋体" w:hAnsi="宋体" w:cs="宋体"/>
                <w:b/>
                <w:i w:val="0"/>
                <w:color w:val="000000"/>
                <w:kern w:val="0"/>
                <w:sz w:val="24"/>
                <w:szCs w:val="24"/>
                <w:u w:val="none"/>
                <w:lang w:val="en-US" w:eastAsia="zh-CN" w:bidi="ar"/>
              </w:rPr>
              <w:t>单位</w:t>
            </w:r>
          </w:p>
        </w:tc>
        <w:tc>
          <w:tcPr>
            <w:tcW w:w="5003"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湖里区教育局</w:t>
            </w: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实施单位</w:t>
            </w:r>
          </w:p>
        </w:tc>
        <w:tc>
          <w:tcPr>
            <w:tcW w:w="15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厦门市吕岭小学</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trHeight w:val="66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年度预算执行情况</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17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年初预算数</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已调整数</w:t>
            </w: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调整后预算数</w:t>
            </w: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全年执行数</w:t>
            </w:r>
          </w:p>
        </w:tc>
        <w:tc>
          <w:tcPr>
            <w:tcW w:w="82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执行率</w:t>
            </w:r>
          </w:p>
        </w:tc>
        <w:tc>
          <w:tcPr>
            <w:tcW w:w="461"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设置分值</w:t>
            </w:r>
          </w:p>
        </w:tc>
        <w:tc>
          <w:tcPr>
            <w:tcW w:w="2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得分</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33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年度资金总额</w:t>
            </w:r>
          </w:p>
        </w:tc>
        <w:tc>
          <w:tcPr>
            <w:tcW w:w="174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0.96</w:t>
            </w:r>
          </w:p>
        </w:tc>
        <w:tc>
          <w:tcPr>
            <w:tcW w:w="46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72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0.96</w:t>
            </w:r>
          </w:p>
        </w:tc>
        <w:tc>
          <w:tcPr>
            <w:tcW w:w="7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0.5052</w:t>
            </w:r>
          </w:p>
        </w:tc>
        <w:tc>
          <w:tcPr>
            <w:tcW w:w="82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52.63%</w:t>
            </w:r>
          </w:p>
        </w:tc>
        <w:tc>
          <w:tcPr>
            <w:tcW w:w="461"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2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部分困难生未在校用餐</w:t>
            </w:r>
          </w:p>
        </w:tc>
      </w:tr>
      <w:tr>
        <w:tblPrEx>
          <w:shd w:val="clear" w:color="auto" w:fill="auto"/>
          <w:tblLayout w:type="fixed"/>
          <w:tblCellMar>
            <w:top w:w="0" w:type="dxa"/>
            <w:left w:w="0" w:type="dxa"/>
            <w:bottom w:w="0" w:type="dxa"/>
            <w:right w:w="0" w:type="dxa"/>
          </w:tblCellMar>
        </w:tblPrEx>
        <w:trPr>
          <w:trHeight w:val="33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其中：当年财政拨款</w:t>
            </w:r>
          </w:p>
        </w:tc>
        <w:tc>
          <w:tcPr>
            <w:tcW w:w="174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0.96</w:t>
            </w:r>
          </w:p>
        </w:tc>
        <w:tc>
          <w:tcPr>
            <w:tcW w:w="46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72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0.96</w:t>
            </w:r>
          </w:p>
        </w:tc>
        <w:tc>
          <w:tcPr>
            <w:tcW w:w="7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0.5052</w:t>
            </w:r>
          </w:p>
        </w:tc>
        <w:tc>
          <w:tcPr>
            <w:tcW w:w="82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52.63%</w:t>
            </w:r>
          </w:p>
        </w:tc>
        <w:tc>
          <w:tcPr>
            <w:tcW w:w="461"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auto"/>
          <w:tblLayout w:type="fixed"/>
          <w:tblCellMar>
            <w:top w:w="0" w:type="dxa"/>
            <w:left w:w="0" w:type="dxa"/>
            <w:bottom w:w="0" w:type="dxa"/>
            <w:right w:w="0" w:type="dxa"/>
          </w:tblCellMar>
        </w:tblPrEx>
        <w:trPr>
          <w:trHeight w:val="33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 xml:space="preserve">     上年结转资金</w:t>
            </w:r>
          </w:p>
        </w:tc>
        <w:tc>
          <w:tcPr>
            <w:tcW w:w="17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6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trHeight w:val="33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 xml:space="preserve">     其他资金</w:t>
            </w:r>
          </w:p>
        </w:tc>
        <w:tc>
          <w:tcPr>
            <w:tcW w:w="17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6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trHeight w:val="375"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总体</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目标</w:t>
            </w:r>
          </w:p>
        </w:tc>
        <w:tc>
          <w:tcPr>
            <w:tcW w:w="5464"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预期目标</w:t>
            </w:r>
          </w:p>
        </w:tc>
        <w:tc>
          <w:tcPr>
            <w:tcW w:w="335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27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546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厦门市教育局等五</w:t>
            </w:r>
            <w:r>
              <w:rPr>
                <w:rFonts w:hint="eastAsia" w:ascii="宋体" w:hAnsi="宋体" w:cs="宋体"/>
                <w:i w:val="0"/>
                <w:color w:val="000000"/>
                <w:kern w:val="0"/>
                <w:sz w:val="24"/>
                <w:szCs w:val="24"/>
                <w:u w:val="none"/>
                <w:lang w:val="en-US" w:eastAsia="zh-CN" w:bidi="ar"/>
              </w:rPr>
              <w:t>单位</w:t>
            </w:r>
            <w:r>
              <w:rPr>
                <w:rFonts w:hint="eastAsia" w:ascii="宋体" w:hAnsi="宋体" w:eastAsia="宋体" w:cs="宋体"/>
                <w:i w:val="0"/>
                <w:color w:val="000000"/>
                <w:kern w:val="0"/>
                <w:sz w:val="24"/>
                <w:szCs w:val="24"/>
                <w:u w:val="none"/>
                <w:lang w:val="en-US" w:eastAsia="zh-CN" w:bidi="ar"/>
              </w:rPr>
              <w:t>关于印发《厦门市学生资助资金管理实施办法》的通知（厦教发〔2022〕83号）及厦门市教育局等八</w:t>
            </w:r>
            <w:r>
              <w:rPr>
                <w:rFonts w:hint="eastAsia" w:ascii="宋体" w:hAnsi="宋体" w:cs="宋体"/>
                <w:i w:val="0"/>
                <w:color w:val="000000"/>
                <w:kern w:val="0"/>
                <w:sz w:val="24"/>
                <w:szCs w:val="24"/>
                <w:u w:val="none"/>
                <w:lang w:val="en-US" w:eastAsia="zh-CN" w:bidi="ar"/>
              </w:rPr>
              <w:t>单位</w:t>
            </w:r>
            <w:r>
              <w:rPr>
                <w:rFonts w:hint="eastAsia" w:ascii="宋体" w:hAnsi="宋体" w:eastAsia="宋体" w:cs="宋体"/>
                <w:i w:val="0"/>
                <w:color w:val="000000"/>
                <w:kern w:val="0"/>
                <w:sz w:val="24"/>
                <w:szCs w:val="24"/>
                <w:u w:val="none"/>
                <w:lang w:val="en-US" w:eastAsia="zh-CN" w:bidi="ar"/>
              </w:rPr>
              <w:t>关于印发《厦门市家庭经济困难学生认定办法》的通知（厦教规【2022】3号）等文件，对义务教育阶段公办校（学校提供午餐）家庭经济困难学生营养餐补助，确保补助工作顺利实施。</w:t>
            </w:r>
          </w:p>
        </w:tc>
        <w:tc>
          <w:tcPr>
            <w:tcW w:w="335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2024年完成春、秋两季关于我区义务教育阶段公办校（学校提供午餐）家庭经济困难学生营养餐补助对象审核及资金下拨。</w:t>
            </w:r>
          </w:p>
        </w:tc>
      </w:tr>
      <w:tr>
        <w:tblPrEx>
          <w:shd w:val="clear" w:color="auto" w:fill="auto"/>
          <w:tblLayout w:type="fixed"/>
          <w:tblCellMar>
            <w:top w:w="0" w:type="dxa"/>
            <w:left w:w="0" w:type="dxa"/>
            <w:bottom w:w="0" w:type="dxa"/>
            <w:right w:w="0" w:type="dxa"/>
          </w:tblCellMar>
        </w:tblPrEx>
        <w:trPr>
          <w:trHeight w:val="156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546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35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trHeight w:val="675"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一级指标</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二级指标</w:t>
            </w:r>
          </w:p>
        </w:tc>
        <w:tc>
          <w:tcPr>
            <w:tcW w:w="17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三级指标</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指标类型</w:t>
            </w: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绩效目标值</w:t>
            </w: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实际完成值</w:t>
            </w:r>
          </w:p>
        </w:tc>
        <w:tc>
          <w:tcPr>
            <w:tcW w:w="82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完成比例</w:t>
            </w:r>
          </w:p>
        </w:tc>
        <w:tc>
          <w:tcPr>
            <w:tcW w:w="46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设置分值</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得分</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45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绩</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效</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完</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成</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情</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况</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产出指标</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7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审核义务教育阶段受助学生</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72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大于等于16人</w:t>
            </w:r>
          </w:p>
        </w:tc>
        <w:tc>
          <w:tcPr>
            <w:tcW w:w="7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16人</w:t>
            </w:r>
          </w:p>
        </w:tc>
        <w:tc>
          <w:tcPr>
            <w:tcW w:w="82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6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2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auto"/>
          <w:tblLayout w:type="fixed"/>
          <w:tblCellMar>
            <w:top w:w="0" w:type="dxa"/>
            <w:left w:w="0" w:type="dxa"/>
            <w:bottom w:w="0" w:type="dxa"/>
            <w:right w:w="0" w:type="dxa"/>
          </w:tblCellMar>
        </w:tblPrEx>
        <w:trPr>
          <w:trHeight w:val="45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7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全年营养餐补助学生</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72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大于等于9人</w:t>
            </w:r>
          </w:p>
        </w:tc>
        <w:tc>
          <w:tcPr>
            <w:tcW w:w="7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9人</w:t>
            </w:r>
          </w:p>
        </w:tc>
        <w:tc>
          <w:tcPr>
            <w:tcW w:w="82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6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2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auto"/>
          <w:tblLayout w:type="fixed"/>
          <w:tblCellMar>
            <w:top w:w="0" w:type="dxa"/>
            <w:left w:w="0" w:type="dxa"/>
            <w:bottom w:w="0" w:type="dxa"/>
            <w:right w:w="0" w:type="dxa"/>
          </w:tblCellMar>
        </w:tblPrEx>
        <w:trPr>
          <w:trHeight w:val="45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成本指标</w:t>
            </w:r>
          </w:p>
        </w:tc>
        <w:tc>
          <w:tcPr>
            <w:tcW w:w="17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营养餐发放标准</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727"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6元/餐</w:t>
            </w:r>
          </w:p>
        </w:tc>
        <w:tc>
          <w:tcPr>
            <w:tcW w:w="7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6元/餐</w:t>
            </w:r>
          </w:p>
        </w:tc>
        <w:tc>
          <w:tcPr>
            <w:tcW w:w="82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6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2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时效指标</w:t>
            </w:r>
          </w:p>
        </w:tc>
        <w:tc>
          <w:tcPr>
            <w:tcW w:w="17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义务教育困难生资助资金下拨及时率</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82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6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效益指标</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社会效益指标</w:t>
            </w:r>
          </w:p>
        </w:tc>
        <w:tc>
          <w:tcPr>
            <w:tcW w:w="17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改善受助学生学习生活质量</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定性</w:t>
            </w: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有所改善</w:t>
            </w: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有所改善</w:t>
            </w:r>
          </w:p>
        </w:tc>
        <w:tc>
          <w:tcPr>
            <w:tcW w:w="82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服务对象满意度指标</w:t>
            </w:r>
          </w:p>
        </w:tc>
        <w:tc>
          <w:tcPr>
            <w:tcW w:w="17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受资助对象满意度</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大于等于90%</w:t>
            </w:r>
          </w:p>
        </w:tc>
        <w:tc>
          <w:tcPr>
            <w:tcW w:w="7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82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6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2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auto"/>
          <w:tblLayout w:type="fixed"/>
          <w:tblCellMar>
            <w:top w:w="0" w:type="dxa"/>
            <w:left w:w="0" w:type="dxa"/>
            <w:bottom w:w="0" w:type="dxa"/>
            <w:right w:w="0" w:type="dxa"/>
          </w:tblCellMar>
        </w:tblPrEx>
        <w:trPr>
          <w:trHeight w:val="540"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913"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总分</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100</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96</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trHeight w:val="1515" w:hRule="atLeast"/>
          <w:jc w:val="center"/>
        </w:trPr>
        <w:tc>
          <w:tcPr>
            <w:tcW w:w="3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73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填表说明：1.年度总体目标和绩效指标中的“具体指标”“年度指标值”按照</w:t>
            </w:r>
            <w:r>
              <w:rPr>
                <w:rFonts w:hint="eastAsia" w:ascii="宋体" w:hAnsi="宋体" w:cs="宋体"/>
                <w:i w:val="0"/>
                <w:color w:val="000000"/>
                <w:kern w:val="0"/>
                <w:sz w:val="20"/>
                <w:szCs w:val="20"/>
                <w:u w:val="none"/>
                <w:lang w:val="en-US" w:eastAsia="zh-CN" w:bidi="ar"/>
              </w:rPr>
              <w:t>单位</w:t>
            </w:r>
            <w:r>
              <w:rPr>
                <w:rFonts w:hint="eastAsia" w:ascii="宋体" w:hAnsi="宋体" w:eastAsia="宋体" w:cs="宋体"/>
                <w:i w:val="0"/>
                <w:color w:val="000000"/>
                <w:kern w:val="0"/>
                <w:sz w:val="20"/>
                <w:szCs w:val="20"/>
                <w:u w:val="none"/>
                <w:lang w:val="en-US" w:eastAsia="zh-CN" w:bidi="ar"/>
              </w:rPr>
              <w:t>预算批复的绩效目标填写，必须有量化指标。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pStyle w:val="29"/>
        <w:widowControl/>
        <w:numPr>
          <w:ilvl w:val="0"/>
          <w:numId w:val="0"/>
        </w:numPr>
        <w:spacing w:before="100" w:after="100"/>
        <w:ind w:leftChars="0" w:right="0" w:rightChars="0"/>
        <w:jc w:val="both"/>
        <w:rPr>
          <w:rFonts w:hint="eastAsia" w:ascii="黑体" w:hAnsi="宋体" w:eastAsia="黑体" w:cs="黑体"/>
          <w:kern w:val="0"/>
          <w:sz w:val="36"/>
          <w:szCs w:val="36"/>
          <w:shd w:val="clear" w:fill="FFFFFF"/>
          <w:lang w:bidi="ar"/>
        </w:r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bookmarkEnd w:id="4"/>
    <w:p>
      <w:pPr>
        <w:keepNext w:val="0"/>
        <w:keepLines w:val="0"/>
        <w:pageBreakBefore w:val="0"/>
        <w:widowControl w:val="0"/>
        <w:tabs>
          <w:tab w:val="left" w:pos="8415"/>
        </w:tabs>
        <w:kinsoku/>
        <w:wordWrap/>
        <w:overflowPunct/>
        <w:topLinePunct w:val="0"/>
        <w:autoSpaceDE/>
        <w:autoSpaceDN/>
        <w:bidi w:val="0"/>
        <w:adjustRightInd/>
        <w:snapToGrid/>
        <w:textAlignment w:val="auto"/>
      </w:pPr>
    </w:p>
    <w:sectPr>
      <w:footerReference r:id="rId6" w:type="default"/>
      <w:pgSz w:w="11906" w:h="16838"/>
      <w:pgMar w:top="1984" w:right="1587" w:bottom="1984" w:left="1587"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ang_song_gb231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5</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42</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E0888"/>
    <w:multiLevelType w:val="singleLevel"/>
    <w:tmpl w:val="2F4E0888"/>
    <w:lvl w:ilvl="0" w:tentative="0">
      <w:start w:val="5"/>
      <w:numFmt w:val="chineseCounting"/>
      <w:suff w:val="space"/>
      <w:lvlText w:val="第%1部分"/>
      <w:lvlJc w:val="left"/>
      <w:rPr>
        <w:rFonts w:hint="eastAsia"/>
      </w:rPr>
    </w:lvl>
  </w:abstractNum>
  <w:abstractNum w:abstractNumId="1">
    <w:nsid w:val="568F674E"/>
    <w:multiLevelType w:val="singleLevel"/>
    <w:tmpl w:val="568F674E"/>
    <w:lvl w:ilvl="0" w:tentative="0">
      <w:start w:val="5"/>
      <w:numFmt w:val="chineseCounting"/>
      <w:suff w:val="nothing"/>
      <w:lvlText w:val="%1、"/>
      <w:lvlJc w:val="left"/>
      <w:rPr>
        <w:rFonts w:hint="eastAsia"/>
      </w:rPr>
    </w:lvl>
  </w:abstractNum>
  <w:abstractNum w:abstractNumId="2">
    <w:nsid w:val="634AF172"/>
    <w:multiLevelType w:val="singleLevel"/>
    <w:tmpl w:val="634AF172"/>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D73C1"/>
    <w:rsid w:val="01406297"/>
    <w:rsid w:val="03235007"/>
    <w:rsid w:val="03A31A43"/>
    <w:rsid w:val="05D76178"/>
    <w:rsid w:val="072B476D"/>
    <w:rsid w:val="077E64B3"/>
    <w:rsid w:val="07E64A67"/>
    <w:rsid w:val="0BA350FB"/>
    <w:rsid w:val="0BE449EF"/>
    <w:rsid w:val="0D0014D1"/>
    <w:rsid w:val="11190308"/>
    <w:rsid w:val="118375EB"/>
    <w:rsid w:val="11CE34F8"/>
    <w:rsid w:val="11E90C87"/>
    <w:rsid w:val="134C11DA"/>
    <w:rsid w:val="1396567D"/>
    <w:rsid w:val="14623F72"/>
    <w:rsid w:val="16B4193F"/>
    <w:rsid w:val="16EF0DE5"/>
    <w:rsid w:val="17284ECD"/>
    <w:rsid w:val="1A132243"/>
    <w:rsid w:val="1A3F4D1C"/>
    <w:rsid w:val="1B063427"/>
    <w:rsid w:val="1B5261B9"/>
    <w:rsid w:val="1BB27C46"/>
    <w:rsid w:val="1BD00C80"/>
    <w:rsid w:val="1BD30464"/>
    <w:rsid w:val="1EEF3FB7"/>
    <w:rsid w:val="2331415B"/>
    <w:rsid w:val="26AC4C67"/>
    <w:rsid w:val="272F6697"/>
    <w:rsid w:val="292964C0"/>
    <w:rsid w:val="29E305FC"/>
    <w:rsid w:val="2B8974EC"/>
    <w:rsid w:val="2CA67226"/>
    <w:rsid w:val="2ED1084B"/>
    <w:rsid w:val="2EEA21F4"/>
    <w:rsid w:val="2FD93A25"/>
    <w:rsid w:val="304A7161"/>
    <w:rsid w:val="33E37C0A"/>
    <w:rsid w:val="35FE537A"/>
    <w:rsid w:val="36364EC0"/>
    <w:rsid w:val="38CF7B06"/>
    <w:rsid w:val="390E70A0"/>
    <w:rsid w:val="39941BD3"/>
    <w:rsid w:val="3A982852"/>
    <w:rsid w:val="3CF9380C"/>
    <w:rsid w:val="3D9704B3"/>
    <w:rsid w:val="3DBC4B54"/>
    <w:rsid w:val="403A6C4A"/>
    <w:rsid w:val="41F4366E"/>
    <w:rsid w:val="423A40E9"/>
    <w:rsid w:val="429D01AB"/>
    <w:rsid w:val="4366066C"/>
    <w:rsid w:val="43A35ED6"/>
    <w:rsid w:val="45A328E3"/>
    <w:rsid w:val="464400F1"/>
    <w:rsid w:val="469D7030"/>
    <w:rsid w:val="46D109FE"/>
    <w:rsid w:val="47233C26"/>
    <w:rsid w:val="48896743"/>
    <w:rsid w:val="492962CE"/>
    <w:rsid w:val="49D80298"/>
    <w:rsid w:val="4AA4733A"/>
    <w:rsid w:val="4C35334A"/>
    <w:rsid w:val="4E6B7D93"/>
    <w:rsid w:val="517F1E27"/>
    <w:rsid w:val="52282615"/>
    <w:rsid w:val="523A2EE7"/>
    <w:rsid w:val="52513B9A"/>
    <w:rsid w:val="52EE46AC"/>
    <w:rsid w:val="54801FB0"/>
    <w:rsid w:val="54A5477A"/>
    <w:rsid w:val="55D3693C"/>
    <w:rsid w:val="56144AD7"/>
    <w:rsid w:val="56CB1593"/>
    <w:rsid w:val="578747FD"/>
    <w:rsid w:val="58B40A2F"/>
    <w:rsid w:val="5AA05185"/>
    <w:rsid w:val="5B1C3CF6"/>
    <w:rsid w:val="61B42666"/>
    <w:rsid w:val="66032CA4"/>
    <w:rsid w:val="661E7351"/>
    <w:rsid w:val="6A5F5DC6"/>
    <w:rsid w:val="6AFE694C"/>
    <w:rsid w:val="6B75419C"/>
    <w:rsid w:val="701F6AEA"/>
    <w:rsid w:val="70DF098B"/>
    <w:rsid w:val="724941A0"/>
    <w:rsid w:val="76263B7E"/>
    <w:rsid w:val="77B87522"/>
    <w:rsid w:val="784E498F"/>
    <w:rsid w:val="78B370AF"/>
    <w:rsid w:val="798D0CE4"/>
    <w:rsid w:val="79C357B8"/>
    <w:rsid w:val="79E61525"/>
    <w:rsid w:val="7CA203C9"/>
    <w:rsid w:val="7CF40B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28"/>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styleId="5">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 字符"/>
    <w:basedOn w:val="20"/>
    <w:link w:val="7"/>
    <w:qFormat/>
    <w:uiPriority w:val="0"/>
    <w:rPr>
      <w:rFonts w:ascii="Cambria" w:hAnsi="Cambria" w:eastAsia="仿宋"/>
      <w:bCs/>
      <w:kern w:val="2"/>
      <w:sz w:val="32"/>
      <w:szCs w:val="28"/>
    </w:rPr>
  </w:style>
  <w:style w:type="character" w:customStyle="1" w:styleId="25">
    <w:name w:val="无间隔 字符"/>
    <w:link w:val="5"/>
    <w:qFormat/>
    <w:locked/>
    <w:uiPriority w:val="0"/>
    <w:rPr>
      <w:rFonts w:eastAsia="仿宋_GB2312"/>
      <w:sz w:val="30"/>
      <w:szCs w:val="22"/>
      <w:lang w:bidi="ar-SA"/>
    </w:rPr>
  </w:style>
  <w:style w:type="character" w:customStyle="1" w:styleId="26">
    <w:name w:val="页脚 字符"/>
    <w:basedOn w:val="20"/>
    <w:link w:val="13"/>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字符"/>
    <w:basedOn w:val="20"/>
    <w:link w:val="6"/>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 w:type="paragraph" w:customStyle="1" w:styleId="32">
    <w:name w:val="p0"/>
    <w:basedOn w:val="1"/>
    <w:qFormat/>
    <w:uiPriority w:val="0"/>
    <w:pPr>
      <w:spacing w:before="0" w:beforeAutospacing="0" w:after="0" w:afterAutospacing="0"/>
      <w:ind w:left="0" w:right="0"/>
      <w:jc w:val="left"/>
    </w:pPr>
    <w:rPr>
      <w:rFonts w:hint="default" w:ascii="Times New Roman" w:hAnsi="Times New Roman"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26</Pages>
  <Words>1324</Words>
  <Characters>1480</Characters>
  <Lines>1</Lines>
  <Paragraphs>1</Paragraphs>
  <TotalTime>0</TotalTime>
  <ScaleCrop>false</ScaleCrop>
  <LinksUpToDate>false</LinksUpToDate>
  <CharactersWithSpaces>1582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2025-07-09T08:28:00Z</cp:lastPrinted>
  <dcterms:modified xsi:type="dcterms:W3CDTF">2025-09-16T05:11:21Z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eyJoZGlkIjoiMTNkYzZmNmZlYzczMzc1ZDY0ZWU4YzBmOTZlMTA5YjcifQ==</vt:lpwstr>
  </property>
</Properties>
</file>