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rPr>
      </w:pPr>
    </w:p>
    <w:p>
      <w:pPr>
        <w:widowControl/>
        <w:rPr>
          <w:sz w:val="84"/>
          <w:szCs w:val="84"/>
        </w:rPr>
      </w:pPr>
    </w:p>
    <w:p>
      <w:pPr>
        <w:pStyle w:val="7"/>
        <w:keepNext w:val="0"/>
        <w:keepLines w:val="0"/>
        <w:spacing w:before="319" w:after="319" w:line="240" w:lineRule="auto"/>
        <w:ind w:left="0" w:leftChars="0" w:firstLine="0" w:firstLineChars="0"/>
        <w:jc w:val="center"/>
        <w:rPr>
          <w:rFonts w:ascii="黑体" w:hAnsi="黑体" w:eastAsia="黑体" w:cs="黑体"/>
          <w:b/>
          <w:sz w:val="54"/>
          <w:szCs w:val="54"/>
        </w:rPr>
      </w:pPr>
      <w:r>
        <w:rPr>
          <w:rFonts w:hint="eastAsia" w:ascii="黑体" w:hAnsi="黑体" w:eastAsia="黑体" w:cs="黑体"/>
          <w:b/>
          <w:sz w:val="54"/>
          <w:szCs w:val="54"/>
        </w:rPr>
        <w:t>2024年度</w:t>
      </w:r>
    </w:p>
    <w:p>
      <w:pPr>
        <w:pStyle w:val="7"/>
        <w:keepNext w:val="0"/>
        <w:keepLines w:val="0"/>
        <w:spacing w:before="319" w:after="319" w:line="240" w:lineRule="auto"/>
        <w:ind w:left="0" w:leftChars="0" w:firstLine="0" w:firstLineChars="0"/>
        <w:jc w:val="center"/>
        <w:rPr>
          <w:rFonts w:hint="eastAsia" w:ascii="黑体" w:hAnsi="黑体" w:eastAsia="黑体" w:cs="黑体"/>
          <w:b/>
          <w:sz w:val="54"/>
          <w:szCs w:val="54"/>
        </w:rPr>
      </w:pPr>
      <w:r>
        <w:rPr>
          <w:rFonts w:hint="eastAsia" w:ascii="黑体" w:hAnsi="黑体" w:eastAsia="黑体" w:cs="黑体"/>
          <w:b/>
          <w:sz w:val="54"/>
          <w:szCs w:val="54"/>
        </w:rPr>
        <w:t>厦门市嘉禾学校</w:t>
      </w:r>
    </w:p>
    <w:p>
      <w:pPr>
        <w:pStyle w:val="7"/>
        <w:keepNext w:val="0"/>
        <w:keepLines w:val="0"/>
        <w:spacing w:before="319" w:after="319" w:line="240" w:lineRule="auto"/>
        <w:ind w:left="0" w:leftChars="0" w:firstLine="0" w:firstLineChars="0"/>
        <w:jc w:val="center"/>
        <w:rPr>
          <w:rFonts w:ascii="黑体" w:hAnsi="黑体" w:eastAsia="黑体" w:cs="黑体"/>
          <w:b/>
          <w:bCs w:val="0"/>
          <w:szCs w:val="32"/>
        </w:rPr>
        <w:sectPr>
          <w:footerReference r:id="rId3" w:type="default"/>
          <w:pgSz w:w="11906" w:h="16838"/>
          <w:pgMar w:top="1440" w:right="1083" w:bottom="1440" w:left="1083" w:header="0" w:footer="720" w:gutter="0"/>
          <w:cols w:space="0" w:num="1"/>
          <w:docGrid w:type="lines" w:linePitch="317" w:charSpace="0"/>
        </w:sectPr>
      </w:pPr>
      <w:r>
        <w:rPr>
          <w:rFonts w:hint="eastAsia" w:ascii="黑体" w:hAnsi="黑体" w:eastAsia="黑体" w:cs="黑体"/>
          <w:b/>
          <w:sz w:val="54"/>
          <w:szCs w:val="54"/>
        </w:rPr>
        <w:t>单位决算</w:t>
      </w:r>
    </w:p>
    <w:sdt>
      <w:sdtPr>
        <w:rPr>
          <w:rFonts w:hint="eastAsia" w:ascii="黑体" w:hAnsi="黑体" w:eastAsia="黑体" w:cs="黑体"/>
          <w:b/>
          <w:bCs/>
          <w:kern w:val="0"/>
          <w:sz w:val="32"/>
          <w:szCs w:val="32"/>
        </w:rPr>
        <w:id w:val="147456983"/>
        <w:docPartObj>
          <w:docPartGallery w:val="Table of Contents"/>
          <w:docPartUnique/>
        </w:docPartObj>
      </w:sdtPr>
      <w:sdtEndPr>
        <w:rPr>
          <w:rFonts w:hint="eastAsia" w:ascii="黑体" w:hAnsi="黑体" w:eastAsia="黑体" w:cs="黑体"/>
          <w:b/>
          <w:bCs/>
          <w:kern w:val="2"/>
          <w:sz w:val="32"/>
          <w:szCs w:val="32"/>
        </w:rPr>
      </w:sdtEndPr>
      <w:sdtContent>
        <w:p>
          <w:pPr>
            <w:widowControl/>
            <w:jc w:val="center"/>
            <w:rPr>
              <w:rFonts w:hint="eastAsia" w:ascii="黑体" w:hAnsi="黑体" w:eastAsia="黑体" w:cs="黑体"/>
              <w:b/>
              <w:bCs/>
              <w:kern w:val="0"/>
              <w:sz w:val="32"/>
              <w:szCs w:val="32"/>
            </w:rPr>
          </w:pPr>
          <w:r>
            <w:rPr>
              <w:rFonts w:hint="eastAsia" w:ascii="仿宋" w:hAnsi="仿宋" w:eastAsia="仿宋" w:cs="仿宋"/>
              <w:b/>
              <w:bCs/>
              <w:kern w:val="0"/>
              <w:sz w:val="32"/>
              <w:szCs w:val="32"/>
            </w:rPr>
            <w:t>目录</w:t>
          </w:r>
        </w:p>
        <w:p>
          <w:pPr>
            <w:pStyle w:val="19"/>
            <w:tabs>
              <w:tab w:val="right" w:leader="dot" w:pos="9730"/>
            </w:tabs>
            <w:spacing w:line="240" w:lineRule="auto"/>
            <w:ind w:firstLine="640"/>
            <w:rPr>
              <w:rFonts w:hint="eastAsia" w:ascii="黑体" w:hAnsi="黑体" w:eastAsia="黑体" w:cs="黑体"/>
              <w:szCs w:val="32"/>
            </w:rPr>
          </w:pPr>
          <w:r>
            <w:rPr>
              <w:rFonts w:hint="eastAsia" w:ascii="黑体" w:hAnsi="黑体" w:eastAsia="黑体" w:cs="黑体"/>
              <w:bCs/>
              <w:kern w:val="2"/>
              <w:szCs w:val="32"/>
              <w:lang w:eastAsia="zh-CN"/>
            </w:rPr>
            <w:fldChar w:fldCharType="begin"/>
          </w:r>
          <w:r>
            <w:rPr>
              <w:rFonts w:hint="eastAsia" w:ascii="黑体" w:hAnsi="黑体" w:eastAsia="黑体" w:cs="黑体"/>
              <w:bCs/>
              <w:kern w:val="2"/>
              <w:szCs w:val="32"/>
              <w:lang w:eastAsia="zh-CN"/>
            </w:rPr>
            <w:instrText xml:space="preserve">TOC \o "1-3" \h \u </w:instrText>
          </w:r>
          <w:r>
            <w:rPr>
              <w:rFonts w:hint="eastAsia" w:ascii="黑体" w:hAnsi="黑体" w:eastAsia="黑体" w:cs="黑体"/>
              <w:bCs/>
              <w:kern w:val="2"/>
              <w:szCs w:val="32"/>
              <w:lang w:eastAsia="zh-CN"/>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"_Toc256000093" </w:instrText>
          </w:r>
          <w:r>
            <w:rPr>
              <w:rFonts w:hint="eastAsia" w:ascii="黑体" w:hAnsi="黑体" w:eastAsia="黑体" w:cs="黑体"/>
            </w:rPr>
            <w:fldChar w:fldCharType="separate"/>
          </w:r>
          <w:r>
            <w:rPr>
              <w:rStyle w:val="23"/>
              <w:rFonts w:hint="eastAsia" w:ascii="黑体" w:hAnsi="黑体" w:eastAsia="黑体" w:cs="黑体"/>
            </w:rPr>
            <w:t>第一部分</w:t>
          </w:r>
          <w:r>
            <w:rPr>
              <w:rFonts w:hint="eastAsia" w:ascii="黑体" w:hAnsi="黑体" w:eastAsia="黑体" w:cs="黑体"/>
              <w:szCs w:val="32"/>
            </w:rPr>
            <w:tab/>
          </w:r>
          <w:r>
            <w:rPr>
              <w:rFonts w:hint="eastAsia" w:ascii="黑体" w:hAnsi="黑体" w:eastAsia="黑体" w:cs="黑体"/>
              <w:szCs w:val="32"/>
              <w:lang w:eastAsia="zh-CN"/>
            </w:rPr>
            <w:t>3</w:t>
          </w:r>
          <w:r>
            <w:rPr>
              <w:rFonts w:hint="eastAsia" w:ascii="黑体" w:hAnsi="黑体" w:eastAsia="黑体" w:cs="黑体"/>
              <w:szCs w:val="32"/>
              <w:lang w:eastAsia="zh-CN"/>
            </w:rPr>
            <w:fldChar w:fldCharType="end"/>
          </w:r>
        </w:p>
        <w:p>
          <w:pPr>
            <w:pStyle w:val="19"/>
            <w:tabs>
              <w:tab w:val="right" w:leader="dot" w:pos="9730"/>
            </w:tabs>
            <w:spacing w:line="240" w:lineRule="auto"/>
            <w:ind w:firstLine="64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"_Toc256000094" </w:instrText>
          </w:r>
          <w:r>
            <w:rPr>
              <w:rFonts w:hint="eastAsia" w:ascii="黑体" w:hAnsi="黑体" w:eastAsia="黑体" w:cs="黑体"/>
            </w:rPr>
            <w:fldChar w:fldCharType="separate"/>
          </w:r>
          <w:r>
            <w:rPr>
              <w:rStyle w:val="23"/>
              <w:rFonts w:hint="eastAsia" w:ascii="黑体" w:hAnsi="黑体" w:eastAsia="黑体" w:cs="黑体"/>
            </w:rPr>
            <w:t>单位概况</w:t>
          </w:r>
          <w:r>
            <w:rPr>
              <w:rFonts w:hint="eastAsia" w:ascii="黑体" w:hAnsi="黑体" w:eastAsia="黑体" w:cs="黑体"/>
              <w:szCs w:val="32"/>
            </w:rPr>
            <w:tab/>
          </w:r>
          <w:r>
            <w:rPr>
              <w:rFonts w:hint="eastAsia" w:ascii="黑体" w:hAnsi="黑体" w:eastAsia="黑体" w:cs="黑体"/>
              <w:szCs w:val="32"/>
              <w:lang w:eastAsia="zh-CN"/>
            </w:rPr>
            <w:t>3</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"_Toc256000095" </w:instrText>
          </w:r>
          <w:r>
            <w:rPr>
              <w:rFonts w:hint="eastAsia" w:ascii="黑体" w:hAnsi="黑体" w:eastAsia="黑体" w:cs="黑体"/>
            </w:rPr>
            <w:fldChar w:fldCharType="separate"/>
          </w:r>
          <w:r>
            <w:rPr>
              <w:rStyle w:val="23"/>
              <w:rFonts w:hint="eastAsia" w:ascii="黑体" w:hAnsi="黑体" w:eastAsia="黑体" w:cs="黑体"/>
            </w:rPr>
            <w:t>一、单位主要职责</w:t>
          </w:r>
          <w:r>
            <w:rPr>
              <w:rFonts w:hint="eastAsia" w:ascii="黑体" w:hAnsi="黑体" w:eastAsia="黑体" w:cs="黑体"/>
              <w:szCs w:val="32"/>
            </w:rPr>
            <w:tab/>
          </w:r>
          <w:r>
            <w:rPr>
              <w:rFonts w:hint="eastAsia" w:ascii="黑体" w:hAnsi="黑体" w:eastAsia="黑体" w:cs="黑体"/>
              <w:szCs w:val="32"/>
              <w:lang w:eastAsia="zh-CN"/>
            </w:rPr>
            <w:t>3</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"_Toc256000096" </w:instrText>
          </w:r>
          <w:r>
            <w:rPr>
              <w:rFonts w:hint="eastAsia" w:ascii="黑体" w:hAnsi="黑体" w:eastAsia="黑体" w:cs="黑体"/>
            </w:rPr>
            <w:fldChar w:fldCharType="separate"/>
          </w:r>
          <w:r>
            <w:rPr>
              <w:rStyle w:val="23"/>
              <w:rFonts w:hint="eastAsia" w:ascii="黑体" w:hAnsi="黑体" w:eastAsia="黑体" w:cs="黑体"/>
            </w:rPr>
            <w:t>二、单位基本情况</w:t>
          </w:r>
          <w:r>
            <w:rPr>
              <w:rFonts w:hint="eastAsia" w:ascii="黑体" w:hAnsi="黑体" w:eastAsia="黑体" w:cs="黑体"/>
              <w:szCs w:val="32"/>
            </w:rPr>
            <w:tab/>
          </w:r>
          <w:r>
            <w:rPr>
              <w:rFonts w:hint="eastAsia" w:ascii="黑体" w:hAnsi="黑体" w:eastAsia="黑体" w:cs="黑体"/>
              <w:szCs w:val="32"/>
              <w:lang w:eastAsia="zh-CN"/>
            </w:rPr>
            <w:t>3</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"_Toc256000097" </w:instrText>
          </w:r>
          <w:r>
            <w:rPr>
              <w:rFonts w:hint="eastAsia" w:ascii="黑体" w:hAnsi="黑体" w:eastAsia="黑体" w:cs="黑体"/>
            </w:rPr>
            <w:fldChar w:fldCharType="separate"/>
          </w:r>
          <w:r>
            <w:rPr>
              <w:rStyle w:val="23"/>
              <w:rFonts w:hint="eastAsia" w:ascii="黑体" w:hAnsi="黑体" w:eastAsia="黑体" w:cs="黑体"/>
            </w:rPr>
            <w:t>三、单位主要工作总结</w:t>
          </w:r>
          <w:r>
            <w:rPr>
              <w:rFonts w:hint="eastAsia" w:ascii="黑体" w:hAnsi="黑体" w:eastAsia="黑体" w:cs="黑体"/>
              <w:szCs w:val="32"/>
            </w:rPr>
            <w:tab/>
          </w:r>
          <w:r>
            <w:rPr>
              <w:rFonts w:hint="eastAsia" w:ascii="黑体" w:hAnsi="黑体" w:eastAsia="黑体" w:cs="黑体"/>
              <w:szCs w:val="32"/>
              <w:lang w:eastAsia="zh-CN"/>
            </w:rPr>
            <w:t>3</w:t>
          </w:r>
          <w:r>
            <w:rPr>
              <w:rFonts w:hint="eastAsia" w:ascii="黑体" w:hAnsi="黑体" w:eastAsia="黑体" w:cs="黑体"/>
              <w:szCs w:val="32"/>
              <w:lang w:eastAsia="zh-CN"/>
            </w:rPr>
            <w:fldChar w:fldCharType="end"/>
          </w:r>
        </w:p>
        <w:p>
          <w:pPr>
            <w:pStyle w:val="19"/>
            <w:tabs>
              <w:tab w:val="right" w:leader="dot" w:pos="9730"/>
            </w:tabs>
            <w:spacing w:line="240" w:lineRule="auto"/>
            <w:ind w:firstLine="64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"_Toc256000098" </w:instrText>
          </w:r>
          <w:r>
            <w:rPr>
              <w:rFonts w:hint="eastAsia" w:ascii="黑体" w:hAnsi="黑体" w:eastAsia="黑体" w:cs="黑体"/>
            </w:rPr>
            <w:fldChar w:fldCharType="separate"/>
          </w:r>
          <w:r>
            <w:rPr>
              <w:rStyle w:val="23"/>
              <w:rFonts w:hint="eastAsia" w:ascii="黑体" w:hAnsi="黑体" w:eastAsia="黑体" w:cs="黑体"/>
            </w:rPr>
            <w:t>第二部分</w:t>
          </w:r>
          <w:r>
            <w:rPr>
              <w:rFonts w:hint="eastAsia" w:ascii="黑体" w:hAnsi="黑体" w:eastAsia="黑体" w:cs="黑体"/>
              <w:szCs w:val="32"/>
            </w:rPr>
            <w:tab/>
          </w:r>
          <w:r>
            <w:rPr>
              <w:rFonts w:hint="eastAsia" w:ascii="黑体" w:hAnsi="黑体" w:eastAsia="黑体" w:cs="黑体"/>
              <w:szCs w:val="32"/>
              <w:lang w:eastAsia="zh-CN"/>
            </w:rPr>
            <w:t>4</w:t>
          </w:r>
          <w:r>
            <w:rPr>
              <w:rFonts w:hint="eastAsia" w:ascii="黑体" w:hAnsi="黑体" w:eastAsia="黑体" w:cs="黑体"/>
              <w:szCs w:val="32"/>
              <w:lang w:eastAsia="zh-CN"/>
            </w:rPr>
            <w:fldChar w:fldCharType="end"/>
          </w:r>
        </w:p>
        <w:p>
          <w:pPr>
            <w:pStyle w:val="19"/>
            <w:tabs>
              <w:tab w:val="right" w:leader="dot" w:pos="9730"/>
            </w:tabs>
            <w:spacing w:line="240" w:lineRule="auto"/>
            <w:ind w:firstLine="64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"_Toc256000099" </w:instrText>
          </w:r>
          <w:r>
            <w:rPr>
              <w:rFonts w:hint="eastAsia" w:ascii="黑体" w:hAnsi="黑体" w:eastAsia="黑体" w:cs="黑体"/>
            </w:rPr>
            <w:fldChar w:fldCharType="separate"/>
          </w:r>
          <w:r>
            <w:rPr>
              <w:rStyle w:val="23"/>
              <w:rFonts w:hint="eastAsia" w:ascii="黑体" w:hAnsi="黑体" w:eastAsia="黑体" w:cs="黑体"/>
            </w:rPr>
            <w:t>2024年度决算表</w:t>
          </w:r>
          <w:r>
            <w:rPr>
              <w:rFonts w:hint="eastAsia" w:ascii="黑体" w:hAnsi="黑体" w:eastAsia="黑体" w:cs="黑体"/>
              <w:szCs w:val="32"/>
            </w:rPr>
            <w:tab/>
          </w:r>
          <w:r>
            <w:rPr>
              <w:rFonts w:hint="eastAsia" w:ascii="黑体" w:hAnsi="黑体" w:eastAsia="黑体" w:cs="黑体"/>
              <w:szCs w:val="32"/>
              <w:lang w:eastAsia="zh-CN"/>
            </w:rPr>
            <w:t>4</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"_Toc256000100" </w:instrText>
          </w:r>
          <w:r>
            <w:rPr>
              <w:rFonts w:hint="eastAsia" w:ascii="黑体" w:hAnsi="黑体" w:eastAsia="黑体" w:cs="黑体"/>
            </w:rPr>
            <w:fldChar w:fldCharType="separate"/>
          </w:r>
          <w:r>
            <w:rPr>
              <w:rStyle w:val="23"/>
              <w:rFonts w:hint="eastAsia" w:ascii="黑体" w:hAnsi="黑体" w:eastAsia="黑体" w:cs="黑体"/>
            </w:rPr>
            <w:t>一、收入支出决算总表</w:t>
          </w:r>
          <w:r>
            <w:rPr>
              <w:rFonts w:hint="eastAsia" w:ascii="黑体" w:hAnsi="黑体" w:eastAsia="黑体" w:cs="黑体"/>
              <w:szCs w:val="32"/>
            </w:rPr>
            <w:tab/>
          </w:r>
          <w:r>
            <w:rPr>
              <w:rFonts w:hint="eastAsia" w:ascii="黑体" w:hAnsi="黑体" w:eastAsia="黑体" w:cs="黑体"/>
              <w:szCs w:val="32"/>
              <w:lang w:eastAsia="zh-CN"/>
            </w:rPr>
            <w:t>4</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"_Toc256000101" </w:instrText>
          </w:r>
          <w:r>
            <w:rPr>
              <w:rFonts w:hint="eastAsia" w:ascii="黑体" w:hAnsi="黑体" w:eastAsia="黑体" w:cs="黑体"/>
            </w:rPr>
            <w:fldChar w:fldCharType="separate"/>
          </w:r>
          <w:r>
            <w:rPr>
              <w:rStyle w:val="23"/>
              <w:rFonts w:hint="eastAsia" w:ascii="黑体" w:hAnsi="黑体" w:eastAsia="黑体" w:cs="黑体"/>
            </w:rPr>
            <w:t>二、收入决算表</w:t>
          </w:r>
          <w:r>
            <w:rPr>
              <w:rFonts w:hint="eastAsia" w:ascii="黑体" w:hAnsi="黑体" w:eastAsia="黑体" w:cs="黑体"/>
              <w:szCs w:val="32"/>
            </w:rPr>
            <w:tab/>
          </w:r>
          <w:r>
            <w:rPr>
              <w:rFonts w:hint="eastAsia" w:ascii="黑体" w:hAnsi="黑体" w:eastAsia="黑体" w:cs="黑体"/>
              <w:szCs w:val="32"/>
              <w:lang w:eastAsia="zh-CN"/>
            </w:rPr>
            <w:t>6</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"_Toc256000102" </w:instrText>
          </w:r>
          <w:r>
            <w:rPr>
              <w:rFonts w:hint="eastAsia" w:ascii="黑体" w:hAnsi="黑体" w:eastAsia="黑体" w:cs="黑体"/>
            </w:rPr>
            <w:fldChar w:fldCharType="separate"/>
          </w:r>
          <w:r>
            <w:rPr>
              <w:rStyle w:val="23"/>
              <w:rFonts w:hint="eastAsia" w:ascii="黑体" w:hAnsi="黑体" w:eastAsia="黑体" w:cs="黑体"/>
            </w:rPr>
            <w:t>三、支出决算表</w:t>
          </w:r>
          <w:r>
            <w:rPr>
              <w:rFonts w:hint="eastAsia" w:ascii="黑体" w:hAnsi="黑体" w:eastAsia="黑体" w:cs="黑体"/>
              <w:szCs w:val="32"/>
            </w:rPr>
            <w:tab/>
          </w:r>
          <w:r>
            <w:rPr>
              <w:rFonts w:hint="eastAsia" w:ascii="黑体" w:hAnsi="黑体" w:eastAsia="黑体" w:cs="黑体"/>
              <w:szCs w:val="32"/>
              <w:lang w:eastAsia="zh-CN"/>
            </w:rPr>
            <w:t>7</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rPr>
          </w:pPr>
          <w:r>
            <w:rPr>
              <w:rFonts w:hint="eastAsia" w:ascii="黑体" w:hAnsi="黑体" w:eastAsia="黑体" w:cs="黑体"/>
            </w:rPr>
            <w:fldChar w:fldCharType="begin"/>
          </w:r>
          <w:r>
            <w:rPr>
              <w:rFonts w:hint="eastAsia" w:ascii="黑体" w:hAnsi="黑体" w:eastAsia="黑体" w:cs="黑体"/>
            </w:rPr>
            <w:instrText xml:space="preserve"> HYPERLINK \l "_Toc256000103" </w:instrText>
          </w:r>
          <w:r>
            <w:rPr>
              <w:rFonts w:hint="eastAsia" w:ascii="黑体" w:hAnsi="黑体" w:eastAsia="黑体" w:cs="黑体"/>
            </w:rPr>
            <w:fldChar w:fldCharType="separate"/>
          </w:r>
          <w:r>
            <w:rPr>
              <w:rStyle w:val="23"/>
              <w:rFonts w:hint="eastAsia" w:ascii="黑体" w:hAnsi="黑体" w:eastAsia="黑体" w:cs="黑体"/>
            </w:rPr>
            <w:t>四、财政拨款收入支出决算总表</w:t>
          </w:r>
          <w:r>
            <w:rPr>
              <w:rFonts w:hint="eastAsia" w:ascii="黑体" w:hAnsi="黑体" w:eastAsia="黑体" w:cs="黑体"/>
              <w:szCs w:val="32"/>
            </w:rPr>
            <w:tab/>
          </w:r>
          <w:r>
            <w:rPr>
              <w:rFonts w:hint="eastAsia" w:ascii="黑体" w:hAnsi="黑体" w:eastAsia="黑体" w:cs="黑体"/>
              <w:szCs w:val="32"/>
              <w:lang w:eastAsia="zh-CN"/>
            </w:rPr>
            <w:t>8</w:t>
          </w:r>
          <w:r>
            <w:rPr>
              <w:rFonts w:hint="eastAsia" w:ascii="黑体" w:hAnsi="黑体" w:eastAsia="黑体" w:cs="黑体"/>
              <w:szCs w:val="32"/>
              <w:lang w:eastAsia="zh-CN"/>
            </w:rPr>
            <w:fldChar w:fldCharType="end"/>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"_Toc256000104" </w:instrText>
          </w:r>
          <w:r>
            <w:rPr>
              <w:rFonts w:hint="eastAsia" w:ascii="黑体" w:hAnsi="黑体" w:eastAsia="黑体" w:cs="黑体"/>
            </w:rPr>
            <w:fldChar w:fldCharType="separate"/>
          </w:r>
          <w:r>
            <w:rPr>
              <w:rStyle w:val="23"/>
              <w:rFonts w:hint="eastAsia" w:ascii="黑体" w:hAnsi="黑体" w:eastAsia="黑体" w:cs="黑体"/>
            </w:rPr>
            <w:t>五、一般公共预算财政拨款支出决算表</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1</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"_Toc256000105" </w:instrText>
          </w:r>
          <w:r>
            <w:rPr>
              <w:rFonts w:hint="eastAsia" w:ascii="黑体" w:hAnsi="黑体" w:eastAsia="黑体" w:cs="黑体"/>
            </w:rPr>
            <w:fldChar w:fldCharType="separate"/>
          </w:r>
          <w:r>
            <w:rPr>
              <w:rStyle w:val="23"/>
              <w:rFonts w:hint="eastAsia" w:ascii="黑体" w:hAnsi="黑体" w:eastAsia="黑体" w:cs="黑体"/>
            </w:rPr>
            <w:t>六、一般公共预算财政拨款基本支出决算表</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2</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"_Toc256000106" </w:instrText>
          </w:r>
          <w:r>
            <w:rPr>
              <w:rFonts w:hint="eastAsia" w:ascii="黑体" w:hAnsi="黑体" w:eastAsia="黑体" w:cs="黑体"/>
            </w:rPr>
            <w:fldChar w:fldCharType="separate"/>
          </w:r>
          <w:r>
            <w:rPr>
              <w:rStyle w:val="23"/>
              <w:rFonts w:hint="eastAsia" w:ascii="黑体" w:hAnsi="黑体" w:eastAsia="黑体" w:cs="黑体"/>
            </w:rPr>
            <w:t>七、一般公共预算财政拨款“三公”经费支出决算表</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4</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"_Toc256000107" </w:instrText>
          </w:r>
          <w:r>
            <w:rPr>
              <w:rFonts w:hint="eastAsia" w:ascii="黑体" w:hAnsi="黑体" w:eastAsia="黑体" w:cs="黑体"/>
            </w:rPr>
            <w:fldChar w:fldCharType="separate"/>
          </w:r>
          <w:r>
            <w:rPr>
              <w:rStyle w:val="23"/>
              <w:rFonts w:hint="eastAsia" w:ascii="黑体" w:hAnsi="黑体" w:eastAsia="黑体" w:cs="黑体"/>
            </w:rPr>
            <w:t>八、政府性基金预算财政拨款收入支出决算表</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4</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"_Toc256000108" </w:instrText>
          </w:r>
          <w:r>
            <w:rPr>
              <w:rFonts w:hint="eastAsia" w:ascii="黑体" w:hAnsi="黑体" w:eastAsia="黑体" w:cs="黑体"/>
            </w:rPr>
            <w:fldChar w:fldCharType="separate"/>
          </w:r>
          <w:r>
            <w:rPr>
              <w:rStyle w:val="23"/>
              <w:rFonts w:hint="eastAsia" w:ascii="黑体" w:hAnsi="黑体" w:eastAsia="黑体" w:cs="黑体"/>
            </w:rPr>
            <w:t>九、国有资本经营预算财政拨款支出决算表</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5</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"_Toc256000109" </w:instrText>
          </w:r>
          <w:r>
            <w:rPr>
              <w:rFonts w:hint="eastAsia" w:ascii="黑体" w:hAnsi="黑体" w:eastAsia="黑体" w:cs="黑体"/>
            </w:rPr>
            <w:fldChar w:fldCharType="separate"/>
          </w:r>
          <w:r>
            <w:rPr>
              <w:rStyle w:val="23"/>
              <w:rFonts w:hint="eastAsia" w:ascii="黑体" w:hAnsi="黑体" w:eastAsia="黑体" w:cs="黑体"/>
            </w:rPr>
            <w:t>第三部分</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5</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"_Toc256000110" </w:instrText>
          </w:r>
          <w:r>
            <w:rPr>
              <w:rFonts w:hint="eastAsia" w:ascii="黑体" w:hAnsi="黑体" w:eastAsia="黑体" w:cs="黑体"/>
            </w:rPr>
            <w:fldChar w:fldCharType="separate"/>
          </w:r>
          <w:r>
            <w:rPr>
              <w:rStyle w:val="23"/>
              <w:rFonts w:hint="eastAsia" w:ascii="黑体" w:hAnsi="黑体" w:eastAsia="黑体" w:cs="黑体"/>
            </w:rPr>
            <w:t>2024年度决算情况说明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5</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"_Toc256000111" </w:instrText>
          </w:r>
          <w:r>
            <w:rPr>
              <w:rFonts w:hint="eastAsia" w:ascii="黑体" w:hAnsi="黑体" w:eastAsia="黑体" w:cs="黑体"/>
            </w:rPr>
            <w:fldChar w:fldCharType="separate"/>
          </w:r>
          <w:r>
            <w:rPr>
              <w:rStyle w:val="23"/>
              <w:rFonts w:hint="eastAsia" w:ascii="黑体" w:hAnsi="黑体" w:eastAsia="黑体" w:cs="黑体"/>
            </w:rPr>
            <w:t>一、收入支出决算总体情况说明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5</w:t>
          </w:r>
        </w:p>
        <w:p>
          <w:pPr>
            <w:pStyle w:val="11"/>
            <w:keepNext w:val="0"/>
            <w:keepLines w:val="0"/>
            <w:pageBreakBefore w:val="0"/>
            <w:widowControl/>
            <w:tabs>
              <w:tab w:val="right" w:leader="dot" w:pos="9730"/>
            </w:tabs>
            <w:kinsoku/>
            <w:wordWrap/>
            <w:overflowPunct/>
            <w:topLinePunct w:val="0"/>
            <w:autoSpaceDE/>
            <w:autoSpaceDN/>
            <w:bidi w:val="0"/>
            <w:adjustRightInd w:val="0"/>
            <w:snapToGrid w:val="0"/>
            <w:spacing w:line="360" w:lineRule="auto"/>
            <w:ind w:firstLine="1280"/>
            <w:textAlignment w:val="auto"/>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"_Toc256000112" </w:instrText>
          </w:r>
          <w:r>
            <w:rPr>
              <w:rFonts w:hint="eastAsia" w:ascii="黑体" w:hAnsi="黑体" w:eastAsia="黑体" w:cs="黑体"/>
            </w:rPr>
            <w:fldChar w:fldCharType="separate"/>
          </w:r>
          <w:r>
            <w:rPr>
              <w:rStyle w:val="23"/>
              <w:rFonts w:hint="eastAsia" w:ascii="黑体" w:hAnsi="黑体" w:eastAsia="黑体" w:cs="黑体"/>
            </w:rPr>
            <w:t>二、财政拨款收入支出决算总体情况说明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6</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"_Toc256000113" </w:instrText>
          </w:r>
          <w:r>
            <w:rPr>
              <w:rFonts w:hint="eastAsia" w:ascii="黑体" w:hAnsi="黑体" w:eastAsia="黑体" w:cs="黑体"/>
            </w:rPr>
            <w:fldChar w:fldCharType="separate"/>
          </w:r>
          <w:r>
            <w:rPr>
              <w:rStyle w:val="23"/>
              <w:rFonts w:hint="eastAsia" w:ascii="黑体" w:hAnsi="黑体" w:eastAsia="黑体" w:cs="黑体"/>
            </w:rPr>
            <w:t>三、一般公共预算拨款支出决算情况说明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6</w:t>
          </w:r>
        </w:p>
        <w:p>
          <w:pPr>
            <w:pStyle w:val="11"/>
            <w:keepNext w:val="0"/>
            <w:keepLines w:val="0"/>
            <w:pageBreakBefore w:val="0"/>
            <w:widowControl/>
            <w:tabs>
              <w:tab w:val="right" w:leader="dot" w:pos="9730"/>
            </w:tabs>
            <w:kinsoku/>
            <w:wordWrap/>
            <w:overflowPunct/>
            <w:topLinePunct w:val="0"/>
            <w:autoSpaceDE/>
            <w:autoSpaceDN/>
            <w:bidi w:val="0"/>
            <w:adjustRightInd w:val="0"/>
            <w:snapToGrid w:val="0"/>
            <w:spacing w:line="360" w:lineRule="auto"/>
            <w:ind w:firstLine="1280"/>
            <w:textAlignment w:val="auto"/>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"_Toc256000114" </w:instrText>
          </w:r>
          <w:r>
            <w:rPr>
              <w:rFonts w:hint="eastAsia" w:ascii="黑体" w:hAnsi="黑体" w:eastAsia="黑体" w:cs="黑体"/>
            </w:rPr>
            <w:fldChar w:fldCharType="separate"/>
          </w:r>
          <w:r>
            <w:rPr>
              <w:rStyle w:val="23"/>
              <w:rFonts w:hint="eastAsia" w:ascii="黑体" w:hAnsi="黑体" w:eastAsia="黑体" w:cs="黑体"/>
            </w:rPr>
            <w:t>四、政府性基金预算财政拨款支出决算情况说明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8</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"_Toc256000115" </w:instrText>
          </w:r>
          <w:r>
            <w:rPr>
              <w:rFonts w:hint="eastAsia" w:ascii="黑体" w:hAnsi="黑体" w:eastAsia="黑体" w:cs="黑体"/>
            </w:rPr>
            <w:fldChar w:fldCharType="separate"/>
          </w:r>
          <w:r>
            <w:rPr>
              <w:rStyle w:val="23"/>
              <w:rFonts w:hint="eastAsia" w:ascii="黑体" w:hAnsi="黑体" w:eastAsia="黑体" w:cs="黑体"/>
            </w:rPr>
            <w:t>五、国有资本经营预算财政拨款支出决算情况说明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8</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"_Toc256000116" </w:instrText>
          </w:r>
          <w:r>
            <w:rPr>
              <w:rFonts w:hint="eastAsia" w:ascii="黑体" w:hAnsi="黑体" w:eastAsia="黑体" w:cs="黑体"/>
            </w:rPr>
            <w:fldChar w:fldCharType="separate"/>
          </w:r>
          <w:r>
            <w:rPr>
              <w:rStyle w:val="23"/>
              <w:rFonts w:hint="eastAsia" w:ascii="黑体" w:hAnsi="黑体" w:eastAsia="黑体" w:cs="黑体"/>
            </w:rPr>
            <w:t>六、一般公共预算财政拨款基本支出决算情况说明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9</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"_Toc256000117" </w:instrText>
          </w:r>
          <w:r>
            <w:rPr>
              <w:rFonts w:hint="eastAsia" w:ascii="黑体" w:hAnsi="黑体" w:eastAsia="黑体" w:cs="黑体"/>
            </w:rPr>
            <w:fldChar w:fldCharType="separate"/>
          </w:r>
          <w:r>
            <w:rPr>
              <w:rStyle w:val="23"/>
              <w:rFonts w:hint="eastAsia" w:ascii="黑体" w:hAnsi="黑体" w:eastAsia="黑体" w:cs="黑体"/>
            </w:rPr>
            <w:t>七、一般公共预算拨款“三公”经费支出决算情况说明</w:t>
          </w:r>
          <w:r>
            <w:rPr>
              <w:rFonts w:hint="eastAsia" w:ascii="黑体" w:hAnsi="黑体" w:eastAsia="黑体" w:cs="黑体"/>
              <w:szCs w:val="32"/>
            </w:rPr>
            <w:tab/>
          </w:r>
          <w:r>
            <w:rPr>
              <w:rFonts w:hint="eastAsia" w:ascii="黑体" w:hAnsi="黑体" w:eastAsia="黑体" w:cs="黑体"/>
              <w:szCs w:val="32"/>
              <w:lang w:eastAsia="zh-CN"/>
            </w:rPr>
            <w:t>1</w:t>
          </w:r>
          <w:r>
            <w:rPr>
              <w:rFonts w:hint="eastAsia" w:ascii="黑体" w:hAnsi="黑体" w:eastAsia="黑体" w:cs="黑体"/>
              <w:szCs w:val="32"/>
              <w:lang w:eastAsia="zh-CN"/>
            </w:rPr>
            <w:fldChar w:fldCharType="end"/>
          </w:r>
          <w:r>
            <w:rPr>
              <w:rFonts w:hint="eastAsia" w:ascii="黑体" w:hAnsi="黑体" w:eastAsia="黑体" w:cs="黑体"/>
              <w:szCs w:val="32"/>
              <w:lang w:eastAsia="zh-CN"/>
            </w:rPr>
            <w:t>9</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"_Toc256000118" </w:instrText>
          </w:r>
          <w:r>
            <w:rPr>
              <w:rFonts w:hint="eastAsia" w:ascii="黑体" w:hAnsi="黑体" w:eastAsia="黑体" w:cs="黑体"/>
            </w:rPr>
            <w:fldChar w:fldCharType="separate"/>
          </w:r>
          <w:r>
            <w:rPr>
              <w:rStyle w:val="23"/>
              <w:rFonts w:hint="eastAsia" w:ascii="黑体" w:hAnsi="黑体" w:eastAsia="黑体" w:cs="黑体"/>
            </w:rPr>
            <w:t>八、预算绩效情况说明</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lang w:eastAsia="zh-CN"/>
            </w:rPr>
            <w:fldChar w:fldCharType="end"/>
          </w:r>
          <w:r>
            <w:rPr>
              <w:rFonts w:hint="eastAsia" w:ascii="黑体" w:hAnsi="黑体" w:eastAsia="黑体" w:cs="黑体"/>
              <w:szCs w:val="32"/>
              <w:lang w:eastAsia="zh-CN"/>
            </w:rPr>
            <w:t>0</w:t>
          </w:r>
        </w:p>
        <w:p>
          <w:pPr>
            <w:pStyle w:val="11"/>
            <w:tabs>
              <w:tab w:val="right" w:leader="dot" w:pos="9730"/>
            </w:tabs>
            <w:spacing w:line="240" w:lineRule="auto"/>
            <w:ind w:firstLine="128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"_Toc256000119" </w:instrText>
          </w:r>
          <w:r>
            <w:rPr>
              <w:rFonts w:hint="eastAsia" w:ascii="黑体" w:hAnsi="黑体" w:eastAsia="黑体" w:cs="黑体"/>
            </w:rPr>
            <w:fldChar w:fldCharType="separate"/>
          </w:r>
          <w:r>
            <w:rPr>
              <w:rStyle w:val="23"/>
              <w:rFonts w:hint="eastAsia" w:ascii="黑体" w:hAnsi="黑体" w:eastAsia="黑体" w:cs="黑体"/>
            </w:rPr>
            <w:t>九、其他重要事项说明</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lang w:eastAsia="zh-CN"/>
            </w:rPr>
            <w:fldChar w:fldCharType="end"/>
          </w:r>
          <w:r>
            <w:rPr>
              <w:rFonts w:hint="eastAsia" w:ascii="黑体" w:hAnsi="黑体" w:eastAsia="黑体" w:cs="黑体"/>
              <w:szCs w:val="32"/>
              <w:lang w:eastAsia="zh-CN"/>
            </w:rPr>
            <w:t>0</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"_Toc256000120" </w:instrText>
          </w:r>
          <w:r>
            <w:rPr>
              <w:rFonts w:hint="eastAsia" w:ascii="黑体" w:hAnsi="黑体" w:eastAsia="黑体" w:cs="黑体"/>
            </w:rPr>
            <w:fldChar w:fldCharType="separate"/>
          </w:r>
          <w:r>
            <w:rPr>
              <w:rStyle w:val="23"/>
              <w:rFonts w:hint="eastAsia" w:ascii="黑体" w:hAnsi="黑体" w:eastAsia="黑体" w:cs="黑体"/>
            </w:rPr>
            <w:t>第四部分</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lang w:eastAsia="zh-CN"/>
            </w:rPr>
            <w:fldChar w:fldCharType="end"/>
          </w:r>
          <w:r>
            <w:rPr>
              <w:rFonts w:hint="eastAsia" w:ascii="黑体" w:hAnsi="黑体" w:eastAsia="黑体" w:cs="黑体"/>
              <w:szCs w:val="32"/>
              <w:lang w:val="en-US" w:eastAsia="zh-CN"/>
            </w:rPr>
            <w:t>2</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rPr>
            <w:fldChar w:fldCharType="begin"/>
          </w:r>
          <w:r>
            <w:rPr>
              <w:rFonts w:hint="eastAsia" w:ascii="黑体" w:hAnsi="黑体" w:eastAsia="黑体" w:cs="黑体"/>
            </w:rPr>
            <w:instrText xml:space="preserve"> HYPERLINK \l "_Toc256000121" </w:instrText>
          </w:r>
          <w:r>
            <w:rPr>
              <w:rFonts w:hint="eastAsia" w:ascii="黑体" w:hAnsi="黑体" w:eastAsia="黑体" w:cs="黑体"/>
            </w:rPr>
            <w:fldChar w:fldCharType="separate"/>
          </w:r>
          <w:r>
            <w:rPr>
              <w:rStyle w:val="23"/>
              <w:rFonts w:hint="eastAsia" w:ascii="黑体" w:hAnsi="黑体" w:eastAsia="黑体" w:cs="黑体"/>
            </w:rPr>
            <w:t>名词解释</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lang w:eastAsia="zh-CN"/>
            </w:rPr>
            <w:fldChar w:fldCharType="end"/>
          </w:r>
          <w:r>
            <w:rPr>
              <w:rFonts w:hint="eastAsia" w:ascii="黑体" w:hAnsi="黑体" w:eastAsia="黑体" w:cs="黑体"/>
              <w:szCs w:val="32"/>
              <w:lang w:val="en-US" w:eastAsia="zh-CN"/>
            </w:rPr>
            <w:t>2</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"_Toc256000122" </w:instrText>
          </w:r>
          <w:r>
            <w:rPr>
              <w:rFonts w:hint="eastAsia" w:ascii="黑体" w:hAnsi="黑体" w:eastAsia="黑体" w:cs="黑体"/>
              <w:szCs w:val="32"/>
            </w:rPr>
            <w:fldChar w:fldCharType="separate"/>
          </w:r>
          <w:r>
            <w:rPr>
              <w:rStyle w:val="23"/>
              <w:rFonts w:hint="eastAsia" w:ascii="黑体" w:hAnsi="黑体" w:eastAsia="黑体" w:cs="黑体"/>
            </w:rPr>
            <w:t>第五部分</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rPr>
            <w:fldChar w:fldCharType="end"/>
          </w:r>
          <w:r>
            <w:rPr>
              <w:rFonts w:hint="eastAsia" w:ascii="黑体" w:hAnsi="黑体" w:eastAsia="黑体" w:cs="黑体"/>
              <w:szCs w:val="32"/>
              <w:lang w:val="en-US" w:eastAsia="zh-CN"/>
            </w:rPr>
            <w:t>4</w:t>
          </w:r>
        </w:p>
        <w:p>
          <w:pPr>
            <w:pStyle w:val="19"/>
            <w:tabs>
              <w:tab w:val="right" w:leader="dot" w:pos="9730"/>
            </w:tabs>
            <w:spacing w:line="240" w:lineRule="auto"/>
            <w:ind w:firstLine="640"/>
            <w:rPr>
              <w:rFonts w:hint="eastAsia" w:ascii="黑体" w:hAnsi="黑体" w:eastAsia="黑体" w:cs="黑体"/>
              <w:szCs w:val="32"/>
              <w:lang w:eastAsia="zh-CN"/>
            </w:rPr>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"_Toc256000123" </w:instrText>
          </w:r>
          <w:r>
            <w:rPr>
              <w:rFonts w:hint="eastAsia" w:ascii="黑体" w:hAnsi="黑体" w:eastAsia="黑体" w:cs="黑体"/>
              <w:szCs w:val="32"/>
            </w:rPr>
            <w:fldChar w:fldCharType="separate"/>
          </w:r>
          <w:r>
            <w:rPr>
              <w:rStyle w:val="23"/>
              <w:rFonts w:hint="eastAsia" w:ascii="黑体" w:hAnsi="黑体" w:eastAsia="黑体" w:cs="黑体"/>
            </w:rPr>
            <w:t>附件</w:t>
          </w:r>
          <w:r>
            <w:rPr>
              <w:rFonts w:hint="eastAsia" w:ascii="黑体" w:hAnsi="黑体" w:eastAsia="黑体" w:cs="黑体"/>
              <w:szCs w:val="32"/>
            </w:rPr>
            <w:tab/>
          </w:r>
          <w:r>
            <w:rPr>
              <w:rFonts w:hint="eastAsia" w:ascii="黑体" w:hAnsi="黑体" w:eastAsia="黑体" w:cs="黑体"/>
              <w:szCs w:val="32"/>
              <w:lang w:eastAsia="zh-CN"/>
            </w:rPr>
            <w:t>2</w:t>
          </w:r>
          <w:r>
            <w:rPr>
              <w:rFonts w:hint="eastAsia" w:ascii="黑体" w:hAnsi="黑体" w:eastAsia="黑体" w:cs="黑体"/>
              <w:szCs w:val="32"/>
            </w:rPr>
            <w:fldChar w:fldCharType="end"/>
          </w:r>
          <w:r>
            <w:rPr>
              <w:rFonts w:hint="eastAsia" w:ascii="黑体" w:hAnsi="黑体" w:eastAsia="黑体" w:cs="黑体"/>
              <w:szCs w:val="32"/>
              <w:lang w:val="en-US" w:eastAsia="zh-CN"/>
            </w:rPr>
            <w:t>4</w:t>
          </w:r>
        </w:p>
        <w:p>
          <w:pPr>
            <w:adjustRightInd w:val="0"/>
            <w:snapToGrid w:val="0"/>
            <w:rPr>
              <w:lang w:val="en-US" w:eastAsia="zh-CN"/>
            </w:rPr>
          </w:pPr>
          <w:r>
            <w:rPr>
              <w:rFonts w:hint="eastAsia" w:ascii="黑体" w:hAnsi="黑体" w:eastAsia="黑体" w:cs="黑体"/>
              <w:bCs/>
              <w:sz w:val="32"/>
              <w:szCs w:val="32"/>
            </w:rPr>
            <w:fldChar w:fldCharType="end"/>
          </w:r>
        </w:p>
      </w:sdtContent>
    </w:sdt>
    <w:p>
      <w:pPr>
        <w:tabs>
          <w:tab w:val="left" w:pos="730"/>
        </w:tabs>
        <w:bidi w:val="0"/>
        <w:jc w:val="center"/>
        <w:rPr>
          <w:rFonts w:eastAsia="Times New Roman"/>
          <w:kern w:val="0"/>
          <w:sz w:val="32"/>
          <w:szCs w:val="32"/>
        </w:rPr>
      </w:pPr>
      <w:bookmarkStart w:id="0" w:name="_Toc256000000"/>
      <w:bookmarkStart w:id="1" w:name="_Toc256000031"/>
      <w:bookmarkStart w:id="2" w:name="_Toc256000062"/>
      <w:bookmarkStart w:id="3" w:name="_Toc256000093"/>
      <w:bookmarkStart w:id="4" w:name="a000"/>
      <w:r>
        <w:rPr>
          <w:rFonts w:ascii="黑体" w:hAnsi="黑体" w:eastAsia="黑体" w:cs="黑体"/>
          <w:b/>
          <w:bCs/>
          <w:kern w:val="0"/>
          <w:sz w:val="32"/>
          <w:szCs w:val="32"/>
        </w:rPr>
        <w:t>第一部分</w:t>
      </w:r>
      <w:bookmarkEnd w:id="0"/>
      <w:bookmarkEnd w:id="1"/>
      <w:bookmarkEnd w:id="2"/>
      <w:bookmarkEnd w:id="3"/>
      <w:bookmarkStart w:id="5" w:name="_Toc256000001"/>
      <w:bookmarkStart w:id="6" w:name="_Toc256000032"/>
      <w:bookmarkStart w:id="7" w:name="_Toc256000094"/>
      <w:bookmarkStart w:id="8" w:name="_Toc256000063"/>
      <w:r>
        <w:rPr>
          <w:rFonts w:hint="eastAsia" w:ascii="黑体" w:hAnsi="黑体" w:eastAsia="黑体" w:cs="黑体"/>
          <w:b/>
          <w:bCs/>
          <w:kern w:val="0"/>
          <w:sz w:val="32"/>
          <w:szCs w:val="32"/>
        </w:rPr>
        <w:t xml:space="preserve"> </w:t>
      </w:r>
      <w:r>
        <w:rPr>
          <w:rFonts w:ascii="黑体" w:hAnsi="黑体" w:eastAsia="黑体" w:cs="黑体"/>
          <w:b/>
          <w:bCs/>
          <w:kern w:val="0"/>
          <w:sz w:val="32"/>
          <w:szCs w:val="32"/>
        </w:rPr>
        <w:t>单位概况</w:t>
      </w:r>
      <w:bookmarkEnd w:id="5"/>
      <w:bookmarkEnd w:id="6"/>
      <w:bookmarkEnd w:id="7"/>
      <w:bookmarkEnd w:id="8"/>
    </w:p>
    <w:p>
      <w:pPr>
        <w:pStyle w:val="6"/>
        <w:keepNext w:val="0"/>
        <w:keepLines w:val="0"/>
        <w:spacing w:before="100" w:after="100" w:line="240" w:lineRule="auto"/>
        <w:ind w:firstLine="0" w:firstLineChars="0"/>
        <w:rPr>
          <w:rFonts w:eastAsia="Times New Roman"/>
          <w:b/>
          <w:sz w:val="28"/>
          <w:szCs w:val="28"/>
        </w:rPr>
      </w:pPr>
      <w:r>
        <w:rPr>
          <w:rFonts w:ascii="Calibri" w:hAnsi="Calibri" w:eastAsia="Calibri" w:cs="Calibri"/>
          <w:b/>
        </w:rPr>
        <w:t> </w:t>
      </w:r>
      <w:bookmarkStart w:id="9" w:name="_Toc256000064"/>
      <w:bookmarkStart w:id="10" w:name="_Toc256000033"/>
      <w:bookmarkStart w:id="11" w:name="_Toc256000002"/>
      <w:bookmarkStart w:id="12" w:name="_Toc256000095"/>
      <w:r>
        <w:rPr>
          <w:rFonts w:hint="eastAsia" w:ascii="Calibri" w:hAnsi="Calibri" w:eastAsia="宋体" w:cs="Calibri"/>
          <w:b/>
        </w:rPr>
        <w:t xml:space="preserve">         </w:t>
      </w:r>
      <w:r>
        <w:rPr>
          <w:rFonts w:ascii="黑体" w:hAnsi="黑体" w:eastAsia="黑体" w:cs="黑体"/>
          <w:b/>
        </w:rPr>
        <w:t>一、单位主要职责</w:t>
      </w:r>
      <w:bookmarkEnd w:id="9"/>
      <w:bookmarkEnd w:id="10"/>
      <w:bookmarkEnd w:id="11"/>
      <w:bookmarkEnd w:id="12"/>
    </w:p>
    <w:p>
      <w:pPr>
        <w:pStyle w:val="30"/>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厦门市嘉禾学校是隶属于厦门市湖里区教育局，纳入预算管理独立核算的事业单位，执行事业单位会计制度。主要职责是贯彻执行党和国家各项教育方针政策以及《残疾人教育条例》，对残疾儿童、少年实施义务教育，包括普特融合学前教育、实施特殊教育的九年义务教育和高中职业教育，同时承担湖里区教育资源和指导中心的工作，促进残疾人教育事业发展，协助相关部门做好残疾人工作。</w:t>
      </w:r>
    </w:p>
    <w:p>
      <w:pPr>
        <w:pStyle w:val="6"/>
        <w:keepNext w:val="0"/>
        <w:keepLines w:val="0"/>
        <w:spacing w:before="100" w:after="100" w:line="600" w:lineRule="atLeast"/>
        <w:ind w:firstLine="643"/>
        <w:rPr>
          <w:rFonts w:eastAsia="Times New Roman"/>
          <w:b/>
          <w:sz w:val="28"/>
          <w:szCs w:val="28"/>
        </w:rPr>
      </w:pPr>
      <w:bookmarkStart w:id="13" w:name="_Toc256000065"/>
      <w:bookmarkStart w:id="14" w:name="_Toc256000096"/>
      <w:bookmarkStart w:id="15" w:name="_Toc256000034"/>
      <w:bookmarkStart w:id="16" w:name="_Toc256000003"/>
      <w:r>
        <w:rPr>
          <w:rFonts w:ascii="黑体" w:hAnsi="黑体" w:eastAsia="黑体" w:cs="黑体"/>
          <w:b/>
        </w:rPr>
        <w:t>二、单位基本情况</w:t>
      </w:r>
      <w:bookmarkEnd w:id="13"/>
      <w:bookmarkEnd w:id="14"/>
      <w:bookmarkEnd w:id="15"/>
      <w:bookmarkEnd w:id="16"/>
    </w:p>
    <w:p>
      <w:pPr>
        <w:pStyle w:val="30"/>
        <w:widowControl/>
        <w:spacing w:before="100" w:after="100" w:line="600" w:lineRule="atLeast"/>
        <w:ind w:firstLine="640"/>
        <w:jc w:val="left"/>
        <w:rPr>
          <w:rFonts w:eastAsia="Times New Roman"/>
          <w:kern w:val="0"/>
          <w:sz w:val="24"/>
        </w:rPr>
      </w:pPr>
      <w:r>
        <w:rPr>
          <w:rFonts w:ascii="仿宋" w:hAnsi="仿宋" w:eastAsia="仿宋" w:cs="仿宋"/>
          <w:kern w:val="0"/>
          <w:sz w:val="32"/>
          <w:szCs w:val="32"/>
        </w:rPr>
        <w:t>从决算单位构成看，</w:t>
      </w:r>
      <w:r>
        <w:rPr>
          <w:rFonts w:hint="eastAsia" w:ascii="仿宋" w:hAnsi="仿宋" w:eastAsia="仿宋" w:cs="仿宋"/>
          <w:kern w:val="0"/>
          <w:sz w:val="32"/>
          <w:szCs w:val="32"/>
        </w:rPr>
        <w:t>本单位包括</w:t>
      </w:r>
      <w:r>
        <w:rPr>
          <w:rFonts w:ascii="仿宋" w:hAnsi="仿宋" w:eastAsia="仿宋" w:cs="仿宋"/>
          <w:kern w:val="0"/>
          <w:sz w:val="32"/>
          <w:szCs w:val="32"/>
        </w:rPr>
        <w:t>4</w:t>
      </w:r>
      <w:r>
        <w:rPr>
          <w:rFonts w:hint="eastAsia" w:ascii="仿宋" w:hAnsi="仿宋" w:eastAsia="仿宋" w:cs="仿宋"/>
          <w:kern w:val="0"/>
          <w:sz w:val="32"/>
          <w:szCs w:val="32"/>
        </w:rPr>
        <w:t>个内设机构，</w:t>
      </w:r>
      <w:r>
        <w:rPr>
          <w:rFonts w:ascii="仿宋" w:hAnsi="仿宋" w:eastAsia="仿宋" w:cs="仿宋"/>
          <w:kern w:val="0"/>
          <w:sz w:val="32"/>
          <w:szCs w:val="32"/>
        </w:rPr>
        <w:t>其中：列入编制范围的单位详细情况见下表:</w:t>
      </w:r>
    </w:p>
    <w:tbl>
      <w:tblPr>
        <w:tblStyle w:val="24"/>
        <w:tblW w:w="10510" w:type="dxa"/>
        <w:tblInd w:w="30" w:type="dxa"/>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
      <w:tblGrid>
        <w:gridCol w:w="3665"/>
        <w:gridCol w:w="6845"/>
      </w:tblGrid>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ascii="仿宋" w:hAnsi="仿宋" w:eastAsia="仿宋" w:cs="仿宋"/>
                <w:b/>
                <w:bCs/>
                <w:color w:val="000000"/>
                <w:kern w:val="0"/>
                <w:sz w:val="24"/>
              </w:rPr>
              <w:t>序号</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b/>
                <w:bCs/>
                <w:color w:val="000000"/>
                <w:kern w:val="0"/>
                <w:sz w:val="24"/>
              </w:rPr>
            </w:pPr>
            <w:r>
              <w:rPr>
                <w:rFonts w:ascii="仿宋" w:hAnsi="仿宋" w:eastAsia="仿宋" w:cs="仿宋"/>
                <w:b/>
                <w:bCs/>
                <w:color w:val="000000"/>
                <w:kern w:val="0"/>
                <w:sz w:val="24"/>
              </w:rPr>
              <w:t>单位名称</w:t>
            </w:r>
          </w:p>
        </w:tc>
      </w:tr>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color w:val="000000"/>
                <w:kern w:val="0"/>
                <w:sz w:val="24"/>
              </w:rPr>
            </w:pPr>
            <w:bookmarkStart w:id="17" w:name="_Toc256000097"/>
            <w:bookmarkStart w:id="18" w:name="_Toc256000035"/>
            <w:bookmarkStart w:id="19" w:name="_Toc256000066"/>
            <w:bookmarkStart w:id="20" w:name="_Toc256000004"/>
            <w:r>
              <w:rPr>
                <w:rFonts w:hint="eastAsia" w:ascii="仿宋" w:hAnsi="仿宋" w:eastAsia="仿宋" w:cs="仿宋"/>
                <w:color w:val="000000"/>
                <w:kern w:val="0"/>
                <w:sz w:val="24"/>
              </w:rPr>
              <w:t>1</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color w:val="000000"/>
                <w:kern w:val="0"/>
                <w:sz w:val="24"/>
              </w:rPr>
            </w:pPr>
            <w:r>
              <w:rPr>
                <w:rFonts w:hint="eastAsia" w:ascii="仿宋" w:hAnsi="仿宋" w:eastAsia="仿宋" w:cs="仿宋"/>
                <w:color w:val="000000"/>
                <w:kern w:val="0"/>
                <w:sz w:val="24"/>
              </w:rPr>
              <w:t>厦门市嘉禾学校</w:t>
            </w:r>
          </w:p>
        </w:tc>
      </w:tr>
    </w:tbl>
    <w:p>
      <w:pPr>
        <w:pStyle w:val="6"/>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三、单位主要工作总结</w:t>
      </w:r>
      <w:bookmarkEnd w:id="17"/>
      <w:bookmarkEnd w:id="18"/>
      <w:bookmarkEnd w:id="19"/>
      <w:bookmarkEnd w:id="20"/>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2024年，在上级主管部门的正确领导下，学校以习近平新时代中国特色社会主义思想为指导，全面贯彻党的教育方针，落实立德树人根本任务，坚持依法治校，优化学校管理，加强队伍建设，深化课程改革，推进融合教育、职业教育和医教结合，彰显办学特色，努力办人民满意的特殊教育。</w:t>
      </w:r>
    </w:p>
    <w:p>
      <w:pPr>
        <w:rPr>
          <w:rFonts w:ascii="仿宋" w:hAnsi="仿宋" w:eastAsia="仿宋" w:cs="仿宋"/>
          <w:kern w:val="0"/>
          <w:sz w:val="32"/>
          <w:szCs w:val="32"/>
        </w:rPr>
      </w:pPr>
      <w:r>
        <w:rPr>
          <w:rFonts w:hint="eastAsia" w:ascii="仿宋" w:hAnsi="仿宋" w:eastAsia="仿宋" w:cs="仿宋"/>
          <w:kern w:val="0"/>
          <w:sz w:val="32"/>
          <w:szCs w:val="32"/>
        </w:rPr>
        <w:t>围绕上述任务，重点完成了以下工作：</w:t>
      </w:r>
    </w:p>
    <w:p>
      <w:pPr>
        <w:ind w:firstLine="640" w:firstLineChars="200"/>
        <w:rPr>
          <w:rFonts w:ascii="仿宋" w:hAnsi="仿宋" w:eastAsia="仿宋"/>
          <w:sz w:val="32"/>
          <w:szCs w:val="32"/>
        </w:rPr>
      </w:pPr>
      <w:r>
        <w:rPr>
          <w:rFonts w:hint="eastAsia" w:ascii="仿宋" w:hAnsi="仿宋" w:eastAsia="仿宋" w:cs="仿宋"/>
          <w:kern w:val="0"/>
          <w:sz w:val="32"/>
          <w:szCs w:val="32"/>
        </w:rPr>
        <w:t>（一）</w:t>
      </w:r>
      <w:r>
        <w:rPr>
          <w:rFonts w:hint="eastAsia" w:ascii="仿宋" w:hAnsi="仿宋" w:eastAsia="仿宋"/>
          <w:sz w:val="32"/>
          <w:szCs w:val="32"/>
        </w:rPr>
        <w:t>聚焦党的建设，加强党的全面领导。</w:t>
      </w:r>
    </w:p>
    <w:p>
      <w:pPr>
        <w:ind w:firstLine="640" w:firstLineChars="200"/>
        <w:rPr>
          <w:rFonts w:ascii="仿宋" w:hAnsi="仿宋" w:eastAsia="仿宋"/>
          <w:sz w:val="32"/>
          <w:szCs w:val="32"/>
        </w:rPr>
      </w:pPr>
      <w:r>
        <w:rPr>
          <w:rFonts w:hint="eastAsia" w:ascii="仿宋" w:hAnsi="仿宋" w:eastAsia="仿宋"/>
          <w:sz w:val="32"/>
          <w:szCs w:val="32"/>
        </w:rPr>
        <w:t>（二）擦亮文明底色，凝聚向上向善的奋进力量。</w:t>
      </w:r>
    </w:p>
    <w:p>
      <w:pPr>
        <w:ind w:firstLine="640" w:firstLineChars="200"/>
        <w:rPr>
          <w:rFonts w:ascii="仿宋" w:hAnsi="仿宋" w:eastAsia="仿宋"/>
          <w:sz w:val="32"/>
          <w:szCs w:val="32"/>
        </w:rPr>
      </w:pPr>
      <w:r>
        <w:rPr>
          <w:rFonts w:hint="eastAsia" w:ascii="仿宋" w:hAnsi="仿宋" w:eastAsia="仿宋"/>
          <w:sz w:val="32"/>
          <w:szCs w:val="32"/>
        </w:rPr>
        <w:t>（三）坚持立德树人，全面推进德育品牌建设。</w:t>
      </w:r>
    </w:p>
    <w:p>
      <w:pPr>
        <w:ind w:firstLine="640" w:firstLineChars="200"/>
        <w:rPr>
          <w:rFonts w:ascii="仿宋" w:hAnsi="仿宋" w:eastAsia="仿宋"/>
          <w:sz w:val="32"/>
          <w:szCs w:val="32"/>
        </w:rPr>
      </w:pPr>
      <w:r>
        <w:rPr>
          <w:rFonts w:hint="eastAsia" w:ascii="仿宋" w:hAnsi="仿宋" w:eastAsia="仿宋"/>
          <w:sz w:val="32"/>
          <w:szCs w:val="32"/>
        </w:rPr>
        <w:t>（四）落实五育并举，全面发展素质教育。</w:t>
      </w:r>
    </w:p>
    <w:p>
      <w:pPr>
        <w:ind w:firstLine="640" w:firstLineChars="200"/>
        <w:rPr>
          <w:rFonts w:ascii="仿宋" w:hAnsi="仿宋" w:eastAsia="仿宋"/>
          <w:sz w:val="32"/>
          <w:szCs w:val="32"/>
        </w:rPr>
      </w:pPr>
      <w:r>
        <w:rPr>
          <w:rFonts w:hint="eastAsia" w:ascii="仿宋" w:hAnsi="仿宋" w:eastAsia="仿宋"/>
          <w:sz w:val="32"/>
          <w:szCs w:val="32"/>
        </w:rPr>
        <w:t>（五）深化课程改革，全面提升教学质量。</w:t>
      </w:r>
    </w:p>
    <w:p>
      <w:pPr>
        <w:ind w:firstLine="640" w:firstLineChars="200"/>
        <w:rPr>
          <w:rFonts w:ascii="仿宋" w:hAnsi="仿宋" w:eastAsia="仿宋"/>
          <w:sz w:val="32"/>
          <w:szCs w:val="32"/>
        </w:rPr>
      </w:pPr>
      <w:r>
        <w:rPr>
          <w:rFonts w:hint="eastAsia" w:ascii="仿宋" w:hAnsi="仿宋" w:eastAsia="仿宋"/>
          <w:sz w:val="32"/>
          <w:szCs w:val="32"/>
        </w:rPr>
        <w:t>（六）淬炼师德师能，锻造高素质教师队伍。</w:t>
      </w:r>
    </w:p>
    <w:p>
      <w:pPr>
        <w:ind w:firstLine="640" w:firstLineChars="200"/>
        <w:sectPr>
          <w:footerReference r:id="rId4" w:type="default"/>
          <w:pgSz w:w="11906" w:h="16838"/>
          <w:pgMar w:top="1440" w:right="720" w:bottom="1440" w:left="720" w:header="720" w:footer="720" w:gutter="0"/>
          <w:cols w:space="720" w:num="1"/>
        </w:sectPr>
      </w:pPr>
      <w:r>
        <w:rPr>
          <w:rFonts w:hint="eastAsia" w:ascii="仿宋" w:hAnsi="仿宋" w:eastAsia="仿宋"/>
          <w:sz w:val="32"/>
          <w:szCs w:val="32"/>
        </w:rPr>
        <w:t>（七）筑牢安全防线，创建高质量平安校园。</w:t>
      </w:r>
    </w:p>
    <w:p>
      <w:pPr>
        <w:widowControl/>
        <w:spacing w:before="240" w:after="240"/>
        <w:jc w:val="left"/>
        <w:rPr>
          <w:rFonts w:eastAsia="Times New Roman"/>
          <w:vanish/>
          <w:kern w:val="0"/>
          <w:sz w:val="24"/>
        </w:rPr>
      </w:pPr>
      <w:r>
        <w:rPr>
          <w:rFonts w:eastAsia="Times New Roman"/>
          <w:vanish/>
          <w:kern w:val="0"/>
          <w:sz w:val="24"/>
        </w:rPr>
        <w:t>word page break</w:t>
      </w:r>
    </w:p>
    <w:p>
      <w:pPr>
        <w:pStyle w:val="4"/>
        <w:keepNext w:val="0"/>
        <w:keepLines w:val="0"/>
        <w:spacing w:before="100" w:after="100" w:line="240" w:lineRule="auto"/>
        <w:ind w:firstLine="0" w:firstLineChars="0"/>
        <w:jc w:val="center"/>
        <w:rPr>
          <w:rFonts w:ascii="黑体" w:hAnsi="黑体" w:eastAsia="黑体" w:cs="黑体"/>
          <w:b/>
        </w:rPr>
      </w:pPr>
      <w:bookmarkStart w:id="21" w:name="_Toc256000005"/>
      <w:bookmarkStart w:id="22" w:name="_Toc256000036"/>
      <w:bookmarkStart w:id="23" w:name="_Toc256000098"/>
      <w:bookmarkStart w:id="24" w:name="_Toc256000067"/>
      <w:r>
        <w:rPr>
          <w:rFonts w:ascii="黑体" w:hAnsi="黑体" w:eastAsia="黑体" w:cs="黑体"/>
          <w:b/>
        </w:rPr>
        <w:t>第二部分</w:t>
      </w:r>
      <w:bookmarkEnd w:id="21"/>
      <w:bookmarkEnd w:id="22"/>
      <w:bookmarkEnd w:id="23"/>
      <w:bookmarkEnd w:id="24"/>
      <w:r>
        <w:rPr>
          <w:rFonts w:ascii="宋体" w:hAnsi="宋体" w:eastAsia="宋体" w:cs="宋体"/>
          <w:b/>
        </w:rPr>
        <w:t> </w:t>
      </w:r>
      <w:bookmarkStart w:id="25" w:name="_Toc256000099"/>
      <w:bookmarkStart w:id="26" w:name="_Toc256000006"/>
      <w:bookmarkStart w:id="27" w:name="_Toc256000068"/>
      <w:bookmarkStart w:id="28" w:name="_Toc256000037"/>
      <w:r>
        <w:rPr>
          <w:rFonts w:ascii="黑体" w:hAnsi="黑体" w:eastAsia="黑体" w:cs="黑体"/>
          <w:b/>
        </w:rPr>
        <w:t>2024年度决算表</w:t>
      </w:r>
      <w:bookmarkEnd w:id="25"/>
      <w:bookmarkEnd w:id="26"/>
      <w:bookmarkEnd w:id="27"/>
      <w:bookmarkEnd w:id="28"/>
    </w:p>
    <w:p>
      <w:pPr>
        <w:pStyle w:val="6"/>
        <w:keepNext w:val="0"/>
        <w:keepLines w:val="0"/>
        <w:spacing w:before="100" w:after="100" w:line="240" w:lineRule="auto"/>
        <w:ind w:firstLine="0" w:firstLineChars="0"/>
        <w:rPr>
          <w:rFonts w:eastAsia="Times New Roman"/>
          <w:b/>
        </w:rPr>
      </w:pPr>
      <w:r>
        <w:rPr>
          <w:rFonts w:ascii="黑体" w:hAnsi="黑体" w:eastAsia="黑体" w:cs="黑体"/>
          <w:b/>
        </w:rPr>
        <w:t>一、收入支出决算总表</w:t>
      </w:r>
    </w:p>
    <w:tbl>
      <w:tblPr>
        <w:tblStyle w:val="24"/>
        <w:tblpPr w:leftFromText="180" w:rightFromText="180" w:vertAnchor="text" w:horzAnchor="page" w:tblpX="823" w:tblpY="1589"/>
        <w:tblOverlap w:val="never"/>
        <w:tblW w:w="10506" w:type="dxa"/>
        <w:tblInd w:w="0" w:type="dxa"/>
        <w:tblLayout w:type="fixed"/>
        <w:tblCellMar>
          <w:top w:w="15" w:type="dxa"/>
          <w:left w:w="15" w:type="dxa"/>
          <w:bottom w:w="15" w:type="dxa"/>
          <w:right w:w="15" w:type="dxa"/>
        </w:tblCellMar>
      </w:tblPr>
      <w:tblGrid>
        <w:gridCol w:w="3682"/>
        <w:gridCol w:w="531"/>
        <w:gridCol w:w="954"/>
        <w:gridCol w:w="3854"/>
        <w:gridCol w:w="531"/>
        <w:gridCol w:w="954"/>
      </w:tblGrid>
      <w:tr>
        <w:tblPrEx>
          <w:tblLayout w:type="fixed"/>
          <w:tblCellMar>
            <w:top w:w="15" w:type="dxa"/>
            <w:left w:w="15" w:type="dxa"/>
            <w:bottom w:w="15" w:type="dxa"/>
            <w:right w:w="15" w:type="dxa"/>
          </w:tblCellMar>
        </w:tblPrEx>
        <w:trPr>
          <w:tblHeader/>
        </w:trPr>
        <w:tc>
          <w:tcPr>
            <w:tcW w:w="10506" w:type="dxa"/>
            <w:gridSpan w:val="6"/>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29" w:name="_Toc256000100"/>
            <w:bookmarkStart w:id="30" w:name="_Toc256000038"/>
            <w:bookmarkStart w:id="31" w:name="_Toc256000069"/>
            <w:bookmarkStart w:id="32" w:name="_Toc256000007"/>
            <w:r>
              <w:rPr>
                <w:rFonts w:ascii="宋体" w:hAnsi="宋体" w:cs="宋体"/>
                <w:color w:val="000000"/>
                <w:kern w:val="0"/>
                <w:sz w:val="27"/>
                <w:szCs w:val="27"/>
              </w:rPr>
              <w:t>收入支出决算总表</w:t>
            </w:r>
          </w:p>
        </w:tc>
      </w:tr>
      <w:tr>
        <w:tblPrEx>
          <w:tblLayout w:type="fixed"/>
          <w:tblCellMar>
            <w:top w:w="15" w:type="dxa"/>
            <w:left w:w="15" w:type="dxa"/>
            <w:bottom w:w="15" w:type="dxa"/>
            <w:right w:w="15" w:type="dxa"/>
          </w:tblCellMar>
        </w:tblPrEx>
        <w:trPr>
          <w:tblHeader/>
        </w:trPr>
        <w:tc>
          <w:tcPr>
            <w:tcW w:w="10506"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516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收入</w:t>
            </w:r>
          </w:p>
        </w:tc>
        <w:tc>
          <w:tcPr>
            <w:tcW w:w="533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一、一般公共服务支出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二、外交支出</w:t>
            </w:r>
            <w:r>
              <w:rPr>
                <w:rFonts w:eastAsia="Times New Roman"/>
                <w:color w:val="000000"/>
                <w:kern w:val="0"/>
                <w:sz w:val="26"/>
                <w:szCs w:val="26"/>
              </w:rPr>
              <w:t xml:space="preserve">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三、国有资本经营预算财政拨款收入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三、国防支出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四、上级补助收入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四、公共安全支出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五、事业收入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五、教育支出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六、经营收入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六、科学技术支出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七、附属单位上缴收入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七、文化旅游体育与传媒支出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八、其他收入</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八、社会保障和就业支出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九、卫生健康支出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十、节能环保支出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十一、城乡社区支出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十二、农林水支出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十三、交通运输支出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十四、资源勘探工业信息等支出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十五、商业服务业等支出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十六、金融支出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十七、援助其他地区支出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十八、自然资源海洋气象等支出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十九、住房保障支出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28.6</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二十、粮油物资储备支出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二十一、国有资本经营预算支出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二十二、灾害防治及应急管理支出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23</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二十三、其他支出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24</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二十四、债务还本支出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25</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二十五、债务付息支出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26</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二十六、抗疫特别国债安排的支出</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27</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使用非财政拨款结余（含专用结余）</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28</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结余分配</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年初结转和结余</w:t>
            </w:r>
            <w:r>
              <w:rPr>
                <w:rFonts w:eastAsia="Times New Roman"/>
                <w:color w:val="000000"/>
                <w:kern w:val="0"/>
                <w:sz w:val="26"/>
                <w:szCs w:val="26"/>
              </w:rPr>
              <w:t xml:space="preserve">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29</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年末结转和结余</w:t>
            </w:r>
            <w:r>
              <w:rPr>
                <w:rFonts w:eastAsia="Times New Roman"/>
                <w:color w:val="000000"/>
                <w:kern w:val="0"/>
                <w:sz w:val="26"/>
                <w:szCs w:val="26"/>
              </w:rPr>
              <w:t xml:space="preserve">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30</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368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31</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38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p>
        </w:tc>
        <w:tc>
          <w:tcPr>
            <w:tcW w:w="53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62</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r>
      <w:tr>
        <w:tblPrEx>
          <w:tblLayout w:type="fixed"/>
          <w:tblCellMar>
            <w:top w:w="15" w:type="dxa"/>
            <w:left w:w="15" w:type="dxa"/>
            <w:bottom w:w="15" w:type="dxa"/>
            <w:right w:w="15" w:type="dxa"/>
          </w:tblCellMar>
        </w:tblPrEx>
        <w:tc>
          <w:tcPr>
            <w:tcW w:w="10506" w:type="dxa"/>
            <w:gridSpan w:val="6"/>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w:t>
            </w:r>
            <w:r>
              <w:rPr>
                <w:rFonts w:eastAsia="Times New Roman"/>
                <w:color w:val="000000"/>
                <w:kern w:val="0"/>
                <w:sz w:val="26"/>
                <w:szCs w:val="26"/>
              </w:rPr>
              <w:t>1.</w:t>
            </w:r>
            <w:r>
              <w:rPr>
                <w:rFonts w:ascii="宋体" w:hAnsi="宋体" w:cs="宋体"/>
                <w:color w:val="000000"/>
                <w:kern w:val="0"/>
                <w:sz w:val="26"/>
                <w:szCs w:val="26"/>
              </w:rPr>
              <w:t>本表反映部门本年度的总收支和年末结转结余情况。</w:t>
            </w:r>
          </w:p>
        </w:tc>
      </w:tr>
      <w:tr>
        <w:tblPrEx>
          <w:tblLayout w:type="fixed"/>
          <w:tblCellMar>
            <w:top w:w="15" w:type="dxa"/>
            <w:left w:w="15" w:type="dxa"/>
            <w:bottom w:w="15" w:type="dxa"/>
            <w:right w:w="15" w:type="dxa"/>
          </w:tblCellMar>
        </w:tblPrEx>
        <w:tc>
          <w:tcPr>
            <w:tcW w:w="10506" w:type="dxa"/>
            <w:gridSpan w:val="6"/>
            <w:tcMar>
              <w:top w:w="20" w:type="dxa"/>
              <w:left w:w="485" w:type="dxa"/>
              <w:bottom w:w="20" w:type="dxa"/>
              <w:right w:w="20" w:type="dxa"/>
            </w:tcMar>
            <w:vAlign w:val="center"/>
          </w:tcPr>
          <w:p>
            <w:pPr>
              <w:widowControl/>
              <w:spacing w:line="375" w:lineRule="atLeast"/>
              <w:jc w:val="left"/>
              <w:rPr>
                <w:rFonts w:eastAsia="Times New Roman"/>
                <w:color w:val="000000"/>
                <w:kern w:val="0"/>
                <w:sz w:val="26"/>
                <w:szCs w:val="26"/>
              </w:rPr>
            </w:pPr>
            <w:r>
              <w:rPr>
                <w:rFonts w:eastAsia="Times New Roman"/>
                <w:color w:val="000000"/>
                <w:kern w:val="0"/>
                <w:sz w:val="26"/>
                <w:szCs w:val="26"/>
              </w:rPr>
              <w:t>2.</w:t>
            </w:r>
            <w:r>
              <w:rPr>
                <w:rFonts w:ascii="宋体" w:hAnsi="宋体" w:cs="宋体"/>
                <w:color w:val="000000"/>
                <w:kern w:val="0"/>
                <w:sz w:val="26"/>
                <w:szCs w:val="26"/>
              </w:rPr>
              <w:t>本套报表金额单位转换时可能存在尾数误差。</w:t>
            </w:r>
          </w:p>
        </w:tc>
      </w:tr>
      <w:bookmarkEnd w:id="29"/>
      <w:bookmarkEnd w:id="30"/>
      <w:bookmarkEnd w:id="31"/>
      <w:bookmarkEnd w:id="32"/>
    </w:tbl>
    <w:p>
      <w:pPr>
        <w:rPr>
          <w:sz w:val="32"/>
          <w:szCs w:val="32"/>
        </w:rPr>
        <w:sectPr>
          <w:footerReference r:id="rId5" w:type="default"/>
          <w:pgSz w:w="11906" w:h="16838"/>
          <w:pgMar w:top="1440" w:right="720" w:bottom="1440" w:left="720" w:header="720" w:footer="720" w:gutter="0"/>
          <w:cols w:space="720" w:num="1"/>
        </w:sectPr>
      </w:pPr>
    </w:p>
    <w:p>
      <w:pPr>
        <w:widowControl/>
        <w:spacing w:before="240" w:after="240"/>
        <w:jc w:val="left"/>
        <w:rPr>
          <w:rFonts w:eastAsia="Times New Roman"/>
          <w:vanish/>
          <w:kern w:val="0"/>
          <w:sz w:val="24"/>
        </w:rPr>
      </w:pPr>
      <w:r>
        <w:rPr>
          <w:rFonts w:eastAsia="Times New Roman"/>
          <w:vanish/>
          <w:kern w:val="0"/>
          <w:sz w:val="24"/>
        </w:rPr>
        <w:t>word horizontal layout</w:t>
      </w:r>
    </w:p>
    <w:p>
      <w:pPr>
        <w:pStyle w:val="6"/>
        <w:keepNext w:val="0"/>
        <w:keepLines w:val="0"/>
        <w:spacing w:before="100" w:after="100" w:line="240" w:lineRule="auto"/>
        <w:ind w:firstLine="0" w:firstLineChars="0"/>
        <w:rPr>
          <w:rFonts w:eastAsia="Times New Roman"/>
          <w:b/>
          <w:sz w:val="28"/>
          <w:szCs w:val="28"/>
        </w:rPr>
      </w:pPr>
      <w:r>
        <w:rPr>
          <w:rFonts w:eastAsia="Times New Roman"/>
          <w:sz w:val="24"/>
        </w:rPr>
        <w:t> </w:t>
      </w:r>
      <w:r>
        <w:rPr>
          <w:rFonts w:ascii="黑体" w:hAnsi="黑体" w:eastAsia="黑体" w:cs="黑体"/>
          <w:b/>
        </w:rPr>
        <w:t>二、收入决算表</w:t>
      </w:r>
    </w:p>
    <w:tbl>
      <w:tblPr>
        <w:tblStyle w:val="24"/>
        <w:tblpPr w:leftFromText="180" w:rightFromText="180" w:vertAnchor="text" w:horzAnchor="page" w:tblpX="823" w:tblpY="1155"/>
        <w:tblOverlap w:val="never"/>
        <w:tblW w:w="10506" w:type="dxa"/>
        <w:tblInd w:w="0" w:type="dxa"/>
        <w:tblLayout w:type="fixed"/>
        <w:tblCellMar>
          <w:top w:w="15" w:type="dxa"/>
          <w:left w:w="15" w:type="dxa"/>
          <w:bottom w:w="15" w:type="dxa"/>
          <w:right w:w="15" w:type="dxa"/>
        </w:tblCellMar>
      </w:tblPr>
      <w:tblGrid>
        <w:gridCol w:w="1023"/>
        <w:gridCol w:w="2407"/>
        <w:gridCol w:w="1305"/>
        <w:gridCol w:w="1305"/>
        <w:gridCol w:w="1005"/>
        <w:gridCol w:w="725"/>
        <w:gridCol w:w="725"/>
        <w:gridCol w:w="1286"/>
        <w:gridCol w:w="725"/>
      </w:tblGrid>
      <w:tr>
        <w:tblPrEx>
          <w:tblLayout w:type="fixed"/>
        </w:tblPrEx>
        <w:trPr>
          <w:tblHeader/>
        </w:trPr>
        <w:tc>
          <w:tcPr>
            <w:tcW w:w="10506"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33" w:name="_Toc256000039"/>
            <w:bookmarkStart w:id="34" w:name="_Toc256000008"/>
            <w:bookmarkStart w:id="35" w:name="_Toc256000070"/>
            <w:bookmarkStart w:id="36" w:name="_Toc256000101"/>
            <w:r>
              <w:rPr>
                <w:rFonts w:ascii="宋体" w:hAnsi="宋体" w:cs="宋体"/>
                <w:color w:val="000000"/>
                <w:kern w:val="0"/>
                <w:sz w:val="27"/>
                <w:szCs w:val="27"/>
              </w:rPr>
              <w:t>收入决算表</w:t>
            </w:r>
          </w:p>
        </w:tc>
      </w:tr>
      <w:tr>
        <w:tblPrEx>
          <w:tblLayout w:type="fixed"/>
          <w:tblCellMar>
            <w:top w:w="15" w:type="dxa"/>
            <w:left w:w="15" w:type="dxa"/>
            <w:bottom w:w="15" w:type="dxa"/>
            <w:right w:w="15" w:type="dxa"/>
          </w:tblCellMar>
        </w:tblPrEx>
        <w:tc>
          <w:tcPr>
            <w:tcW w:w="10506" w:type="dxa"/>
            <w:gridSpan w:val="9"/>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343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3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13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财政拨款收入</w:t>
            </w:r>
            <w:r>
              <w:rPr>
                <w:rFonts w:eastAsia="Times New Roman"/>
                <w:color w:val="000000"/>
                <w:kern w:val="0"/>
                <w:sz w:val="26"/>
                <w:szCs w:val="26"/>
              </w:rPr>
              <w:t xml:space="preserve"> </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上级补助收入</w:t>
            </w:r>
          </w:p>
        </w:tc>
        <w:tc>
          <w:tcPr>
            <w:tcW w:w="72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事业收入</w:t>
            </w:r>
          </w:p>
        </w:tc>
        <w:tc>
          <w:tcPr>
            <w:tcW w:w="72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经营收入</w:t>
            </w:r>
          </w:p>
        </w:tc>
        <w:tc>
          <w:tcPr>
            <w:tcW w:w="128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附属单位上缴收入</w:t>
            </w:r>
          </w:p>
        </w:tc>
        <w:tc>
          <w:tcPr>
            <w:tcW w:w="72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其他收入</w:t>
            </w:r>
          </w:p>
        </w:tc>
      </w:tr>
      <w:tr>
        <w:tblPrEx>
          <w:tblLayout w:type="fixed"/>
          <w:tblCellMar>
            <w:top w:w="15" w:type="dxa"/>
            <w:left w:w="15" w:type="dxa"/>
            <w:bottom w:w="15" w:type="dxa"/>
            <w:right w:w="15" w:type="dxa"/>
          </w:tblCellMar>
        </w:tblPrEx>
        <w:trPr>
          <w:trHeight w:val="299" w:hRule="atLeast"/>
          <w:tblHeader/>
        </w:trPr>
        <w:tc>
          <w:tcPr>
            <w:tcW w:w="10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24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3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8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102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240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28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343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r>
      <w:tr>
        <w:tblPrEx>
          <w:tblLayout w:type="fixed"/>
          <w:tblCellMar>
            <w:top w:w="15" w:type="dxa"/>
            <w:left w:w="15" w:type="dxa"/>
            <w:bottom w:w="15" w:type="dxa"/>
            <w:right w:w="15" w:type="dxa"/>
          </w:tblCellMar>
        </w:tblPrEx>
        <w:tc>
          <w:tcPr>
            <w:tcW w:w="343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351.51</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351.51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2050201</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学前教育</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特殊教育</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2050701</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特殊学校教育</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24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2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50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注：本表反映部门本年度取得的各项收入情况。</w:t>
            </w:r>
          </w:p>
        </w:tc>
      </w:tr>
      <w:bookmarkEnd w:id="33"/>
      <w:bookmarkEnd w:id="34"/>
      <w:bookmarkEnd w:id="35"/>
      <w:bookmarkEnd w:id="36"/>
    </w:tbl>
    <w:p>
      <w:pPr>
        <w:widowControl/>
        <w:jc w:val="left"/>
        <w:rPr>
          <w:rFonts w:eastAsia="Times New Roman"/>
          <w:kern w:val="0"/>
          <w:sz w:val="24"/>
        </w:rPr>
      </w:pPr>
    </w:p>
    <w:p>
      <w:pPr>
        <w:widowControl/>
        <w:jc w:val="left"/>
        <w:rPr>
          <w:rFonts w:ascii="黑体" w:hAnsi="黑体" w:eastAsia="黑体" w:cs="黑体"/>
          <w:b/>
          <w:sz w:val="32"/>
          <w:szCs w:val="32"/>
        </w:rPr>
      </w:pPr>
    </w:p>
    <w:p>
      <w:pPr>
        <w:widowControl/>
        <w:jc w:val="left"/>
        <w:rPr>
          <w:rFonts w:ascii="黑体" w:hAnsi="黑体" w:eastAsia="黑体" w:cs="黑体"/>
          <w:b/>
          <w:sz w:val="32"/>
          <w:szCs w:val="32"/>
        </w:rPr>
      </w:pPr>
    </w:p>
    <w:p>
      <w:pPr>
        <w:widowControl/>
        <w:jc w:val="left"/>
        <w:rPr>
          <w:rFonts w:ascii="黑体" w:hAnsi="黑体" w:eastAsia="黑体" w:cs="黑体"/>
          <w:b/>
          <w:sz w:val="32"/>
          <w:szCs w:val="32"/>
        </w:rPr>
      </w:pPr>
    </w:p>
    <w:p>
      <w:pPr>
        <w:widowControl/>
        <w:jc w:val="left"/>
        <w:rPr>
          <w:rFonts w:ascii="黑体" w:hAnsi="黑体" w:eastAsia="黑体" w:cs="黑体"/>
          <w:b/>
          <w:sz w:val="32"/>
          <w:szCs w:val="32"/>
        </w:rPr>
      </w:pPr>
    </w:p>
    <w:p>
      <w:pPr>
        <w:widowControl/>
        <w:jc w:val="left"/>
        <w:rPr>
          <w:rFonts w:ascii="黑体" w:hAnsi="黑体" w:eastAsia="黑体" w:cs="黑体"/>
          <w:b/>
          <w:sz w:val="32"/>
          <w:szCs w:val="32"/>
        </w:rPr>
      </w:pPr>
    </w:p>
    <w:p>
      <w:pPr>
        <w:widowControl/>
        <w:jc w:val="left"/>
        <w:rPr>
          <w:rFonts w:eastAsia="Times New Roman"/>
          <w:b/>
          <w:bCs/>
          <w:kern w:val="0"/>
          <w:sz w:val="32"/>
          <w:szCs w:val="32"/>
        </w:rPr>
      </w:pPr>
      <w:r>
        <w:rPr>
          <w:rFonts w:ascii="黑体" w:hAnsi="黑体" w:eastAsia="黑体" w:cs="黑体"/>
          <w:b/>
          <w:sz w:val="32"/>
          <w:szCs w:val="32"/>
        </w:rPr>
        <w:t>三、支出决算表</w:t>
      </w:r>
    </w:p>
    <w:tbl>
      <w:tblPr>
        <w:tblStyle w:val="24"/>
        <w:tblpPr w:leftFromText="180" w:rightFromText="180" w:vertAnchor="text" w:horzAnchor="page" w:tblpX="841" w:tblpY="1068"/>
        <w:tblOverlap w:val="never"/>
        <w:tblW w:w="10506" w:type="dxa"/>
        <w:tblInd w:w="0" w:type="dxa"/>
        <w:tblLayout w:type="fixed"/>
        <w:tblCellMar>
          <w:top w:w="15" w:type="dxa"/>
          <w:left w:w="15" w:type="dxa"/>
          <w:bottom w:w="15" w:type="dxa"/>
          <w:right w:w="15" w:type="dxa"/>
        </w:tblCellMar>
      </w:tblPr>
      <w:tblGrid>
        <w:gridCol w:w="1033"/>
        <w:gridCol w:w="2683"/>
        <w:gridCol w:w="1350"/>
        <w:gridCol w:w="1033"/>
        <w:gridCol w:w="957"/>
        <w:gridCol w:w="1097"/>
        <w:gridCol w:w="780"/>
        <w:gridCol w:w="1573"/>
      </w:tblGrid>
      <w:tr>
        <w:tblPrEx>
          <w:tblLayout w:type="fixed"/>
          <w:tblCellMar>
            <w:top w:w="15" w:type="dxa"/>
            <w:left w:w="15" w:type="dxa"/>
            <w:bottom w:w="15" w:type="dxa"/>
            <w:right w:w="15" w:type="dxa"/>
          </w:tblCellMar>
        </w:tblPrEx>
        <w:trPr>
          <w:tblHeader/>
        </w:trPr>
        <w:tc>
          <w:tcPr>
            <w:tcW w:w="10506" w:type="dxa"/>
            <w:gridSpan w:val="8"/>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支出决算表</w:t>
            </w:r>
          </w:p>
        </w:tc>
      </w:tr>
      <w:tr>
        <w:tblPrEx>
          <w:tblLayout w:type="fixed"/>
          <w:tblCellMar>
            <w:top w:w="15" w:type="dxa"/>
            <w:left w:w="15" w:type="dxa"/>
            <w:bottom w:w="15" w:type="dxa"/>
            <w:right w:w="15" w:type="dxa"/>
          </w:tblCellMar>
        </w:tblPrEx>
        <w:tc>
          <w:tcPr>
            <w:tcW w:w="10506" w:type="dxa"/>
            <w:gridSpan w:val="8"/>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3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35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10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p>
        </w:tc>
        <w:tc>
          <w:tcPr>
            <w:tcW w:w="9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c>
          <w:tcPr>
            <w:tcW w:w="10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上缴上级支出</w:t>
            </w:r>
          </w:p>
        </w:tc>
        <w:tc>
          <w:tcPr>
            <w:tcW w:w="78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经营支出</w:t>
            </w:r>
          </w:p>
        </w:tc>
        <w:tc>
          <w:tcPr>
            <w:tcW w:w="15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对附属单位补助支出</w:t>
            </w:r>
          </w:p>
        </w:tc>
      </w:tr>
      <w:tr>
        <w:tblPrEx>
          <w:tblLayout w:type="fixed"/>
          <w:tblCellMar>
            <w:top w:w="15" w:type="dxa"/>
            <w:left w:w="15" w:type="dxa"/>
            <w:bottom w:w="15" w:type="dxa"/>
            <w:right w:w="15" w:type="dxa"/>
          </w:tblCellMar>
        </w:tblPrEx>
        <w:trPr>
          <w:trHeight w:val="299" w:hRule="atLeast"/>
          <w:tblHeader/>
        </w:trPr>
        <w:tc>
          <w:tcPr>
            <w:tcW w:w="10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268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35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5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8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5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10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268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5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5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8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5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3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栏次</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6</w:t>
            </w:r>
          </w:p>
        </w:tc>
      </w:tr>
      <w:tr>
        <w:tblPrEx>
          <w:tblLayout w:type="fixed"/>
          <w:tblCellMar>
            <w:top w:w="15" w:type="dxa"/>
            <w:left w:w="15" w:type="dxa"/>
            <w:bottom w:w="15" w:type="dxa"/>
            <w:right w:w="15" w:type="dxa"/>
          </w:tblCellMar>
        </w:tblPrEx>
        <w:tc>
          <w:tcPr>
            <w:tcW w:w="371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1,887.67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211.4</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1,673.7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211.4</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351.51</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2050201</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学前教育</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特殊教育</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1,444.44</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45.3</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2050701</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特殊学校教育</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1,444.44</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45.3</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26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0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5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506" w:type="dxa"/>
            <w:gridSpan w:val="8"/>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注：本表反映部门本年度各项支出情况。</w:t>
            </w:r>
          </w:p>
        </w:tc>
      </w:tr>
    </w:tbl>
    <w:p>
      <w:pPr>
        <w:widowControl/>
        <w:spacing w:before="240" w:after="240"/>
        <w:jc w:val="left"/>
        <w:rPr>
          <w:rFonts w:eastAsia="Times New Roman"/>
          <w:vanish/>
          <w:kern w:val="0"/>
          <w:sz w:val="24"/>
        </w:rPr>
      </w:pPr>
      <w:r>
        <w:rPr>
          <w:rFonts w:eastAsia="Times New Roman"/>
          <w:vanish/>
          <w:kern w:val="0"/>
          <w:sz w:val="24"/>
        </w:rPr>
        <w:t>word horizontal layout</w:t>
      </w:r>
    </w:p>
    <w:p>
      <w:pPr>
        <w:pStyle w:val="6"/>
        <w:keepNext w:val="0"/>
        <w:keepLines w:val="0"/>
        <w:spacing w:before="100" w:after="100" w:line="240" w:lineRule="auto"/>
        <w:ind w:left="720" w:hanging="720" w:firstLineChars="0"/>
        <w:rPr>
          <w:rFonts w:ascii="黑体" w:hAnsi="黑体" w:eastAsia="黑体" w:cs="黑体"/>
          <w:b/>
        </w:rPr>
      </w:pPr>
      <w:r>
        <w:rPr>
          <w:rFonts w:eastAsia="Times New Roman"/>
          <w:sz w:val="24"/>
        </w:rPr>
        <w:t> </w:t>
      </w:r>
      <w:r>
        <w:rPr>
          <w:rFonts w:eastAsia="Times New Roman"/>
          <w:sz w:val="27"/>
          <w:szCs w:val="27"/>
        </w:rPr>
        <w:t> </w:t>
      </w:r>
      <w:bookmarkStart w:id="37" w:name="_Toc256000103"/>
      <w:bookmarkStart w:id="38" w:name="_Toc256000072"/>
      <w:bookmarkStart w:id="39" w:name="_Toc256000041"/>
      <w:bookmarkStart w:id="40" w:name="_Toc256000010"/>
    </w:p>
    <w:p>
      <w:pPr>
        <w:pStyle w:val="6"/>
        <w:keepNext w:val="0"/>
        <w:keepLines w:val="0"/>
        <w:spacing w:before="100" w:after="100" w:line="240" w:lineRule="auto"/>
        <w:ind w:left="720" w:hanging="720" w:firstLineChars="0"/>
        <w:rPr>
          <w:rFonts w:eastAsia="Times New Roman"/>
          <w:vanish/>
          <w:sz w:val="24"/>
        </w:rPr>
      </w:pPr>
      <w:r>
        <w:rPr>
          <w:rFonts w:ascii="黑体" w:hAnsi="黑体" w:eastAsia="黑体" w:cs="黑体"/>
          <w:b/>
        </w:rPr>
        <w:t>四、财政拨款收入支出决算总表</w:t>
      </w:r>
      <w:bookmarkEnd w:id="37"/>
      <w:bookmarkEnd w:id="38"/>
      <w:bookmarkEnd w:id="39"/>
      <w:bookmarkEnd w:id="40"/>
      <w:r>
        <w:rPr>
          <w:rFonts w:eastAsia="Times New Roman"/>
          <w:vanish/>
          <w:sz w:val="24"/>
        </w:rPr>
        <w:t>word horizontal layout</w:t>
      </w:r>
    </w:p>
    <w:tbl>
      <w:tblPr>
        <w:tblStyle w:val="24"/>
        <w:tblpPr w:leftFromText="180" w:rightFromText="180" w:vertAnchor="text" w:horzAnchor="page" w:tblpX="866" w:tblpY="1199"/>
        <w:tblOverlap w:val="never"/>
        <w:tblW w:w="10506" w:type="dxa"/>
        <w:tblInd w:w="0" w:type="dxa"/>
        <w:tblLayout w:type="fixed"/>
        <w:tblCellMar>
          <w:top w:w="15" w:type="dxa"/>
          <w:left w:w="15" w:type="dxa"/>
          <w:bottom w:w="15" w:type="dxa"/>
          <w:right w:w="15" w:type="dxa"/>
        </w:tblCellMar>
      </w:tblPr>
      <w:tblGrid>
        <w:gridCol w:w="1668"/>
        <w:gridCol w:w="448"/>
        <w:gridCol w:w="1107"/>
        <w:gridCol w:w="2059"/>
        <w:gridCol w:w="666"/>
        <w:gridCol w:w="1038"/>
        <w:gridCol w:w="1095"/>
        <w:gridCol w:w="1057"/>
        <w:gridCol w:w="1368"/>
      </w:tblGrid>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widowControl/>
              <w:jc w:val="center"/>
              <w:rPr>
                <w:rFonts w:eastAsia="Times New Roman"/>
                <w:color w:val="000000"/>
                <w:kern w:val="0"/>
                <w:sz w:val="27"/>
                <w:szCs w:val="27"/>
              </w:rPr>
            </w:pPr>
            <w:r>
              <w:rPr>
                <w:rFonts w:ascii="宋体" w:hAnsi="宋体" w:cs="宋体"/>
                <w:color w:val="000000"/>
                <w:kern w:val="0"/>
                <w:sz w:val="27"/>
                <w:szCs w:val="27"/>
              </w:rPr>
              <w:t>财政拨款收入支出决算总表</w:t>
            </w:r>
          </w:p>
        </w:tc>
      </w:tr>
      <w:tr>
        <w:tblPrEx>
          <w:tblLayout w:type="fixed"/>
          <w:tblCellMar>
            <w:top w:w="15" w:type="dxa"/>
            <w:left w:w="15" w:type="dxa"/>
            <w:bottom w:w="15" w:type="dxa"/>
            <w:right w:w="15" w:type="dxa"/>
          </w:tblCellMar>
        </w:tblPrEx>
        <w:trPr>
          <w:tblHeader/>
        </w:trPr>
        <w:tc>
          <w:tcPr>
            <w:tcW w:w="10506" w:type="dxa"/>
            <w:gridSpan w:val="9"/>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32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收入</w:t>
            </w:r>
          </w:p>
        </w:tc>
        <w:tc>
          <w:tcPr>
            <w:tcW w:w="728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r>
              <w:rPr>
                <w:rFonts w:eastAsia="Times New Roman"/>
                <w:color w:val="000000"/>
                <w:kern w:val="0"/>
                <w:sz w:val="26"/>
                <w:szCs w:val="26"/>
              </w:rPr>
              <w:t xml:space="preserve">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行次</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一般公共预算财政拨款</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政府性基金预算财政拨款</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国有资本经营预算财政拨款</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w:t>
            </w:r>
            <w:r>
              <w:rPr>
                <w:rFonts w:eastAsia="Times New Roman"/>
                <w:color w:val="000000"/>
                <w:kern w:val="0"/>
                <w:sz w:val="26"/>
                <w:szCs w:val="26"/>
              </w:rPr>
              <w:t xml:space="preserve">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一、一般公共服务支出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33</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二、外交支出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34</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三、国有资本经营预算财政拨款</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三、国防支出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35</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四、公共安全支出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36</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五、教育支出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37</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六、科学技术支出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38</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七、文化旅游体育与传媒支出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39</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八、社会保障和就业支出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40</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九、卫生健康支出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41</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10</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十、节能环保支出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42</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11</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十一、城乡社区支出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43</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12</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十二、农林水支出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44</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13</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十三、交通运输支出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45</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14</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十四、资源勘探工业信息等支出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46</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15</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十五、商业服务业等支出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47</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16</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十六、金融支出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48</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17</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十七、援助其他地区支出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49</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18</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十八、自然资源海洋气象等支出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50</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19</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十九、住房保障支出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51</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28.6</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28.6</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20</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二十、粮油物资储备支出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52</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21</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二十一、国有资本经营预算支出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53</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22</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二十二、灾害防治及应急管理支出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54</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23</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二十三、其他支出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55</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24</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二十四、债务还本支出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56</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25</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二十五、债务付息支出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57</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26</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eastAsia="宋体" w:cs="宋体"/>
                <w:color w:val="000000"/>
                <w:kern w:val="0"/>
                <w:sz w:val="26"/>
                <w:szCs w:val="26"/>
              </w:rPr>
            </w:pPr>
            <w:r>
              <w:rPr>
                <w:rFonts w:ascii="宋体" w:hAnsi="宋体" w:eastAsia="宋体" w:cs="宋体"/>
                <w:color w:val="000000"/>
                <w:kern w:val="0"/>
                <w:sz w:val="26"/>
                <w:szCs w:val="26"/>
              </w:rPr>
              <w:t>二十六、抗疫特别国债安排的支出</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58</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本年收入合计</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27</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本年支出合计</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59</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年初财政拨款结转和结余</w:t>
            </w:r>
            <w:r>
              <w:rPr>
                <w:rFonts w:eastAsia="Times New Roman"/>
                <w:color w:val="000000"/>
                <w:kern w:val="0"/>
                <w:sz w:val="26"/>
                <w:szCs w:val="26"/>
              </w:rPr>
              <w:t xml:space="preserve">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28</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年末财政拨款结转和结余</w:t>
            </w:r>
            <w:r>
              <w:rPr>
                <w:rFonts w:eastAsia="Times New Roman"/>
                <w:color w:val="000000"/>
                <w:kern w:val="0"/>
                <w:sz w:val="26"/>
                <w:szCs w:val="26"/>
              </w:rPr>
              <w:t xml:space="preserve"> </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60</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一、一般公共预算财政拨款</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29</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61</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二、政府性基金预算财政拨款</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30</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62</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eastAsia="宋体" w:cs="宋体"/>
                <w:color w:val="000000"/>
                <w:kern w:val="0"/>
                <w:sz w:val="26"/>
                <w:szCs w:val="26"/>
              </w:rPr>
              <w:t>三、国有资本经营预算财政拨款</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31</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63</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r>
              <w:rPr>
                <w:rFonts w:eastAsia="Times New Roman"/>
                <w:color w:val="000000"/>
                <w:kern w:val="0"/>
                <w:sz w:val="26"/>
                <w:szCs w:val="26"/>
              </w:rPr>
              <w:t xml:space="preserve"> </w:t>
            </w:r>
          </w:p>
        </w:tc>
        <w:tc>
          <w:tcPr>
            <w:tcW w:w="44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32</w:t>
            </w:r>
          </w:p>
        </w:tc>
        <w:tc>
          <w:tcPr>
            <w:tcW w:w="11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20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总计</w:t>
            </w:r>
            <w:r>
              <w:rPr>
                <w:rFonts w:eastAsia="Times New Roman"/>
                <w:color w:val="000000"/>
                <w:kern w:val="0"/>
                <w:sz w:val="26"/>
                <w:szCs w:val="26"/>
              </w:rPr>
              <w:t xml:space="preserve"> </w:t>
            </w:r>
          </w:p>
        </w:tc>
        <w:tc>
          <w:tcPr>
            <w:tcW w:w="6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64</w:t>
            </w:r>
          </w:p>
        </w:tc>
        <w:tc>
          <w:tcPr>
            <w:tcW w:w="10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0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050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注：本表反映部门本年度一般公共预算财政拨款、政府性基金预算财政拨款和国有资本经营预算财政拨款的总收支和年末结转结余情况。</w:t>
            </w:r>
          </w:p>
        </w:tc>
      </w:tr>
    </w:tbl>
    <w:p>
      <w:pPr>
        <w:pStyle w:val="31"/>
        <w:widowControl/>
        <w:spacing w:before="100" w:after="100"/>
        <w:jc w:val="left"/>
        <w:rPr>
          <w:rFonts w:eastAsia="Times New Roman"/>
          <w:kern w:val="0"/>
          <w:sz w:val="24"/>
        </w:rPr>
      </w:pPr>
      <w:r>
        <w:rPr>
          <w:rFonts w:eastAsia="Times New Roman"/>
          <w:kern w:val="0"/>
          <w:sz w:val="27"/>
          <w:szCs w:val="27"/>
        </w:rPr>
        <w:t> </w:t>
      </w:r>
    </w:p>
    <w:p>
      <w:pPr>
        <w:pStyle w:val="6"/>
        <w:keepNext w:val="0"/>
        <w:keepLines w:val="0"/>
        <w:spacing w:before="100" w:after="100" w:line="240" w:lineRule="auto"/>
        <w:ind w:left="720" w:hanging="720" w:firstLineChars="0"/>
        <w:rPr>
          <w:rFonts w:ascii="黑体" w:hAnsi="黑体" w:eastAsia="黑体" w:cs="黑体"/>
          <w:b/>
        </w:rPr>
      </w:pPr>
      <w:bookmarkStart w:id="41" w:name="_Toc256000011"/>
      <w:bookmarkStart w:id="42" w:name="_Toc256000042"/>
      <w:bookmarkStart w:id="43" w:name="_Toc256000073"/>
      <w:bookmarkStart w:id="44" w:name="_Toc256000104"/>
    </w:p>
    <w:p>
      <w:pPr>
        <w:pStyle w:val="6"/>
        <w:keepNext w:val="0"/>
        <w:keepLines w:val="0"/>
        <w:spacing w:before="100" w:after="100" w:line="240" w:lineRule="auto"/>
        <w:ind w:left="720" w:hanging="720" w:firstLineChars="0"/>
        <w:rPr>
          <w:rFonts w:ascii="黑体" w:hAnsi="黑体" w:eastAsia="黑体" w:cs="黑体"/>
          <w:b/>
        </w:rPr>
      </w:pPr>
    </w:p>
    <w:p>
      <w:pPr>
        <w:pStyle w:val="6"/>
        <w:keepNext w:val="0"/>
        <w:keepLines w:val="0"/>
        <w:spacing w:before="100" w:after="100" w:line="240" w:lineRule="auto"/>
        <w:ind w:left="720" w:hanging="720" w:firstLineChars="0"/>
        <w:rPr>
          <w:rFonts w:ascii="黑体" w:hAnsi="黑体" w:eastAsia="黑体" w:cs="黑体"/>
          <w:b/>
        </w:rPr>
      </w:pPr>
    </w:p>
    <w:p>
      <w:pPr>
        <w:pStyle w:val="6"/>
        <w:keepNext w:val="0"/>
        <w:keepLines w:val="0"/>
        <w:spacing w:before="100" w:after="100" w:line="240" w:lineRule="auto"/>
        <w:ind w:left="0" w:leftChars="0" w:firstLine="0" w:firstLineChars="0"/>
        <w:rPr>
          <w:rFonts w:ascii="黑体" w:hAnsi="黑体" w:eastAsia="黑体" w:cs="黑体"/>
          <w:b/>
        </w:rPr>
      </w:pPr>
    </w:p>
    <w:p>
      <w:pPr>
        <w:pStyle w:val="6"/>
        <w:keepNext w:val="0"/>
        <w:keepLines w:val="0"/>
        <w:spacing w:before="100" w:after="100" w:line="240" w:lineRule="auto"/>
        <w:ind w:firstLine="0" w:firstLineChars="0"/>
        <w:rPr>
          <w:rFonts w:eastAsia="Times New Roman"/>
          <w:b/>
          <w:sz w:val="28"/>
          <w:szCs w:val="28"/>
        </w:rPr>
      </w:pPr>
      <w:r>
        <w:rPr>
          <w:rFonts w:ascii="黑体" w:hAnsi="黑体" w:eastAsia="黑体" w:cs="黑体"/>
          <w:b/>
        </w:rPr>
        <w:t>五、一般公共预算财政拨款支出决算表</w:t>
      </w:r>
      <w:bookmarkEnd w:id="41"/>
      <w:bookmarkEnd w:id="42"/>
      <w:bookmarkEnd w:id="43"/>
      <w:bookmarkEnd w:id="44"/>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4"/>
        <w:tblW w:w="10506" w:type="dxa"/>
        <w:tblInd w:w="0" w:type="dxa"/>
        <w:tblLayout w:type="fixed"/>
        <w:tblCellMar>
          <w:top w:w="15" w:type="dxa"/>
          <w:left w:w="15" w:type="dxa"/>
          <w:bottom w:w="15" w:type="dxa"/>
          <w:right w:w="15" w:type="dxa"/>
        </w:tblCellMar>
      </w:tblPr>
      <w:tblGrid>
        <w:gridCol w:w="1353"/>
        <w:gridCol w:w="5251"/>
        <w:gridCol w:w="1189"/>
        <w:gridCol w:w="1353"/>
        <w:gridCol w:w="1360"/>
      </w:tblGrid>
      <w:tr>
        <w:tblPrEx>
          <w:tblLayout w:type="fixed"/>
          <w:tblCellMar>
            <w:top w:w="15" w:type="dxa"/>
            <w:left w:w="15" w:type="dxa"/>
            <w:bottom w:w="15" w:type="dxa"/>
            <w:right w:w="15" w:type="dxa"/>
          </w:tblCellMar>
        </w:tblPrEx>
        <w:trPr>
          <w:tblHeader/>
        </w:trPr>
        <w:tc>
          <w:tcPr>
            <w:tcW w:w="10506" w:type="dxa"/>
            <w:gridSpan w:val="5"/>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一般公共预算财政拨款支出决算表</w:t>
            </w:r>
          </w:p>
        </w:tc>
      </w:tr>
      <w:tr>
        <w:tblPrEx>
          <w:tblLayout w:type="fixed"/>
          <w:tblCellMar>
            <w:top w:w="15" w:type="dxa"/>
            <w:left w:w="15" w:type="dxa"/>
            <w:bottom w:w="15" w:type="dxa"/>
            <w:right w:w="15" w:type="dxa"/>
          </w:tblCellMar>
        </w:tblPrEx>
        <w:tc>
          <w:tcPr>
            <w:tcW w:w="1050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660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390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w:t>
            </w:r>
          </w:p>
        </w:tc>
      </w:tr>
      <w:tr>
        <w:tblPrEx>
          <w:tblLayout w:type="fixed"/>
          <w:tblCellMar>
            <w:top w:w="15" w:type="dxa"/>
            <w:left w:w="15" w:type="dxa"/>
            <w:bottom w:w="15" w:type="dxa"/>
            <w:right w:w="15" w:type="dxa"/>
          </w:tblCellMar>
        </w:tblPrEx>
        <w:trPr>
          <w:trHeight w:val="299" w:hRule="atLeast"/>
          <w:tblHeader/>
        </w:trPr>
        <w:tc>
          <w:tcPr>
            <w:tcW w:w="13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科目代码</w:t>
            </w:r>
          </w:p>
        </w:tc>
        <w:tc>
          <w:tcPr>
            <w:tcW w:w="525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18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p>
        </w:tc>
        <w:tc>
          <w:tcPr>
            <w:tcW w:w="13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p>
        </w:tc>
        <w:tc>
          <w:tcPr>
            <w:tcW w:w="13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r>
      <w:tr>
        <w:tblPrEx>
          <w:tblLayout w:type="fixed"/>
          <w:tblCellMar>
            <w:top w:w="15" w:type="dxa"/>
            <w:left w:w="15" w:type="dxa"/>
            <w:bottom w:w="15" w:type="dxa"/>
            <w:right w:w="15" w:type="dxa"/>
          </w:tblCellMar>
        </w:tblPrEx>
        <w:trPr>
          <w:trHeight w:val="299" w:hRule="atLeast"/>
          <w:tblHeader/>
        </w:trPr>
        <w:tc>
          <w:tcPr>
            <w:tcW w:w="13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25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8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6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blHeader/>
        </w:trPr>
        <w:tc>
          <w:tcPr>
            <w:tcW w:w="135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25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r>
      <w:tr>
        <w:tblPrEx>
          <w:tblLayout w:type="fixed"/>
          <w:tblCellMar>
            <w:top w:w="15" w:type="dxa"/>
            <w:left w:w="15" w:type="dxa"/>
            <w:bottom w:w="15" w:type="dxa"/>
            <w:right w:w="15" w:type="dxa"/>
          </w:tblCellMar>
        </w:tblPrEx>
        <w:tc>
          <w:tcPr>
            <w:tcW w:w="660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2,099.07</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1,887.67</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211.4</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1,885.1</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1,673.7</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211.4</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普通教育</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351.51</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2050201</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学前教育</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229.26</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2050299</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其他普通教育支出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122.25</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特殊教育</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1,444.44</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45.3</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2050701</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特殊学校教育</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1,489.74</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1,444.44</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45.3</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教育费附加安排的支出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2050999</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其他教育费附加安排的支出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43.84</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社会保障和就业支出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行政事业单位养老支出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134.17</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2080502</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事业单位离退休</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2080505</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2080506</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机关事业单位职业年金缴费支出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卫生健康支出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行政事业单位医疗</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51.2</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2101102</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事业单位医疗</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2101199</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其他行政事业单位医疗支出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17.31</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住房保障支出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住房改革支出</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2210203</w:t>
            </w:r>
          </w:p>
        </w:tc>
        <w:tc>
          <w:tcPr>
            <w:tcW w:w="52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购房补贴</w:t>
            </w:r>
          </w:p>
        </w:tc>
        <w:tc>
          <w:tcPr>
            <w:tcW w:w="11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28.6</w:t>
            </w:r>
          </w:p>
        </w:tc>
        <w:tc>
          <w:tcPr>
            <w:tcW w:w="13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506" w:type="dxa"/>
            <w:gridSpan w:val="5"/>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注：本表反映部门本年度一般公共预算财政拨款支出情况。</w:t>
            </w:r>
          </w:p>
        </w:tc>
      </w:tr>
    </w:tbl>
    <w:p>
      <w:pPr>
        <w:widowControl/>
        <w:jc w:val="left"/>
        <w:rPr>
          <w:rFonts w:eastAsia="Times New Roman"/>
          <w:kern w:val="0"/>
          <w:sz w:val="24"/>
        </w:rPr>
      </w:pPr>
      <w:r>
        <w:rPr>
          <w:rFonts w:eastAsia="Times New Roman"/>
          <w:kern w:val="0"/>
          <w:sz w:val="24"/>
        </w:rPr>
        <w:t> </w:t>
      </w:r>
    </w:p>
    <w:p>
      <w:pPr>
        <w:pStyle w:val="31"/>
        <w:widowControl/>
        <w:spacing w:before="100" w:after="100"/>
        <w:jc w:val="left"/>
        <w:rPr>
          <w:rFonts w:eastAsia="Times New Roman"/>
          <w:kern w:val="0"/>
          <w:sz w:val="24"/>
        </w:rPr>
      </w:pPr>
      <w:r>
        <w:rPr>
          <w:rFonts w:ascii="宋体" w:hAnsi="宋体" w:cs="宋体"/>
          <w:kern w:val="0"/>
          <w:sz w:val="24"/>
        </w:rPr>
        <w:t> </w:t>
      </w:r>
    </w:p>
    <w:p>
      <w:pPr>
        <w:pStyle w:val="6"/>
        <w:keepNext w:val="0"/>
        <w:keepLines w:val="0"/>
        <w:spacing w:before="100" w:after="100" w:line="240" w:lineRule="auto"/>
        <w:ind w:firstLine="0" w:firstLineChars="0"/>
        <w:rPr>
          <w:rFonts w:eastAsia="Times New Roman"/>
          <w:b/>
          <w:sz w:val="28"/>
          <w:szCs w:val="28"/>
        </w:rPr>
      </w:pPr>
      <w:bookmarkStart w:id="45" w:name="_Toc256000105"/>
      <w:bookmarkStart w:id="46" w:name="_Toc256000012"/>
      <w:bookmarkStart w:id="47" w:name="_Toc256000074"/>
      <w:bookmarkStart w:id="48" w:name="_Toc256000043"/>
      <w:r>
        <w:rPr>
          <w:rFonts w:ascii="黑体" w:hAnsi="黑体" w:eastAsia="黑体" w:cs="黑体"/>
          <w:b/>
        </w:rPr>
        <w:br w:type="page"/>
      </w:r>
      <w:r>
        <w:rPr>
          <w:rFonts w:ascii="黑体" w:hAnsi="黑体" w:eastAsia="黑体" w:cs="黑体"/>
          <w:b/>
        </w:rPr>
        <w:t>六、一般公共预算财政拨款基本支出决算表</w:t>
      </w:r>
      <w:bookmarkEnd w:id="45"/>
      <w:bookmarkEnd w:id="46"/>
      <w:bookmarkEnd w:id="47"/>
      <w:bookmarkEnd w:id="48"/>
    </w:p>
    <w:p>
      <w:pPr>
        <w:widowControl/>
        <w:spacing w:before="240" w:after="240"/>
        <w:jc w:val="left"/>
        <w:rPr>
          <w:rFonts w:eastAsia="Times New Roman"/>
          <w:vanish/>
          <w:kern w:val="0"/>
          <w:sz w:val="24"/>
        </w:rPr>
      </w:pPr>
      <w:r>
        <w:rPr>
          <w:rFonts w:eastAsia="Times New Roman"/>
          <w:vanish/>
          <w:kern w:val="0"/>
          <w:sz w:val="24"/>
        </w:rPr>
        <w:t>word horizontal layout</w:t>
      </w:r>
    </w:p>
    <w:tbl>
      <w:tblPr>
        <w:tblStyle w:val="24"/>
        <w:tblW w:w="10506" w:type="dxa"/>
        <w:tblInd w:w="0" w:type="dxa"/>
        <w:tblLayout w:type="fixed"/>
        <w:tblCellMar>
          <w:top w:w="15" w:type="dxa"/>
          <w:left w:w="15" w:type="dxa"/>
          <w:bottom w:w="15" w:type="dxa"/>
          <w:right w:w="15" w:type="dxa"/>
        </w:tblCellMar>
      </w:tblPr>
      <w:tblGrid>
        <w:gridCol w:w="1143"/>
        <w:gridCol w:w="1724"/>
        <w:gridCol w:w="954"/>
        <w:gridCol w:w="1144"/>
        <w:gridCol w:w="1315"/>
        <w:gridCol w:w="759"/>
        <w:gridCol w:w="1144"/>
        <w:gridCol w:w="1694"/>
        <w:gridCol w:w="629"/>
      </w:tblGrid>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一般公共预算财政拨款基本支出决算表</w:t>
            </w:r>
          </w:p>
        </w:tc>
      </w:tr>
      <w:tr>
        <w:tblPrEx>
          <w:tblLayout w:type="fixed"/>
          <w:tblCellMar>
            <w:top w:w="15" w:type="dxa"/>
            <w:left w:w="15" w:type="dxa"/>
            <w:bottom w:w="15" w:type="dxa"/>
            <w:right w:w="15" w:type="dxa"/>
          </w:tblCellMar>
        </w:tblPrEx>
        <w:trPr>
          <w:tblHeader/>
        </w:trPr>
        <w:tc>
          <w:tcPr>
            <w:tcW w:w="10506" w:type="dxa"/>
            <w:gridSpan w:val="9"/>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rHeight w:val="299" w:hRule="atLeast"/>
          <w:tblHeader/>
        </w:trPr>
        <w:tc>
          <w:tcPr>
            <w:tcW w:w="114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172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9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11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131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7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c>
          <w:tcPr>
            <w:tcW w:w="11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经济分类科目编码</w:t>
            </w:r>
          </w:p>
        </w:tc>
        <w:tc>
          <w:tcPr>
            <w:tcW w:w="16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6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金额</w:t>
            </w:r>
          </w:p>
        </w:tc>
      </w:tr>
      <w:tr>
        <w:tblPrEx>
          <w:tblLayout w:type="fixed"/>
          <w:tblCellMar>
            <w:top w:w="15" w:type="dxa"/>
            <w:left w:w="15" w:type="dxa"/>
            <w:bottom w:w="15" w:type="dxa"/>
            <w:right w:w="15" w:type="dxa"/>
          </w:tblCellMar>
        </w:tblPrEx>
        <w:trPr>
          <w:trHeight w:val="299" w:hRule="atLeast"/>
          <w:tblHeader/>
        </w:trPr>
        <w:tc>
          <w:tcPr>
            <w:tcW w:w="114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72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31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5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69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62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工资福利支出</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1,555.47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商品和服务支出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302.24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30703</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国内债务发行费用</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30101</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基本工资</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126.76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30201</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办公费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57.82</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30704</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国外债务发行费用</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30102</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津贴补贴</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235.04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30202</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印刷费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资本性支出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19.59</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30103</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奖金</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329.09</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30203</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咨询费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31001</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房屋建筑物购建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30106</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伙食补助费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30204</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手续费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31002</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办公设备购置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13.79</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30107</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绩效工资</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102.96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30205</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水费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3.04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31003</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专用设备购置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30108</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机关事业单位基本养老保险缴费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79.15</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30206</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电费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14.27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31005</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基础设施建设</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30109</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职业年金缴费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49.57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30207</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邮电费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0.49</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31006</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大型修缮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30110</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职工基本医疗保险缴费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33.88</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30208</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取暖费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31007</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信息网络及软件购置更新</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30111</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公务员医疗补助缴费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30209</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物业管理费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31008</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物资储备</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30112</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其他社会保障缴费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23.36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30211</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差旅费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0.71</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31009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土地补偿</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30113</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住房公积金</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90.83</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30212</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因公出国（境）费用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31010</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安置补助</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30114</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医疗费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30213</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维修（护）费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133.4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31011</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地上附着物和青苗补偿</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30199</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其他工资福利支出</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484.84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30214</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租赁费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31012</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拆迁补偿</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对个人和家庭的补助</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10.37</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30215</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会议费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31013</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公务用车购置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30301</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离休费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30216</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培训费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14.15</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31019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其他交通工具购置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30302</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退休费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30217</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公务接待费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31021</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文物和陈列品购置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30303</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退职（役）费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30218</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专用材料费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22.61</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31022</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无形资产购置</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5.8</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30304</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抚恤金</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30224</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被装购置费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31099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其他资本性支出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30305</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生活补助</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30225</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专用燃料费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对企业补助</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30306</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救济费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30226</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劳务费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8.09</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31201</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资本金注入</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30307</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医疗费补助</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30227</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委托业务费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31203</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政府投资基金股权投资</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30308</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助学金</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30228</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工会经费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22.14</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31204</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费用补贴</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30309</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奖励金</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4.92</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30229</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福利费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2.56</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31205</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利息补贴</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30310</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个人农业生产补贴</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30231</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公务用车运行维护费</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31206</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其他资本性补助</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30311</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代缴社会保险费</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30239</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其他交通费用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0.63</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31299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其他对企业补助</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30399</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其他对个人和家庭的补助</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5.45</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30240</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税金及附加费用</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其他支出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30299</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其他商品和服务支出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22.32</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39907</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国家赔偿费用支出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债务利息及费用支出</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39908</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对民间非营利组织和群众性自治组织补贴</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30701</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国内债务付息</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39909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经常性赠与</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30702</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国外债务付息</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39910</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资本性赠与</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11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31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7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39999</w:t>
            </w:r>
          </w:p>
        </w:tc>
        <w:tc>
          <w:tcPr>
            <w:tcW w:w="16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ascii="宋体" w:hAnsi="宋体" w:cs="宋体"/>
                <w:color w:val="000000"/>
                <w:kern w:val="0"/>
                <w:sz w:val="26"/>
                <w:szCs w:val="26"/>
              </w:rPr>
              <w:t>其他支出</w:t>
            </w:r>
          </w:p>
        </w:tc>
        <w:tc>
          <w:tcPr>
            <w:tcW w:w="6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rPr>
          <w:tblHeader/>
        </w:trPr>
        <w:tc>
          <w:tcPr>
            <w:tcW w:w="286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人员经费合计</w:t>
            </w:r>
            <w:r>
              <w:rPr>
                <w:rFonts w:eastAsia="Times New Roman"/>
                <w:color w:val="000000"/>
                <w:kern w:val="0"/>
                <w:sz w:val="26"/>
                <w:szCs w:val="26"/>
              </w:rPr>
              <w:t xml:space="preserve"> </w:t>
            </w:r>
          </w:p>
        </w:tc>
        <w:tc>
          <w:tcPr>
            <w:tcW w:w="9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1,565.84</w:t>
            </w:r>
          </w:p>
        </w:tc>
        <w:tc>
          <w:tcPr>
            <w:tcW w:w="4362"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公用经费合计</w:t>
            </w:r>
          </w:p>
        </w:tc>
        <w:tc>
          <w:tcPr>
            <w:tcW w:w="2323"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321.83</w:t>
            </w:r>
          </w:p>
        </w:tc>
      </w:tr>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注：本表反映部门本年度一般公共预算财政拨款基本支出明细情况。</w:t>
            </w:r>
          </w:p>
        </w:tc>
      </w:tr>
    </w:tbl>
    <w:p>
      <w:pPr>
        <w:widowControl/>
        <w:jc w:val="left"/>
        <w:rPr>
          <w:rFonts w:eastAsia="Times New Roman"/>
          <w:kern w:val="0"/>
          <w:sz w:val="24"/>
        </w:rPr>
      </w:pPr>
      <w:r>
        <w:rPr>
          <w:rFonts w:eastAsia="Times New Roman"/>
          <w:kern w:val="0"/>
          <w:sz w:val="24"/>
        </w:rPr>
        <w:t> </w:t>
      </w:r>
    </w:p>
    <w:p>
      <w:pPr>
        <w:pStyle w:val="6"/>
        <w:keepNext w:val="0"/>
        <w:keepLines w:val="0"/>
        <w:spacing w:before="100" w:after="100" w:line="240" w:lineRule="auto"/>
        <w:ind w:left="0" w:leftChars="0" w:firstLine="0" w:firstLineChars="0"/>
        <w:rPr>
          <w:rFonts w:eastAsia="Times New Roman"/>
          <w:b/>
          <w:sz w:val="28"/>
          <w:szCs w:val="28"/>
        </w:rPr>
      </w:pPr>
      <w:r>
        <w:rPr>
          <w:rFonts w:ascii="黑体" w:hAnsi="黑体" w:eastAsia="黑体" w:cs="黑体"/>
          <w:b/>
        </w:rPr>
        <w:t>七、一般公共预算财政拨款“三公”经费支出决算表</w:t>
      </w:r>
    </w:p>
    <w:p>
      <w:pPr>
        <w:widowControl/>
        <w:spacing w:before="240" w:after="240"/>
        <w:jc w:val="left"/>
        <w:rPr>
          <w:rFonts w:eastAsia="Times New Roman"/>
          <w:vanish/>
          <w:kern w:val="0"/>
          <w:sz w:val="24"/>
        </w:rPr>
      </w:pPr>
      <w:r>
        <w:rPr>
          <w:rFonts w:eastAsia="Times New Roman"/>
          <w:vanish/>
          <w:kern w:val="0"/>
          <w:sz w:val="24"/>
        </w:rPr>
        <w:t>word horizontal layout</w:t>
      </w:r>
    </w:p>
    <w:p>
      <w:pPr>
        <w:widowControl/>
        <w:jc w:val="left"/>
        <w:rPr>
          <w:rFonts w:eastAsia="Times New Roman"/>
          <w:kern w:val="0"/>
          <w:sz w:val="24"/>
        </w:rPr>
      </w:pPr>
      <w:r>
        <w:rPr>
          <w:rFonts w:eastAsia="Times New Roman"/>
          <w:kern w:val="0"/>
          <w:sz w:val="24"/>
        </w:rPr>
        <w:t> </w:t>
      </w:r>
    </w:p>
    <w:tbl>
      <w:tblPr>
        <w:tblStyle w:val="24"/>
        <w:tblpPr w:leftFromText="180" w:rightFromText="180" w:vertAnchor="text" w:horzAnchor="page" w:tblpX="673" w:tblpY="334"/>
        <w:tblOverlap w:val="never"/>
        <w:tblW w:w="10506" w:type="dxa"/>
        <w:tblInd w:w="0" w:type="dxa"/>
        <w:tblLayout w:type="fixed"/>
        <w:tblCellMar>
          <w:top w:w="15" w:type="dxa"/>
          <w:left w:w="15" w:type="dxa"/>
          <w:bottom w:w="15" w:type="dxa"/>
          <w:right w:w="15" w:type="dxa"/>
        </w:tblCellMar>
      </w:tblPr>
      <w:tblGrid>
        <w:gridCol w:w="435"/>
        <w:gridCol w:w="1458"/>
        <w:gridCol w:w="437"/>
        <w:gridCol w:w="971"/>
        <w:gridCol w:w="1185"/>
        <w:gridCol w:w="767"/>
        <w:gridCol w:w="437"/>
        <w:gridCol w:w="1458"/>
        <w:gridCol w:w="437"/>
        <w:gridCol w:w="971"/>
        <w:gridCol w:w="1185"/>
        <w:gridCol w:w="765"/>
      </w:tblGrid>
      <w:tr>
        <w:tblPrEx>
          <w:tblLayout w:type="fixed"/>
          <w:tblCellMar>
            <w:top w:w="15" w:type="dxa"/>
            <w:left w:w="15" w:type="dxa"/>
            <w:bottom w:w="15" w:type="dxa"/>
            <w:right w:w="15" w:type="dxa"/>
          </w:tblCellMar>
        </w:tblPrEx>
        <w:trPr>
          <w:tblHeader/>
        </w:trPr>
        <w:tc>
          <w:tcPr>
            <w:tcW w:w="10506" w:type="dxa"/>
            <w:gridSpan w:val="12"/>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bookmarkStart w:id="49" w:name="_Toc256000044"/>
            <w:bookmarkStart w:id="50" w:name="_Toc256000075"/>
            <w:bookmarkStart w:id="51" w:name="_Toc256000106"/>
            <w:bookmarkStart w:id="52" w:name="_Toc256000013"/>
            <w:r>
              <w:rPr>
                <w:rFonts w:ascii="宋体" w:hAnsi="宋体" w:cs="宋体"/>
                <w:color w:val="000000"/>
                <w:kern w:val="0"/>
                <w:sz w:val="27"/>
                <w:szCs w:val="27"/>
              </w:rPr>
              <w:t>一般公共预算财政拨款</w:t>
            </w:r>
            <w:r>
              <w:rPr>
                <w:rFonts w:eastAsia="Times New Roman"/>
                <w:color w:val="000000"/>
                <w:kern w:val="0"/>
                <w:sz w:val="27"/>
                <w:szCs w:val="27"/>
              </w:rPr>
              <w:t>“</w:t>
            </w:r>
            <w:r>
              <w:rPr>
                <w:rFonts w:ascii="宋体" w:hAnsi="宋体" w:cs="宋体"/>
                <w:color w:val="000000"/>
                <w:kern w:val="0"/>
                <w:sz w:val="27"/>
                <w:szCs w:val="27"/>
              </w:rPr>
              <w:t>三公</w:t>
            </w:r>
            <w:r>
              <w:rPr>
                <w:rFonts w:eastAsia="Times New Roman"/>
                <w:color w:val="000000"/>
                <w:kern w:val="0"/>
                <w:sz w:val="27"/>
                <w:szCs w:val="27"/>
              </w:rPr>
              <w:t>”</w:t>
            </w:r>
            <w:r>
              <w:rPr>
                <w:rFonts w:ascii="宋体" w:hAnsi="宋体" w:cs="宋体"/>
                <w:color w:val="000000"/>
                <w:kern w:val="0"/>
                <w:sz w:val="27"/>
                <w:szCs w:val="27"/>
              </w:rPr>
              <w:t>经费支出决算</w:t>
            </w:r>
          </w:p>
        </w:tc>
      </w:tr>
      <w:tr>
        <w:tblPrEx>
          <w:tblLayout w:type="fixed"/>
          <w:tblCellMar>
            <w:top w:w="15" w:type="dxa"/>
            <w:left w:w="15" w:type="dxa"/>
            <w:bottom w:w="15" w:type="dxa"/>
            <w:right w:w="15" w:type="dxa"/>
          </w:tblCellMar>
        </w:tblPrEx>
        <w:tc>
          <w:tcPr>
            <w:tcW w:w="10506" w:type="dxa"/>
            <w:gridSpan w:val="1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525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预算数</w:t>
            </w:r>
          </w:p>
        </w:tc>
        <w:tc>
          <w:tcPr>
            <w:tcW w:w="525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决算数</w:t>
            </w:r>
          </w:p>
        </w:tc>
      </w:tr>
      <w:tr>
        <w:tblPrEx>
          <w:tblLayout w:type="fixed"/>
          <w:tblCellMar>
            <w:top w:w="15" w:type="dxa"/>
            <w:left w:w="15" w:type="dxa"/>
            <w:bottom w:w="15" w:type="dxa"/>
            <w:right w:w="15" w:type="dxa"/>
          </w:tblCellMar>
        </w:tblPrEx>
        <w:trPr>
          <w:tblHeader/>
        </w:trPr>
        <w:tc>
          <w:tcPr>
            <w:tcW w:w="4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4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259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7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c>
          <w:tcPr>
            <w:tcW w:w="4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4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因公出国</w:t>
            </w:r>
            <w:r>
              <w:rPr>
                <w:rFonts w:eastAsia="Times New Roman"/>
                <w:color w:val="000000"/>
                <w:kern w:val="0"/>
                <w:sz w:val="26"/>
                <w:szCs w:val="26"/>
              </w:rPr>
              <w:t xml:space="preserve"> </w:t>
            </w:r>
            <w:r>
              <w:rPr>
                <w:rFonts w:ascii="宋体" w:hAnsi="宋体" w:cs="宋体"/>
                <w:color w:val="000000"/>
                <w:kern w:val="0"/>
                <w:sz w:val="26"/>
                <w:szCs w:val="26"/>
              </w:rPr>
              <w:t>（境）费</w:t>
            </w:r>
          </w:p>
        </w:tc>
        <w:tc>
          <w:tcPr>
            <w:tcW w:w="259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公务用车购置及运行维护费</w:t>
            </w:r>
          </w:p>
        </w:tc>
        <w:tc>
          <w:tcPr>
            <w:tcW w:w="76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公务接待费</w:t>
            </w:r>
          </w:p>
        </w:tc>
      </w:tr>
      <w:tr>
        <w:tblPrEx>
          <w:tblLayout w:type="fixed"/>
          <w:tblCellMar>
            <w:top w:w="15" w:type="dxa"/>
            <w:left w:w="15" w:type="dxa"/>
            <w:bottom w:w="15" w:type="dxa"/>
            <w:right w:w="15" w:type="dxa"/>
          </w:tblCellMar>
        </w:tblPrEx>
        <w:trPr>
          <w:trHeight w:val="299" w:hRule="atLeast"/>
          <w:tblHeader/>
        </w:trPr>
        <w:tc>
          <w:tcPr>
            <w:tcW w:w="4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4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9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11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76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4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r>
              <w:rPr>
                <w:rFonts w:eastAsia="Times New Roman"/>
                <w:color w:val="000000"/>
                <w:kern w:val="0"/>
                <w:sz w:val="26"/>
                <w:szCs w:val="26"/>
              </w:rPr>
              <w:t xml:space="preserve"> </w:t>
            </w:r>
          </w:p>
        </w:tc>
        <w:tc>
          <w:tcPr>
            <w:tcW w:w="9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公务用车购置费</w:t>
            </w:r>
          </w:p>
        </w:tc>
        <w:tc>
          <w:tcPr>
            <w:tcW w:w="11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公务用车运行维护费</w:t>
            </w:r>
          </w:p>
        </w:tc>
        <w:tc>
          <w:tcPr>
            <w:tcW w:w="76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43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4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7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8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6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45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4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97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18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76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9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1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7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7</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8</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9</w:t>
            </w:r>
          </w:p>
        </w:tc>
        <w:tc>
          <w:tcPr>
            <w:tcW w:w="9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10</w:t>
            </w:r>
          </w:p>
        </w:tc>
        <w:tc>
          <w:tcPr>
            <w:tcW w:w="11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11</w:t>
            </w:r>
          </w:p>
        </w:tc>
        <w:tc>
          <w:tcPr>
            <w:tcW w:w="7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12</w:t>
            </w:r>
          </w:p>
        </w:tc>
      </w:tr>
      <w:tr>
        <w:tblPrEx>
          <w:tblLayout w:type="fixed"/>
          <w:tblCellMar>
            <w:top w:w="15" w:type="dxa"/>
            <w:left w:w="15" w:type="dxa"/>
            <w:bottom w:w="15" w:type="dxa"/>
            <w:right w:w="15" w:type="dxa"/>
          </w:tblCellMar>
        </w:tblPrEx>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r>
              <w:rPr>
                <w:rFonts w:eastAsia="Times New Roman"/>
                <w:color w:val="000000"/>
                <w:kern w:val="0"/>
                <w:sz w:val="26"/>
                <w:szCs w:val="26"/>
              </w:rPr>
              <w:t> </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9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11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7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145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4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9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11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c>
          <w:tcPr>
            <w:tcW w:w="7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hint="eastAsia" w:eastAsia="宋体"/>
                <w:color w:val="000000"/>
                <w:kern w:val="0"/>
                <w:sz w:val="26"/>
                <w:szCs w:val="26"/>
                <w:lang w:val="en-US" w:eastAsia="zh-CN"/>
              </w:rPr>
              <w:t>0</w:t>
            </w:r>
          </w:p>
        </w:tc>
      </w:tr>
      <w:tr>
        <w:tblPrEx>
          <w:tblLayout w:type="fixed"/>
          <w:tblCellMar>
            <w:top w:w="15" w:type="dxa"/>
            <w:left w:w="15" w:type="dxa"/>
            <w:bottom w:w="15" w:type="dxa"/>
            <w:right w:w="15" w:type="dxa"/>
          </w:tblCellMar>
        </w:tblPrEx>
        <w:tc>
          <w:tcPr>
            <w:tcW w:w="10506" w:type="dxa"/>
            <w:gridSpan w:val="12"/>
            <w:tcMar>
              <w:top w:w="20" w:type="dxa"/>
              <w:left w:w="20" w:type="dxa"/>
              <w:bottom w:w="20" w:type="dxa"/>
              <w:right w:w="20" w:type="dxa"/>
            </w:tcMar>
            <w:vAlign w:val="center"/>
          </w:tcPr>
          <w:p>
            <w:pPr>
              <w:widowControl/>
              <w:spacing w:line="375" w:lineRule="atLeast"/>
              <w:jc w:val="left"/>
              <w:rPr>
                <w:rFonts w:eastAsia="Times New Roman"/>
                <w:color w:val="000000"/>
                <w:kern w:val="0"/>
                <w:sz w:val="26"/>
                <w:szCs w:val="26"/>
              </w:rPr>
            </w:pPr>
            <w:r>
              <w:rPr>
                <w:rFonts w:ascii="宋体" w:hAnsi="宋体" w:cs="宋体"/>
                <w:color w:val="000000"/>
                <w:kern w:val="0"/>
                <w:sz w:val="26"/>
                <w:szCs w:val="26"/>
              </w:rPr>
              <w:t>注：本表反映部门本年度财政拨款</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经费支出预决算情况。其中，预算数为</w:t>
            </w:r>
            <w:r>
              <w:rPr>
                <w:rFonts w:eastAsia="Times New Roman"/>
                <w:color w:val="000000"/>
                <w:kern w:val="0"/>
                <w:sz w:val="26"/>
                <w:szCs w:val="26"/>
              </w:rPr>
              <w:t>“</w:t>
            </w:r>
            <w:r>
              <w:rPr>
                <w:rFonts w:ascii="宋体" w:hAnsi="宋体" w:cs="宋体"/>
                <w:color w:val="000000"/>
                <w:kern w:val="0"/>
                <w:sz w:val="26"/>
                <w:szCs w:val="26"/>
              </w:rPr>
              <w:t>三公</w:t>
            </w:r>
            <w:r>
              <w:rPr>
                <w:rFonts w:eastAsia="Times New Roman"/>
                <w:color w:val="000000"/>
                <w:kern w:val="0"/>
                <w:sz w:val="26"/>
                <w:szCs w:val="26"/>
              </w:rPr>
              <w:t>”</w:t>
            </w:r>
            <w:r>
              <w:rPr>
                <w:rFonts w:ascii="宋体" w:hAnsi="宋体" w:cs="宋体"/>
                <w:color w:val="000000"/>
                <w:kern w:val="0"/>
                <w:sz w:val="26"/>
                <w:szCs w:val="26"/>
              </w:rPr>
              <w:t>经费全年预算数，反映按规定程序调整后的预算数；决算数是包括当年财政拨款和以前年度结转资金安排的实际支出。</w:t>
            </w:r>
          </w:p>
        </w:tc>
      </w:tr>
      <w:bookmarkEnd w:id="49"/>
      <w:bookmarkEnd w:id="50"/>
      <w:bookmarkEnd w:id="51"/>
      <w:bookmarkEnd w:id="52"/>
    </w:tbl>
    <w:p>
      <w:pPr>
        <w:pStyle w:val="6"/>
        <w:keepNext w:val="0"/>
        <w:keepLines w:val="0"/>
        <w:spacing w:before="100" w:after="100" w:line="240" w:lineRule="auto"/>
        <w:ind w:firstLine="0" w:firstLineChars="0"/>
        <w:rPr>
          <w:rFonts w:hint="eastAsia" w:ascii="仿宋" w:hAnsi="仿宋" w:eastAsia="仿宋" w:cs="仿宋"/>
          <w:kern w:val="0"/>
          <w:sz w:val="32"/>
          <w:szCs w:val="32"/>
        </w:rPr>
      </w:pPr>
      <w:bookmarkStart w:id="53" w:name="_Toc256000107"/>
      <w:bookmarkStart w:id="54" w:name="_Toc256000045"/>
      <w:bookmarkStart w:id="55" w:name="_Toc256000076"/>
      <w:bookmarkStart w:id="56" w:name="_Toc256000014"/>
    </w:p>
    <w:p>
      <w:pPr>
        <w:widowControl/>
        <w:spacing w:before="100" w:after="100" w:line="600" w:lineRule="atLeas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rPr>
        <w:t>本单位 2024 年度没有使用一般公共预算财政拨款安排的“三公”经费支出</w:t>
      </w:r>
      <w:r>
        <w:rPr>
          <w:rFonts w:hint="eastAsia" w:ascii="仿宋" w:hAnsi="仿宋" w:eastAsia="仿宋" w:cs="仿宋"/>
          <w:kern w:val="0"/>
          <w:sz w:val="32"/>
          <w:szCs w:val="32"/>
          <w:lang w:eastAsia="zh-CN"/>
        </w:rPr>
        <w:t>。</w:t>
      </w:r>
    </w:p>
    <w:p>
      <w:pPr>
        <w:pStyle w:val="6"/>
        <w:keepNext w:val="0"/>
        <w:keepLines w:val="0"/>
        <w:spacing w:before="100" w:after="100" w:line="240" w:lineRule="auto"/>
        <w:ind w:firstLine="0" w:firstLineChars="0"/>
        <w:rPr>
          <w:rFonts w:eastAsia="Times New Roman"/>
          <w:b/>
          <w:sz w:val="28"/>
          <w:szCs w:val="28"/>
        </w:rPr>
      </w:pPr>
      <w:r>
        <w:rPr>
          <w:rFonts w:ascii="黑体" w:hAnsi="黑体" w:eastAsia="黑体" w:cs="黑体"/>
          <w:b/>
        </w:rPr>
        <w:t>八、政府性基金预算财政拨款收入支出决算表</w:t>
      </w:r>
    </w:p>
    <w:tbl>
      <w:tblPr>
        <w:tblStyle w:val="24"/>
        <w:tblpPr w:leftFromText="180" w:rightFromText="180" w:vertAnchor="text" w:horzAnchor="page" w:tblpX="780" w:tblpY="162"/>
        <w:tblOverlap w:val="never"/>
        <w:tblW w:w="10506" w:type="dxa"/>
        <w:tblInd w:w="0" w:type="dxa"/>
        <w:tblLayout w:type="fixed"/>
        <w:tblCellMar>
          <w:top w:w="15" w:type="dxa"/>
          <w:left w:w="15" w:type="dxa"/>
          <w:bottom w:w="15" w:type="dxa"/>
          <w:right w:w="15" w:type="dxa"/>
        </w:tblCellMar>
      </w:tblPr>
      <w:tblGrid>
        <w:gridCol w:w="2441"/>
        <w:gridCol w:w="1016"/>
        <w:gridCol w:w="1729"/>
        <w:gridCol w:w="1016"/>
        <w:gridCol w:w="541"/>
        <w:gridCol w:w="1016"/>
        <w:gridCol w:w="1017"/>
        <w:gridCol w:w="1730"/>
      </w:tblGrid>
      <w:tr>
        <w:tblPrEx>
          <w:tblLayout w:type="fixed"/>
          <w:tblCellMar>
            <w:top w:w="15" w:type="dxa"/>
            <w:left w:w="15" w:type="dxa"/>
            <w:bottom w:w="15" w:type="dxa"/>
            <w:right w:w="15" w:type="dxa"/>
          </w:tblCellMar>
        </w:tblPrEx>
        <w:trPr>
          <w:tblHeader/>
        </w:trPr>
        <w:tc>
          <w:tcPr>
            <w:tcW w:w="10506" w:type="dxa"/>
            <w:gridSpan w:val="8"/>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c>
          <w:tcPr>
            <w:tcW w:w="10506" w:type="dxa"/>
            <w:gridSpan w:val="8"/>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34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w:t>
            </w:r>
          </w:p>
        </w:tc>
        <w:tc>
          <w:tcPr>
            <w:tcW w:w="172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年初结转和结余</w:t>
            </w:r>
            <w:r>
              <w:rPr>
                <w:rFonts w:eastAsia="Times New Roman"/>
                <w:color w:val="000000"/>
                <w:kern w:val="0"/>
                <w:sz w:val="26"/>
                <w:szCs w:val="26"/>
              </w:rPr>
              <w:t xml:space="preserve"> </w:t>
            </w:r>
          </w:p>
        </w:tc>
        <w:tc>
          <w:tcPr>
            <w:tcW w:w="10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本年收入</w:t>
            </w:r>
          </w:p>
        </w:tc>
        <w:tc>
          <w:tcPr>
            <w:tcW w:w="257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本年支出</w:t>
            </w:r>
          </w:p>
        </w:tc>
        <w:tc>
          <w:tcPr>
            <w:tcW w:w="17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年末结转和结余</w:t>
            </w:r>
          </w:p>
        </w:tc>
      </w:tr>
      <w:tr>
        <w:tblPrEx>
          <w:tblLayout w:type="fixed"/>
          <w:tblCellMar>
            <w:top w:w="15" w:type="dxa"/>
            <w:left w:w="15" w:type="dxa"/>
            <w:bottom w:w="15" w:type="dxa"/>
            <w:right w:w="15" w:type="dxa"/>
          </w:tblCellMar>
        </w:tblPrEx>
        <w:trPr>
          <w:trHeight w:val="299" w:hRule="atLeast"/>
          <w:tblHeader/>
        </w:trPr>
        <w:tc>
          <w:tcPr>
            <w:tcW w:w="24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支出功能分类科目编码</w:t>
            </w:r>
          </w:p>
        </w:tc>
        <w:tc>
          <w:tcPr>
            <w:tcW w:w="10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科目名称</w:t>
            </w:r>
          </w:p>
        </w:tc>
        <w:tc>
          <w:tcPr>
            <w:tcW w:w="172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4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小计</w:t>
            </w:r>
          </w:p>
        </w:tc>
        <w:tc>
          <w:tcPr>
            <w:tcW w:w="10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基本支出</w:t>
            </w:r>
            <w:r>
              <w:rPr>
                <w:rFonts w:eastAsia="Times New Roman"/>
                <w:color w:val="000000"/>
                <w:kern w:val="0"/>
                <w:sz w:val="26"/>
                <w:szCs w:val="26"/>
              </w:rPr>
              <w:t xml:space="preserve"> </w:t>
            </w:r>
          </w:p>
        </w:tc>
        <w:tc>
          <w:tcPr>
            <w:tcW w:w="101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项目支出</w:t>
            </w:r>
          </w:p>
        </w:tc>
        <w:tc>
          <w:tcPr>
            <w:tcW w:w="17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rPr>
          <w:trHeight w:val="299" w:hRule="atLeast"/>
          <w:tblHeader/>
        </w:trPr>
        <w:tc>
          <w:tcPr>
            <w:tcW w:w="244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72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54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01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c>
          <w:tcPr>
            <w:tcW w:w="17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6"/>
                <w:szCs w:val="26"/>
              </w:rPr>
            </w:pPr>
          </w:p>
        </w:tc>
      </w:tr>
      <w:tr>
        <w:tblPrEx>
          <w:tblLayout w:type="fixed"/>
          <w:tblCellMar>
            <w:top w:w="15" w:type="dxa"/>
            <w:left w:w="15" w:type="dxa"/>
            <w:bottom w:w="15" w:type="dxa"/>
            <w:right w:w="15" w:type="dxa"/>
          </w:tblCellMar>
        </w:tblPrEx>
        <w:tc>
          <w:tcPr>
            <w:tcW w:w="34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栏次</w:t>
            </w:r>
          </w:p>
        </w:tc>
        <w:tc>
          <w:tcPr>
            <w:tcW w:w="17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1</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2</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3</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4</w:t>
            </w:r>
          </w:p>
        </w:tc>
        <w:tc>
          <w:tcPr>
            <w:tcW w:w="10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5</w:t>
            </w:r>
          </w:p>
        </w:tc>
        <w:tc>
          <w:tcPr>
            <w:tcW w:w="17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eastAsia="Times New Roman"/>
                <w:color w:val="000000"/>
                <w:kern w:val="0"/>
                <w:sz w:val="26"/>
                <w:szCs w:val="26"/>
              </w:rPr>
              <w:t>6</w:t>
            </w:r>
          </w:p>
        </w:tc>
      </w:tr>
      <w:tr>
        <w:tblPrEx>
          <w:tblLayout w:type="fixed"/>
          <w:tblCellMar>
            <w:top w:w="15" w:type="dxa"/>
            <w:left w:w="15" w:type="dxa"/>
            <w:bottom w:w="15" w:type="dxa"/>
            <w:right w:w="15" w:type="dxa"/>
          </w:tblCellMar>
        </w:tblPrEx>
        <w:tc>
          <w:tcPr>
            <w:tcW w:w="345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6"/>
                <w:szCs w:val="26"/>
              </w:rPr>
            </w:pPr>
            <w:r>
              <w:rPr>
                <w:rFonts w:ascii="宋体" w:hAnsi="宋体" w:cs="宋体"/>
                <w:color w:val="000000"/>
                <w:kern w:val="0"/>
                <w:sz w:val="26"/>
                <w:szCs w:val="26"/>
              </w:rPr>
              <w:t>合计</w:t>
            </w:r>
          </w:p>
        </w:tc>
        <w:tc>
          <w:tcPr>
            <w:tcW w:w="17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24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6"/>
                <w:szCs w:val="26"/>
              </w:rPr>
            </w:pPr>
            <w:r>
              <w:rPr>
                <w:rFonts w:eastAsia="Times New Roman"/>
                <w:color w:val="000000"/>
                <w:kern w:val="0"/>
                <w:sz w:val="26"/>
                <w:szCs w:val="26"/>
              </w:rPr>
              <w:t> </w:t>
            </w:r>
          </w:p>
        </w:tc>
        <w:tc>
          <w:tcPr>
            <w:tcW w:w="172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54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01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c>
          <w:tcPr>
            <w:tcW w:w="17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6"/>
                <w:szCs w:val="26"/>
              </w:rPr>
            </w:pPr>
            <w:r>
              <w:rPr>
                <w:rFonts w:eastAsia="Times New Roman"/>
                <w:color w:val="000000"/>
                <w:kern w:val="0"/>
                <w:sz w:val="26"/>
                <w:szCs w:val="26"/>
              </w:rPr>
              <w:t> </w:t>
            </w:r>
          </w:p>
        </w:tc>
      </w:tr>
      <w:tr>
        <w:tblPrEx>
          <w:tblLayout w:type="fixed"/>
          <w:tblCellMar>
            <w:top w:w="15" w:type="dxa"/>
            <w:left w:w="15" w:type="dxa"/>
            <w:bottom w:w="15" w:type="dxa"/>
            <w:right w:w="15" w:type="dxa"/>
          </w:tblCellMar>
        </w:tblPrEx>
        <w:tc>
          <w:tcPr>
            <w:tcW w:w="10506" w:type="dxa"/>
            <w:gridSpan w:val="8"/>
            <w:tcMar>
              <w:top w:w="20" w:type="dxa"/>
              <w:left w:w="20" w:type="dxa"/>
              <w:bottom w:w="20" w:type="dxa"/>
              <w:right w:w="20" w:type="dxa"/>
            </w:tcMar>
            <w:vAlign w:val="center"/>
          </w:tcPr>
          <w:p>
            <w:pPr>
              <w:widowControl/>
              <w:spacing w:line="375" w:lineRule="atLeast"/>
              <w:jc w:val="left"/>
              <w:rPr>
                <w:rFonts w:hint="eastAsia" w:ascii="宋体" w:hAnsi="宋体" w:cs="宋体"/>
                <w:color w:val="000000"/>
                <w:kern w:val="0"/>
                <w:sz w:val="26"/>
                <w:szCs w:val="26"/>
              </w:rPr>
            </w:pPr>
            <w:r>
              <w:rPr>
                <w:rFonts w:ascii="宋体" w:hAnsi="宋体" w:cs="宋体"/>
                <w:color w:val="000000"/>
                <w:kern w:val="0"/>
                <w:sz w:val="26"/>
                <w:szCs w:val="26"/>
              </w:rPr>
              <w:t>注：本表反映部门本年度政府性基金预算财政拨款收入、支出及结转和结余情况。</w:t>
            </w:r>
          </w:p>
          <w:p>
            <w:pPr>
              <w:widowControl/>
              <w:spacing w:before="100" w:after="100" w:line="600" w:lineRule="atLeast"/>
              <w:jc w:val="left"/>
              <w:rPr>
                <w:rFonts w:ascii="仿宋" w:hAnsi="仿宋" w:eastAsia="仿宋" w:cs="仿宋"/>
                <w:kern w:val="0"/>
                <w:sz w:val="32"/>
                <w:szCs w:val="32"/>
              </w:rPr>
            </w:pPr>
            <w:r>
              <w:rPr>
                <w:rFonts w:ascii="仿宋" w:hAnsi="仿宋" w:eastAsia="仿宋" w:cs="仿宋"/>
                <w:kern w:val="0"/>
                <w:sz w:val="32"/>
                <w:szCs w:val="32"/>
              </w:rPr>
              <w:t>本单位2024年度没有使用政府性基金预算拨款安排的</w:t>
            </w:r>
            <w:r>
              <w:rPr>
                <w:rFonts w:hint="eastAsia" w:ascii="仿宋" w:hAnsi="仿宋" w:eastAsia="仿宋" w:cs="仿宋"/>
                <w:kern w:val="0"/>
                <w:sz w:val="32"/>
                <w:szCs w:val="32"/>
                <w:lang w:eastAsia="zh-CN"/>
              </w:rPr>
              <w:t>收入和</w:t>
            </w:r>
            <w:r>
              <w:rPr>
                <w:rFonts w:ascii="仿宋" w:hAnsi="仿宋" w:eastAsia="仿宋" w:cs="仿宋"/>
                <w:kern w:val="0"/>
                <w:sz w:val="32"/>
                <w:szCs w:val="32"/>
              </w:rPr>
              <w:t>支出。</w:t>
            </w:r>
          </w:p>
          <w:p>
            <w:pPr>
              <w:widowControl/>
              <w:spacing w:line="375" w:lineRule="atLeast"/>
              <w:jc w:val="left"/>
              <w:rPr>
                <w:rFonts w:eastAsia="Times New Roman"/>
                <w:color w:val="000000"/>
                <w:kern w:val="0"/>
                <w:sz w:val="26"/>
                <w:szCs w:val="26"/>
              </w:rPr>
            </w:pPr>
          </w:p>
        </w:tc>
      </w:tr>
    </w:tbl>
    <w:p>
      <w:pPr>
        <w:widowControl/>
        <w:spacing w:before="100" w:after="100" w:line="600" w:lineRule="atLeast"/>
        <w:jc w:val="left"/>
      </w:pPr>
    </w:p>
    <w:p>
      <w:pPr>
        <w:widowControl/>
        <w:jc w:val="left"/>
        <w:rPr>
          <w:rFonts w:eastAsia="Times New Roman"/>
          <w:b/>
          <w:bCs/>
          <w:kern w:val="0"/>
          <w:sz w:val="32"/>
          <w:szCs w:val="32"/>
        </w:rPr>
      </w:pPr>
      <w:bookmarkStart w:id="57" w:name="_Toc256000015"/>
      <w:bookmarkStart w:id="58" w:name="_Toc256000108"/>
      <w:bookmarkStart w:id="59" w:name="_Toc256000046"/>
      <w:bookmarkStart w:id="60" w:name="_Toc256000077"/>
      <w:r>
        <w:rPr>
          <w:rFonts w:ascii="黑体" w:hAnsi="黑体" w:eastAsia="黑体" w:cs="黑体"/>
          <w:b/>
          <w:sz w:val="32"/>
          <w:szCs w:val="32"/>
        </w:rPr>
        <w:t>九、国有资本经营预算财政拨款支出决算表</w:t>
      </w:r>
      <w:bookmarkEnd w:id="57"/>
      <w:bookmarkEnd w:id="58"/>
      <w:bookmarkEnd w:id="59"/>
      <w:bookmarkEnd w:id="60"/>
    </w:p>
    <w:tbl>
      <w:tblPr>
        <w:tblStyle w:val="24"/>
        <w:tblpPr w:leftFromText="180" w:rightFromText="180" w:vertAnchor="text" w:horzAnchor="page" w:tblpX="1269" w:tblpY="302"/>
        <w:tblOverlap w:val="never"/>
        <w:tblW w:w="9066" w:type="dxa"/>
        <w:tblInd w:w="0" w:type="dxa"/>
        <w:tblLayout w:type="fixed"/>
        <w:tblCellMar>
          <w:top w:w="15" w:type="dxa"/>
          <w:left w:w="15" w:type="dxa"/>
          <w:bottom w:w="15" w:type="dxa"/>
          <w:right w:w="15" w:type="dxa"/>
        </w:tblCellMar>
      </w:tblPr>
      <w:tblGrid>
        <w:gridCol w:w="1632"/>
        <w:gridCol w:w="1633"/>
        <w:gridCol w:w="1364"/>
        <w:gridCol w:w="1271"/>
        <w:gridCol w:w="3166"/>
      </w:tblGrid>
      <w:tr>
        <w:tblPrEx>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eastAsia="Times New Roman"/>
                <w:color w:val="000000"/>
                <w:kern w:val="0"/>
                <w:sz w:val="27"/>
                <w:szCs w:val="27"/>
              </w:rPr>
            </w:pPr>
            <w:r>
              <w:rPr>
                <w:rFonts w:ascii="宋体" w:hAnsi="宋体" w:cs="宋体"/>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c>
          <w:tcPr>
            <w:tcW w:w="906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ascii="宋体" w:hAnsi="宋体" w:cs="宋体"/>
                <w:color w:val="000000"/>
                <w:kern w:val="0"/>
                <w:sz w:val="29"/>
                <w:szCs w:val="29"/>
              </w:rPr>
              <w:t>部门</w:t>
            </w:r>
            <w:r>
              <w:rPr>
                <w:rFonts w:eastAsia="Times New Roman"/>
                <w:color w:val="000000"/>
                <w:kern w:val="0"/>
                <w:sz w:val="29"/>
                <w:szCs w:val="29"/>
              </w:rPr>
              <w:t>/</w:t>
            </w:r>
            <w:r>
              <w:rPr>
                <w:rFonts w:ascii="宋体" w:hAnsi="宋体" w:cs="宋体"/>
                <w:color w:val="000000"/>
                <w:kern w:val="0"/>
                <w:sz w:val="29"/>
                <w:szCs w:val="29"/>
              </w:rPr>
              <w:t>单位：厦门市嘉禾学校</w:t>
            </w:r>
            <w:r>
              <w:rPr>
                <w:rFonts w:hint="eastAsia" w:ascii="宋体" w:hAnsi="宋体" w:cs="宋体"/>
                <w:color w:val="000000"/>
                <w:kern w:val="0"/>
                <w:sz w:val="29"/>
                <w:szCs w:val="29"/>
              </w:rPr>
              <w:t xml:space="preserve">        </w:t>
            </w:r>
            <w:r>
              <w:rPr>
                <w:rFonts w:eastAsia="Times New Roman"/>
                <w:color w:val="000000"/>
                <w:kern w:val="0"/>
                <w:sz w:val="29"/>
                <w:szCs w:val="29"/>
              </w:rPr>
              <w:t>2024</w:t>
            </w:r>
            <w:r>
              <w:rPr>
                <w:rFonts w:ascii="宋体" w:hAnsi="宋体" w:cs="宋体"/>
                <w:color w:val="000000"/>
                <w:kern w:val="0"/>
                <w:sz w:val="29"/>
                <w:szCs w:val="29"/>
              </w:rPr>
              <w:t>年度</w:t>
            </w:r>
            <w:r>
              <w:rPr>
                <w:rFonts w:hint="eastAsia" w:ascii="宋体" w:hAnsi="宋体" w:cs="宋体"/>
                <w:color w:val="000000"/>
                <w:kern w:val="0"/>
                <w:sz w:val="29"/>
                <w:szCs w:val="29"/>
              </w:rPr>
              <w:t xml:space="preserve">      </w:t>
            </w:r>
            <w:r>
              <w:rPr>
                <w:rFonts w:ascii="宋体" w:hAnsi="宋体" w:cs="宋体"/>
                <w:color w:val="000000"/>
                <w:kern w:val="0"/>
                <w:sz w:val="29"/>
                <w:szCs w:val="29"/>
              </w:rPr>
              <w:t>金额单位：万元</w:t>
            </w:r>
          </w:p>
        </w:tc>
      </w:tr>
      <w:tr>
        <w:tblPrEx>
          <w:tblLayout w:type="fixed"/>
          <w:tblCellMar>
            <w:top w:w="15" w:type="dxa"/>
            <w:left w:w="15" w:type="dxa"/>
            <w:bottom w:w="15" w:type="dxa"/>
            <w:right w:w="15" w:type="dxa"/>
          </w:tblCellMar>
        </w:tblPrEx>
        <w:tc>
          <w:tcPr>
            <w:tcW w:w="326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w:t>
            </w:r>
          </w:p>
        </w:tc>
        <w:tc>
          <w:tcPr>
            <w:tcW w:w="580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本年支出</w:t>
            </w:r>
          </w:p>
        </w:tc>
      </w:tr>
      <w:tr>
        <w:tblPrEx>
          <w:tblLayout w:type="fixed"/>
          <w:tblCellMar>
            <w:top w:w="15" w:type="dxa"/>
            <w:left w:w="15" w:type="dxa"/>
            <w:bottom w:w="15" w:type="dxa"/>
            <w:right w:w="15" w:type="dxa"/>
          </w:tblCellMar>
        </w:tblPrEx>
        <w:trPr>
          <w:trHeight w:val="333" w:hRule="atLeast"/>
          <w:tblHeader/>
        </w:trPr>
        <w:tc>
          <w:tcPr>
            <w:tcW w:w="16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科目代码</w:t>
            </w:r>
          </w:p>
        </w:tc>
        <w:tc>
          <w:tcPr>
            <w:tcW w:w="16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科目名称</w:t>
            </w:r>
          </w:p>
        </w:tc>
        <w:tc>
          <w:tcPr>
            <w:tcW w:w="13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2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基本支出</w:t>
            </w:r>
          </w:p>
        </w:tc>
        <w:tc>
          <w:tcPr>
            <w:tcW w:w="31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项目支出</w:t>
            </w:r>
          </w:p>
        </w:tc>
      </w:tr>
      <w:tr>
        <w:tblPrEx>
          <w:tblLayout w:type="fixed"/>
          <w:tblCellMar>
            <w:top w:w="15" w:type="dxa"/>
            <w:left w:w="15" w:type="dxa"/>
            <w:bottom w:w="15" w:type="dxa"/>
            <w:right w:w="15" w:type="dxa"/>
          </w:tblCellMar>
        </w:tblPrEx>
        <w:trPr>
          <w:trHeight w:val="333" w:hRule="atLeast"/>
          <w:tblHeader/>
        </w:trPr>
        <w:tc>
          <w:tcPr>
            <w:tcW w:w="16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6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36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7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316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rPr>
          <w:trHeight w:val="333" w:hRule="atLeast"/>
          <w:tblHeader/>
        </w:trPr>
        <w:tc>
          <w:tcPr>
            <w:tcW w:w="163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6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36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127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c>
          <w:tcPr>
            <w:tcW w:w="316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9"/>
                <w:szCs w:val="29"/>
              </w:rPr>
            </w:pPr>
          </w:p>
        </w:tc>
      </w:tr>
      <w:tr>
        <w:tblPrEx>
          <w:tblLayout w:type="fixed"/>
          <w:tblCellMar>
            <w:top w:w="15" w:type="dxa"/>
            <w:left w:w="15" w:type="dxa"/>
            <w:bottom w:w="15" w:type="dxa"/>
            <w:right w:w="15" w:type="dxa"/>
          </w:tblCellMar>
        </w:tblPrEx>
        <w:tc>
          <w:tcPr>
            <w:tcW w:w="326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栏次</w:t>
            </w:r>
          </w:p>
        </w:tc>
        <w:tc>
          <w:tcPr>
            <w:tcW w:w="13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1</w:t>
            </w:r>
          </w:p>
        </w:tc>
        <w:tc>
          <w:tcPr>
            <w:tcW w:w="12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2</w:t>
            </w:r>
          </w:p>
        </w:tc>
        <w:tc>
          <w:tcPr>
            <w:tcW w:w="3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eastAsia="Times New Roman"/>
                <w:color w:val="000000"/>
                <w:kern w:val="0"/>
                <w:sz w:val="29"/>
                <w:szCs w:val="29"/>
              </w:rPr>
              <w:t>3</w:t>
            </w:r>
          </w:p>
        </w:tc>
      </w:tr>
      <w:tr>
        <w:tblPrEx>
          <w:tblLayout w:type="fixed"/>
          <w:tblCellMar>
            <w:top w:w="15" w:type="dxa"/>
            <w:left w:w="15" w:type="dxa"/>
            <w:bottom w:w="15" w:type="dxa"/>
            <w:right w:w="15" w:type="dxa"/>
          </w:tblCellMar>
        </w:tblPrEx>
        <w:tc>
          <w:tcPr>
            <w:tcW w:w="326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9"/>
                <w:szCs w:val="29"/>
              </w:rPr>
            </w:pPr>
            <w:r>
              <w:rPr>
                <w:rFonts w:ascii="宋体" w:hAnsi="宋体" w:cs="宋体"/>
                <w:color w:val="000000"/>
                <w:kern w:val="0"/>
                <w:sz w:val="29"/>
                <w:szCs w:val="29"/>
              </w:rPr>
              <w:t>合计</w:t>
            </w:r>
          </w:p>
        </w:tc>
        <w:tc>
          <w:tcPr>
            <w:tcW w:w="13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2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16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6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9"/>
                <w:szCs w:val="29"/>
              </w:rPr>
            </w:pPr>
            <w:r>
              <w:rPr>
                <w:rFonts w:eastAsia="Times New Roman"/>
                <w:color w:val="000000"/>
                <w:kern w:val="0"/>
                <w:sz w:val="29"/>
                <w:szCs w:val="29"/>
              </w:rPr>
              <w:t> </w:t>
            </w:r>
          </w:p>
        </w:tc>
        <w:tc>
          <w:tcPr>
            <w:tcW w:w="13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12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c>
          <w:tcPr>
            <w:tcW w:w="31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9"/>
                <w:szCs w:val="29"/>
              </w:rPr>
            </w:pPr>
            <w:r>
              <w:rPr>
                <w:rFonts w:eastAsia="Times New Roman"/>
                <w:color w:val="000000"/>
                <w:kern w:val="0"/>
                <w:sz w:val="29"/>
                <w:szCs w:val="29"/>
              </w:rPr>
              <w:t> </w:t>
            </w:r>
          </w:p>
        </w:tc>
      </w:tr>
      <w:tr>
        <w:tblPrEx>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hint="eastAsia" w:ascii="宋体" w:hAnsi="宋体" w:cs="宋体"/>
                <w:color w:val="000000"/>
                <w:kern w:val="0"/>
                <w:sz w:val="26"/>
                <w:szCs w:val="26"/>
              </w:rPr>
            </w:pPr>
            <w:r>
              <w:rPr>
                <w:rFonts w:ascii="宋体" w:hAnsi="宋体" w:cs="宋体"/>
                <w:color w:val="000000"/>
                <w:kern w:val="0"/>
                <w:sz w:val="26"/>
                <w:szCs w:val="26"/>
              </w:rPr>
              <w:t>注：本表反映部门本年度国有资本经营预算财政拨款支出情况。</w:t>
            </w:r>
          </w:p>
          <w:p>
            <w:pPr>
              <w:widowControl/>
              <w:spacing w:line="375" w:lineRule="atLeast"/>
              <w:ind w:firstLine="640" w:firstLineChars="200"/>
              <w:jc w:val="left"/>
              <w:rPr>
                <w:rFonts w:eastAsia="Times New Roman"/>
                <w:color w:val="000000"/>
                <w:kern w:val="0"/>
                <w:sz w:val="26"/>
                <w:szCs w:val="26"/>
              </w:rPr>
            </w:pPr>
            <w:r>
              <w:rPr>
                <w:rFonts w:hint="eastAsia" w:ascii="仿宋" w:hAnsi="仿宋" w:eastAsia="仿宋" w:cs="仿宋"/>
                <w:kern w:val="0"/>
                <w:sz w:val="32"/>
                <w:szCs w:val="32"/>
              </w:rPr>
              <w:t>本单位2024年度没有使用国有资本经营预算财政拨款安排的支出。</w:t>
            </w:r>
          </w:p>
        </w:tc>
      </w:tr>
    </w:tbl>
    <w:p>
      <w:pPr>
        <w:pStyle w:val="4"/>
        <w:keepNext w:val="0"/>
        <w:keepLines w:val="0"/>
        <w:spacing w:before="100" w:after="100" w:line="240" w:lineRule="auto"/>
        <w:ind w:firstLine="0" w:firstLineChars="0"/>
        <w:jc w:val="both"/>
        <w:rPr>
          <w:rFonts w:hint="eastAsia"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p>
    <w:p>
      <w:pPr>
        <w:pStyle w:val="4"/>
        <w:keepNext w:val="0"/>
        <w:keepLines w:val="0"/>
        <w:spacing w:before="100" w:after="100" w:line="240" w:lineRule="auto"/>
        <w:ind w:firstLine="0" w:firstLineChars="0"/>
        <w:jc w:val="center"/>
        <w:rPr>
          <w:rFonts w:ascii="黑体" w:hAnsi="黑体" w:eastAsia="黑体" w:cs="黑体"/>
          <w:b/>
        </w:rPr>
      </w:pPr>
      <w:r>
        <w:rPr>
          <w:rFonts w:ascii="黑体" w:hAnsi="黑体" w:eastAsia="黑体" w:cs="黑体"/>
          <w:b/>
        </w:rPr>
        <w:t>第三部分2024年度决算情况说明</w:t>
      </w:r>
    </w:p>
    <w:p>
      <w:pPr>
        <w:pStyle w:val="4"/>
        <w:keepNext w:val="0"/>
        <w:keepLines w:val="0"/>
        <w:spacing w:before="100" w:after="100" w:line="240" w:lineRule="auto"/>
        <w:ind w:firstLine="643"/>
        <w:jc w:val="both"/>
      </w:pPr>
      <w:bookmarkStart w:id="61" w:name="_Toc256000080"/>
      <w:bookmarkStart w:id="62" w:name="_Toc256000049"/>
      <w:bookmarkStart w:id="63" w:name="_Toc256000111"/>
      <w:bookmarkStart w:id="64" w:name="_Toc256000018"/>
      <w:r>
        <w:rPr>
          <w:rFonts w:ascii="黑体" w:hAnsi="黑体" w:eastAsia="黑体" w:cs="黑体"/>
          <w:b/>
        </w:rPr>
        <w:t>一、收入支出决算总体情况说明</w:t>
      </w:r>
      <w:bookmarkEnd w:id="61"/>
      <w:bookmarkEnd w:id="62"/>
      <w:bookmarkEnd w:id="63"/>
      <w:bookmarkEnd w:id="64"/>
    </w:p>
    <w:p>
      <w:pPr>
        <w:widowControl/>
        <w:spacing w:before="240" w:after="240"/>
        <w:jc w:val="both"/>
        <w:rPr>
          <w:rFonts w:eastAsia="Times New Roman"/>
          <w:vanish/>
          <w:kern w:val="0"/>
          <w:sz w:val="24"/>
        </w:rPr>
      </w:pPr>
      <w:r>
        <w:rPr>
          <w:rFonts w:eastAsia="Times New Roman"/>
          <w:vanish/>
          <w:kern w:val="0"/>
          <w:sz w:val="24"/>
        </w:rPr>
        <w:t>word horizontal layout</w:t>
      </w:r>
    </w:p>
    <w:p>
      <w:pPr>
        <w:pStyle w:val="30"/>
        <w:widowControl/>
        <w:spacing w:before="100" w:after="100" w:line="600" w:lineRule="atLeast"/>
        <w:ind w:firstLine="640"/>
        <w:jc w:val="both"/>
        <w:rPr>
          <w:rFonts w:eastAsia="Times New Roman"/>
          <w:kern w:val="0"/>
          <w:sz w:val="24"/>
        </w:rPr>
      </w:pPr>
      <w:r>
        <w:rPr>
          <w:rFonts w:ascii="楷体_GB2312" w:hAnsi="楷体_GB2312" w:eastAsia="楷体_GB2312" w:cs="楷体_GB2312"/>
          <w:kern w:val="0"/>
          <w:sz w:val="32"/>
          <w:szCs w:val="32"/>
        </w:rPr>
        <w:t>（一）收入支出决算总体情况说明</w:t>
      </w:r>
    </w:p>
    <w:p>
      <w:pPr>
        <w:pStyle w:val="30"/>
        <w:widowControl/>
        <w:spacing w:before="100" w:after="100" w:line="600" w:lineRule="atLeast"/>
        <w:ind w:firstLine="640"/>
        <w:jc w:val="both"/>
        <w:rPr>
          <w:rFonts w:eastAsia="仿宋"/>
          <w:kern w:val="0"/>
          <w:sz w:val="24"/>
        </w:rPr>
      </w:pPr>
      <w:r>
        <w:rPr>
          <w:rFonts w:ascii="仿宋" w:hAnsi="仿宋" w:eastAsia="仿宋" w:cs="仿宋"/>
          <w:kern w:val="0"/>
          <w:sz w:val="32"/>
          <w:szCs w:val="32"/>
        </w:rPr>
        <w:t>2024年度本单位收入总计2099.07万元，支出总计2099.07万元，与上年决算数相比，各增加281.24万元，各增长15.47%。主要是</w:t>
      </w:r>
      <w:r>
        <w:rPr>
          <w:rFonts w:hint="eastAsia" w:ascii="仿宋" w:hAnsi="仿宋" w:eastAsia="仿宋" w:cs="仿宋"/>
          <w:kern w:val="0"/>
          <w:sz w:val="32"/>
          <w:szCs w:val="32"/>
        </w:rPr>
        <w:t>厦门市嘉禾学校特教部扩2个班和幼教部扩招学生。</w:t>
      </w:r>
    </w:p>
    <w:p>
      <w:pPr>
        <w:pStyle w:val="30"/>
        <w:widowControl/>
        <w:spacing w:before="100" w:after="100" w:line="600" w:lineRule="atLeast"/>
        <w:ind w:firstLine="640"/>
        <w:jc w:val="both"/>
        <w:rPr>
          <w:rFonts w:eastAsia="Times New Roman"/>
          <w:kern w:val="0"/>
          <w:sz w:val="24"/>
        </w:rPr>
      </w:pPr>
      <w:r>
        <w:rPr>
          <w:rFonts w:ascii="楷体_GB2312" w:hAnsi="楷体_GB2312" w:eastAsia="楷体_GB2312" w:cs="楷体_GB2312"/>
          <w:kern w:val="0"/>
          <w:sz w:val="32"/>
          <w:szCs w:val="32"/>
        </w:rPr>
        <w:t>（二）收入决算情况说明</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2024年度收入2099.07万元，比上年决算数增加281.24万元，增长15.47%，具体情况如下：</w:t>
      </w:r>
    </w:p>
    <w:p>
      <w:pPr>
        <w:pStyle w:val="30"/>
        <w:widowControl/>
        <w:spacing w:before="100" w:after="100" w:line="600" w:lineRule="atLeast"/>
        <w:ind w:left="160" w:firstLine="480"/>
        <w:jc w:val="both"/>
        <w:rPr>
          <w:rFonts w:eastAsia="Times New Roman"/>
          <w:kern w:val="0"/>
          <w:sz w:val="24"/>
        </w:rPr>
      </w:pPr>
      <w:r>
        <w:rPr>
          <w:rFonts w:ascii="仿宋" w:hAnsi="仿宋" w:eastAsia="仿宋" w:cs="仿宋"/>
          <w:kern w:val="0"/>
          <w:sz w:val="32"/>
          <w:szCs w:val="32"/>
        </w:rPr>
        <w:t>1.一般公共预算财政拨款收入2099.07万元。</w:t>
      </w:r>
    </w:p>
    <w:p>
      <w:pPr>
        <w:pStyle w:val="30"/>
        <w:widowControl/>
        <w:spacing w:before="100" w:after="100" w:line="600" w:lineRule="atLeast"/>
        <w:ind w:left="160" w:firstLine="480"/>
        <w:jc w:val="both"/>
        <w:rPr>
          <w:rFonts w:eastAsia="Times New Roman"/>
          <w:kern w:val="0"/>
          <w:sz w:val="24"/>
        </w:rPr>
      </w:pPr>
      <w:r>
        <w:rPr>
          <w:rFonts w:ascii="仿宋" w:hAnsi="仿宋" w:eastAsia="仿宋" w:cs="仿宋"/>
          <w:kern w:val="0"/>
          <w:sz w:val="32"/>
          <w:szCs w:val="32"/>
        </w:rPr>
        <w:t>2.政府性基金预算财政拨款收入0万元。</w:t>
      </w:r>
    </w:p>
    <w:p>
      <w:pPr>
        <w:pStyle w:val="30"/>
        <w:widowControl/>
        <w:spacing w:before="100" w:after="100" w:line="600" w:lineRule="atLeast"/>
        <w:ind w:left="160" w:firstLine="480"/>
        <w:jc w:val="both"/>
        <w:rPr>
          <w:rFonts w:eastAsia="Times New Roman"/>
          <w:kern w:val="0"/>
          <w:sz w:val="24"/>
        </w:rPr>
      </w:pPr>
      <w:r>
        <w:rPr>
          <w:rFonts w:ascii="仿宋" w:hAnsi="仿宋" w:eastAsia="仿宋" w:cs="仿宋"/>
          <w:kern w:val="0"/>
          <w:sz w:val="32"/>
          <w:szCs w:val="32"/>
        </w:rPr>
        <w:t>3.国有资本经营预算财政拨款收入0万元。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4.上级补助收入0万元。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5.事业收入0万元。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6.经营收入0万元。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7.附属单位上缴收入0万元。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8.其他收入0万元。</w:t>
      </w:r>
    </w:p>
    <w:p>
      <w:pPr>
        <w:pStyle w:val="30"/>
        <w:widowControl/>
        <w:spacing w:before="100" w:after="100" w:line="600" w:lineRule="atLeast"/>
        <w:ind w:firstLine="640"/>
        <w:jc w:val="both"/>
        <w:rPr>
          <w:rFonts w:eastAsia="Times New Roman"/>
          <w:kern w:val="0"/>
          <w:sz w:val="24"/>
        </w:rPr>
      </w:pPr>
      <w:r>
        <w:rPr>
          <w:rFonts w:ascii="楷体_GB2312" w:hAnsi="楷体_GB2312" w:eastAsia="楷体_GB2312" w:cs="楷体_GB2312"/>
          <w:kern w:val="0"/>
          <w:sz w:val="32"/>
          <w:szCs w:val="32"/>
        </w:rPr>
        <w:t>（三）支出决算情况说明</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2024年度支出2099.07万元，比上年决算数增加281.24万元，增长15.47%，具体情况如下：</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1.基本支出1887.67万元。其中，人员支出1565.84万元，公用支出321.83万元。</w:t>
      </w:r>
    </w:p>
    <w:p>
      <w:pPr>
        <w:pStyle w:val="30"/>
        <w:widowControl/>
        <w:spacing w:before="240" w:after="240"/>
        <w:ind w:firstLine="640"/>
        <w:jc w:val="both"/>
        <w:rPr>
          <w:rFonts w:eastAsia="Times New Roman"/>
          <w:kern w:val="0"/>
          <w:sz w:val="24"/>
        </w:rPr>
      </w:pPr>
      <w:r>
        <w:rPr>
          <w:rFonts w:ascii="仿宋" w:hAnsi="仿宋" w:eastAsia="仿宋" w:cs="仿宋"/>
          <w:kern w:val="0"/>
          <w:sz w:val="32"/>
          <w:szCs w:val="32"/>
        </w:rPr>
        <w:t>2.项目支出211.40万元。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3.上缴上级支出0万元。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4.经营支出0万元。</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5.对附属单位补助支出0万元。</w:t>
      </w:r>
    </w:p>
    <w:p>
      <w:pPr>
        <w:pStyle w:val="6"/>
        <w:keepNext w:val="0"/>
        <w:keepLines w:val="0"/>
        <w:spacing w:before="100" w:after="100" w:line="240" w:lineRule="auto"/>
        <w:ind w:firstLine="480" w:firstLineChars="0"/>
        <w:jc w:val="both"/>
        <w:rPr>
          <w:rFonts w:eastAsia="Times New Roman"/>
          <w:b/>
          <w:sz w:val="28"/>
          <w:szCs w:val="28"/>
        </w:rPr>
      </w:pPr>
      <w:bookmarkStart w:id="65" w:name="_Toc256000081"/>
      <w:bookmarkStart w:id="66" w:name="_Toc256000112"/>
      <w:bookmarkStart w:id="67" w:name="_Toc256000050"/>
      <w:bookmarkStart w:id="68" w:name="_Toc256000019"/>
      <w:r>
        <w:rPr>
          <w:rFonts w:ascii="黑体" w:hAnsi="黑体" w:eastAsia="黑体" w:cs="黑体"/>
          <w:b/>
        </w:rPr>
        <w:t>二、财政拨款收入支出决算总体情况说明</w:t>
      </w:r>
      <w:bookmarkEnd w:id="65"/>
      <w:bookmarkEnd w:id="66"/>
      <w:bookmarkEnd w:id="67"/>
      <w:bookmarkEnd w:id="68"/>
    </w:p>
    <w:p>
      <w:pPr>
        <w:pStyle w:val="30"/>
        <w:widowControl/>
        <w:spacing w:before="100" w:after="100" w:line="600" w:lineRule="atLeast"/>
        <w:ind w:firstLine="640"/>
        <w:jc w:val="both"/>
        <w:rPr>
          <w:rFonts w:eastAsia="仿宋"/>
          <w:kern w:val="0"/>
          <w:sz w:val="24"/>
        </w:rPr>
      </w:pPr>
      <w:r>
        <w:rPr>
          <w:rFonts w:ascii="仿宋" w:hAnsi="仿宋" w:eastAsia="仿宋" w:cs="仿宋"/>
          <w:kern w:val="0"/>
          <w:sz w:val="32"/>
          <w:szCs w:val="32"/>
        </w:rPr>
        <w:t>2024年度财政拨款收入总计2099.07万元，支出总计2099.07万元，与上年决算数相比，各增加281.24万元，增长15.47%，主要是：</w:t>
      </w:r>
      <w:r>
        <w:rPr>
          <w:rFonts w:hint="eastAsia" w:ascii="仿宋" w:hAnsi="仿宋" w:eastAsia="仿宋" w:cs="仿宋"/>
          <w:kern w:val="0"/>
          <w:sz w:val="32"/>
          <w:szCs w:val="32"/>
        </w:rPr>
        <w:t>厦门市嘉禾学校特教部扩2个班和幼教部扩招学生。</w:t>
      </w:r>
    </w:p>
    <w:p>
      <w:pPr>
        <w:pStyle w:val="6"/>
        <w:keepNext w:val="0"/>
        <w:keepLines w:val="0"/>
        <w:spacing w:before="100" w:after="100" w:line="600" w:lineRule="atLeast"/>
        <w:ind w:firstLine="640" w:firstLineChars="0"/>
        <w:jc w:val="both"/>
        <w:rPr>
          <w:rFonts w:eastAsia="Times New Roman"/>
          <w:b/>
          <w:sz w:val="28"/>
          <w:szCs w:val="28"/>
        </w:rPr>
      </w:pPr>
      <w:bookmarkStart w:id="69" w:name="_Toc256000051"/>
      <w:bookmarkStart w:id="70" w:name="_Toc256000113"/>
      <w:bookmarkStart w:id="71" w:name="_Toc256000020"/>
      <w:bookmarkStart w:id="72" w:name="_Toc256000082"/>
      <w:r>
        <w:rPr>
          <w:rFonts w:ascii="黑体" w:hAnsi="黑体" w:eastAsia="黑体" w:cs="黑体"/>
          <w:b/>
        </w:rPr>
        <w:t>三、一般公共预算拨款支出决算情况说明</w:t>
      </w:r>
      <w:bookmarkEnd w:id="69"/>
      <w:bookmarkEnd w:id="70"/>
      <w:bookmarkEnd w:id="71"/>
      <w:bookmarkEnd w:id="72"/>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2024年一般公共预算支出2099.07万元，比上年决算数增加281.24万元，增长15.47%，具体情况如下(按</w:t>
      </w:r>
      <w:r>
        <w:rPr>
          <w:rStyle w:val="32"/>
          <w:rFonts w:ascii="仿宋" w:hAnsi="仿宋" w:eastAsia="仿宋" w:cs="仿宋"/>
          <w:kern w:val="0"/>
          <w:sz w:val="32"/>
          <w:szCs w:val="32"/>
        </w:rPr>
        <w:t>项级科目</w:t>
      </w:r>
      <w:r>
        <w:rPr>
          <w:rFonts w:ascii="仿宋" w:hAnsi="仿宋" w:eastAsia="仿宋" w:cs="仿宋"/>
          <w:kern w:val="0"/>
          <w:sz w:val="32"/>
          <w:szCs w:val="32"/>
        </w:rPr>
        <w:t>分类统计)：</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（一）2050201 学前教育229.26万元，较上年决算数增加44.23万元，增长23.90%。主要原因是</w:t>
      </w:r>
      <w:r>
        <w:rPr>
          <w:rFonts w:hint="eastAsia" w:ascii="仿宋" w:hAnsi="仿宋" w:eastAsia="仿宋" w:cs="仿宋"/>
          <w:kern w:val="0"/>
          <w:sz w:val="32"/>
          <w:szCs w:val="32"/>
        </w:rPr>
        <w:t>幼教部扩招学生，学前教育支出主要用于非在编雇用人员经费（学校）、公办幼儿园保教费收入返拨、教师节慰问金、班主任专项奖励、教职工食堂午餐补贴、一般综合定额等经费支出等。</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（二）2050299 其他普通教育支出122.25万元，较上年决算数增加15.55万元，增长14.57%。主要原因是</w:t>
      </w:r>
      <w:r>
        <w:rPr>
          <w:rFonts w:hint="eastAsia" w:ascii="仿宋" w:hAnsi="仿宋" w:eastAsia="仿宋" w:cs="仿宋"/>
          <w:kern w:val="0"/>
          <w:sz w:val="32"/>
          <w:szCs w:val="32"/>
        </w:rPr>
        <w:t>厦门市嘉禾学校特教部扩2个班和幼教部扩招学生，其他普通教育支出主要用于教师节走访慰问经费、特殊教育资源与指导中心专项经费、课程建设基地园经费、产假顶岗经费、校园招聘新教师安家补贴经费、校园招聘新教住房补助经费、湖里区区级立项课题经费、公办中小学后勤管理服务社会化经费、校园专职保安经费等支出。</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（三）2050701 特殊学校教育1,489.74万元，较上年决算数增加129.86万元，增长9.55%。主要原因是</w:t>
      </w:r>
      <w:r>
        <w:rPr>
          <w:rFonts w:hint="eastAsia" w:ascii="仿宋" w:hAnsi="仿宋" w:eastAsia="仿宋" w:cs="仿宋"/>
          <w:kern w:val="0"/>
          <w:sz w:val="32"/>
          <w:szCs w:val="32"/>
        </w:rPr>
        <w:t>厦门市嘉禾学校特教部扩2个班，特殊学校教育支出主要用于统发工资支出、非统发部分、校长职级制工资、残疾人就业保障金、年度考核奖、工会福利经费、厦门市嘉禾学校特殊教育补助经费、非在编雇用人员经费（学校）、教师节慰问金、班主任专项奖励、教职工食堂午餐补贴、一般综合定额、继续教育经费等经费支出。</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（四）2050999 其他教育费附加安排的支出43.84万元，较上年决算数增加43.84万元，增长100%。主要原因是</w:t>
      </w:r>
      <w:r>
        <w:rPr>
          <w:rFonts w:hint="eastAsia" w:ascii="仿宋" w:hAnsi="仿宋" w:eastAsia="仿宋" w:cs="仿宋"/>
          <w:kern w:val="0"/>
          <w:sz w:val="32"/>
          <w:szCs w:val="32"/>
        </w:rPr>
        <w:t>历年质保金支付和舞龙舞狮特色项目发展，其他教育费附加安排的支出主要用于2024年第一批教育费附加项目经费、教育附加竞争性分配等经费支出。</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（五）2080502 事业单位离退休5.45万元，较上年决算数增加5.45万元，增长100%。主要原因是</w:t>
      </w:r>
      <w:r>
        <w:rPr>
          <w:rFonts w:hint="eastAsia" w:ascii="仿宋" w:hAnsi="仿宋" w:eastAsia="仿宋" w:cs="仿宋"/>
          <w:kern w:val="0"/>
          <w:sz w:val="32"/>
          <w:szCs w:val="32"/>
        </w:rPr>
        <w:t>有退休老师，</w:t>
      </w:r>
      <w:r>
        <w:rPr>
          <w:rFonts w:ascii="仿宋" w:hAnsi="仿宋" w:eastAsia="仿宋" w:cs="仿宋"/>
          <w:kern w:val="0"/>
          <w:sz w:val="32"/>
          <w:szCs w:val="32"/>
        </w:rPr>
        <w:t>事业单位离退休</w:t>
      </w:r>
      <w:r>
        <w:rPr>
          <w:rFonts w:hint="eastAsia" w:ascii="仿宋" w:hAnsi="仿宋" w:eastAsia="仿宋" w:cs="仿宋"/>
          <w:kern w:val="0"/>
          <w:sz w:val="32"/>
          <w:szCs w:val="32"/>
        </w:rPr>
        <w:t>主要用于离退休非统发部分支出。</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（六）2080505 机关事业单位基本养老保险缴费支出79.15万元，较上年决算数增加1.70万元，增长2.19%。主要原因是</w:t>
      </w:r>
      <w:r>
        <w:rPr>
          <w:rFonts w:hint="eastAsia" w:ascii="仿宋" w:hAnsi="仿宋" w:eastAsia="仿宋" w:cs="仿宋"/>
          <w:kern w:val="0"/>
          <w:sz w:val="32"/>
          <w:szCs w:val="32"/>
        </w:rPr>
        <w:t>厦门市嘉禾学校特教部扩2个班和幼教部扩招学生，学校增加招聘教师。</w:t>
      </w:r>
      <w:r>
        <w:rPr>
          <w:rFonts w:ascii="仿宋" w:hAnsi="仿宋" w:eastAsia="仿宋" w:cs="仿宋"/>
          <w:kern w:val="0"/>
          <w:sz w:val="32"/>
          <w:szCs w:val="32"/>
        </w:rPr>
        <w:br w:type="textWrapping"/>
      </w:r>
      <w:r>
        <w:rPr>
          <w:rFonts w:ascii="仿宋" w:hAnsi="仿宋" w:eastAsia="仿宋" w:cs="仿宋"/>
          <w:kern w:val="0"/>
          <w:sz w:val="32"/>
          <w:szCs w:val="32"/>
        </w:rPr>
        <w:t>（七）2080506 机关事业单位职业年金缴费支出49.57万元，较上年决算数增加10.85万元，增长28.02%。主要原因是</w:t>
      </w:r>
      <w:r>
        <w:rPr>
          <w:rFonts w:hint="eastAsia" w:ascii="仿宋" w:hAnsi="仿宋" w:eastAsia="仿宋" w:cs="仿宋"/>
          <w:kern w:val="0"/>
          <w:sz w:val="32"/>
          <w:szCs w:val="32"/>
        </w:rPr>
        <w:t>厦门市嘉禾学校特教部扩2个班和幼教部扩招学生，学校增加招聘教师。</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（八）2101102 事业单位医疗33.88万元，较上年决算数增加0.77万元，增长2.31%。主要原因是</w:t>
      </w:r>
      <w:bookmarkStart w:id="105" w:name="_GoBack"/>
      <w:bookmarkEnd w:id="105"/>
      <w:r>
        <w:rPr>
          <w:rFonts w:hint="eastAsia" w:ascii="仿宋" w:hAnsi="仿宋" w:eastAsia="仿宋" w:cs="仿宋"/>
          <w:kern w:val="0"/>
          <w:sz w:val="32"/>
          <w:szCs w:val="32"/>
        </w:rPr>
        <w:t>厦门市嘉禾学校特教部扩2个班和幼教部扩招学生，学校增加招聘教师。</w:t>
      </w:r>
    </w:p>
    <w:p>
      <w:pPr>
        <w:shd w:val="clear" w:color="auto" w:fill="FFFFFF"/>
        <w:spacing w:before="240" w:after="240" w:line="600" w:lineRule="atLeast"/>
        <w:ind w:firstLine="640" w:firstLineChars="200"/>
        <w:jc w:val="both"/>
        <w:rPr>
          <w:rFonts w:hint="eastAsia" w:ascii="仿宋" w:hAnsi="仿宋" w:eastAsia="仿宋" w:cs="仿宋"/>
          <w:kern w:val="0"/>
          <w:sz w:val="32"/>
          <w:szCs w:val="32"/>
        </w:rPr>
      </w:pPr>
      <w:r>
        <w:rPr>
          <w:rFonts w:ascii="仿宋" w:hAnsi="仿宋" w:eastAsia="仿宋" w:cs="仿宋"/>
          <w:kern w:val="0"/>
          <w:sz w:val="32"/>
          <w:szCs w:val="32"/>
        </w:rPr>
        <w:t>（九）2101199 其他行政事业单位医疗支出17.31万元，较上年决算数增加0.39万元，增长2.31%。主要原因是</w:t>
      </w:r>
      <w:r>
        <w:rPr>
          <w:rFonts w:hint="eastAsia" w:ascii="仿宋" w:hAnsi="仿宋" w:eastAsia="仿宋" w:cs="仿宋"/>
          <w:kern w:val="0"/>
          <w:sz w:val="32"/>
          <w:szCs w:val="32"/>
        </w:rPr>
        <w:t>厦门市嘉禾学校特教部扩2个班和幼教部扩招学生，学校增加招聘教师。</w:t>
      </w:r>
    </w:p>
    <w:p>
      <w:pPr>
        <w:shd w:val="clear" w:color="auto" w:fill="FFFFFF"/>
        <w:spacing w:before="240" w:after="240" w:line="600" w:lineRule="atLeast"/>
        <w:ind w:firstLine="640" w:firstLineChars="200"/>
        <w:jc w:val="both"/>
      </w:pPr>
      <w:r>
        <w:rPr>
          <w:rFonts w:ascii="仿宋" w:hAnsi="仿宋" w:eastAsia="仿宋" w:cs="仿宋"/>
          <w:kern w:val="0"/>
          <w:sz w:val="32"/>
          <w:szCs w:val="32"/>
        </w:rPr>
        <w:t>（十）2210203 购房补贴28.60万元，较上年决算数增加28.60万元，增长100%。主要原因是</w:t>
      </w:r>
      <w:r>
        <w:rPr>
          <w:rFonts w:hint="eastAsia" w:ascii="仿宋" w:hAnsi="仿宋" w:eastAsia="仿宋" w:cs="仿宋"/>
          <w:kern w:val="0"/>
          <w:sz w:val="32"/>
          <w:szCs w:val="32"/>
        </w:rPr>
        <w:t>有老师申请住房货币化补贴。</w:t>
      </w:r>
    </w:p>
    <w:p>
      <w:pPr>
        <w:bidi w:val="0"/>
        <w:jc w:val="both"/>
        <w:rPr>
          <w:lang w:val="en-US" w:eastAsia="zh-CN"/>
        </w:rPr>
      </w:pPr>
    </w:p>
    <w:bookmarkEnd w:id="53"/>
    <w:bookmarkEnd w:id="54"/>
    <w:bookmarkEnd w:id="55"/>
    <w:bookmarkEnd w:id="56"/>
    <w:p>
      <w:pPr>
        <w:pStyle w:val="6"/>
        <w:keepNext w:val="0"/>
        <w:keepLines w:val="0"/>
        <w:spacing w:before="100" w:after="100" w:line="600" w:lineRule="atLeast"/>
        <w:ind w:firstLine="640" w:firstLineChars="0"/>
        <w:jc w:val="both"/>
        <w:rPr>
          <w:rFonts w:eastAsia="Times New Roman"/>
          <w:b/>
          <w:sz w:val="28"/>
          <w:szCs w:val="28"/>
        </w:rPr>
      </w:pPr>
      <w:bookmarkStart w:id="73" w:name="_Toc256000052"/>
      <w:bookmarkStart w:id="74" w:name="_Toc256000083"/>
      <w:bookmarkStart w:id="75" w:name="_Toc256000114"/>
      <w:bookmarkStart w:id="76" w:name="_Toc256000021"/>
      <w:r>
        <w:rPr>
          <w:rFonts w:ascii="黑体" w:hAnsi="黑体" w:eastAsia="黑体" w:cs="黑体"/>
          <w:b/>
        </w:rPr>
        <w:t>四、政府性基金预算财政拨款支出决算情况说明</w:t>
      </w:r>
      <w:bookmarkEnd w:id="73"/>
      <w:bookmarkEnd w:id="74"/>
      <w:bookmarkEnd w:id="75"/>
      <w:bookmarkEnd w:id="76"/>
    </w:p>
    <w:p>
      <w:pPr>
        <w:pStyle w:val="30"/>
        <w:widowControl/>
        <w:spacing w:before="100" w:after="100" w:line="600" w:lineRule="atLeast"/>
        <w:ind w:firstLine="640"/>
        <w:jc w:val="both"/>
        <w:rPr>
          <w:rFonts w:ascii="仿宋" w:hAnsi="仿宋" w:eastAsia="仿宋" w:cs="仿宋"/>
          <w:kern w:val="0"/>
          <w:sz w:val="32"/>
          <w:szCs w:val="32"/>
        </w:rPr>
      </w:pPr>
      <w:r>
        <w:rPr>
          <w:rFonts w:ascii="仿宋" w:hAnsi="仿宋" w:eastAsia="仿宋" w:cs="仿宋"/>
          <w:kern w:val="0"/>
          <w:sz w:val="32"/>
          <w:szCs w:val="32"/>
        </w:rPr>
        <w:t>2024年度政府性基金支出0万元，比上年决算数增加0万元，增长0%。</w:t>
      </w:r>
    </w:p>
    <w:p>
      <w:pPr>
        <w:pStyle w:val="30"/>
        <w:widowControl/>
        <w:spacing w:before="100" w:after="100" w:line="600" w:lineRule="atLeast"/>
        <w:ind w:firstLine="640"/>
        <w:jc w:val="both"/>
        <w:rPr>
          <w:rFonts w:ascii="仿宋" w:hAnsi="仿宋" w:eastAsia="仿宋" w:cs="仿宋"/>
          <w:kern w:val="0"/>
          <w:sz w:val="32"/>
          <w:szCs w:val="32"/>
        </w:rPr>
      </w:pPr>
      <w:r>
        <w:rPr>
          <w:rFonts w:ascii="仿宋" w:hAnsi="仿宋" w:eastAsia="仿宋" w:cs="仿宋"/>
          <w:kern w:val="0"/>
          <w:sz w:val="32"/>
          <w:szCs w:val="32"/>
        </w:rPr>
        <w:t>本单位2024年度没有使用政府性基金预算拨款安排的支出。</w:t>
      </w:r>
    </w:p>
    <w:p>
      <w:pPr>
        <w:pStyle w:val="6"/>
        <w:keepNext w:val="0"/>
        <w:keepLines w:val="0"/>
        <w:spacing w:before="100" w:after="100" w:line="600" w:lineRule="atLeast"/>
        <w:ind w:firstLine="640" w:firstLineChars="0"/>
        <w:jc w:val="both"/>
        <w:rPr>
          <w:rFonts w:eastAsia="Times New Roman"/>
          <w:b/>
          <w:sz w:val="28"/>
          <w:szCs w:val="28"/>
        </w:rPr>
      </w:pPr>
      <w:bookmarkStart w:id="77" w:name="_Toc256000115"/>
      <w:bookmarkStart w:id="78" w:name="_Toc256000053"/>
      <w:bookmarkStart w:id="79" w:name="_Toc256000084"/>
      <w:bookmarkStart w:id="80" w:name="_Toc256000022"/>
      <w:r>
        <w:rPr>
          <w:rFonts w:ascii="黑体" w:hAnsi="黑体" w:eastAsia="黑体" w:cs="黑体"/>
          <w:b/>
        </w:rPr>
        <w:t>五、国有资本经营预算财政拨款支出决算情况说明</w:t>
      </w:r>
      <w:bookmarkEnd w:id="77"/>
      <w:bookmarkEnd w:id="78"/>
      <w:bookmarkEnd w:id="79"/>
      <w:bookmarkEnd w:id="80"/>
    </w:p>
    <w:p>
      <w:pPr>
        <w:pStyle w:val="30"/>
        <w:widowControl/>
        <w:spacing w:before="100" w:after="100" w:line="600" w:lineRule="atLeast"/>
        <w:ind w:firstLine="640"/>
        <w:jc w:val="both"/>
        <w:rPr>
          <w:rFonts w:ascii="仿宋" w:hAnsi="仿宋" w:eastAsia="仿宋" w:cs="仿宋"/>
          <w:kern w:val="0"/>
          <w:sz w:val="32"/>
          <w:szCs w:val="32"/>
        </w:rPr>
      </w:pPr>
      <w:r>
        <w:rPr>
          <w:rFonts w:ascii="仿宋" w:hAnsi="仿宋" w:eastAsia="仿宋" w:cs="仿宋"/>
          <w:kern w:val="0"/>
          <w:sz w:val="32"/>
          <w:szCs w:val="32"/>
        </w:rPr>
        <w:t>2024年度国有资本经营预算支出0万元，比上年决算数增加0万元，增长0%。</w:t>
      </w:r>
    </w:p>
    <w:p>
      <w:pPr>
        <w:pStyle w:val="30"/>
        <w:widowControl/>
        <w:spacing w:before="100" w:after="100" w:line="600" w:lineRule="atLeast"/>
        <w:ind w:firstLine="640"/>
        <w:jc w:val="both"/>
        <w:rPr>
          <w:rFonts w:ascii="仿宋" w:hAnsi="仿宋" w:eastAsia="仿宋" w:cs="仿宋"/>
          <w:kern w:val="0"/>
          <w:sz w:val="32"/>
          <w:szCs w:val="32"/>
        </w:rPr>
      </w:pPr>
      <w:r>
        <w:rPr>
          <w:rFonts w:ascii="仿宋" w:hAnsi="仿宋" w:eastAsia="仿宋" w:cs="仿宋"/>
          <w:kern w:val="0"/>
          <w:sz w:val="32"/>
          <w:szCs w:val="32"/>
        </w:rPr>
        <w:t>本单位2024年度没有使用国有资本经营预算财政拨款安排的支出。</w:t>
      </w:r>
    </w:p>
    <w:p>
      <w:pPr>
        <w:pStyle w:val="6"/>
        <w:keepNext w:val="0"/>
        <w:keepLines w:val="0"/>
        <w:spacing w:before="100" w:after="100" w:line="600" w:lineRule="atLeast"/>
        <w:ind w:firstLine="640" w:firstLineChars="0"/>
        <w:jc w:val="both"/>
        <w:rPr>
          <w:rFonts w:eastAsia="Times New Roman"/>
          <w:b/>
          <w:sz w:val="28"/>
          <w:szCs w:val="28"/>
        </w:rPr>
      </w:pPr>
      <w:bookmarkStart w:id="81" w:name="_Toc256000085"/>
      <w:bookmarkStart w:id="82" w:name="_Toc256000023"/>
      <w:bookmarkStart w:id="83" w:name="_Toc256000054"/>
      <w:bookmarkStart w:id="84" w:name="_Toc256000116"/>
      <w:r>
        <w:rPr>
          <w:rFonts w:ascii="黑体" w:hAnsi="黑体" w:eastAsia="黑体" w:cs="黑体"/>
          <w:b/>
        </w:rPr>
        <w:t>六、一般公共预算财政拨款基本支出决算情况说明</w:t>
      </w:r>
      <w:bookmarkEnd w:id="81"/>
      <w:bookmarkEnd w:id="82"/>
      <w:bookmarkEnd w:id="83"/>
      <w:bookmarkEnd w:id="84"/>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2024年度一般公共预算财政拨款基本支出1887.67万元，其中：</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一）人员经费1565.84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0"/>
        <w:widowControl/>
        <w:spacing w:before="100" w:after="100" w:line="600" w:lineRule="atLeast"/>
        <w:ind w:firstLine="640"/>
        <w:jc w:val="both"/>
        <w:rPr>
          <w:rFonts w:eastAsia="Times New Roman"/>
          <w:kern w:val="0"/>
          <w:sz w:val="24"/>
        </w:rPr>
      </w:pPr>
      <w:r>
        <w:rPr>
          <w:rFonts w:ascii="仿宋" w:hAnsi="仿宋" w:eastAsia="仿宋" w:cs="仿宋"/>
          <w:kern w:val="0"/>
          <w:sz w:val="32"/>
          <w:szCs w:val="32"/>
        </w:rPr>
        <w:t>（二）公用经费321.83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firstLine="640" w:firstLineChars="0"/>
        <w:jc w:val="both"/>
        <w:rPr>
          <w:rFonts w:eastAsia="Times New Roman"/>
          <w:b/>
          <w:sz w:val="28"/>
          <w:szCs w:val="28"/>
        </w:rPr>
      </w:pPr>
      <w:bookmarkStart w:id="85" w:name="_Toc256000024"/>
      <w:bookmarkStart w:id="86" w:name="_Toc256000055"/>
      <w:bookmarkStart w:id="87" w:name="_Toc256000086"/>
      <w:bookmarkStart w:id="88" w:name="_Toc256000117"/>
      <w:r>
        <w:rPr>
          <w:rFonts w:ascii="黑体" w:hAnsi="黑体" w:eastAsia="黑体" w:cs="黑体"/>
          <w:b/>
        </w:rPr>
        <w:t>七、一般公共预算拨款“三公”经费支出决算情况说明</w:t>
      </w:r>
      <w:bookmarkEnd w:id="85"/>
      <w:bookmarkEnd w:id="86"/>
      <w:bookmarkEnd w:id="87"/>
      <w:bookmarkEnd w:id="88"/>
    </w:p>
    <w:p>
      <w:pPr>
        <w:pStyle w:val="30"/>
        <w:widowControl/>
        <w:spacing w:before="100" w:after="100" w:line="600" w:lineRule="atLeast"/>
        <w:ind w:firstLine="645"/>
        <w:jc w:val="both"/>
        <w:rPr>
          <w:rFonts w:ascii="仿宋" w:hAnsi="仿宋" w:eastAsia="仿宋" w:cs="仿宋"/>
          <w:kern w:val="0"/>
          <w:sz w:val="32"/>
          <w:szCs w:val="32"/>
        </w:rPr>
      </w:pPr>
      <w:r>
        <w:rPr>
          <w:rFonts w:ascii="仿宋" w:hAnsi="仿宋" w:eastAsia="仿宋" w:cs="仿宋"/>
          <w:kern w:val="0"/>
          <w:sz w:val="32"/>
          <w:szCs w:val="32"/>
        </w:rPr>
        <w:t>2024年度一般公共预算拨款“三公”经费支出0万元，完成全年预算的 0%；较上年增加0万元，增长0%。主要原因是本单位没有使用“三公”经费支出。具体情况如下：</w:t>
      </w:r>
    </w:p>
    <w:p>
      <w:pPr>
        <w:pStyle w:val="30"/>
        <w:widowControl/>
        <w:spacing w:before="100" w:after="100" w:line="600" w:lineRule="atLeast"/>
        <w:ind w:firstLine="645"/>
        <w:jc w:val="both"/>
        <w:rPr>
          <w:rFonts w:ascii="仿宋" w:hAnsi="仿宋" w:eastAsia="仿宋" w:cs="仿宋"/>
          <w:kern w:val="0"/>
          <w:sz w:val="32"/>
          <w:szCs w:val="32"/>
        </w:rPr>
      </w:pPr>
      <w:r>
        <w:rPr>
          <w:rFonts w:ascii="仿宋" w:hAnsi="仿宋" w:eastAsia="仿宋" w:cs="仿宋"/>
          <w:kern w:val="0"/>
          <w:sz w:val="32"/>
          <w:szCs w:val="32"/>
        </w:rPr>
        <w:t>（一）因公出国（境）费支出0万元，完成全年预算的 0%；较上年增加0万元，增长0%。全年安排本单位组织的出国团组0 个，参加其他单位出国团组个；全年因公出国（境）累计0人次。主要是本</w:t>
      </w:r>
      <w:r>
        <w:rPr>
          <w:rFonts w:hint="eastAsia" w:ascii="仿宋" w:hAnsi="仿宋" w:eastAsia="仿宋" w:cs="仿宋"/>
          <w:kern w:val="0"/>
          <w:sz w:val="32"/>
          <w:szCs w:val="32"/>
          <w:lang w:eastAsia="zh-CN"/>
        </w:rPr>
        <w:t>单位</w:t>
      </w:r>
      <w:r>
        <w:rPr>
          <w:rFonts w:ascii="仿宋" w:hAnsi="仿宋" w:eastAsia="仿宋" w:cs="仿宋"/>
          <w:kern w:val="0"/>
          <w:sz w:val="32"/>
          <w:szCs w:val="32"/>
        </w:rPr>
        <w:t>没有安排出国团组及参加其他单位出国团组。</w:t>
      </w:r>
    </w:p>
    <w:p>
      <w:pPr>
        <w:pStyle w:val="30"/>
        <w:widowControl/>
        <w:spacing w:before="100" w:after="100" w:line="600" w:lineRule="atLeast"/>
        <w:ind w:firstLine="645"/>
        <w:jc w:val="both"/>
        <w:rPr>
          <w:rFonts w:ascii="仿宋" w:hAnsi="仿宋" w:eastAsia="仿宋" w:cs="仿宋"/>
          <w:kern w:val="0"/>
          <w:sz w:val="32"/>
          <w:szCs w:val="32"/>
        </w:rPr>
      </w:pPr>
      <w:r>
        <w:rPr>
          <w:rFonts w:ascii="仿宋" w:hAnsi="仿宋" w:eastAsia="仿宋" w:cs="仿宋"/>
          <w:kern w:val="0"/>
          <w:sz w:val="32"/>
          <w:szCs w:val="32"/>
        </w:rPr>
        <w:t>（二）公务用车购置及运行费支出0万元，完成全年预算的0%；较上年增加0万元，增长0%。主要是本单位没有购置公务用车</w:t>
      </w:r>
      <w:r>
        <w:rPr>
          <w:rFonts w:hint="eastAsia" w:ascii="仿宋" w:hAnsi="仿宋" w:eastAsia="仿宋" w:cs="仿宋"/>
          <w:kern w:val="0"/>
          <w:sz w:val="32"/>
          <w:szCs w:val="32"/>
          <w:lang w:eastAsia="zh-CN"/>
        </w:rPr>
        <w:t>和</w:t>
      </w:r>
      <w:r>
        <w:rPr>
          <w:rFonts w:ascii="仿宋" w:hAnsi="仿宋" w:eastAsia="仿宋" w:cs="仿宋"/>
          <w:kern w:val="0"/>
          <w:sz w:val="32"/>
          <w:szCs w:val="32"/>
        </w:rPr>
        <w:t>运行</w:t>
      </w:r>
      <w:r>
        <w:rPr>
          <w:rFonts w:hint="eastAsia" w:ascii="仿宋" w:hAnsi="仿宋" w:eastAsia="仿宋" w:cs="仿宋"/>
          <w:kern w:val="0"/>
          <w:sz w:val="32"/>
          <w:szCs w:val="32"/>
          <w:lang w:eastAsia="zh-CN"/>
        </w:rPr>
        <w:t>维护</w:t>
      </w:r>
      <w:r>
        <w:rPr>
          <w:rFonts w:ascii="仿宋" w:hAnsi="仿宋" w:eastAsia="仿宋" w:cs="仿宋"/>
          <w:kern w:val="0"/>
          <w:sz w:val="32"/>
          <w:szCs w:val="32"/>
        </w:rPr>
        <w:t>费用支出。其中：</w:t>
      </w:r>
    </w:p>
    <w:p>
      <w:pPr>
        <w:pStyle w:val="30"/>
        <w:widowControl/>
        <w:spacing w:before="100" w:after="100" w:line="600" w:lineRule="atLeast"/>
        <w:ind w:firstLine="645"/>
        <w:jc w:val="both"/>
        <w:rPr>
          <w:rFonts w:ascii="仿宋" w:hAnsi="仿宋" w:eastAsia="仿宋" w:cs="仿宋"/>
          <w:kern w:val="0"/>
          <w:sz w:val="32"/>
          <w:szCs w:val="32"/>
        </w:rPr>
      </w:pPr>
      <w:r>
        <w:rPr>
          <w:rFonts w:ascii="仿宋" w:hAnsi="仿宋" w:eastAsia="仿宋" w:cs="仿宋"/>
          <w:kern w:val="0"/>
          <w:sz w:val="32"/>
          <w:szCs w:val="32"/>
        </w:rPr>
        <w:t>公务用车购置费支出0万元，完成全年预算的0%；较上年增加0万元，增长0%。2024年公务用车购置0辆，主要是本单位没有购置公务用车。</w:t>
      </w:r>
    </w:p>
    <w:p>
      <w:pPr>
        <w:pStyle w:val="30"/>
        <w:widowControl/>
        <w:spacing w:before="100" w:after="100" w:line="600" w:lineRule="atLeast"/>
        <w:ind w:firstLine="645"/>
        <w:jc w:val="both"/>
        <w:rPr>
          <w:rFonts w:ascii="仿宋" w:hAnsi="仿宋" w:eastAsia="仿宋" w:cs="仿宋"/>
          <w:kern w:val="0"/>
          <w:sz w:val="32"/>
          <w:szCs w:val="32"/>
        </w:rPr>
      </w:pPr>
      <w:r>
        <w:rPr>
          <w:rFonts w:ascii="仿宋" w:hAnsi="仿宋" w:eastAsia="仿宋" w:cs="仿宋"/>
          <w:kern w:val="0"/>
          <w:sz w:val="32"/>
          <w:szCs w:val="32"/>
        </w:rPr>
        <w:t>公务用车运行费支出0万元，完成全年预算的0%；较上年增加0万元，增长0%。主要是本单位无公务用车运行</w:t>
      </w:r>
      <w:r>
        <w:rPr>
          <w:rFonts w:hint="eastAsia" w:ascii="仿宋" w:hAnsi="仿宋" w:eastAsia="仿宋" w:cs="仿宋"/>
          <w:kern w:val="0"/>
          <w:sz w:val="32"/>
          <w:szCs w:val="32"/>
          <w:lang w:eastAsia="zh-CN"/>
        </w:rPr>
        <w:t>维护</w:t>
      </w:r>
      <w:r>
        <w:rPr>
          <w:rFonts w:ascii="仿宋" w:hAnsi="仿宋" w:eastAsia="仿宋" w:cs="仿宋"/>
          <w:kern w:val="0"/>
          <w:sz w:val="32"/>
          <w:szCs w:val="32"/>
        </w:rPr>
        <w:t>费用支出。截至2024年12月31日，本单位公务用车保有量为0 辆。</w:t>
      </w:r>
    </w:p>
    <w:p>
      <w:pPr>
        <w:pStyle w:val="30"/>
        <w:widowControl/>
        <w:spacing w:before="100" w:after="100" w:line="600" w:lineRule="atLeast"/>
        <w:ind w:firstLine="645"/>
        <w:jc w:val="both"/>
        <w:rPr>
          <w:rFonts w:eastAsia="Times New Roman"/>
          <w:kern w:val="0"/>
          <w:sz w:val="24"/>
        </w:rPr>
      </w:pPr>
      <w:r>
        <w:rPr>
          <w:rFonts w:ascii="仿宋" w:hAnsi="仿宋" w:eastAsia="仿宋" w:cs="仿宋"/>
          <w:kern w:val="0"/>
          <w:sz w:val="32"/>
          <w:szCs w:val="32"/>
        </w:rPr>
        <w:t>（三）公务接待费支出0万元，完成全年预算的 0%；较上年增加0万元，增长0%。主要是本</w:t>
      </w:r>
      <w:r>
        <w:rPr>
          <w:rFonts w:hint="eastAsia" w:ascii="仿宋" w:hAnsi="仿宋" w:eastAsia="仿宋" w:cs="仿宋"/>
          <w:kern w:val="0"/>
          <w:sz w:val="32"/>
          <w:szCs w:val="32"/>
          <w:lang w:eastAsia="zh-CN"/>
        </w:rPr>
        <w:t>单位</w:t>
      </w:r>
      <w:r>
        <w:rPr>
          <w:rFonts w:ascii="仿宋" w:hAnsi="仿宋" w:eastAsia="仿宋" w:cs="仿宋"/>
          <w:kern w:val="0"/>
          <w:sz w:val="32"/>
          <w:szCs w:val="32"/>
        </w:rPr>
        <w:t>没有公务接待活动。累计接待0批次、0人次。主要是本</w:t>
      </w:r>
      <w:r>
        <w:rPr>
          <w:rFonts w:hint="eastAsia" w:ascii="仿宋" w:hAnsi="仿宋" w:eastAsia="仿宋" w:cs="仿宋"/>
          <w:kern w:val="0"/>
          <w:sz w:val="32"/>
          <w:szCs w:val="32"/>
          <w:lang w:eastAsia="zh-CN"/>
        </w:rPr>
        <w:t>单位</w:t>
      </w:r>
      <w:r>
        <w:rPr>
          <w:rFonts w:ascii="仿宋" w:hAnsi="仿宋" w:eastAsia="仿宋" w:cs="仿宋"/>
          <w:kern w:val="0"/>
          <w:sz w:val="32"/>
          <w:szCs w:val="32"/>
        </w:rPr>
        <w:t>没有公务接待活动。</w:t>
      </w:r>
    </w:p>
    <w:p>
      <w:pPr>
        <w:pStyle w:val="6"/>
        <w:keepNext w:val="0"/>
        <w:keepLines w:val="0"/>
        <w:spacing w:before="100" w:after="100" w:line="600" w:lineRule="atLeast"/>
        <w:ind w:firstLine="640" w:firstLineChars="0"/>
        <w:jc w:val="both"/>
        <w:rPr>
          <w:rFonts w:eastAsia="Times New Roman"/>
          <w:b/>
          <w:sz w:val="28"/>
          <w:szCs w:val="28"/>
        </w:rPr>
      </w:pPr>
      <w:bookmarkStart w:id="89" w:name="_Toc256000087"/>
      <w:bookmarkStart w:id="90" w:name="_Toc256000118"/>
      <w:bookmarkStart w:id="91" w:name="_Toc256000056"/>
      <w:bookmarkStart w:id="92" w:name="_Toc256000025"/>
      <w:r>
        <w:rPr>
          <w:rFonts w:ascii="黑体" w:hAnsi="黑体" w:eastAsia="黑体" w:cs="黑体"/>
          <w:b/>
        </w:rPr>
        <w:t>八、预算绩效情况说明</w:t>
      </w:r>
      <w:bookmarkEnd w:id="89"/>
      <w:bookmarkEnd w:id="90"/>
      <w:bookmarkEnd w:id="91"/>
      <w:bookmarkEnd w:id="92"/>
    </w:p>
    <w:p>
      <w:pPr>
        <w:pStyle w:val="30"/>
        <w:widowControl/>
        <w:spacing w:before="100" w:after="100" w:line="600" w:lineRule="atLeast"/>
        <w:ind w:left="0" w:right="0" w:firstLine="640"/>
        <w:jc w:val="both"/>
        <w:rPr>
          <w:rFonts w:ascii="Times New Roman" w:hAnsi="Times New Roman" w:eastAsia="Times New Roman" w:cs="Times New Roman"/>
          <w:kern w:val="0"/>
          <w:sz w:val="24"/>
        </w:rPr>
      </w:pPr>
      <w:bookmarkStart w:id="93" w:name="_Toc256000088"/>
      <w:bookmarkStart w:id="94" w:name="_Toc256000057"/>
      <w:bookmarkStart w:id="95" w:name="_Toc256000026"/>
      <w:bookmarkStart w:id="96" w:name="_Toc256000119"/>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w:t>
      </w:r>
      <w:r>
        <w:rPr>
          <w:rFonts w:ascii="仿宋" w:hAnsi="仿宋" w:eastAsia="仿宋" w:cs="仿宋"/>
          <w:spacing w:val="0"/>
          <w:kern w:val="0"/>
          <w:sz w:val="32"/>
          <w:szCs w:val="32"/>
        </w:rPr>
        <w:t>是</w:t>
      </w:r>
      <w:r>
        <w:rPr>
          <w:rFonts w:hint="eastAsia" w:ascii="仿宋" w:hAnsi="仿宋" w:eastAsia="仿宋" w:cs="仿宋"/>
          <w:spacing w:val="0"/>
          <w:kern w:val="0"/>
          <w:sz w:val="32"/>
          <w:szCs w:val="32"/>
          <w:lang w:eastAsia="zh-CN"/>
        </w:rPr>
        <w:t>特殊教育补助经费</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45.3</w:t>
      </w:r>
      <w:r>
        <w:rPr>
          <w:rFonts w:ascii="仿宋" w:hAnsi="仿宋" w:eastAsia="仿宋" w:cs="仿宋"/>
          <w:spacing w:val="0"/>
          <w:kern w:val="0"/>
          <w:sz w:val="32"/>
          <w:szCs w:val="32"/>
        </w:rPr>
        <w:t>万元。（《项目支出绩效自评表》详见附件）</w:t>
      </w:r>
    </w:p>
    <w:p>
      <w:pPr>
        <w:pStyle w:val="6"/>
        <w:keepNext w:val="0"/>
        <w:keepLines w:val="0"/>
        <w:spacing w:before="100" w:after="100" w:line="600" w:lineRule="atLeast"/>
        <w:ind w:firstLine="640" w:firstLineChars="0"/>
        <w:jc w:val="both"/>
        <w:rPr>
          <w:rFonts w:eastAsia="Times New Roman"/>
          <w:b/>
          <w:sz w:val="28"/>
          <w:szCs w:val="28"/>
        </w:rPr>
      </w:pPr>
      <w:r>
        <w:rPr>
          <w:rFonts w:ascii="黑体" w:hAnsi="黑体" w:eastAsia="黑体" w:cs="黑体"/>
          <w:b/>
        </w:rPr>
        <w:t>九、其他重要事项说明</w:t>
      </w:r>
      <w:bookmarkEnd w:id="93"/>
      <w:bookmarkEnd w:id="94"/>
      <w:bookmarkEnd w:id="95"/>
      <w:bookmarkEnd w:id="96"/>
    </w:p>
    <w:p>
      <w:pPr>
        <w:widowControl/>
        <w:spacing w:before="100" w:after="100" w:line="600" w:lineRule="atLeast"/>
        <w:ind w:firstLine="643"/>
        <w:jc w:val="both"/>
        <w:rPr>
          <w:rFonts w:hint="eastAsia" w:ascii="仿宋" w:hAnsi="仿宋" w:eastAsia="仿宋" w:cs="仿宋"/>
          <w:b/>
          <w:bCs/>
          <w:kern w:val="0"/>
          <w:sz w:val="32"/>
          <w:szCs w:val="32"/>
          <w:highlight w:val="none"/>
          <w:lang w:val="en-US" w:eastAsia="zh-CN" w:bidi="ar-SA"/>
        </w:rPr>
      </w:pPr>
      <w:r>
        <w:rPr>
          <w:rFonts w:hint="eastAsia" w:ascii="仿宋" w:hAnsi="仿宋" w:eastAsia="仿宋" w:cs="仿宋"/>
          <w:b/>
          <w:bCs/>
          <w:kern w:val="0"/>
          <w:sz w:val="32"/>
          <w:szCs w:val="32"/>
          <w:highlight w:val="none"/>
          <w:lang w:val="en-US" w:eastAsia="zh-CN" w:bidi="ar-SA"/>
        </w:rPr>
        <w:t>（一）机关运行经费 </w:t>
      </w:r>
    </w:p>
    <w:p>
      <w:pPr>
        <w:pStyle w:val="30"/>
        <w:widowControl/>
        <w:spacing w:before="100" w:after="100" w:line="600" w:lineRule="atLeast"/>
        <w:ind w:firstLine="704"/>
        <w:jc w:val="both"/>
        <w:rPr>
          <w:rFonts w:hint="eastAsia" w:ascii="仿宋" w:hAnsi="仿宋" w:eastAsia="仿宋" w:cs="仿宋"/>
          <w:kern w:val="0"/>
          <w:sz w:val="32"/>
          <w:szCs w:val="32"/>
        </w:rPr>
      </w:pPr>
      <w:r>
        <w:rPr>
          <w:rFonts w:hint="eastAsia" w:ascii="仿宋" w:hAnsi="仿宋" w:eastAsia="仿宋" w:cs="仿宋"/>
          <w:kern w:val="0"/>
          <w:sz w:val="32"/>
          <w:szCs w:val="32"/>
        </w:rPr>
        <w:t>2024年度机关运行经费支出0万元，比上年决算数增加0万元，增长0%。</w:t>
      </w:r>
    </w:p>
    <w:p>
      <w:pPr>
        <w:pStyle w:val="30"/>
        <w:widowControl/>
        <w:spacing w:before="100" w:after="100" w:line="600" w:lineRule="atLeast"/>
        <w:ind w:firstLine="704"/>
        <w:jc w:val="both"/>
        <w:rPr>
          <w:rFonts w:hint="eastAsia" w:ascii="仿宋" w:hAnsi="仿宋" w:eastAsia="仿宋" w:cs="仿宋"/>
          <w:kern w:val="0"/>
          <w:sz w:val="32"/>
          <w:szCs w:val="32"/>
        </w:rPr>
      </w:pPr>
      <w:r>
        <w:rPr>
          <w:rFonts w:hint="eastAsia" w:ascii="仿宋" w:hAnsi="仿宋" w:eastAsia="仿宋" w:cs="仿宋"/>
          <w:kern w:val="0"/>
          <w:sz w:val="32"/>
          <w:szCs w:val="32"/>
        </w:rPr>
        <w:t>本单位为事业单位</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没有机关运行经费。</w:t>
      </w:r>
    </w:p>
    <w:p>
      <w:pPr>
        <w:widowControl/>
        <w:spacing w:before="100" w:after="100" w:line="600" w:lineRule="atLeast"/>
        <w:ind w:firstLine="643"/>
        <w:jc w:val="both"/>
        <w:rPr>
          <w:rFonts w:hint="eastAsia" w:ascii="仿宋" w:hAnsi="仿宋" w:eastAsia="仿宋" w:cs="仿宋"/>
          <w:b/>
          <w:bCs/>
          <w:kern w:val="0"/>
          <w:sz w:val="32"/>
          <w:szCs w:val="32"/>
          <w:highlight w:val="none"/>
          <w:lang w:val="en-US" w:eastAsia="zh-CN" w:bidi="ar-SA"/>
        </w:rPr>
      </w:pPr>
      <w:r>
        <w:rPr>
          <w:rFonts w:hint="eastAsia" w:ascii="仿宋" w:hAnsi="仿宋" w:eastAsia="仿宋" w:cs="仿宋"/>
          <w:b/>
          <w:bCs/>
          <w:kern w:val="0"/>
          <w:sz w:val="32"/>
          <w:szCs w:val="32"/>
          <w:highlight w:val="none"/>
          <w:lang w:val="en-US" w:eastAsia="zh-CN" w:bidi="ar-SA"/>
        </w:rPr>
        <w:t>（二）政府采购情况</w:t>
      </w:r>
    </w:p>
    <w:p>
      <w:pPr>
        <w:pStyle w:val="30"/>
        <w:widowControl/>
        <w:spacing w:before="100" w:after="100" w:line="600" w:lineRule="atLeast"/>
        <w:ind w:firstLine="704"/>
        <w:jc w:val="both"/>
        <w:rPr>
          <w:rFonts w:hint="eastAsia" w:ascii="仿宋" w:hAnsi="仿宋" w:eastAsia="仿宋" w:cs="仿宋"/>
          <w:kern w:val="0"/>
          <w:sz w:val="32"/>
          <w:szCs w:val="32"/>
        </w:rPr>
      </w:pPr>
      <w:r>
        <w:rPr>
          <w:rFonts w:hint="eastAsia" w:ascii="仿宋" w:hAnsi="仿宋" w:eastAsia="仿宋" w:cs="仿宋"/>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%，工程采购授予中小企业合同金额占工程支出金额的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%，服务采购授予中小企业合同金额占服务支出金额的0%。</w:t>
      </w:r>
    </w:p>
    <w:p>
      <w:pPr>
        <w:pStyle w:val="30"/>
        <w:widowControl/>
        <w:spacing w:before="100" w:after="100" w:line="600" w:lineRule="atLeast"/>
        <w:ind w:firstLine="704"/>
        <w:jc w:val="both"/>
        <w:rPr>
          <w:rFonts w:ascii="仿宋" w:hAnsi="仿宋" w:eastAsia="仿宋" w:cs="仿宋"/>
          <w:kern w:val="0"/>
          <w:sz w:val="32"/>
          <w:szCs w:val="32"/>
        </w:rPr>
      </w:pPr>
      <w:r>
        <w:rPr>
          <w:rFonts w:hint="eastAsia" w:ascii="仿宋" w:hAnsi="仿宋" w:eastAsia="仿宋" w:cs="仿宋"/>
          <w:kern w:val="0"/>
          <w:sz w:val="32"/>
          <w:szCs w:val="32"/>
        </w:rPr>
        <w:t>本单位2024年度没有政府采购支出。</w:t>
      </w:r>
    </w:p>
    <w:p>
      <w:pPr>
        <w:widowControl/>
        <w:spacing w:before="100" w:after="100" w:line="600" w:lineRule="atLeast"/>
        <w:ind w:firstLine="643"/>
        <w:jc w:val="both"/>
        <w:rPr>
          <w:rFonts w:hint="eastAsia" w:ascii="仿宋" w:hAnsi="仿宋" w:eastAsia="仿宋" w:cs="仿宋"/>
          <w:b/>
          <w:bCs/>
          <w:kern w:val="0"/>
          <w:sz w:val="32"/>
          <w:szCs w:val="32"/>
          <w:highlight w:val="none"/>
          <w:lang w:val="en-US" w:eastAsia="zh-CN" w:bidi="ar-SA"/>
        </w:rPr>
      </w:pPr>
      <w:r>
        <w:rPr>
          <w:rFonts w:hint="eastAsia" w:ascii="仿宋" w:hAnsi="仿宋" w:eastAsia="仿宋" w:cs="仿宋"/>
          <w:b/>
          <w:bCs/>
          <w:kern w:val="0"/>
          <w:sz w:val="32"/>
          <w:szCs w:val="32"/>
          <w:highlight w:val="none"/>
          <w:lang w:val="en-US" w:eastAsia="zh-CN" w:bidi="ar-SA"/>
        </w:rPr>
        <w:t>（三）国有资产占用使用情况 </w:t>
      </w:r>
    </w:p>
    <w:p>
      <w:pPr>
        <w:pStyle w:val="30"/>
        <w:widowControl/>
        <w:spacing w:before="100" w:after="100" w:line="600" w:lineRule="atLeast"/>
        <w:ind w:firstLine="704"/>
        <w:jc w:val="both"/>
        <w:rPr>
          <w:rFonts w:eastAsia="Times New Roman"/>
          <w:kern w:val="0"/>
          <w:sz w:val="24"/>
        </w:rPr>
      </w:pPr>
      <w:r>
        <w:rPr>
          <w:rFonts w:ascii="仿宋" w:hAnsi="仿宋" w:eastAsia="仿宋" w:cs="仿宋"/>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kern w:val="0"/>
          <w:sz w:val="32"/>
          <w:szCs w:val="32"/>
        </w:rPr>
        <w:t>  </w:t>
      </w:r>
      <w:r>
        <w:rPr>
          <w:rFonts w:ascii="宋体" w:hAnsi="宋体" w:cs="宋体"/>
          <w:kern w:val="0"/>
          <w:sz w:val="56"/>
          <w:szCs w:val="56"/>
        </w:rPr>
        <w:t xml:space="preserve"> </w:t>
      </w:r>
    </w:p>
    <w:p/>
    <w:p>
      <w:pPr>
        <w:widowControl/>
        <w:spacing w:before="240" w:after="240"/>
        <w:jc w:val="left"/>
        <w:rPr>
          <w:rFonts w:eastAsia="Times New Roman"/>
          <w:vanish/>
          <w:kern w:val="0"/>
          <w:sz w:val="24"/>
        </w:rPr>
      </w:pPr>
      <w:r>
        <w:rPr>
          <w:rFonts w:eastAsia="Times New Roman"/>
          <w:vanish/>
          <w:kern w:val="0"/>
          <w:sz w:val="24"/>
        </w:rPr>
        <w:t>word page break</w:t>
      </w:r>
    </w:p>
    <w:p>
      <w:pPr>
        <w:pStyle w:val="4"/>
        <w:keepNext w:val="0"/>
        <w:keepLines w:val="0"/>
        <w:spacing w:before="100" w:after="100" w:line="240" w:lineRule="auto"/>
        <w:ind w:firstLine="0" w:firstLineChars="0"/>
        <w:jc w:val="center"/>
        <w:rPr>
          <w:rFonts w:ascii="Times New Roman" w:hAnsi="Times New Roman" w:eastAsia="Times New Roman"/>
          <w:b/>
        </w:rPr>
      </w:pPr>
      <w:bookmarkStart w:id="97" w:name="_Toc256000089"/>
      <w:bookmarkStart w:id="98" w:name="_Toc256000027"/>
      <w:bookmarkStart w:id="99" w:name="_Toc256000058"/>
      <w:bookmarkStart w:id="100" w:name="_Toc256000120"/>
      <w:r>
        <w:rPr>
          <w:rFonts w:ascii="黑体" w:hAnsi="黑体" w:eastAsia="黑体" w:cs="黑体"/>
          <w:b/>
        </w:rPr>
        <w:t>第四部分</w:t>
      </w:r>
      <w:bookmarkEnd w:id="97"/>
      <w:bookmarkEnd w:id="98"/>
      <w:bookmarkEnd w:id="99"/>
      <w:bookmarkEnd w:id="100"/>
      <w:bookmarkStart w:id="101" w:name="_Toc256000028"/>
      <w:bookmarkStart w:id="102" w:name="_Toc256000121"/>
      <w:bookmarkStart w:id="103" w:name="_Toc256000059"/>
      <w:bookmarkStart w:id="104" w:name="_Toc256000090"/>
      <w:r>
        <w:rPr>
          <w:rFonts w:hint="eastAsia" w:ascii="黑体" w:hAnsi="黑体" w:eastAsia="黑体" w:cs="黑体"/>
          <w:b/>
        </w:rPr>
        <w:t xml:space="preserve"> </w:t>
      </w:r>
      <w:r>
        <w:rPr>
          <w:rFonts w:ascii="黑体" w:hAnsi="黑体" w:eastAsia="黑体" w:cs="黑体"/>
          <w:b/>
        </w:rPr>
        <w:t>名词解释</w:t>
      </w:r>
      <w:bookmarkEnd w:id="101"/>
      <w:bookmarkEnd w:id="102"/>
      <w:bookmarkEnd w:id="103"/>
      <w:bookmarkEnd w:id="104"/>
    </w:p>
    <w:p>
      <w:pPr>
        <w:pStyle w:val="30"/>
        <w:widowControl/>
        <w:spacing w:before="100" w:after="100" w:line="600" w:lineRule="atLeast"/>
        <w:ind w:firstLine="643" w:firstLineChars="200"/>
        <w:jc w:val="both"/>
        <w:rPr>
          <w:rFonts w:eastAsia="Times New Roman"/>
          <w:kern w:val="0"/>
          <w:sz w:val="24"/>
        </w:rPr>
      </w:pPr>
      <w:r>
        <w:rPr>
          <w:rStyle w:val="32"/>
          <w:rFonts w:ascii="仿宋" w:hAnsi="仿宋" w:eastAsia="仿宋" w:cs="仿宋"/>
          <w:b/>
          <w:bCs/>
          <w:kern w:val="0"/>
          <w:sz w:val="32"/>
          <w:szCs w:val="32"/>
        </w:rPr>
        <w:t>一、财政拨款收入：</w:t>
      </w:r>
      <w:r>
        <w:rPr>
          <w:rFonts w:ascii="仿宋" w:hAnsi="仿宋" w:eastAsia="仿宋" w:cs="仿宋"/>
          <w:kern w:val="0"/>
          <w:sz w:val="32"/>
          <w:szCs w:val="32"/>
        </w:rPr>
        <w:t>指单位从本级财政单位取得的财政预算资金，包括一般公共预算财政拨款、政府性基金预算财政拨款和国有资本经营预算财政拨款。</w:t>
      </w:r>
    </w:p>
    <w:p>
      <w:pPr>
        <w:pStyle w:val="30"/>
        <w:widowControl/>
        <w:spacing w:before="100" w:after="100" w:line="600" w:lineRule="atLeast"/>
        <w:ind w:firstLine="710"/>
        <w:jc w:val="both"/>
        <w:rPr>
          <w:rFonts w:eastAsia="Times New Roman"/>
          <w:kern w:val="0"/>
          <w:sz w:val="24"/>
        </w:rPr>
      </w:pPr>
      <w:r>
        <w:rPr>
          <w:rStyle w:val="32"/>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30"/>
        <w:widowControl/>
        <w:spacing w:before="100" w:after="100" w:line="600" w:lineRule="atLeast"/>
        <w:ind w:firstLine="710"/>
        <w:jc w:val="both"/>
        <w:rPr>
          <w:rFonts w:eastAsia="Times New Roman"/>
          <w:kern w:val="0"/>
          <w:sz w:val="24"/>
        </w:rPr>
      </w:pPr>
      <w:r>
        <w:rPr>
          <w:rStyle w:val="32"/>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30"/>
        <w:widowControl/>
        <w:spacing w:before="100" w:after="100" w:line="600" w:lineRule="atLeast"/>
        <w:ind w:firstLine="710"/>
        <w:jc w:val="both"/>
        <w:rPr>
          <w:rFonts w:eastAsia="Times New Roman"/>
          <w:kern w:val="0"/>
          <w:sz w:val="24"/>
        </w:rPr>
      </w:pPr>
      <w:r>
        <w:rPr>
          <w:rStyle w:val="32"/>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w:t>
      </w:r>
      <w:r>
        <w:rPr>
          <w:rFonts w:ascii="宋体" w:hAnsi="宋体" w:cs="宋体"/>
          <w:kern w:val="0"/>
          <w:szCs w:val="21"/>
        </w:rPr>
        <w:t> </w:t>
      </w:r>
      <w:r>
        <w:rPr>
          <w:rFonts w:ascii="仿宋" w:hAnsi="仿宋" w:eastAsia="仿宋" w:cs="仿宋"/>
          <w:kern w:val="0"/>
          <w:sz w:val="32"/>
          <w:szCs w:val="32"/>
        </w:rPr>
        <w:t>“上级补助收入”“附属单位上缴收入”“经营收入”等以外取得的各项收入。主要是事业单位固定资产出租收入等。</w:t>
      </w:r>
    </w:p>
    <w:p>
      <w:pPr>
        <w:pStyle w:val="30"/>
        <w:widowControl/>
        <w:spacing w:before="100" w:after="100" w:line="600" w:lineRule="atLeast"/>
        <w:ind w:firstLine="710"/>
        <w:jc w:val="both"/>
        <w:rPr>
          <w:rFonts w:eastAsia="Times New Roman"/>
          <w:kern w:val="0"/>
          <w:sz w:val="24"/>
        </w:rPr>
      </w:pPr>
      <w:r>
        <w:rPr>
          <w:rStyle w:val="32"/>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30"/>
        <w:widowControl/>
        <w:spacing w:before="100" w:after="100" w:line="600" w:lineRule="atLeast"/>
        <w:ind w:firstLine="710"/>
        <w:jc w:val="both"/>
        <w:rPr>
          <w:rFonts w:eastAsia="Times New Roman"/>
          <w:kern w:val="0"/>
          <w:sz w:val="24"/>
        </w:rPr>
      </w:pPr>
      <w:r>
        <w:rPr>
          <w:rStyle w:val="32"/>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pStyle w:val="31"/>
        <w:widowControl/>
        <w:spacing w:before="100" w:after="100" w:line="600" w:lineRule="atLeast"/>
        <w:ind w:firstLine="640"/>
        <w:jc w:val="both"/>
        <w:rPr>
          <w:rFonts w:eastAsia="Times New Roman"/>
          <w:kern w:val="0"/>
          <w:sz w:val="24"/>
        </w:rPr>
      </w:pPr>
      <w:r>
        <w:rPr>
          <w:rStyle w:val="32"/>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1"/>
        <w:widowControl/>
        <w:spacing w:before="100" w:after="100" w:line="600" w:lineRule="atLeast"/>
        <w:ind w:firstLine="640"/>
        <w:jc w:val="both"/>
        <w:rPr>
          <w:rFonts w:ascii="仿宋" w:hAnsi="仿宋" w:eastAsia="仿宋" w:cs="仿宋"/>
          <w:kern w:val="0"/>
          <w:sz w:val="32"/>
          <w:szCs w:val="32"/>
        </w:rPr>
      </w:pPr>
      <w:r>
        <w:rPr>
          <w:rStyle w:val="32"/>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ectPr>
          <w:footerReference r:id="rId6" w:type="default"/>
          <w:pgSz w:w="11906" w:h="16838"/>
          <w:pgMar w:top="1440" w:right="720" w:bottom="1440" w:left="720" w:header="720" w:footer="720" w:gutter="0"/>
          <w:cols w:space="720" w:num="1"/>
        </w:sectPr>
      </w:pPr>
    </w:p>
    <w:p>
      <w:pPr>
        <w:widowControl/>
        <w:spacing w:before="240" w:after="240"/>
        <w:jc w:val="center"/>
        <w:rPr>
          <w:rFonts w:ascii="宋体" w:hAnsi="黑体" w:cs="黑体"/>
          <w:b/>
          <w:sz w:val="32"/>
          <w:szCs w:val="32"/>
        </w:rPr>
      </w:pPr>
      <w:r>
        <w:rPr>
          <w:rFonts w:hint="eastAsia" w:eastAsia="黑体"/>
        </w:rPr>
        <w:drawing>
          <wp:anchor distT="0" distB="0" distL="0" distR="0" simplePos="0" relativeHeight="251659264" behindDoc="0" locked="0" layoutInCell="1" allowOverlap="1">
            <wp:simplePos x="0" y="0"/>
            <wp:positionH relativeFrom="column">
              <wp:posOffset>-9525</wp:posOffset>
            </wp:positionH>
            <wp:positionV relativeFrom="paragraph">
              <wp:posOffset>757555</wp:posOffset>
            </wp:positionV>
            <wp:extent cx="6318250" cy="7186930"/>
            <wp:effectExtent l="0" t="0" r="6350" b="13970"/>
            <wp:wrapNone/>
            <wp:docPr id="1036" name="图片 1" descr="1"/>
            <wp:cNvGraphicFramePr/>
            <a:graphic xmlns:a="http://schemas.openxmlformats.org/drawingml/2006/main">
              <a:graphicData uri="http://schemas.openxmlformats.org/drawingml/2006/picture">
                <pic:pic xmlns:pic="http://schemas.openxmlformats.org/drawingml/2006/picture">
                  <pic:nvPicPr>
                    <pic:cNvPr id="1036" name="图片 1" descr="1"/>
                    <pic:cNvPicPr/>
                  </pic:nvPicPr>
                  <pic:blipFill>
                    <a:blip r:embed="rId9" cstate="print"/>
                    <a:srcRect/>
                    <a:stretch>
                      <a:fillRect/>
                    </a:stretch>
                  </pic:blipFill>
                  <pic:spPr>
                    <a:xfrm>
                      <a:off x="0" y="0"/>
                      <a:ext cx="6318250" cy="7186930"/>
                    </a:xfrm>
                    <a:prstGeom prst="rect">
                      <a:avLst/>
                    </a:prstGeom>
                  </pic:spPr>
                </pic:pic>
              </a:graphicData>
            </a:graphic>
          </wp:anchor>
        </w:drawing>
      </w:r>
      <w:r>
        <w:rPr>
          <w:rFonts w:eastAsia="Times New Roman"/>
          <w:vanish/>
          <w:kern w:val="0"/>
          <w:sz w:val="24"/>
        </w:rPr>
        <w:t>word page break</w:t>
      </w:r>
      <w:r>
        <w:rPr>
          <w:rFonts w:hint="eastAsia" w:ascii="黑体" w:hAnsi="黑体" w:eastAsia="黑体" w:cs="黑体"/>
          <w:b/>
          <w:bCs/>
          <w:sz w:val="32"/>
          <w:szCs w:val="32"/>
        </w:rPr>
        <w:t>第五部分 附件</w:t>
      </w:r>
    </w:p>
    <w:p>
      <w:pPr>
        <w:pStyle w:val="5"/>
        <w:ind w:firstLine="600"/>
        <w:jc w:val="center"/>
        <w:rPr>
          <w:rFonts w:eastAsia="黑体"/>
        </w:rPr>
      </w:pPr>
    </w:p>
    <w:p>
      <w:pPr>
        <w:tabs>
          <w:tab w:val="left" w:pos="8415"/>
        </w:tabs>
      </w:pPr>
    </w:p>
    <w:p>
      <w:pPr>
        <w:pStyle w:val="30"/>
        <w:widowControl/>
        <w:spacing w:before="240" w:after="240"/>
        <w:jc w:val="left"/>
        <w:rPr>
          <w:rFonts w:ascii="黑体" w:hAnsi="黑体" w:eastAsia="黑体" w:cs="黑体"/>
          <w:b/>
          <w:sz w:val="32"/>
          <w:szCs w:val="32"/>
        </w:rPr>
      </w:pPr>
    </w:p>
    <w:bookmarkEnd w:id="4"/>
    <w:p>
      <w:pPr>
        <w:tabs>
          <w:tab w:val="left" w:pos="8415"/>
        </w:tabs>
      </w:pPr>
    </w:p>
    <w:sectPr>
      <w:footerReference r:id="rId7" w:type="default"/>
      <w:pgSz w:w="11906" w:h="16838"/>
      <w:pgMar w:top="1984" w:right="1083" w:bottom="1984" w:left="1083" w:header="0" w:footer="720"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w:t>
    </w:r>
    <w:r>
      <w:rPr>
        <w:rFonts w:ascii="宋体" w:hAnsi="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w:t>
    </w:r>
    <w:r>
      <w:rPr>
        <w:rFonts w:ascii="宋体" w:hAnsi="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17</w:t>
    </w:r>
    <w:r>
      <w:rPr>
        <w:rFonts w:ascii="宋体" w:hAnsi="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25</w:t>
    </w:r>
    <w:r>
      <w:rPr>
        <w:rFonts w:ascii="宋体" w:hAnsi="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5MmMyNDAwNDNmMDZmZWFhYTZjMjQwYzhlMTBmYjcifQ=="/>
  </w:docVars>
  <w:rsids>
    <w:rsidRoot w:val="009F388E"/>
    <w:rsid w:val="000D1BA9"/>
    <w:rsid w:val="001A0002"/>
    <w:rsid w:val="001E34B1"/>
    <w:rsid w:val="00973B21"/>
    <w:rsid w:val="009F388E"/>
    <w:rsid w:val="00AE2B62"/>
    <w:rsid w:val="00AF497B"/>
    <w:rsid w:val="00BE39AD"/>
    <w:rsid w:val="04F11E5F"/>
    <w:rsid w:val="0BF73098"/>
    <w:rsid w:val="0ED57DBE"/>
    <w:rsid w:val="14D169D0"/>
    <w:rsid w:val="16A55CCA"/>
    <w:rsid w:val="1BFF0C74"/>
    <w:rsid w:val="2116094D"/>
    <w:rsid w:val="214D3889"/>
    <w:rsid w:val="23102CAB"/>
    <w:rsid w:val="2E776899"/>
    <w:rsid w:val="34CD64BB"/>
    <w:rsid w:val="386D489E"/>
    <w:rsid w:val="40B028E7"/>
    <w:rsid w:val="41FD11C6"/>
    <w:rsid w:val="454A4646"/>
    <w:rsid w:val="559C4104"/>
    <w:rsid w:val="575F70AD"/>
    <w:rsid w:val="623156A6"/>
    <w:rsid w:val="696673E2"/>
    <w:rsid w:val="6B0034F8"/>
    <w:rsid w:val="6EC16F54"/>
    <w:rsid w:val="73031A06"/>
    <w:rsid w:val="7E535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9"/>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5"/>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keepNext w:val="0"/>
      <w:keepLines w:val="0"/>
      <w:widowControl/>
      <w:suppressLineNumbers w:val="0"/>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pPr>
    <w:rPr>
      <w:rFonts w:ascii="Times New Roman" w:hAnsi="Times New Roman" w:eastAsia="仿宋" w:cs="Times New Roman"/>
      <w:sz w:val="32"/>
      <w:lang w:val="en-US" w:eastAsia="en-US" w:bidi="ar-SA"/>
    </w:rPr>
  </w:style>
  <w:style w:type="paragraph" w:styleId="12">
    <w:name w:val="toc 8"/>
    <w:basedOn w:val="1"/>
    <w:next w:val="1"/>
    <w:qFormat/>
    <w:uiPriority w:val="0"/>
    <w:pPr>
      <w:ind w:left="1470"/>
      <w:jc w:val="left"/>
    </w:pPr>
    <w:rPr>
      <w:sz w:val="20"/>
      <w:szCs w:val="20"/>
    </w:rPr>
  </w:style>
  <w:style w:type="paragraph" w:styleId="13">
    <w:name w:val="Balloon Text"/>
    <w:basedOn w:val="1"/>
    <w:link w:val="34"/>
    <w:qFormat/>
    <w:uiPriority w:val="0"/>
    <w:rPr>
      <w:sz w:val="18"/>
      <w:szCs w:val="18"/>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5"/>
    <w:qFormat/>
    <w:uiPriority w:val="0"/>
    <w:pPr>
      <w:adjustRightInd w:val="0"/>
      <w:snapToGrid w:val="0"/>
      <w:spacing w:line="360" w:lineRule="auto"/>
    </w:pPr>
    <w:rPr>
      <w:rFonts w:ascii="Times New Roman" w:hAnsi="Times New Roman" w:eastAsia="仿宋" w:cs="Times New Roman"/>
      <w:bCs/>
      <w:sz w:val="32"/>
      <w:lang w:val="en-US" w:eastAsia="en-US"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5"/>
    <w:qFormat/>
    <w:uiPriority w:val="0"/>
    <w:pPr>
      <w:adjustRightInd w:val="0"/>
      <w:snapToGrid w:val="0"/>
      <w:spacing w:line="360" w:lineRule="auto"/>
      <w:ind w:firstLine="200" w:firstLineChars="200"/>
    </w:pPr>
    <w:rPr>
      <w:rFonts w:ascii="Times New Roman" w:hAnsi="Times New Roman" w:eastAsia="仿宋" w:cs="Times New Roman"/>
      <w:iCs/>
      <w:sz w:val="32"/>
      <w:lang w:val="en-US" w:eastAsia="en-US"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character" w:customStyle="1" w:styleId="25">
    <w:name w:val="标题 4 Char"/>
    <w:basedOn w:val="21"/>
    <w:link w:val="7"/>
    <w:qFormat/>
    <w:uiPriority w:val="0"/>
    <w:rPr>
      <w:rFonts w:ascii="Cambria" w:hAnsi="Cambria" w:eastAsia="仿宋"/>
      <w:bCs/>
      <w:kern w:val="2"/>
      <w:sz w:val="32"/>
      <w:szCs w:val="28"/>
    </w:rPr>
  </w:style>
  <w:style w:type="character" w:customStyle="1" w:styleId="26">
    <w:name w:val="无间隔 Char"/>
    <w:link w:val="5"/>
    <w:qFormat/>
    <w:locked/>
    <w:uiPriority w:val="0"/>
    <w:rPr>
      <w:rFonts w:eastAsia="仿宋_GB2312"/>
      <w:sz w:val="30"/>
      <w:szCs w:val="22"/>
      <w:lang w:bidi="ar-SA"/>
    </w:rPr>
  </w:style>
  <w:style w:type="character" w:customStyle="1" w:styleId="27">
    <w:name w:val="页脚 Char"/>
    <w:basedOn w:val="21"/>
    <w:link w:val="14"/>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Char"/>
    <w:basedOn w:val="21"/>
    <w:link w:val="6"/>
    <w:qFormat/>
    <w:uiPriority w:val="0"/>
    <w:rPr>
      <w:rFonts w:eastAsia="仿宋"/>
      <w:bCs/>
      <w:kern w:val="2"/>
      <w:sz w:val="32"/>
      <w:szCs w:val="32"/>
    </w:rPr>
  </w:style>
  <w:style w:type="paragraph" w:customStyle="1" w:styleId="30">
    <w:name w:val="MsoNormal"/>
    <w:basedOn w:val="1"/>
    <w:qFormat/>
    <w:uiPriority w:val="0"/>
  </w:style>
  <w:style w:type="paragraph" w:customStyle="1" w:styleId="31">
    <w:name w:val="p"/>
    <w:basedOn w:val="1"/>
    <w:qFormat/>
    <w:uiPriority w:val="0"/>
  </w:style>
  <w:style w:type="character" w:customStyle="1" w:styleId="32">
    <w:name w:val="15"/>
    <w:basedOn w:val="21"/>
    <w:qFormat/>
    <w:uiPriority w:val="0"/>
  </w:style>
  <w:style w:type="paragraph" w:customStyle="1" w:styleId="33">
    <w:name w:val="MsoBodyText"/>
    <w:basedOn w:val="1"/>
    <w:qFormat/>
    <w:uiPriority w:val="0"/>
  </w:style>
  <w:style w:type="character" w:customStyle="1" w:styleId="34">
    <w:name w:val="批注框文本 Char"/>
    <w:basedOn w:val="21"/>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02B2A1-94F1-4D51-836C-197C829C7D4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8600</Words>
  <Characters>10698</Characters>
  <Lines>104</Lines>
  <Paragraphs>29</Paragraphs>
  <TotalTime>0</TotalTime>
  <ScaleCrop>false</ScaleCrop>
  <LinksUpToDate>false</LinksUpToDate>
  <CharactersWithSpaces>11543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2025-12-05T03:40:15Z</dcterms:modified>
  <dc:title>××年度××部门/单位</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eyJoZGlkIjoiNjcyYjFhNTU5MGQ3NDMxZmE4MWFkM2IwMDc4Yzg4NzYiLCJ1c2VySWQiOiIxNTgyOTU5NjQ3In0=</vt:lpwstr>
  </property>
</Properties>
</file>