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widowControl/>
        <w:jc w:val="center"/>
        <w:rPr>
          <w:rFonts w:hint="eastAsia" w:ascii="仿宋" w:hAnsi="仿宋" w:eastAsia="仿宋" w:cs="仿宋"/>
          <w:sz w:val="32"/>
          <w:szCs w:val="32"/>
          <w:highlight w:val="none"/>
        </w:rPr>
      </w:pPr>
    </w:p>
    <w:p>
      <w:pPr>
        <w:widowControl/>
        <w:jc w:val="both"/>
        <w:rPr>
          <w:rFonts w:hint="eastAsia" w:ascii="仿宋" w:hAnsi="仿宋" w:eastAsia="仿宋" w:cs="仿宋"/>
          <w:sz w:val="32"/>
          <w:szCs w:val="32"/>
          <w:highlight w:val="none"/>
        </w:rPr>
      </w:pPr>
    </w:p>
    <w:p>
      <w:pPr>
        <w:widowControl/>
        <w:jc w:val="center"/>
        <w:rPr>
          <w:rFonts w:hint="eastAsia" w:ascii="仿宋" w:hAnsi="仿宋" w:eastAsia="仿宋" w:cs="仿宋"/>
          <w:b/>
          <w:bCs/>
          <w:sz w:val="72"/>
          <w:szCs w:val="72"/>
          <w:highlight w:val="none"/>
        </w:rPr>
      </w:pPr>
      <w:r>
        <w:rPr>
          <w:rFonts w:hint="eastAsia" w:ascii="仿宋" w:hAnsi="仿宋" w:eastAsia="仿宋" w:cs="仿宋"/>
          <w:b/>
          <w:bCs/>
          <w:sz w:val="72"/>
          <w:szCs w:val="72"/>
          <w:highlight w:val="none"/>
          <w:lang w:val="en-US" w:eastAsia="zh-CN"/>
        </w:rPr>
        <w:t>2024</w:t>
      </w:r>
      <w:r>
        <w:rPr>
          <w:rFonts w:hint="eastAsia" w:ascii="仿宋" w:hAnsi="仿宋" w:eastAsia="仿宋" w:cs="仿宋"/>
          <w:b/>
          <w:bCs/>
          <w:sz w:val="72"/>
          <w:szCs w:val="72"/>
          <w:highlight w:val="none"/>
        </w:rPr>
        <w:t>年度</w:t>
      </w:r>
    </w:p>
    <w:p>
      <w:pPr>
        <w:widowControl/>
        <w:jc w:val="center"/>
        <w:rPr>
          <w:rFonts w:hint="eastAsia" w:ascii="仿宋" w:hAnsi="仿宋" w:eastAsia="仿宋" w:cs="仿宋"/>
          <w:b/>
          <w:bCs/>
          <w:sz w:val="72"/>
          <w:szCs w:val="72"/>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仿宋" w:hAnsi="仿宋" w:eastAsia="仿宋" w:cs="仿宋"/>
          <w:b/>
          <w:bCs/>
          <w:sz w:val="72"/>
          <w:szCs w:val="72"/>
          <w:highlight w:val="none"/>
        </w:rPr>
        <w:t>厦门市天安小学</w:t>
      </w:r>
      <w:r>
        <w:rPr>
          <w:rFonts w:hint="eastAsia" w:ascii="仿宋" w:hAnsi="仿宋" w:eastAsia="仿宋" w:cs="仿宋"/>
          <w:b/>
          <w:bCs/>
          <w:sz w:val="72"/>
          <w:szCs w:val="72"/>
          <w:highlight w:val="none"/>
          <w:lang w:val="en-US" w:eastAsia="zh-CN"/>
        </w:rPr>
        <w:t>单位</w:t>
      </w:r>
      <w:r>
        <w:rPr>
          <w:rFonts w:hint="eastAsia" w:ascii="仿宋" w:hAnsi="仿宋" w:eastAsia="仿宋" w:cs="仿宋"/>
          <w:b/>
          <w:bCs/>
          <w:sz w:val="72"/>
          <w:szCs w:val="72"/>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仿宋" w:hAnsi="仿宋" w:eastAsia="仿宋" w:cs="仿宋"/>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hint="eastAsia" w:ascii="仿宋" w:hAnsi="仿宋" w:eastAsia="仿宋" w:cs="仿宋"/>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第一部分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单位概况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_Toc256000094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一、单位主要职责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二、单位基本情况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_Toc256000096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三、单位主要工作总结</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_Toc256000097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第二部分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_Toc256000098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2024年度决算表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_Toc256000099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_Toc256000100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二、收入决算表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_Toc256000101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_Toc256000102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四、财政拨款收入支出决算总表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_Toc256000103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五、一般公共预算财政拨款支出决算表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_Toc256000104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_Toc256000105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七、一般公共预算财政拨款“三公”经费支出决算表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_Toc256000106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八、政府性基金预算财政拨款收入支出决算表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_Toc256000107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九、国有资本经营预算财政拨款支出决算表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_Toc256000108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第三部分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_Toc256000109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2024年度决算情况说明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_Toc256000110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_Toc256000111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_Toc256000112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三、一般公共预算拨款支出决算情况说明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_Toc256000113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_Toc256000114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_Toc256000115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_Toc256000116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_Toc256000117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_Toc256000118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九、其他重要事项说明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_Toc256000119 \h </w:instrText>
          </w:r>
          <w:r>
            <w:rPr>
              <w:rFonts w:hint="eastAsia" w:ascii="仿宋" w:hAnsi="仿宋" w:eastAsia="仿宋" w:cs="仿宋"/>
              <w:sz w:val="32"/>
              <w:szCs w:val="32"/>
            </w:rPr>
            <w:fldChar w:fldCharType="separate"/>
          </w:r>
          <w:r>
            <w:rPr>
              <w:rFonts w:hint="eastAsia" w:ascii="仿宋" w:hAnsi="仿宋" w:eastAsia="仿宋" w:cs="仿宋"/>
              <w:sz w:val="32"/>
              <w:szCs w:val="32"/>
            </w:rPr>
            <w:t>24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第四部分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_Toc256000120 \h </w:instrText>
          </w:r>
          <w:r>
            <w:rPr>
              <w:rFonts w:hint="eastAsia" w:ascii="仿宋" w:hAnsi="仿宋" w:eastAsia="仿宋" w:cs="仿宋"/>
              <w:sz w:val="32"/>
              <w:szCs w:val="32"/>
            </w:rPr>
            <w:fldChar w:fldCharType="separate"/>
          </w:r>
          <w:r>
            <w:rPr>
              <w:rFonts w:hint="eastAsia" w:ascii="仿宋" w:hAnsi="仿宋" w:eastAsia="仿宋" w:cs="仿宋"/>
              <w:sz w:val="32"/>
              <w:szCs w:val="32"/>
            </w:rPr>
            <w:t>24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_Toc256000121 \h </w:instrText>
          </w:r>
          <w:r>
            <w:rPr>
              <w:rFonts w:hint="eastAsia" w:ascii="仿宋" w:hAnsi="仿宋" w:eastAsia="仿宋" w:cs="仿宋"/>
              <w:sz w:val="32"/>
              <w:szCs w:val="32"/>
            </w:rPr>
            <w:fldChar w:fldCharType="separate"/>
          </w:r>
          <w:r>
            <w:rPr>
              <w:rFonts w:hint="eastAsia" w:ascii="仿宋" w:hAnsi="仿宋" w:eastAsia="仿宋" w:cs="仿宋"/>
              <w:sz w:val="32"/>
              <w:szCs w:val="32"/>
            </w:rPr>
            <w:t>25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第五部分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_Toc256000122 \h </w:instrText>
          </w:r>
          <w:r>
            <w:rPr>
              <w:rFonts w:hint="eastAsia" w:ascii="仿宋" w:hAnsi="仿宋" w:eastAsia="仿宋" w:cs="仿宋"/>
              <w:sz w:val="32"/>
              <w:szCs w:val="32"/>
            </w:rPr>
            <w:fldChar w:fldCharType="separate"/>
          </w:r>
          <w:r>
            <w:rPr>
              <w:rFonts w:hint="eastAsia" w:ascii="仿宋" w:hAnsi="仿宋" w:eastAsia="仿宋" w:cs="仿宋"/>
              <w:sz w:val="32"/>
              <w:szCs w:val="32"/>
            </w:rPr>
            <w:t>27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附件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_Toc256000123 \h </w:instrText>
          </w:r>
          <w:r>
            <w:rPr>
              <w:rFonts w:hint="eastAsia" w:ascii="仿宋" w:hAnsi="仿宋" w:eastAsia="仿宋" w:cs="仿宋"/>
              <w:sz w:val="32"/>
              <w:szCs w:val="32"/>
            </w:rPr>
            <w:fldChar w:fldCharType="separate"/>
          </w:r>
          <w:r>
            <w:rPr>
              <w:rFonts w:hint="eastAsia" w:ascii="仿宋" w:hAnsi="仿宋" w:eastAsia="仿宋" w:cs="仿宋"/>
              <w:sz w:val="32"/>
              <w:szCs w:val="32"/>
            </w:rPr>
            <w:t>27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pgBorders>
                <w:top w:val="none" w:sz="0" w:space="0"/>
                <w:left w:val="none" w:sz="0" w:space="0"/>
                <w:bottom w:val="none" w:sz="0" w:space="0"/>
                <w:right w:val="none" w:sz="0" w:space="0"/>
              </w:pgBorders>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0"/>
        <w:jc w:val="center"/>
        <w:rPr>
          <w:rFonts w:hint="eastAsia" w:ascii="仿宋" w:hAnsi="仿宋" w:eastAsia="仿宋" w:cs="仿宋"/>
          <w:kern w:val="0"/>
          <w:sz w:val="32"/>
          <w:szCs w:val="32"/>
        </w:rPr>
      </w:pPr>
      <w:bookmarkStart w:id="0" w:name="_Toc256000000"/>
      <w:bookmarkStart w:id="1" w:name="_Toc256000093"/>
      <w:bookmarkStart w:id="2" w:name="_Toc256000031"/>
      <w:bookmarkStart w:id="3" w:name="_Toc256000062"/>
      <w:bookmarkStart w:id="4" w:name="a000"/>
      <w:r>
        <w:rPr>
          <w:rFonts w:hint="eastAsia" w:ascii="仿宋" w:hAnsi="仿宋" w:eastAsia="仿宋" w:cs="仿宋"/>
          <w:b/>
          <w:spacing w:val="0"/>
          <w:sz w:val="32"/>
          <w:szCs w:val="32"/>
        </w:rPr>
        <w:t>第一部分</w:t>
      </w:r>
      <w:bookmarkEnd w:id="0"/>
      <w:bookmarkEnd w:id="1"/>
      <w:bookmarkEnd w:id="2"/>
      <w:bookmarkEnd w:id="3"/>
      <w:r>
        <w:rPr>
          <w:rFonts w:hint="eastAsia" w:ascii="仿宋" w:hAnsi="仿宋" w:eastAsia="仿宋" w:cs="仿宋"/>
          <w:b/>
          <w:spacing w:val="0"/>
          <w:sz w:val="32"/>
          <w:szCs w:val="32"/>
        </w:rPr>
        <w:t> </w:t>
      </w:r>
      <w:bookmarkStart w:id="5" w:name="_Toc256000001"/>
      <w:bookmarkStart w:id="6" w:name="_Toc256000063"/>
      <w:bookmarkStart w:id="7" w:name="_Toc256000094"/>
      <w:bookmarkStart w:id="8" w:name="_Toc256000032"/>
      <w:r>
        <w:rPr>
          <w:rFonts w:hint="eastAsia" w:ascii="仿宋" w:hAnsi="仿宋" w:eastAsia="仿宋" w:cs="仿宋"/>
          <w:b/>
          <w:spacing w:val="0"/>
          <w:sz w:val="32"/>
          <w:szCs w:val="32"/>
          <w:lang w:val="en-US" w:eastAsia="zh-CN"/>
        </w:rPr>
        <w:t xml:space="preserve">  </w:t>
      </w:r>
      <w:r>
        <w:rPr>
          <w:rFonts w:hint="eastAsia" w:ascii="仿宋" w:hAnsi="仿宋" w:eastAsia="仿宋" w:cs="仿宋"/>
          <w:b/>
          <w:spacing w:val="0"/>
          <w:sz w:val="32"/>
          <w:szCs w:val="32"/>
        </w:rPr>
        <w:t>单位概况</w:t>
      </w:r>
      <w:bookmarkEnd w:id="5"/>
      <w:bookmarkEnd w:id="6"/>
      <w:bookmarkEnd w:id="7"/>
      <w:bookmarkEnd w:id="8"/>
    </w:p>
    <w:p>
      <w:pPr>
        <w:pStyle w:val="6"/>
        <w:keepNext w:val="0"/>
        <w:keepLines w:val="0"/>
        <w:spacing w:before="100" w:after="100" w:line="240" w:lineRule="auto"/>
        <w:ind w:left="0" w:right="0" w:firstLine="0" w:firstLineChars="0"/>
        <w:rPr>
          <w:rFonts w:hint="eastAsia" w:ascii="仿宋" w:hAnsi="仿宋" w:eastAsia="仿宋" w:cs="仿宋"/>
          <w:b/>
          <w:bCs/>
          <w:kern w:val="0"/>
          <w:sz w:val="32"/>
          <w:szCs w:val="32"/>
        </w:rPr>
      </w:pPr>
      <w:r>
        <w:rPr>
          <w:rFonts w:hint="eastAsia" w:ascii="仿宋" w:hAnsi="仿宋" w:eastAsia="仿宋" w:cs="仿宋"/>
          <w:b/>
          <w:spacing w:val="0"/>
          <w:sz w:val="32"/>
          <w:szCs w:val="32"/>
        </w:rPr>
        <w:t xml:space="preserve">    </w:t>
      </w:r>
      <w:bookmarkStart w:id="9" w:name="_Toc256000095"/>
      <w:bookmarkStart w:id="10" w:name="_Toc256000033"/>
      <w:bookmarkStart w:id="11" w:name="_Toc256000002"/>
      <w:bookmarkStart w:id="12" w:name="_Toc256000064"/>
      <w:r>
        <w:rPr>
          <w:rFonts w:hint="eastAsia" w:ascii="仿宋" w:hAnsi="仿宋" w:eastAsia="仿宋" w:cs="仿宋"/>
          <w:b/>
          <w:spacing w:val="0"/>
          <w:sz w:val="32"/>
          <w:szCs w:val="32"/>
        </w:rPr>
        <w:t>一、单位主要职责</w:t>
      </w:r>
      <w:bookmarkEnd w:id="9"/>
      <w:bookmarkEnd w:id="10"/>
      <w:bookmarkEnd w:id="11"/>
      <w:bookmarkEnd w:id="12"/>
    </w:p>
    <w:p>
      <w:pPr>
        <w:adjustRightInd w:val="0"/>
        <w:snapToGrid w:val="0"/>
        <w:spacing w:line="560" w:lineRule="exact"/>
        <w:ind w:left="0" w:firstLine="640" w:firstLineChars="200"/>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厦门市天安小学单位的主要职责是：</w:t>
      </w:r>
    </w:p>
    <w:p>
      <w:pPr>
        <w:adjustRightInd w:val="0"/>
        <w:snapToGrid w:val="0"/>
        <w:spacing w:line="560" w:lineRule="exact"/>
        <w:ind w:left="0" w:firstLine="640" w:firstLineChars="200"/>
        <w:rPr>
          <w:rFonts w:hint="eastAsia" w:ascii="仿宋" w:hAnsi="仿宋" w:eastAsia="仿宋" w:cs="仿宋"/>
          <w:spacing w:val="0"/>
          <w:kern w:val="0"/>
          <w:sz w:val="32"/>
          <w:szCs w:val="32"/>
          <w:lang w:val="en-US"/>
        </w:rPr>
      </w:pPr>
      <w:r>
        <w:rPr>
          <w:rFonts w:hint="eastAsia" w:ascii="仿宋" w:hAnsi="仿宋" w:eastAsia="仿宋" w:cs="仿宋"/>
          <w:spacing w:val="0"/>
          <w:kern w:val="0"/>
          <w:sz w:val="32"/>
          <w:szCs w:val="32"/>
          <w:lang w:eastAsia="zh-CN"/>
        </w:rPr>
        <w:t>（一）天安小学是由教学专职人员承担的有目的、有系统、有组织的，以受教育者的身心发展为直接目标的教育教学机构。职工是教师、教工、教辅人员等。</w:t>
      </w:r>
    </w:p>
    <w:p>
      <w:pPr>
        <w:adjustRightInd w:val="0"/>
        <w:snapToGrid w:val="0"/>
        <w:spacing w:line="560" w:lineRule="exact"/>
        <w:ind w:left="0" w:firstLine="640" w:firstLineChars="200"/>
        <w:rPr>
          <w:rFonts w:hint="eastAsia" w:ascii="仿宋" w:hAnsi="仿宋" w:eastAsia="仿宋" w:cs="仿宋"/>
          <w:spacing w:val="0"/>
          <w:kern w:val="0"/>
          <w:sz w:val="32"/>
          <w:szCs w:val="32"/>
          <w:lang w:val="en-US"/>
        </w:rPr>
      </w:pPr>
      <w:r>
        <w:rPr>
          <w:rFonts w:hint="eastAsia" w:ascii="仿宋" w:hAnsi="仿宋" w:eastAsia="仿宋" w:cs="仿宋"/>
          <w:spacing w:val="0"/>
          <w:kern w:val="0"/>
          <w:sz w:val="32"/>
          <w:szCs w:val="32"/>
          <w:lang w:eastAsia="zh-CN"/>
        </w:rPr>
        <w:t>（二）天安小学以小学教育为基本工作职能，落实党的教育方针，坚持党的教育路线，以“立德树人”作为学校办学、教育的根本任务，落实教育教学工作。</w:t>
      </w:r>
    </w:p>
    <w:p>
      <w:pPr>
        <w:adjustRightInd w:val="0"/>
        <w:snapToGrid w:val="0"/>
        <w:spacing w:line="560" w:lineRule="exact"/>
        <w:ind w:left="0" w:firstLine="640" w:firstLineChars="200"/>
        <w:rPr>
          <w:rFonts w:hint="eastAsia" w:ascii="仿宋" w:hAnsi="仿宋" w:eastAsia="仿宋" w:cs="仿宋"/>
          <w:spacing w:val="0"/>
          <w:kern w:val="0"/>
          <w:sz w:val="32"/>
          <w:szCs w:val="32"/>
          <w:lang w:val="en-US"/>
        </w:rPr>
      </w:pPr>
      <w:r>
        <w:rPr>
          <w:rFonts w:hint="eastAsia" w:ascii="仿宋" w:hAnsi="仿宋" w:eastAsia="仿宋" w:cs="仿宋"/>
          <w:spacing w:val="0"/>
          <w:kern w:val="0"/>
          <w:sz w:val="32"/>
          <w:szCs w:val="32"/>
          <w:lang w:eastAsia="zh-CN"/>
        </w:rPr>
        <w:t>（三）天安小学学校占地面积</w:t>
      </w:r>
      <w:r>
        <w:rPr>
          <w:rFonts w:hint="eastAsia" w:ascii="仿宋" w:hAnsi="仿宋" w:eastAsia="仿宋" w:cs="仿宋"/>
          <w:spacing w:val="0"/>
          <w:kern w:val="0"/>
          <w:sz w:val="32"/>
          <w:szCs w:val="32"/>
          <w:lang w:val="en-US"/>
        </w:rPr>
        <w:t>11652</w:t>
      </w:r>
      <w:r>
        <w:rPr>
          <w:rFonts w:hint="eastAsia" w:ascii="仿宋" w:hAnsi="仿宋" w:eastAsia="仿宋" w:cs="仿宋"/>
          <w:spacing w:val="0"/>
          <w:kern w:val="0"/>
          <w:sz w:val="32"/>
          <w:szCs w:val="32"/>
          <w:lang w:eastAsia="zh-CN"/>
        </w:rPr>
        <w:t>平方米，建筑面积</w:t>
      </w:r>
      <w:r>
        <w:rPr>
          <w:rFonts w:hint="eastAsia" w:ascii="仿宋" w:hAnsi="仿宋" w:eastAsia="仿宋" w:cs="仿宋"/>
          <w:spacing w:val="0"/>
          <w:kern w:val="0"/>
          <w:sz w:val="32"/>
          <w:szCs w:val="32"/>
          <w:lang w:val="en-US"/>
        </w:rPr>
        <w:t>8395</w:t>
      </w:r>
      <w:r>
        <w:rPr>
          <w:rFonts w:hint="eastAsia" w:ascii="仿宋" w:hAnsi="仿宋" w:eastAsia="仿宋" w:cs="仿宋"/>
          <w:spacing w:val="0"/>
          <w:kern w:val="0"/>
          <w:sz w:val="32"/>
          <w:szCs w:val="32"/>
          <w:lang w:eastAsia="zh-CN"/>
        </w:rPr>
        <w:t>平方米，绿地面积</w:t>
      </w:r>
      <w:r>
        <w:rPr>
          <w:rFonts w:hint="eastAsia" w:ascii="仿宋" w:hAnsi="仿宋" w:eastAsia="仿宋" w:cs="仿宋"/>
          <w:spacing w:val="0"/>
          <w:kern w:val="0"/>
          <w:sz w:val="32"/>
          <w:szCs w:val="32"/>
          <w:lang w:val="en-US"/>
        </w:rPr>
        <w:t>4719</w:t>
      </w:r>
      <w:r>
        <w:rPr>
          <w:rFonts w:hint="eastAsia" w:ascii="仿宋" w:hAnsi="仿宋" w:eastAsia="仿宋" w:cs="仿宋"/>
          <w:spacing w:val="0"/>
          <w:kern w:val="0"/>
          <w:sz w:val="32"/>
          <w:szCs w:val="32"/>
          <w:lang w:eastAsia="zh-CN"/>
        </w:rPr>
        <w:t>平方米，办学规模</w:t>
      </w:r>
      <w:r>
        <w:rPr>
          <w:rFonts w:hint="eastAsia" w:ascii="仿宋" w:hAnsi="仿宋" w:eastAsia="仿宋" w:cs="仿宋"/>
          <w:spacing w:val="0"/>
          <w:kern w:val="0"/>
          <w:sz w:val="32"/>
          <w:szCs w:val="32"/>
          <w:lang w:val="en-US"/>
        </w:rPr>
        <w:t>2</w:t>
      </w:r>
      <w:r>
        <w:rPr>
          <w:rFonts w:hint="eastAsia" w:ascii="仿宋" w:hAnsi="仿宋" w:eastAsia="仿宋" w:cs="仿宋"/>
          <w:spacing w:val="0"/>
          <w:kern w:val="0"/>
          <w:sz w:val="32"/>
          <w:szCs w:val="32"/>
          <w:lang w:val="en-US" w:eastAsia="zh-CN"/>
        </w:rPr>
        <w:t>6</w:t>
      </w:r>
      <w:r>
        <w:rPr>
          <w:rFonts w:hint="eastAsia" w:ascii="仿宋" w:hAnsi="仿宋" w:eastAsia="仿宋" w:cs="仿宋"/>
          <w:spacing w:val="0"/>
          <w:kern w:val="0"/>
          <w:sz w:val="32"/>
          <w:szCs w:val="32"/>
          <w:lang w:eastAsia="zh-CN"/>
        </w:rPr>
        <w:t>个班，在校生</w:t>
      </w:r>
      <w:r>
        <w:rPr>
          <w:rFonts w:hint="eastAsia" w:ascii="仿宋" w:hAnsi="仿宋" w:eastAsia="仿宋" w:cs="仿宋"/>
          <w:spacing w:val="0"/>
          <w:kern w:val="0"/>
          <w:sz w:val="32"/>
          <w:szCs w:val="32"/>
          <w:lang w:val="en-US"/>
        </w:rPr>
        <w:t>1</w:t>
      </w:r>
      <w:r>
        <w:rPr>
          <w:rFonts w:hint="eastAsia" w:ascii="仿宋" w:hAnsi="仿宋" w:eastAsia="仿宋" w:cs="仿宋"/>
          <w:spacing w:val="0"/>
          <w:kern w:val="0"/>
          <w:sz w:val="32"/>
          <w:szCs w:val="32"/>
          <w:lang w:val="en-US" w:eastAsia="zh-CN"/>
        </w:rPr>
        <w:t>214</w:t>
      </w:r>
      <w:r>
        <w:rPr>
          <w:rFonts w:hint="eastAsia" w:ascii="仿宋" w:hAnsi="仿宋" w:eastAsia="仿宋" w:cs="仿宋"/>
          <w:spacing w:val="0"/>
          <w:kern w:val="0"/>
          <w:sz w:val="32"/>
          <w:szCs w:val="32"/>
          <w:lang w:eastAsia="zh-CN"/>
        </w:rPr>
        <w:t>人，教职工</w:t>
      </w:r>
      <w:r>
        <w:rPr>
          <w:rFonts w:hint="eastAsia" w:ascii="仿宋" w:hAnsi="仿宋" w:eastAsia="仿宋" w:cs="仿宋"/>
          <w:spacing w:val="0"/>
          <w:kern w:val="0"/>
          <w:sz w:val="32"/>
          <w:szCs w:val="32"/>
          <w:lang w:val="en-US"/>
        </w:rPr>
        <w:t>7</w:t>
      </w:r>
      <w:r>
        <w:rPr>
          <w:rFonts w:hint="eastAsia" w:ascii="仿宋" w:hAnsi="仿宋" w:eastAsia="仿宋" w:cs="仿宋"/>
          <w:spacing w:val="0"/>
          <w:kern w:val="0"/>
          <w:sz w:val="32"/>
          <w:szCs w:val="32"/>
          <w:lang w:val="en-US" w:eastAsia="zh-CN"/>
        </w:rPr>
        <w:t>5</w:t>
      </w:r>
      <w:r>
        <w:rPr>
          <w:rFonts w:hint="eastAsia" w:ascii="仿宋" w:hAnsi="仿宋" w:eastAsia="仿宋" w:cs="仿宋"/>
          <w:spacing w:val="0"/>
          <w:kern w:val="0"/>
          <w:sz w:val="32"/>
          <w:szCs w:val="32"/>
          <w:lang w:eastAsia="zh-CN"/>
        </w:rPr>
        <w:t>人。是教育部网站推荐的“厦门市身边的好学校”之一。是省中华优秀文化艺术传承校，福建省书香校园，福建省基础教育学科教学研究基地校，先后获得</w:t>
      </w:r>
      <w:r>
        <w:rPr>
          <w:rFonts w:hint="eastAsia" w:ascii="仿宋" w:hAnsi="仿宋" w:eastAsia="仿宋" w:cs="仿宋"/>
          <w:spacing w:val="0"/>
          <w:kern w:val="0"/>
          <w:sz w:val="32"/>
          <w:szCs w:val="32"/>
          <w:lang w:val="en-US"/>
        </w:rPr>
        <w:t>40</w:t>
      </w:r>
      <w:r>
        <w:rPr>
          <w:rFonts w:hint="eastAsia" w:ascii="仿宋" w:hAnsi="仿宋" w:eastAsia="仿宋" w:cs="仿宋"/>
          <w:spacing w:val="0"/>
          <w:kern w:val="0"/>
          <w:sz w:val="32"/>
          <w:szCs w:val="32"/>
          <w:lang w:eastAsia="zh-CN"/>
        </w:rPr>
        <w:t>多项各级荣誉。</w:t>
      </w:r>
    </w:p>
    <w:p>
      <w:pPr>
        <w:adjustRightInd w:val="0"/>
        <w:snapToGrid w:val="0"/>
        <w:spacing w:line="560" w:lineRule="exact"/>
        <w:ind w:left="0" w:firstLine="640" w:firstLineChars="200"/>
        <w:rPr>
          <w:rFonts w:hint="eastAsia" w:ascii="仿宋" w:hAnsi="仿宋" w:eastAsia="仿宋" w:cs="仿宋"/>
          <w:kern w:val="0"/>
          <w:sz w:val="32"/>
          <w:szCs w:val="32"/>
        </w:rPr>
      </w:pPr>
      <w:r>
        <w:rPr>
          <w:rFonts w:hint="eastAsia" w:ascii="仿宋" w:hAnsi="仿宋" w:eastAsia="仿宋" w:cs="仿宋"/>
          <w:spacing w:val="0"/>
          <w:kern w:val="0"/>
          <w:sz w:val="32"/>
          <w:szCs w:val="32"/>
          <w:lang w:eastAsia="zh-CN"/>
        </w:rPr>
        <w:t>（四）天安小学以“传承中华传统文化—弘扬国学经典”吟诵教学为特色，扎实推进特色教育工作，在学校特色办学工作上成效显著。培养学生在艺术“</w:t>
      </w:r>
      <w:r>
        <w:rPr>
          <w:rFonts w:hint="eastAsia" w:ascii="仿宋" w:hAnsi="仿宋" w:eastAsia="仿宋" w:cs="仿宋"/>
          <w:spacing w:val="0"/>
          <w:kern w:val="0"/>
          <w:sz w:val="32"/>
          <w:szCs w:val="32"/>
          <w:lang w:val="en-US"/>
        </w:rPr>
        <w:t>2+1</w:t>
      </w:r>
      <w:r>
        <w:rPr>
          <w:rFonts w:hint="eastAsia" w:ascii="仿宋" w:hAnsi="仿宋" w:eastAsia="仿宋" w:cs="仿宋"/>
          <w:spacing w:val="0"/>
          <w:kern w:val="0"/>
          <w:sz w:val="32"/>
          <w:szCs w:val="32"/>
          <w:lang w:eastAsia="zh-CN"/>
        </w:rPr>
        <w:t>”项目上人人有特长，人人有技能。着力于培养“德智体美劳”全面发展的学生。</w:t>
      </w:r>
    </w:p>
    <w:p>
      <w:pPr>
        <w:pStyle w:val="6"/>
        <w:keepNext w:val="0"/>
        <w:keepLines w:val="0"/>
        <w:spacing w:before="100" w:after="100" w:line="600" w:lineRule="atLeast"/>
        <w:ind w:left="0" w:right="0" w:firstLine="640" w:firstLineChars="0"/>
        <w:rPr>
          <w:rFonts w:hint="eastAsia" w:ascii="仿宋" w:hAnsi="仿宋" w:eastAsia="仿宋" w:cs="仿宋"/>
          <w:b/>
          <w:bCs/>
          <w:kern w:val="0"/>
          <w:sz w:val="32"/>
          <w:szCs w:val="32"/>
        </w:rPr>
      </w:pPr>
      <w:bookmarkStart w:id="13" w:name="_Toc256000065"/>
      <w:bookmarkStart w:id="14" w:name="_Toc256000096"/>
      <w:bookmarkStart w:id="15" w:name="_Toc256000003"/>
      <w:bookmarkStart w:id="16" w:name="_Toc256000034"/>
      <w:r>
        <w:rPr>
          <w:rFonts w:hint="eastAsia" w:ascii="仿宋" w:hAnsi="仿宋" w:eastAsia="仿宋" w:cs="仿宋"/>
          <w:b/>
          <w:spacing w:val="0"/>
          <w:sz w:val="32"/>
          <w:szCs w:val="32"/>
        </w:rPr>
        <w:t>二、单位基本情况</w:t>
      </w:r>
      <w:bookmarkEnd w:id="13"/>
      <w:bookmarkEnd w:id="14"/>
      <w:bookmarkEnd w:id="15"/>
      <w:bookmarkEnd w:id="16"/>
    </w:p>
    <w:p>
      <w:pPr>
        <w:pStyle w:val="29"/>
        <w:widowControl/>
        <w:spacing w:before="100" w:after="100" w:line="600" w:lineRule="atLeast"/>
        <w:ind w:left="0" w:right="0" w:firstLine="640"/>
        <w:jc w:val="left"/>
        <w:rPr>
          <w:rFonts w:hint="eastAsia" w:ascii="仿宋" w:hAnsi="仿宋" w:eastAsia="仿宋" w:cs="仿宋"/>
          <w:kern w:val="0"/>
          <w:sz w:val="32"/>
          <w:szCs w:val="32"/>
        </w:rPr>
      </w:pPr>
      <w:r>
        <w:rPr>
          <w:rFonts w:hint="eastAsia"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4</w:t>
      </w:r>
      <w:r>
        <w:rPr>
          <w:rFonts w:hint="eastAsia" w:ascii="仿宋" w:hAnsi="仿宋" w:eastAsia="仿宋" w:cs="仿宋"/>
          <w:spacing w:val="0"/>
          <w:kern w:val="0"/>
          <w:sz w:val="32"/>
          <w:szCs w:val="32"/>
        </w:rPr>
        <w:t>个内设机构，其中：列入2024年决算编制范围的单位详细情况见下表:</w:t>
      </w:r>
    </w:p>
    <w:tbl>
      <w:tblPr>
        <w:tblStyle w:val="23"/>
        <w:tblW w:w="8549" w:type="dxa"/>
        <w:jc w:val="center"/>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917"/>
        <w:gridCol w:w="5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0" w:hRule="atLeast"/>
          <w:tblHeader/>
          <w:jc w:val="center"/>
        </w:trPr>
        <w:tc>
          <w:tcPr>
            <w:tcW w:w="2917"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rPr>
            </w:pPr>
            <w:r>
              <w:rPr>
                <w:rFonts w:hint="eastAsia" w:ascii="仿宋" w:hAnsi="仿宋" w:eastAsia="仿宋" w:cs="仿宋"/>
                <w:b w:val="0"/>
                <w:bCs w:val="0"/>
                <w:i w:val="0"/>
                <w:iCs w:val="0"/>
                <w:smallCaps w:val="0"/>
                <w:color w:val="000000"/>
                <w:spacing w:val="0"/>
                <w:kern w:val="0"/>
                <w:sz w:val="32"/>
                <w:szCs w:val="32"/>
              </w:rPr>
              <w:t>序号</w:t>
            </w:r>
          </w:p>
        </w:tc>
        <w:tc>
          <w:tcPr>
            <w:tcW w:w="5632"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rPr>
            </w:pPr>
            <w:r>
              <w:rPr>
                <w:rFonts w:hint="eastAsia" w:ascii="仿宋" w:hAnsi="仿宋" w:eastAsia="仿宋" w:cs="仿宋"/>
                <w:b w:val="0"/>
                <w:bCs w:val="0"/>
                <w:i w:val="0"/>
                <w:iCs w:val="0"/>
                <w:smallCaps w:val="0"/>
                <w:color w:val="000000"/>
                <w:spacing w:val="0"/>
                <w:kern w:val="0"/>
                <w:sz w:val="32"/>
                <w:szCs w:val="32"/>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0" w:hRule="atLeast"/>
          <w:tblHeader/>
          <w:jc w:val="center"/>
        </w:trPr>
        <w:tc>
          <w:tcPr>
            <w:tcW w:w="2917"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1</w:t>
            </w:r>
          </w:p>
        </w:tc>
        <w:tc>
          <w:tcPr>
            <w:tcW w:w="5632" w:type="dxa"/>
            <w:noWrap w:val="0"/>
            <w:tcMar>
              <w:top w:w="22" w:type="dxa"/>
              <w:left w:w="22" w:type="dxa"/>
              <w:bottom w:w="22" w:type="dxa"/>
              <w:right w:w="22" w:type="dxa"/>
            </w:tcMar>
            <w:vAlign w:val="center"/>
          </w:tcPr>
          <w:p>
            <w:pPr>
              <w:widowControl/>
              <w:jc w:val="center"/>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厦门市天安小学</w:t>
            </w:r>
          </w:p>
        </w:tc>
      </w:tr>
    </w:tbl>
    <w:p>
      <w:pPr>
        <w:pStyle w:val="6"/>
        <w:keepNext w:val="0"/>
        <w:keepLines w:val="0"/>
        <w:spacing w:before="100" w:after="100" w:line="600" w:lineRule="atLeast"/>
        <w:ind w:left="0" w:right="0" w:firstLine="640" w:firstLineChars="0"/>
        <w:rPr>
          <w:rFonts w:hint="eastAsia" w:ascii="仿宋" w:hAnsi="仿宋" w:eastAsia="仿宋" w:cs="仿宋"/>
          <w:b/>
          <w:bCs/>
          <w:kern w:val="0"/>
          <w:sz w:val="32"/>
          <w:szCs w:val="32"/>
        </w:rPr>
      </w:pPr>
      <w:bookmarkStart w:id="17" w:name="_Toc256000035"/>
      <w:bookmarkStart w:id="18" w:name="_Toc256000004"/>
      <w:bookmarkStart w:id="19" w:name="_Toc256000066"/>
      <w:bookmarkStart w:id="20" w:name="_Toc256000097"/>
      <w:r>
        <w:rPr>
          <w:rFonts w:hint="eastAsia" w:ascii="仿宋" w:hAnsi="仿宋" w:eastAsia="仿宋" w:cs="仿宋"/>
          <w:b/>
          <w:spacing w:val="0"/>
          <w:sz w:val="32"/>
          <w:szCs w:val="32"/>
        </w:rPr>
        <w:t>三、单位主要工作总结</w:t>
      </w:r>
      <w:bookmarkEnd w:id="17"/>
      <w:bookmarkEnd w:id="18"/>
      <w:bookmarkEnd w:id="19"/>
      <w:bookmarkEnd w:id="20"/>
    </w:p>
    <w:p>
      <w:pPr>
        <w:adjustRightInd w:val="0"/>
        <w:snapToGrid w:val="0"/>
        <w:spacing w:line="560" w:lineRule="exact"/>
        <w:ind w:left="0" w:firstLine="640" w:firstLineChars="200"/>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2024年，厦门市天安小学单位主要任务是：</w:t>
      </w:r>
      <w:r>
        <w:rPr>
          <w:rFonts w:hint="eastAsia" w:ascii="仿宋" w:hAnsi="仿宋" w:eastAsia="仿宋" w:cs="仿宋"/>
          <w:spacing w:val="0"/>
          <w:kern w:val="0"/>
          <w:sz w:val="32"/>
          <w:szCs w:val="32"/>
          <w:lang w:eastAsia="zh-CN"/>
        </w:rPr>
        <w:t>立德树人，培养“德智体美劳”全面发展学生</w:t>
      </w:r>
      <w:r>
        <w:rPr>
          <w:rFonts w:hint="eastAsia" w:ascii="仿宋" w:hAnsi="仿宋" w:eastAsia="仿宋" w:cs="仿宋"/>
          <w:spacing w:val="0"/>
          <w:kern w:val="0"/>
          <w:sz w:val="32"/>
          <w:szCs w:val="32"/>
        </w:rPr>
        <w:t>。围绕上述任务，重点完成了以下工作：</w:t>
      </w:r>
    </w:p>
    <w:p>
      <w:pPr>
        <w:adjustRightInd w:val="0"/>
        <w:snapToGrid w:val="0"/>
        <w:spacing w:line="560" w:lineRule="exact"/>
        <w:ind w:left="0" w:firstLine="640" w:firstLineChars="200"/>
        <w:rPr>
          <w:rFonts w:hint="default" w:ascii="仿宋" w:hAnsi="仿宋" w:eastAsia="仿宋" w:cs="仿宋"/>
          <w:spacing w:val="0"/>
          <w:kern w:val="0"/>
          <w:sz w:val="32"/>
          <w:szCs w:val="32"/>
          <w:lang w:val="en-US"/>
        </w:rPr>
      </w:pPr>
      <w:r>
        <w:rPr>
          <w:rFonts w:hint="eastAsia" w:ascii="仿宋" w:hAnsi="仿宋" w:eastAsia="仿宋" w:cs="仿宋"/>
          <w:spacing w:val="0"/>
          <w:kern w:val="0"/>
          <w:sz w:val="32"/>
          <w:szCs w:val="32"/>
          <w:lang w:eastAsia="zh-CN"/>
        </w:rPr>
        <w:t>（一）以“立德树人”作为学校办学、教育的根本任务，落实教育教学工作。</w:t>
      </w:r>
    </w:p>
    <w:p>
      <w:pPr>
        <w:adjustRightInd w:val="0"/>
        <w:snapToGrid w:val="0"/>
        <w:spacing w:line="560" w:lineRule="exact"/>
        <w:ind w:left="0" w:firstLine="640" w:firstLineChars="200"/>
        <w:rPr>
          <w:rFonts w:hint="eastAsia" w:ascii="仿宋" w:hAnsi="仿宋" w:eastAsia="仿宋" w:cs="仿宋"/>
          <w:spacing w:val="0"/>
          <w:kern w:val="0"/>
          <w:sz w:val="32"/>
          <w:szCs w:val="32"/>
          <w:lang w:val="en-US"/>
        </w:rPr>
      </w:pPr>
      <w:r>
        <w:rPr>
          <w:rFonts w:hint="eastAsia" w:ascii="仿宋" w:hAnsi="仿宋" w:eastAsia="仿宋" w:cs="仿宋"/>
          <w:spacing w:val="0"/>
          <w:kern w:val="0"/>
          <w:sz w:val="32"/>
          <w:szCs w:val="32"/>
          <w:lang w:eastAsia="zh-CN"/>
        </w:rPr>
        <w:t>（二）扎实推进特色教育工作，着力于培养“德智体美劳”全面发展的学生。</w:t>
      </w:r>
    </w:p>
    <w:p>
      <w:pPr>
        <w:widowControl/>
        <w:spacing w:before="240" w:after="240"/>
        <w:ind w:firstLine="640" w:firstLineChars="200"/>
        <w:jc w:val="left"/>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lang w:eastAsia="zh-CN"/>
        </w:rPr>
        <w:t>（三）做好天安小学经典文化吟诵特色教学。</w:t>
      </w:r>
    </w:p>
    <w:p>
      <w:pPr>
        <w:widowControl/>
        <w:spacing w:before="240" w:after="240"/>
        <w:jc w:val="left"/>
        <w:rPr>
          <w:rFonts w:hint="eastAsia" w:ascii="仿宋" w:hAnsi="仿宋" w:eastAsia="仿宋" w:cs="仿宋"/>
          <w:spacing w:val="0"/>
          <w:kern w:val="0"/>
          <w:sz w:val="32"/>
          <w:szCs w:val="32"/>
          <w:lang w:eastAsia="zh-CN"/>
        </w:rPr>
      </w:pPr>
    </w:p>
    <w:p>
      <w:pPr>
        <w:pStyle w:val="2"/>
        <w:rPr>
          <w:rFonts w:hint="eastAsia"/>
          <w:lang w:eastAsia="zh-CN"/>
        </w:r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bookmarkStart w:id="21" w:name="_Toc256000036"/>
      <w:bookmarkStart w:id="22" w:name="_Toc256000005"/>
      <w:bookmarkStart w:id="23" w:name="_Toc256000098"/>
      <w:bookmarkStart w:id="24" w:name="_Toc256000067"/>
      <w:r>
        <w:rPr>
          <w:rFonts w:hint="eastAsia" w:ascii="仿宋" w:hAnsi="仿宋" w:eastAsia="仿宋" w:cs="仿宋"/>
          <w:b/>
          <w:spacing w:val="0"/>
          <w:sz w:val="32"/>
          <w:szCs w:val="32"/>
        </w:rPr>
        <w:t>第二部分</w:t>
      </w:r>
      <w:bookmarkEnd w:id="21"/>
      <w:bookmarkEnd w:id="22"/>
      <w:bookmarkEnd w:id="23"/>
      <w:bookmarkEnd w:id="24"/>
      <w:r>
        <w:rPr>
          <w:rFonts w:hint="eastAsia" w:ascii="仿宋" w:hAnsi="仿宋" w:eastAsia="仿宋" w:cs="仿宋"/>
          <w:b/>
          <w:spacing w:val="0"/>
          <w:sz w:val="32"/>
          <w:szCs w:val="32"/>
        </w:rPr>
        <w:t> </w:t>
      </w:r>
      <w:bookmarkStart w:id="25" w:name="_Toc256000037"/>
      <w:bookmarkStart w:id="26" w:name="_Toc256000006"/>
      <w:bookmarkStart w:id="27" w:name="_Toc256000099"/>
      <w:bookmarkStart w:id="28" w:name="_Toc256000068"/>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2024年度决算表</w:t>
      </w:r>
      <w:bookmarkEnd w:id="25"/>
      <w:bookmarkEnd w:id="26"/>
      <w:bookmarkEnd w:id="27"/>
      <w:bookmarkEnd w:id="28"/>
    </w:p>
    <w:p>
      <w:pPr>
        <w:pStyle w:val="6"/>
        <w:keepNext w:val="0"/>
        <w:keepLines w:val="0"/>
        <w:spacing w:before="100" w:after="100" w:line="240" w:lineRule="auto"/>
        <w:ind w:left="0" w:leftChars="0" w:right="0" w:firstLine="0" w:firstLineChars="0"/>
        <w:rPr>
          <w:rFonts w:hint="eastAsia" w:ascii="仿宋" w:hAnsi="仿宋" w:eastAsia="仿宋" w:cs="仿宋"/>
          <w:b/>
          <w:bCs/>
          <w:kern w:val="0"/>
          <w:sz w:val="32"/>
          <w:szCs w:val="32"/>
        </w:rPr>
      </w:pPr>
      <w:bookmarkStart w:id="29" w:name="_Toc256000100"/>
      <w:bookmarkStart w:id="30" w:name="_Toc256000038"/>
      <w:bookmarkStart w:id="31" w:name="_Toc256000069"/>
      <w:bookmarkStart w:id="32" w:name="_Toc256000007"/>
      <w:r>
        <w:rPr>
          <w:rFonts w:hint="eastAsia" w:ascii="仿宋" w:hAnsi="仿宋" w:eastAsia="仿宋" w:cs="仿宋"/>
          <w:b/>
          <w:spacing w:val="0"/>
          <w:sz w:val="32"/>
          <w:szCs w:val="32"/>
        </w:rPr>
        <w:t>一、收入支出决算总表</w:t>
      </w:r>
      <w:bookmarkEnd w:id="29"/>
      <w:bookmarkEnd w:id="30"/>
      <w:bookmarkEnd w:id="31"/>
      <w:bookmarkEnd w:id="32"/>
    </w:p>
    <w:tbl>
      <w:tblPr>
        <w:tblStyle w:val="23"/>
        <w:tblW w:w="10506" w:type="dxa"/>
        <w:jc w:val="center"/>
        <w:tblInd w:w="0" w:type="dxa"/>
        <w:tblLayout w:type="fixed"/>
        <w:tblCellMar>
          <w:top w:w="15" w:type="dxa"/>
          <w:left w:w="15" w:type="dxa"/>
          <w:bottom w:w="15" w:type="dxa"/>
          <w:right w:w="15" w:type="dxa"/>
        </w:tblCellMar>
      </w:tblPr>
      <w:tblGrid>
        <w:gridCol w:w="2730"/>
        <w:gridCol w:w="772"/>
        <w:gridCol w:w="1751"/>
        <w:gridCol w:w="2603"/>
        <w:gridCol w:w="899"/>
        <w:gridCol w:w="1751"/>
      </w:tblGrid>
      <w:tr>
        <w:tblPrEx>
          <w:tblLayout w:type="fixed"/>
          <w:tblCellMar>
            <w:top w:w="15" w:type="dxa"/>
            <w:left w:w="15" w:type="dxa"/>
            <w:bottom w:w="15" w:type="dxa"/>
            <w:right w:w="15" w:type="dxa"/>
          </w:tblCellMar>
        </w:tblPrEx>
        <w:trPr>
          <w:trHeight w:val="0" w:hRule="atLeast"/>
          <w:tblHeader/>
          <w:jc w:val="center"/>
        </w:trPr>
        <w:tc>
          <w:tcPr>
            <w:tcW w:w="10506" w:type="dxa"/>
            <w:gridSpan w:val="6"/>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525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单位：厦门市天安小学</w:t>
            </w:r>
          </w:p>
        </w:tc>
        <w:tc>
          <w:tcPr>
            <w:tcW w:w="260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265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金额单位：万元</w:t>
            </w:r>
          </w:p>
        </w:tc>
      </w:tr>
      <w:tr>
        <w:tblPrEx>
          <w:tblLayout w:type="fixed"/>
          <w:tblCellMar>
            <w:top w:w="15" w:type="dxa"/>
            <w:left w:w="15" w:type="dxa"/>
            <w:bottom w:w="15" w:type="dxa"/>
            <w:right w:w="15" w:type="dxa"/>
          </w:tblCellMar>
        </w:tblPrEx>
        <w:trPr>
          <w:trHeight w:val="0" w:hRule="atLeast"/>
          <w:jc w:val="center"/>
        </w:trPr>
        <w:tc>
          <w:tcPr>
            <w:tcW w:w="525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收入</w:t>
            </w:r>
          </w:p>
        </w:tc>
        <w:tc>
          <w:tcPr>
            <w:tcW w:w="525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支出</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行次</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行次</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栏次</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栏次</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一、一般公共预算财政拨款收入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2,885.4</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一、一般公共服务支出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二、政府性基金预算财政拨款收入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二、外交支出 </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三、国有资本经营预算财政拨款收入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三、国防支出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四、上级补助收入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四、公共安全支出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五、事业收入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五、教育支出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2,465.01</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六、经营收入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六、科学技术支出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七、附属单位上缴收入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七、文化旅游体育与传媒支出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八、其他收入</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八、社会保障和就业支出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289.86</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九、卫生健康支出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109.73</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十、节能环保支出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十一、城乡社区支出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十二、农林水支出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十三、交通运输支出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十四、资源勘探工业信息等支出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十五、商业服务业等支出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十六、金融支出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十七、援助其他地区支出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十八、自然资源海洋气象等支出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十九、住房保障支出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二十、粮油物资储备支出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二十一、国有资本经营预算支出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二十二、灾害防治及应急管理支出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二十三、其他支出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二十四、债务还本支出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二十五、债务付息支出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二十六、抗疫特别国债安排的支出</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本年收入合计</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本年支出合计</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使用非财政拨款结余（含专用结余）</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结余分配</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年初结转和结余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年末结转和结余 </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总计</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c>
          <w:tcPr>
            <w:tcW w:w="26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总计</w:t>
            </w:r>
          </w:p>
        </w:tc>
        <w:tc>
          <w:tcPr>
            <w:tcW w:w="8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r>
      <w:tr>
        <w:tblPrEx>
          <w:tblLayout w:type="fixed"/>
          <w:tblCellMar>
            <w:top w:w="15" w:type="dxa"/>
            <w:left w:w="15" w:type="dxa"/>
            <w:bottom w:w="15" w:type="dxa"/>
            <w:right w:w="15" w:type="dxa"/>
          </w:tblCellMar>
        </w:tblPrEx>
        <w:trPr>
          <w:trHeight w:val="0" w:hRule="atLeast"/>
          <w:jc w:val="center"/>
        </w:trPr>
        <w:tc>
          <w:tcPr>
            <w:tcW w:w="10506" w:type="dxa"/>
            <w:gridSpan w:val="6"/>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注：1.本表反映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10506" w:type="dxa"/>
            <w:gridSpan w:val="6"/>
            <w:noWrap w:val="0"/>
            <w:tcMar>
              <w:top w:w="20" w:type="dxa"/>
              <w:left w:w="485"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2.本套报表金额单位转换时可能存在尾数误差。</w:t>
            </w:r>
          </w:p>
        </w:tc>
      </w:tr>
    </w:tbl>
    <w:p>
      <w:pPr>
        <w:rPr>
          <w:rFonts w:hint="eastAsia" w:ascii="仿宋" w:hAnsi="仿宋" w:eastAsia="仿宋" w:cs="仿宋"/>
          <w:sz w:val="32"/>
          <w:szCs w:val="32"/>
        </w:rPr>
        <w:sectPr>
          <w:footerReference r:id="rId5" w:type="default"/>
          <w:pgSz w:w="11906" w:h="16838"/>
          <w:pgMar w:top="1440" w:right="720" w:bottom="1440" w:left="72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33" w:name="_Toc256000101"/>
      <w:bookmarkStart w:id="34" w:name="_Toc256000039"/>
      <w:bookmarkStart w:id="35" w:name="_Toc256000008"/>
      <w:bookmarkStart w:id="36" w:name="_Toc256000070"/>
      <w:r>
        <w:rPr>
          <w:rFonts w:hint="eastAsia" w:ascii="仿宋" w:hAnsi="仿宋" w:eastAsia="仿宋" w:cs="仿宋"/>
          <w:b/>
          <w:spacing w:val="0"/>
          <w:sz w:val="32"/>
          <w:szCs w:val="32"/>
        </w:rPr>
        <w:t>二、收入决算表</w:t>
      </w:r>
      <w:bookmarkEnd w:id="33"/>
      <w:bookmarkEnd w:id="34"/>
      <w:bookmarkEnd w:id="35"/>
      <w:bookmarkEnd w:id="36"/>
    </w:p>
    <w:tbl>
      <w:tblPr>
        <w:tblStyle w:val="23"/>
        <w:tblW w:w="9066" w:type="dxa"/>
        <w:jc w:val="center"/>
        <w:tblInd w:w="0" w:type="dxa"/>
        <w:tblLayout w:type="fixed"/>
        <w:tblCellMar>
          <w:top w:w="15" w:type="dxa"/>
          <w:left w:w="15" w:type="dxa"/>
          <w:bottom w:w="15" w:type="dxa"/>
          <w:right w:w="15" w:type="dxa"/>
        </w:tblCellMar>
      </w:tblPr>
      <w:tblGrid>
        <w:gridCol w:w="1007"/>
        <w:gridCol w:w="1246"/>
        <w:gridCol w:w="1293"/>
        <w:gridCol w:w="1435"/>
        <w:gridCol w:w="922"/>
        <w:gridCol w:w="728"/>
        <w:gridCol w:w="900"/>
        <w:gridCol w:w="772"/>
        <w:gridCol w:w="763"/>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jc w:val="center"/>
        </w:trPr>
        <w:tc>
          <w:tcPr>
            <w:tcW w:w="498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单位：厦门市天安小学</w:t>
            </w:r>
          </w:p>
        </w:tc>
        <w:tc>
          <w:tcPr>
            <w:tcW w:w="165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2024年度</w:t>
            </w:r>
          </w:p>
        </w:tc>
        <w:tc>
          <w:tcPr>
            <w:tcW w:w="2435"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金额单位：万元</w:t>
            </w:r>
          </w:p>
        </w:tc>
      </w:tr>
      <w:tr>
        <w:tblPrEx>
          <w:tblLayout w:type="fixed"/>
          <w:tblCellMar>
            <w:top w:w="15" w:type="dxa"/>
            <w:left w:w="15" w:type="dxa"/>
            <w:bottom w:w="15" w:type="dxa"/>
            <w:right w:w="15" w:type="dxa"/>
          </w:tblCellMar>
        </w:tblPrEx>
        <w:trPr>
          <w:trHeight w:val="0" w:hRule="atLeast"/>
          <w:tblHeader/>
          <w:jc w:val="center"/>
        </w:trPr>
        <w:tc>
          <w:tcPr>
            <w:tcW w:w="225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项目</w:t>
            </w:r>
          </w:p>
        </w:tc>
        <w:tc>
          <w:tcPr>
            <w:tcW w:w="12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本年收入合计</w:t>
            </w:r>
          </w:p>
        </w:tc>
        <w:tc>
          <w:tcPr>
            <w:tcW w:w="14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xml:space="preserve">财政拨款收入 </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上级补助收入</w:t>
            </w:r>
          </w:p>
        </w:tc>
        <w:tc>
          <w:tcPr>
            <w:tcW w:w="7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事业收入</w:t>
            </w:r>
          </w:p>
        </w:tc>
        <w:tc>
          <w:tcPr>
            <w:tcW w:w="9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经营收入</w:t>
            </w:r>
          </w:p>
        </w:tc>
        <w:tc>
          <w:tcPr>
            <w:tcW w:w="77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附属单位上缴收入</w:t>
            </w:r>
          </w:p>
        </w:tc>
        <w:tc>
          <w:tcPr>
            <w:tcW w:w="76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其他收入</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科目代码</w:t>
            </w:r>
          </w:p>
        </w:tc>
        <w:tc>
          <w:tcPr>
            <w:tcW w:w="12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科目名称</w:t>
            </w:r>
          </w:p>
        </w:tc>
        <w:tc>
          <w:tcPr>
            <w:tcW w:w="12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14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77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76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124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12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14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7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77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c>
          <w:tcPr>
            <w:tcW w:w="76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0"/>
                <w:szCs w:val="30"/>
              </w:rPr>
            </w:pPr>
          </w:p>
        </w:tc>
      </w:tr>
      <w:tr>
        <w:tblPrEx>
          <w:tblLayout w:type="fixed"/>
          <w:tblCellMar>
            <w:top w:w="15" w:type="dxa"/>
            <w:left w:w="15" w:type="dxa"/>
            <w:bottom w:w="15" w:type="dxa"/>
            <w:right w:w="15" w:type="dxa"/>
          </w:tblCellMar>
        </w:tblPrEx>
        <w:trPr>
          <w:trHeight w:val="0" w:hRule="atLeast"/>
          <w:jc w:val="center"/>
        </w:trPr>
        <w:tc>
          <w:tcPr>
            <w:tcW w:w="225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栏次</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3</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4</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5</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6</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7</w:t>
            </w:r>
          </w:p>
        </w:tc>
      </w:tr>
      <w:tr>
        <w:tblPrEx>
          <w:tblLayout w:type="fixed"/>
          <w:tblCellMar>
            <w:top w:w="15" w:type="dxa"/>
            <w:left w:w="15" w:type="dxa"/>
            <w:bottom w:w="15" w:type="dxa"/>
            <w:right w:w="15" w:type="dxa"/>
          </w:tblCellMar>
        </w:tblPrEx>
        <w:trPr>
          <w:trHeight w:val="0" w:hRule="atLeast"/>
          <w:jc w:val="center"/>
        </w:trPr>
        <w:tc>
          <w:tcPr>
            <w:tcW w:w="225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合计</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2,890.97</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2,890.97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205</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教育支出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2,465.01</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2,465.01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20502</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普通教育</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2,238.75</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2,238.75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2050202</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小学教育</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2,068.62</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2,068.62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2050299</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其他普通教育支出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170.13</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170.13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20509</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教育费附加安排的支出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226.26</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226.26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2050999</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其他教育费附加安排的支出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226.26</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226.26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社会保障和就业支出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289.86</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289.86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20805</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行政事业单位养老支出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289.86</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289.86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2080502</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事业单位离退休</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35.4</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35.4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2080505</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机关事业单位基本养老保险缴费支出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169.64</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169.64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2080506</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机关事业单位职业年金缴费支出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84.82</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84.82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210</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卫生健康支出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109.73</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109.73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21011</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行政事业单位医疗</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109.73</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109.73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2101102</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事业单位医疗</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72.63</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72.63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2101199</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其他行政事业单位医疗支出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37.11</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37.11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221</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住房保障支出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22102</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住房改革支出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2210203</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购房补贴</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20.8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229</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其他支出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5.57</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5.57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22960</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彩票公益金安排的支出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5.57</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5.57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2296003</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用于体育事业的彩票公益金支出</w:t>
            </w:r>
          </w:p>
        </w:tc>
        <w:tc>
          <w:tcPr>
            <w:tcW w:w="12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5.57</w:t>
            </w:r>
          </w:p>
        </w:tc>
        <w:tc>
          <w:tcPr>
            <w:tcW w:w="14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5.57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c>
          <w:tcPr>
            <w:tcW w:w="7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30"/>
                <w:szCs w:val="30"/>
              </w:rPr>
            </w:pPr>
            <w:r>
              <w:rPr>
                <w:rFonts w:hint="eastAsia" w:ascii="仿宋" w:hAnsi="仿宋" w:eastAsia="仿宋" w:cs="仿宋"/>
                <w:b w:val="0"/>
                <w:bCs w:val="0"/>
                <w:i w:val="0"/>
                <w:iCs w:val="0"/>
                <w:smallCaps w:val="0"/>
                <w:color w:val="000000"/>
                <w:kern w:val="0"/>
                <w:sz w:val="30"/>
                <w:szCs w:val="30"/>
              </w:rPr>
              <w:t>注：本表反映</w:t>
            </w:r>
            <w:r>
              <w:rPr>
                <w:rFonts w:hint="eastAsia" w:ascii="仿宋" w:hAnsi="仿宋" w:eastAsia="仿宋" w:cs="仿宋"/>
                <w:b w:val="0"/>
                <w:bCs w:val="0"/>
                <w:i w:val="0"/>
                <w:iCs w:val="0"/>
                <w:smallCaps w:val="0"/>
                <w:color w:val="000000"/>
                <w:kern w:val="0"/>
                <w:sz w:val="30"/>
                <w:szCs w:val="30"/>
                <w:lang w:eastAsia="zh-CN"/>
              </w:rPr>
              <w:t>单位</w:t>
            </w:r>
            <w:r>
              <w:rPr>
                <w:rFonts w:hint="eastAsia" w:ascii="仿宋" w:hAnsi="仿宋" w:eastAsia="仿宋" w:cs="仿宋"/>
                <w:b w:val="0"/>
                <w:bCs w:val="0"/>
                <w:i w:val="0"/>
                <w:iCs w:val="0"/>
                <w:smallCaps w:val="0"/>
                <w:color w:val="000000"/>
                <w:kern w:val="0"/>
                <w:sz w:val="30"/>
                <w:szCs w:val="30"/>
              </w:rPr>
              <w:t>本年度取得的各项收入情况。</w:t>
            </w:r>
          </w:p>
        </w:tc>
      </w:tr>
    </w:tbl>
    <w:p>
      <w:pPr>
        <w:rPr>
          <w:rFonts w:hint="eastAsia" w:ascii="仿宋" w:hAnsi="仿宋" w:eastAsia="仿宋" w:cs="仿宋"/>
          <w:sz w:val="32"/>
          <w:szCs w:val="32"/>
        </w:rPr>
        <w:sectPr>
          <w:footerReference r:id="rId6"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37" w:name="_Toc256000040"/>
      <w:bookmarkStart w:id="38" w:name="_Toc256000102"/>
      <w:bookmarkStart w:id="39" w:name="_Toc256000009"/>
      <w:bookmarkStart w:id="40" w:name="_Toc256000071"/>
      <w:r>
        <w:rPr>
          <w:rFonts w:hint="eastAsia" w:ascii="仿宋" w:hAnsi="仿宋" w:eastAsia="仿宋" w:cs="仿宋"/>
          <w:b/>
          <w:spacing w:val="0"/>
          <w:sz w:val="32"/>
          <w:szCs w:val="32"/>
        </w:rPr>
        <w:t>三、支出决算表</w:t>
      </w:r>
      <w:bookmarkEnd w:id="37"/>
      <w:bookmarkEnd w:id="38"/>
      <w:bookmarkEnd w:id="39"/>
      <w:bookmarkEnd w:id="40"/>
    </w:p>
    <w:tbl>
      <w:tblPr>
        <w:tblStyle w:val="23"/>
        <w:tblW w:w="9066" w:type="dxa"/>
        <w:jc w:val="center"/>
        <w:tblInd w:w="0" w:type="dxa"/>
        <w:tblLayout w:type="fixed"/>
        <w:tblCellMar>
          <w:top w:w="15" w:type="dxa"/>
          <w:left w:w="15" w:type="dxa"/>
          <w:bottom w:w="15" w:type="dxa"/>
          <w:right w:w="15" w:type="dxa"/>
        </w:tblCellMar>
      </w:tblPr>
      <w:tblGrid>
        <w:gridCol w:w="1276"/>
        <w:gridCol w:w="1412"/>
        <w:gridCol w:w="1415"/>
        <w:gridCol w:w="1414"/>
        <w:gridCol w:w="1071"/>
        <w:gridCol w:w="756"/>
        <w:gridCol w:w="800"/>
        <w:gridCol w:w="922"/>
      </w:tblGrid>
      <w:tr>
        <w:tblPrEx>
          <w:tblLayout w:type="fixed"/>
          <w:tblCellMar>
            <w:top w:w="15" w:type="dxa"/>
            <w:left w:w="15" w:type="dxa"/>
            <w:bottom w:w="15" w:type="dxa"/>
            <w:right w:w="15" w:type="dxa"/>
          </w:tblCellMar>
        </w:tblPrEx>
        <w:trPr>
          <w:trHeight w:val="0" w:hRule="atLeast"/>
          <w:tblHeader/>
          <w:jc w:val="center"/>
        </w:trPr>
        <w:tc>
          <w:tcPr>
            <w:tcW w:w="9066" w:type="dxa"/>
            <w:gridSpan w:val="8"/>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jc w:val="center"/>
        </w:trPr>
        <w:tc>
          <w:tcPr>
            <w:tcW w:w="410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单位：厦门市天安小学</w:t>
            </w:r>
          </w:p>
        </w:tc>
        <w:tc>
          <w:tcPr>
            <w:tcW w:w="248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2024年度</w:t>
            </w:r>
          </w:p>
        </w:tc>
        <w:tc>
          <w:tcPr>
            <w:tcW w:w="2478"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金额单位：万元</w:t>
            </w:r>
          </w:p>
        </w:tc>
      </w:tr>
      <w:tr>
        <w:tblPrEx>
          <w:tblLayout w:type="fixed"/>
          <w:tblCellMar>
            <w:top w:w="15" w:type="dxa"/>
            <w:left w:w="15" w:type="dxa"/>
            <w:bottom w:w="15" w:type="dxa"/>
            <w:right w:w="15" w:type="dxa"/>
          </w:tblCellMar>
        </w:tblPrEx>
        <w:trPr>
          <w:trHeight w:val="0" w:hRule="atLeast"/>
          <w:tblHeader/>
          <w:jc w:val="center"/>
        </w:trPr>
        <w:tc>
          <w:tcPr>
            <w:tcW w:w="268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w:t>
            </w:r>
          </w:p>
        </w:tc>
        <w:tc>
          <w:tcPr>
            <w:tcW w:w="14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本年支出合计</w:t>
            </w:r>
          </w:p>
        </w:tc>
        <w:tc>
          <w:tcPr>
            <w:tcW w:w="14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基本支出</w:t>
            </w:r>
          </w:p>
        </w:tc>
        <w:tc>
          <w:tcPr>
            <w:tcW w:w="107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项目支出</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上缴上级支出</w:t>
            </w:r>
          </w:p>
        </w:tc>
        <w:tc>
          <w:tcPr>
            <w:tcW w:w="8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对附属单位补助支出</w:t>
            </w:r>
          </w:p>
        </w:tc>
      </w:tr>
      <w:tr>
        <w:tblPrEx>
          <w:tblLayout w:type="fixed"/>
          <w:tblCellMar>
            <w:top w:w="15" w:type="dxa"/>
            <w:left w:w="15" w:type="dxa"/>
            <w:bottom w:w="15" w:type="dxa"/>
            <w:right w:w="15" w:type="dxa"/>
          </w:tblCellMar>
        </w:tblPrEx>
        <w:trPr>
          <w:trHeight w:val="312" w:hRule="atLeast"/>
          <w:tblHeader/>
          <w:jc w:val="center"/>
        </w:trPr>
        <w:tc>
          <w:tcPr>
            <w:tcW w:w="127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科目代码</w:t>
            </w:r>
          </w:p>
        </w:tc>
        <w:tc>
          <w:tcPr>
            <w:tcW w:w="141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科目名称</w:t>
            </w:r>
          </w:p>
        </w:tc>
        <w:tc>
          <w:tcPr>
            <w:tcW w:w="141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4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071"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8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312" w:hRule="atLeast"/>
          <w:tblHeader/>
          <w:jc w:val="center"/>
        </w:trPr>
        <w:tc>
          <w:tcPr>
            <w:tcW w:w="127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41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41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4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071"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8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0" w:hRule="atLeast"/>
          <w:jc w:val="center"/>
        </w:trPr>
        <w:tc>
          <w:tcPr>
            <w:tcW w:w="268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栏次</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6</w:t>
            </w:r>
          </w:p>
        </w:tc>
      </w:tr>
      <w:tr>
        <w:tblPrEx>
          <w:tblLayout w:type="fixed"/>
          <w:tblCellMar>
            <w:top w:w="15" w:type="dxa"/>
            <w:left w:w="15" w:type="dxa"/>
            <w:bottom w:w="15" w:type="dxa"/>
            <w:right w:w="15" w:type="dxa"/>
          </w:tblCellMar>
        </w:tblPrEx>
        <w:trPr>
          <w:trHeight w:val="0" w:hRule="atLeast"/>
          <w:jc w:val="center"/>
        </w:trPr>
        <w:tc>
          <w:tcPr>
            <w:tcW w:w="268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2,890.97</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2,545.45</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345.53</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教育支出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2,465.01</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2,125.06</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339.95</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普通教育</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2,238.75</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2,125.06</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113.69</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2050202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小学教育</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2,068.62</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2,068.62</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2050299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其他普通教育支出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170.13</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56.44</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113.69</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教育费附加安排的支出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226.26</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226.26</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2050999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其他教育费附加安排的支出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226.26</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226.26</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社会保障和就业支出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289.86</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289.86</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行政事业单位养老支出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289.86</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289.86</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事业单位离退休</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35.4</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35.4</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2080505</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机关事业单位基本养老保险缴费支出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169.64</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169.64</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2080506</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机关事业单位职业年金缴费支出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84.82</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84.82</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卫生健康支出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109.73</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109.73</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21011</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行政事业单位医疗</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109.73</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109.73</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2101102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事业单位医疗</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72.63</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72.63</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2101199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其他行政事业单位医疗支出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37.11</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37.11</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221</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住房保障支出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22102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住房改革支出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2210203</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购房补贴</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5.57</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5.57</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22960</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彩票公益金安排的支出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5.57</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5.57</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2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2296003</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用于体育事业的彩票公益金支出</w:t>
            </w:r>
          </w:p>
        </w:tc>
        <w:tc>
          <w:tcPr>
            <w:tcW w:w="14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5.57</w:t>
            </w:r>
          </w:p>
        </w:tc>
        <w:tc>
          <w:tcPr>
            <w:tcW w:w="14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5.57</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注：本表反映</w:t>
            </w:r>
            <w:r>
              <w:rPr>
                <w:rFonts w:hint="eastAsia" w:ascii="仿宋" w:hAnsi="仿宋" w:eastAsia="仿宋" w:cs="仿宋"/>
                <w:b w:val="0"/>
                <w:bCs w:val="0"/>
                <w:i w:val="0"/>
                <w:iCs w:val="0"/>
                <w:smallCaps w:val="0"/>
                <w:color w:val="000000"/>
                <w:kern w:val="0"/>
                <w:sz w:val="32"/>
                <w:szCs w:val="32"/>
                <w:lang w:eastAsia="zh-CN"/>
              </w:rPr>
              <w:t>单位</w:t>
            </w:r>
            <w:r>
              <w:rPr>
                <w:rFonts w:hint="eastAsia" w:ascii="仿宋" w:hAnsi="仿宋" w:eastAsia="仿宋" w:cs="仿宋"/>
                <w:b w:val="0"/>
                <w:bCs w:val="0"/>
                <w:i w:val="0"/>
                <w:iCs w:val="0"/>
                <w:smallCaps w:val="0"/>
                <w:color w:val="000000"/>
                <w:kern w:val="0"/>
                <w:sz w:val="32"/>
                <w:szCs w:val="32"/>
              </w:rPr>
              <w:t>本年度各项支出情况。</w:t>
            </w:r>
          </w:p>
        </w:tc>
      </w:tr>
    </w:tbl>
    <w:p>
      <w:pPr>
        <w:rPr>
          <w:rFonts w:hint="eastAsia" w:ascii="仿宋" w:hAnsi="仿宋" w:eastAsia="仿宋" w:cs="仿宋"/>
          <w:sz w:val="32"/>
          <w:szCs w:val="32"/>
        </w:rPr>
        <w:sectPr>
          <w:footerReference r:id="rId7"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41" w:name="_Toc256000103"/>
      <w:bookmarkStart w:id="42" w:name="_Toc256000041"/>
      <w:bookmarkStart w:id="43" w:name="_Toc256000010"/>
      <w:bookmarkStart w:id="44" w:name="_Toc256000072"/>
      <w:r>
        <w:rPr>
          <w:rFonts w:hint="eastAsia" w:ascii="仿宋" w:hAnsi="仿宋" w:eastAsia="仿宋" w:cs="仿宋"/>
          <w:b/>
          <w:spacing w:val="0"/>
          <w:sz w:val="32"/>
          <w:szCs w:val="32"/>
        </w:rPr>
        <w:t>四、财政拨款收入支出决算总表</w:t>
      </w:r>
      <w:bookmarkEnd w:id="41"/>
      <w:bookmarkEnd w:id="42"/>
      <w:bookmarkEnd w:id="43"/>
      <w:bookmarkEnd w:id="44"/>
    </w:p>
    <w:tbl>
      <w:tblPr>
        <w:tblStyle w:val="23"/>
        <w:tblW w:w="9066" w:type="dxa"/>
        <w:jc w:val="center"/>
        <w:tblInd w:w="0" w:type="dxa"/>
        <w:tblLayout w:type="fixed"/>
        <w:tblCellMar>
          <w:top w:w="15" w:type="dxa"/>
          <w:left w:w="15" w:type="dxa"/>
          <w:bottom w:w="15" w:type="dxa"/>
          <w:right w:w="15" w:type="dxa"/>
        </w:tblCellMar>
      </w:tblPr>
      <w:tblGrid>
        <w:gridCol w:w="1007"/>
        <w:gridCol w:w="1007"/>
        <w:gridCol w:w="1007"/>
        <w:gridCol w:w="1007"/>
        <w:gridCol w:w="1"/>
        <w:gridCol w:w="1007"/>
        <w:gridCol w:w="1007"/>
        <w:gridCol w:w="1"/>
        <w:gridCol w:w="1007"/>
        <w:gridCol w:w="1007"/>
        <w:gridCol w:w="1008"/>
      </w:tblGrid>
      <w:tr>
        <w:tblPrEx>
          <w:tblLayout w:type="fixed"/>
          <w:tblCellMar>
            <w:top w:w="15" w:type="dxa"/>
            <w:left w:w="15" w:type="dxa"/>
            <w:bottom w:w="15" w:type="dxa"/>
            <w:right w:w="15" w:type="dxa"/>
          </w:tblCellMar>
        </w:tblPrEx>
        <w:trPr>
          <w:trHeight w:val="0" w:hRule="atLeast"/>
          <w:tblHeader/>
          <w:jc w:val="center"/>
        </w:trPr>
        <w:tc>
          <w:tcPr>
            <w:tcW w:w="9066" w:type="dxa"/>
            <w:gridSpan w:val="11"/>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4029"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单位：厦门市天安小学</w:t>
            </w:r>
          </w:p>
        </w:tc>
        <w:tc>
          <w:tcPr>
            <w:tcW w:w="2015"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302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金额单位：万元</w:t>
            </w:r>
          </w:p>
        </w:tc>
      </w:tr>
      <w:tr>
        <w:tblPrEx>
          <w:tblLayout w:type="fixed"/>
          <w:tblCellMar>
            <w:top w:w="15" w:type="dxa"/>
            <w:left w:w="15" w:type="dxa"/>
            <w:bottom w:w="15" w:type="dxa"/>
            <w:right w:w="15" w:type="dxa"/>
          </w:tblCellMar>
        </w:tblPrEx>
        <w:trPr>
          <w:trHeight w:val="0" w:hRule="atLeast"/>
          <w:jc w:val="center"/>
        </w:trPr>
        <w:tc>
          <w:tcPr>
            <w:tcW w:w="30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收入</w:t>
            </w:r>
          </w:p>
        </w:tc>
        <w:tc>
          <w:tcPr>
            <w:tcW w:w="6045" w:type="dxa"/>
            <w:gridSpan w:val="8"/>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支出</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项目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政府性基金预算财政拨款</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栏次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一、一般公共预算财政拨款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2,885.4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2,465.01</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2,465.01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289.86</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289.86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109.73</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109.73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本年收入合计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2,885.4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年初财政拨款结转和结余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年末财政拨款结转和结余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总计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总计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2,890.97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2,885.4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9066" w:type="dxa"/>
            <w:gridSpan w:val="11"/>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本年度一般公共预算财政拨款、政府性基金预算财政拨款和国有资本经营预算财政拨款的总收支和年末结转结余情况。</w:t>
            </w:r>
          </w:p>
        </w:tc>
      </w:tr>
    </w:tbl>
    <w:p>
      <w:pPr>
        <w:rPr>
          <w:rFonts w:hint="eastAsia" w:ascii="仿宋" w:hAnsi="仿宋" w:eastAsia="仿宋" w:cs="仿宋"/>
          <w:sz w:val="32"/>
          <w:szCs w:val="32"/>
        </w:rPr>
        <w:sectPr>
          <w:footerReference r:id="rId8"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45" w:name="_Toc256000042"/>
      <w:bookmarkStart w:id="46" w:name="_Toc256000104"/>
      <w:bookmarkStart w:id="47" w:name="_Toc256000073"/>
      <w:bookmarkStart w:id="48" w:name="_Toc256000011"/>
      <w:r>
        <w:rPr>
          <w:rFonts w:hint="eastAsia" w:ascii="仿宋" w:hAnsi="仿宋" w:eastAsia="仿宋" w:cs="仿宋"/>
          <w:b/>
          <w:spacing w:val="0"/>
          <w:sz w:val="32"/>
          <w:szCs w:val="32"/>
        </w:rPr>
        <w:t>五、一般公共预算财政拨款支出决算表</w:t>
      </w:r>
      <w:bookmarkEnd w:id="45"/>
      <w:bookmarkEnd w:id="46"/>
      <w:bookmarkEnd w:id="47"/>
      <w:bookmarkEnd w:id="48"/>
    </w:p>
    <w:tbl>
      <w:tblPr>
        <w:tblStyle w:val="23"/>
        <w:tblW w:w="9066" w:type="dxa"/>
        <w:jc w:val="center"/>
        <w:tblInd w:w="0" w:type="dxa"/>
        <w:tblLayout w:type="fixed"/>
        <w:tblCellMar>
          <w:top w:w="15" w:type="dxa"/>
          <w:left w:w="15" w:type="dxa"/>
          <w:bottom w:w="15" w:type="dxa"/>
          <w:right w:w="15" w:type="dxa"/>
        </w:tblCellMar>
      </w:tblPr>
      <w:tblGrid>
        <w:gridCol w:w="1448"/>
        <w:gridCol w:w="2828"/>
        <w:gridCol w:w="1286"/>
        <w:gridCol w:w="1389"/>
        <w:gridCol w:w="2115"/>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jc w:val="center"/>
        </w:trPr>
        <w:tc>
          <w:tcPr>
            <w:tcW w:w="556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单位：厦门市天安小学</w:t>
            </w:r>
          </w:p>
        </w:tc>
        <w:tc>
          <w:tcPr>
            <w:tcW w:w="138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211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金额单位：万元</w:t>
            </w:r>
          </w:p>
        </w:tc>
      </w:tr>
      <w:tr>
        <w:tblPrEx>
          <w:tblLayout w:type="fixed"/>
          <w:tblCellMar>
            <w:top w:w="15" w:type="dxa"/>
            <w:left w:w="15" w:type="dxa"/>
            <w:bottom w:w="15" w:type="dxa"/>
            <w:right w:w="15" w:type="dxa"/>
          </w:tblCellMar>
        </w:tblPrEx>
        <w:trPr>
          <w:trHeight w:val="0" w:hRule="atLeast"/>
          <w:jc w:val="center"/>
        </w:trPr>
        <w:tc>
          <w:tcPr>
            <w:tcW w:w="427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479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本年支出</w:t>
            </w:r>
          </w:p>
        </w:tc>
      </w:tr>
      <w:tr>
        <w:tblPrEx>
          <w:tblLayout w:type="fixed"/>
          <w:tblCellMar>
            <w:top w:w="15" w:type="dxa"/>
            <w:left w:w="15" w:type="dxa"/>
            <w:bottom w:w="15" w:type="dxa"/>
            <w:right w:w="15" w:type="dxa"/>
          </w:tblCellMar>
        </w:tblPrEx>
        <w:trPr>
          <w:trHeight w:val="312" w:hRule="atLeast"/>
          <w:tblHeader/>
          <w:jc w:val="center"/>
        </w:trPr>
        <w:tc>
          <w:tcPr>
            <w:tcW w:w="144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科目代码</w:t>
            </w:r>
          </w:p>
        </w:tc>
        <w:tc>
          <w:tcPr>
            <w:tcW w:w="28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科目名称</w:t>
            </w:r>
          </w:p>
        </w:tc>
        <w:tc>
          <w:tcPr>
            <w:tcW w:w="128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小计</w:t>
            </w:r>
          </w:p>
        </w:tc>
        <w:tc>
          <w:tcPr>
            <w:tcW w:w="138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基本支出</w:t>
            </w:r>
          </w:p>
        </w:tc>
        <w:tc>
          <w:tcPr>
            <w:tcW w:w="21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项目支出</w:t>
            </w:r>
          </w:p>
        </w:tc>
      </w:tr>
      <w:tr>
        <w:tblPrEx>
          <w:tblLayout w:type="fixed"/>
          <w:tblCellMar>
            <w:top w:w="15" w:type="dxa"/>
            <w:left w:w="15" w:type="dxa"/>
            <w:bottom w:w="15" w:type="dxa"/>
            <w:right w:w="15" w:type="dxa"/>
          </w:tblCellMar>
        </w:tblPrEx>
        <w:trPr>
          <w:trHeight w:val="312" w:hRule="atLeast"/>
          <w:tblHeader/>
          <w:jc w:val="center"/>
        </w:trPr>
        <w:tc>
          <w:tcPr>
            <w:tcW w:w="144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28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28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8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211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tblHeader/>
          <w:jc w:val="center"/>
        </w:trPr>
        <w:tc>
          <w:tcPr>
            <w:tcW w:w="144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28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r>
      <w:tr>
        <w:tblPrEx>
          <w:tblLayout w:type="fixed"/>
          <w:tblCellMar>
            <w:top w:w="15" w:type="dxa"/>
            <w:left w:w="15" w:type="dxa"/>
            <w:bottom w:w="15" w:type="dxa"/>
            <w:right w:w="15" w:type="dxa"/>
          </w:tblCellMar>
        </w:tblPrEx>
        <w:trPr>
          <w:trHeight w:val="0" w:hRule="atLeast"/>
          <w:jc w:val="center"/>
        </w:trPr>
        <w:tc>
          <w:tcPr>
            <w:tcW w:w="427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2,885.4</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2,545.45</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339.95</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2,465.01</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2,125.06</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339.95</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普通教育</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2,238.75</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2,125.06</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113.69</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2050202</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小学教育</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2,068.62</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2,068.62</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2050299</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其他普通教育支出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170.13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56.44</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113.69</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教育费附加安排的支出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226.26</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226.26</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2050999</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其他教育费附加安排的支出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226.26</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226.26</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社会保障和就业支出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289.86</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289.86</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行政事业单位养老支出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289.86</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289.86</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2080502</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事业单位离退休</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35.4</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35.4</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2080505</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机关事业单位基本养老保险缴费支出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169.64</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169.64</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2080506</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机关事业单位职业年金缴费支出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84.82</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84.82</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卫生健康支出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109.73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109.73</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行政事业单位医疗</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109.73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109.73</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2101102</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事业单位医疗</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72.63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72.63</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2101199</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其他行政事业单位医疗支出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37.11</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37.11</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住房保障支出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住房改革支出</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4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2210203</w:t>
            </w:r>
          </w:p>
        </w:tc>
        <w:tc>
          <w:tcPr>
            <w:tcW w:w="28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购房补贴</w:t>
            </w:r>
          </w:p>
        </w:tc>
        <w:tc>
          <w:tcPr>
            <w:tcW w:w="128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21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本年度一般公共预算财政拨款支出情况。</w:t>
            </w:r>
          </w:p>
        </w:tc>
      </w:tr>
    </w:tbl>
    <w:p>
      <w:pPr>
        <w:rPr>
          <w:rFonts w:hint="eastAsia" w:ascii="仿宋" w:hAnsi="仿宋" w:eastAsia="仿宋" w:cs="仿宋"/>
          <w:sz w:val="32"/>
          <w:szCs w:val="32"/>
        </w:rPr>
        <w:sectPr>
          <w:footerReference r:id="rId9"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49" w:name="_Toc256000074"/>
      <w:bookmarkStart w:id="50" w:name="_Toc256000012"/>
      <w:bookmarkStart w:id="51" w:name="_Toc256000043"/>
      <w:bookmarkStart w:id="52" w:name="_Toc256000105"/>
      <w:r>
        <w:rPr>
          <w:rFonts w:hint="eastAsia" w:ascii="仿宋" w:hAnsi="仿宋" w:eastAsia="仿宋" w:cs="仿宋"/>
          <w:b/>
          <w:spacing w:val="0"/>
          <w:sz w:val="32"/>
          <w:szCs w:val="32"/>
        </w:rPr>
        <w:t>六、一般公共预算财政拨款基本支出决算表</w:t>
      </w:r>
      <w:bookmarkEnd w:id="49"/>
      <w:bookmarkEnd w:id="50"/>
      <w:bookmarkEnd w:id="51"/>
      <w:bookmarkEnd w:id="52"/>
    </w:p>
    <w:tbl>
      <w:tblPr>
        <w:tblStyle w:val="23"/>
        <w:tblW w:w="9066" w:type="dxa"/>
        <w:jc w:val="center"/>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单位：厦门市天安小学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01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金额单位：万元</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2,276.31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210.86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国内债务发行费用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基本工资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301.68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82.28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国外债务发行费用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津贴补贴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441.34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18.07</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奖金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720.19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房屋建筑物购建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伙食补助费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办公设备购置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18.07</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绩效工资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124.44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4.95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169.64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16.38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基础设施建设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职业年金缴费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84.82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0.66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大型修缮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职工基本医疗保险缴费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72.63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公务员医疗补助缴费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物资储备</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其他社会保障缴费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土地补偿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住房公积金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183.02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安置补助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医疗费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地上附着物和青苗补偿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128.5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拆迁补偿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公务用车购置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离休费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11.61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其他交通工具购置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退休费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31021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文物和陈列品购置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退职（役）费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无形资产购置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抚恤金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生活补助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救济费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11.22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资本金注入</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医疗费补助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政府投资基金股权投资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助学金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费用补贴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奖励金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利息补贴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个人农业生产补贴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其他资本性补助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代缴社会保险费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35.4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国家赔偿费用支出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经常性赠与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人员经费合计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2,316.51</w:t>
            </w:r>
          </w:p>
        </w:tc>
        <w:tc>
          <w:tcPr>
            <w:tcW w:w="403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228.93</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本年度一般公共预算财政拨款基本支出明细情况。</w:t>
            </w:r>
          </w:p>
        </w:tc>
      </w:tr>
    </w:tbl>
    <w:p>
      <w:pPr>
        <w:rPr>
          <w:rFonts w:hint="eastAsia" w:ascii="仿宋" w:hAnsi="仿宋" w:eastAsia="仿宋" w:cs="仿宋"/>
          <w:sz w:val="32"/>
          <w:szCs w:val="32"/>
        </w:rPr>
        <w:sectPr>
          <w:footerReference r:id="rId10"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bookmarkStart w:id="53" w:name="_Toc256000106"/>
      <w:bookmarkStart w:id="54" w:name="_Toc256000013"/>
      <w:bookmarkStart w:id="55" w:name="_Toc256000075"/>
      <w:bookmarkStart w:id="56" w:name="_Toc256000044"/>
      <w:r>
        <w:rPr>
          <w:rFonts w:hint="eastAsia" w:ascii="仿宋" w:hAnsi="仿宋" w:eastAsia="仿宋" w:cs="仿宋"/>
          <w:b/>
          <w:spacing w:val="0"/>
          <w:sz w:val="32"/>
          <w:szCs w:val="32"/>
        </w:rPr>
        <w:t>七、一般公共预算财政拨款“三公”经费支出决算表</w:t>
      </w:r>
      <w:bookmarkEnd w:id="53"/>
      <w:bookmarkEnd w:id="54"/>
      <w:bookmarkEnd w:id="55"/>
      <w:bookmarkEnd w:id="56"/>
    </w:p>
    <w:tbl>
      <w:tblPr>
        <w:tblStyle w:val="23"/>
        <w:tblW w:w="9066" w:type="dxa"/>
        <w:jc w:val="center"/>
        <w:tblInd w:w="0" w:type="dxa"/>
        <w:tblLayout w:type="fixed"/>
        <w:tblCellMar>
          <w:top w:w="15" w:type="dxa"/>
          <w:left w:w="15" w:type="dxa"/>
          <w:bottom w:w="15" w:type="dxa"/>
          <w:right w:w="15" w:type="dxa"/>
        </w:tblCellMar>
      </w:tblPr>
      <w:tblGrid>
        <w:gridCol w:w="755"/>
        <w:gridCol w:w="755"/>
        <w:gridCol w:w="755"/>
        <w:gridCol w:w="755"/>
        <w:gridCol w:w="756"/>
        <w:gridCol w:w="755"/>
        <w:gridCol w:w="755"/>
        <w:gridCol w:w="756"/>
        <w:gridCol w:w="1"/>
        <w:gridCol w:w="755"/>
        <w:gridCol w:w="1"/>
        <w:gridCol w:w="755"/>
        <w:gridCol w:w="755"/>
        <w:gridCol w:w="757"/>
      </w:tblGrid>
      <w:tr>
        <w:tblPrEx>
          <w:tblLayout w:type="fixed"/>
          <w:tblCellMar>
            <w:top w:w="15" w:type="dxa"/>
            <w:left w:w="15" w:type="dxa"/>
            <w:bottom w:w="15" w:type="dxa"/>
            <w:right w:w="15" w:type="dxa"/>
          </w:tblCellMar>
        </w:tblPrEx>
        <w:trPr>
          <w:trHeight w:val="0" w:hRule="atLeast"/>
          <w:tblHeader/>
          <w:jc w:val="center"/>
        </w:trPr>
        <w:tc>
          <w:tcPr>
            <w:tcW w:w="9066" w:type="dxa"/>
            <w:gridSpan w:val="14"/>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32"/>
                <w:szCs w:val="32"/>
              </w:rPr>
              <w:t>一般公共预算财政拨款“三公”经费支出决算</w:t>
            </w:r>
          </w:p>
        </w:tc>
      </w:tr>
      <w:tr>
        <w:tblPrEx>
          <w:tblLayout w:type="fixed"/>
          <w:tblCellMar>
            <w:top w:w="15" w:type="dxa"/>
            <w:left w:w="15" w:type="dxa"/>
            <w:bottom w:w="15" w:type="dxa"/>
            <w:right w:w="15" w:type="dxa"/>
          </w:tblCellMar>
        </w:tblPrEx>
        <w:trPr>
          <w:trHeight w:val="0" w:hRule="atLeast"/>
          <w:jc w:val="center"/>
        </w:trPr>
        <w:tc>
          <w:tcPr>
            <w:tcW w:w="4531"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单位：厦门市天安小学</w:t>
            </w:r>
          </w:p>
        </w:tc>
        <w:tc>
          <w:tcPr>
            <w:tcW w:w="151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67"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jc w:val="center"/>
        </w:trPr>
        <w:tc>
          <w:tcPr>
            <w:tcW w:w="4531"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预算数</w:t>
            </w:r>
          </w:p>
        </w:tc>
        <w:tc>
          <w:tcPr>
            <w:tcW w:w="4535" w:type="dxa"/>
            <w:gridSpan w:val="8"/>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决算数</w:t>
            </w:r>
          </w:p>
        </w:tc>
      </w:tr>
      <w:tr>
        <w:tblPrEx>
          <w:tblLayout w:type="fixed"/>
          <w:tblCellMar>
            <w:top w:w="15" w:type="dxa"/>
            <w:left w:w="15" w:type="dxa"/>
            <w:bottom w:w="15" w:type="dxa"/>
            <w:right w:w="15" w:type="dxa"/>
          </w:tblCellMar>
        </w:tblPrEx>
        <w:trPr>
          <w:trHeight w:val="0" w:hRule="atLeast"/>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因公出国 （境）费</w:t>
            </w:r>
          </w:p>
        </w:tc>
        <w:tc>
          <w:tcPr>
            <w:tcW w:w="22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因公出国 （境）费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公务用车购置及运行维护费</w:t>
            </w:r>
          </w:p>
        </w:tc>
        <w:tc>
          <w:tcPr>
            <w:tcW w:w="7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公务接待费</w:t>
            </w: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小计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公务用车购置费</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小计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公务用车运行维护费</w:t>
            </w:r>
          </w:p>
        </w:tc>
        <w:tc>
          <w:tcPr>
            <w:tcW w:w="7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w:t>
            </w: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bookmarkStart w:id="125" w:name="_GoBack" w:colFirst="1" w:colLast="11"/>
            <w:r>
              <w:rPr>
                <w:rFonts w:hint="eastAsia" w:ascii="仿宋" w:hAnsi="仿宋" w:eastAsia="仿宋" w:cs="仿宋"/>
                <w:b w:val="0"/>
                <w:bCs w:val="0"/>
                <w:i w:val="0"/>
                <w:iCs w:val="0"/>
                <w:smallCaps w:val="0"/>
                <w:color w:val="000000"/>
                <w:kern w:val="0"/>
                <w:sz w:val="28"/>
                <w:szCs w:val="28"/>
                <w:lang w:val="en-US" w:eastAsia="zh-CN"/>
              </w:rPr>
              <w:t>0</w:t>
            </w:r>
            <w:r>
              <w:rPr>
                <w:rFonts w:hint="eastAsia" w:ascii="仿宋" w:hAnsi="仿宋" w:eastAsia="仿宋" w:cs="仿宋"/>
                <w:b w:val="0"/>
                <w:bCs w:val="0"/>
                <w:i w:val="0"/>
                <w:iCs w:val="0"/>
                <w:smallCaps w:val="0"/>
                <w:color w:val="000000"/>
                <w:kern w:val="0"/>
                <w:sz w:val="28"/>
                <w:szCs w:val="2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r>
      <w:bookmarkEnd w:id="125"/>
      <w:tr>
        <w:tblPrEx>
          <w:tblLayout w:type="fixed"/>
          <w:tblCellMar>
            <w:top w:w="15" w:type="dxa"/>
            <w:left w:w="15" w:type="dxa"/>
            <w:bottom w:w="15" w:type="dxa"/>
            <w:right w:w="15" w:type="dxa"/>
          </w:tblCellMar>
        </w:tblPrEx>
        <w:trPr>
          <w:trHeight w:val="0" w:hRule="atLeast"/>
          <w:jc w:val="center"/>
        </w:trPr>
        <w:tc>
          <w:tcPr>
            <w:tcW w:w="9066" w:type="dxa"/>
            <w:gridSpan w:val="14"/>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本年度财政拨款“三公”经费支出预决算情况。其中，预算数为“三公”经费全年预算数，反映按规定程序调整后的预算数；决算数是包括当年财政拨款和以前年度结转资金安排的实际支出。</w:t>
            </w:r>
          </w:p>
        </w:tc>
      </w:tr>
    </w:tbl>
    <w:p>
      <w:pPr>
        <w:pStyle w:val="29"/>
        <w:widowControl/>
        <w:spacing w:before="100" w:after="100"/>
        <w:ind w:left="0" w:right="0" w:firstLine="640" w:firstLineChars="200"/>
        <w:jc w:val="left"/>
        <w:rPr>
          <w:rFonts w:hint="eastAsia" w:ascii="仿宋" w:hAnsi="仿宋" w:eastAsia="仿宋" w:cs="仿宋"/>
          <w:b/>
          <w:spacing w:val="0"/>
          <w:sz w:val="32"/>
          <w:szCs w:val="32"/>
        </w:rPr>
      </w:pPr>
      <w:bookmarkStart w:id="57" w:name="_Toc256000107"/>
      <w:bookmarkStart w:id="58" w:name="_Toc256000014"/>
      <w:bookmarkStart w:id="59" w:name="_Toc256000076"/>
      <w:bookmarkStart w:id="60" w:name="_Toc256000045"/>
      <w:r>
        <w:rPr>
          <w:rFonts w:hint="eastAsia" w:ascii="仿宋" w:hAnsi="仿宋" w:eastAsia="仿宋" w:cs="仿宋"/>
          <w:b w:val="0"/>
          <w:bCs w:val="0"/>
          <w:i w:val="0"/>
          <w:iCs w:val="0"/>
          <w:smallCaps w:val="0"/>
          <w:color w:val="000000"/>
          <w:kern w:val="0"/>
          <w:sz w:val="32"/>
          <w:szCs w:val="32"/>
          <w:lang w:eastAsia="zh-CN"/>
        </w:rPr>
        <w:t>本单位</w:t>
      </w:r>
      <w:r>
        <w:rPr>
          <w:rFonts w:hint="eastAsia" w:ascii="仿宋" w:hAnsi="仿宋" w:eastAsia="仿宋" w:cs="仿宋"/>
          <w:b w:val="0"/>
          <w:bCs w:val="0"/>
          <w:i w:val="0"/>
          <w:iCs w:val="0"/>
          <w:smallCaps w:val="0"/>
          <w:color w:val="000000"/>
          <w:kern w:val="0"/>
          <w:sz w:val="32"/>
          <w:szCs w:val="32"/>
          <w:lang w:val="en-US" w:eastAsia="zh-CN"/>
        </w:rPr>
        <w:t>2024年度没有使用一般公共预算财政拨款安排的“三公”经费支出。</w:t>
      </w:r>
    </w:p>
    <w:p>
      <w:pPr>
        <w:widowControl/>
        <w:jc w:val="left"/>
        <w:rPr>
          <w:rFonts w:hint="eastAsia" w:ascii="仿宋" w:hAnsi="仿宋" w:eastAsia="仿宋" w:cs="仿宋"/>
          <w:b/>
          <w:bCs/>
          <w:kern w:val="0"/>
          <w:sz w:val="32"/>
          <w:szCs w:val="32"/>
        </w:rPr>
      </w:pPr>
      <w:r>
        <w:rPr>
          <w:rFonts w:hint="eastAsia" w:ascii="仿宋" w:hAnsi="仿宋" w:eastAsia="仿宋" w:cs="仿宋"/>
          <w:b/>
          <w:spacing w:val="0"/>
          <w:sz w:val="32"/>
          <w:szCs w:val="32"/>
        </w:rPr>
        <w:t>八、政府性基金预算财政拨款收入支出决算表</w:t>
      </w:r>
      <w:bookmarkEnd w:id="57"/>
      <w:bookmarkEnd w:id="58"/>
      <w:bookmarkEnd w:id="59"/>
      <w:bookmarkEnd w:id="60"/>
    </w:p>
    <w:tbl>
      <w:tblPr>
        <w:tblStyle w:val="23"/>
        <w:tblW w:w="9066" w:type="dxa"/>
        <w:jc w:val="center"/>
        <w:tblInd w:w="0" w:type="dxa"/>
        <w:tblLayout w:type="fixed"/>
        <w:tblCellMar>
          <w:top w:w="15" w:type="dxa"/>
          <w:left w:w="15" w:type="dxa"/>
          <w:bottom w:w="15" w:type="dxa"/>
          <w:right w:w="15" w:type="dxa"/>
        </w:tblCellMar>
      </w:tblPr>
      <w:tblGrid>
        <w:gridCol w:w="1133"/>
        <w:gridCol w:w="1480"/>
        <w:gridCol w:w="926"/>
        <w:gridCol w:w="1148"/>
        <w:gridCol w:w="979"/>
        <w:gridCol w:w="1133"/>
        <w:gridCol w:w="1134"/>
        <w:gridCol w:w="1133"/>
      </w:tblGrid>
      <w:tr>
        <w:tblPrEx>
          <w:tblLayout w:type="fixed"/>
          <w:tblCellMar>
            <w:top w:w="15" w:type="dxa"/>
            <w:left w:w="15" w:type="dxa"/>
            <w:bottom w:w="15" w:type="dxa"/>
            <w:right w:w="15" w:type="dxa"/>
          </w:tblCellMar>
        </w:tblPrEx>
        <w:trPr>
          <w:trHeight w:val="0" w:hRule="atLeast"/>
          <w:tblHeader/>
          <w:jc w:val="center"/>
        </w:trPr>
        <w:tc>
          <w:tcPr>
            <w:tcW w:w="9066" w:type="dxa"/>
            <w:gridSpan w:val="8"/>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rHeight w:val="0" w:hRule="atLeast"/>
          <w:jc w:val="center"/>
        </w:trPr>
        <w:tc>
          <w:tcPr>
            <w:tcW w:w="4687"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单位：厦门市天安小学</w:t>
            </w:r>
          </w:p>
        </w:tc>
        <w:tc>
          <w:tcPr>
            <w:tcW w:w="211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226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金额单位：万元</w:t>
            </w:r>
          </w:p>
        </w:tc>
      </w:tr>
      <w:tr>
        <w:tblPrEx>
          <w:tblLayout w:type="fixed"/>
          <w:tblCellMar>
            <w:top w:w="15" w:type="dxa"/>
            <w:left w:w="15" w:type="dxa"/>
            <w:bottom w:w="15" w:type="dxa"/>
            <w:right w:w="15" w:type="dxa"/>
          </w:tblCellMar>
        </w:tblPrEx>
        <w:trPr>
          <w:trHeight w:val="0" w:hRule="atLeast"/>
          <w:tblHeader/>
          <w:jc w:val="center"/>
        </w:trPr>
        <w:tc>
          <w:tcPr>
            <w:tcW w:w="26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w:t>
            </w:r>
          </w:p>
        </w:tc>
        <w:tc>
          <w:tcPr>
            <w:tcW w:w="92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年初结转和结余 </w:t>
            </w:r>
          </w:p>
        </w:tc>
        <w:tc>
          <w:tcPr>
            <w:tcW w:w="114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本年收入</w:t>
            </w:r>
          </w:p>
        </w:tc>
        <w:tc>
          <w:tcPr>
            <w:tcW w:w="324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年末结转和结余</w:t>
            </w:r>
          </w:p>
        </w:tc>
      </w:tr>
      <w:tr>
        <w:tblPrEx>
          <w:tblLayout w:type="fixed"/>
          <w:tblCellMar>
            <w:top w:w="15" w:type="dxa"/>
            <w:left w:w="15" w:type="dxa"/>
            <w:bottom w:w="15" w:type="dxa"/>
            <w:right w:w="15" w:type="dxa"/>
          </w:tblCellMar>
        </w:tblPrEx>
        <w:trPr>
          <w:trHeight w:val="312" w:hRule="atLeast"/>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支出功能分类科目编码</w:t>
            </w:r>
          </w:p>
        </w:tc>
        <w:tc>
          <w:tcPr>
            <w:tcW w:w="14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92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4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97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基本支出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312" w:hRule="atLeast"/>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48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92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4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97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0" w:hRule="atLeast"/>
          <w:jc w:val="center"/>
        </w:trPr>
        <w:tc>
          <w:tcPr>
            <w:tcW w:w="26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栏次</w:t>
            </w:r>
          </w:p>
        </w:tc>
        <w:tc>
          <w:tcPr>
            <w:tcW w:w="9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w:t>
            </w:r>
          </w:p>
        </w:tc>
        <w:tc>
          <w:tcPr>
            <w:tcW w:w="9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w:t>
            </w:r>
          </w:p>
        </w:tc>
      </w:tr>
      <w:tr>
        <w:tblPrEx>
          <w:tblLayout w:type="fixed"/>
          <w:tblCellMar>
            <w:top w:w="15" w:type="dxa"/>
            <w:left w:w="15" w:type="dxa"/>
            <w:bottom w:w="15" w:type="dxa"/>
            <w:right w:w="15" w:type="dxa"/>
          </w:tblCellMar>
        </w:tblPrEx>
        <w:trPr>
          <w:trHeight w:val="0" w:hRule="atLeast"/>
          <w:jc w:val="center"/>
        </w:trPr>
        <w:tc>
          <w:tcPr>
            <w:tcW w:w="26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合计</w:t>
            </w:r>
          </w:p>
        </w:tc>
        <w:tc>
          <w:tcPr>
            <w:tcW w:w="9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9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229</w:t>
            </w:r>
          </w:p>
        </w:tc>
        <w:tc>
          <w:tcPr>
            <w:tcW w:w="14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9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9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22960</w:t>
            </w:r>
          </w:p>
        </w:tc>
        <w:tc>
          <w:tcPr>
            <w:tcW w:w="14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彩票公益金安排的支出</w:t>
            </w:r>
          </w:p>
        </w:tc>
        <w:tc>
          <w:tcPr>
            <w:tcW w:w="9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9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2296003</w:t>
            </w:r>
          </w:p>
        </w:tc>
        <w:tc>
          <w:tcPr>
            <w:tcW w:w="14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用于体育事业的彩票公益金支出</w:t>
            </w:r>
          </w:p>
        </w:tc>
        <w:tc>
          <w:tcPr>
            <w:tcW w:w="9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9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5.57</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本年度政府性基金预算财政拨款收入、支出及结转和结余情况。</w:t>
            </w:r>
          </w:p>
        </w:tc>
      </w:tr>
    </w:tbl>
    <w:p>
      <w:pPr>
        <w:rPr>
          <w:rFonts w:hint="eastAsia" w:ascii="仿宋" w:hAnsi="仿宋" w:eastAsia="仿宋" w:cs="仿宋"/>
          <w:sz w:val="32"/>
          <w:szCs w:val="32"/>
        </w:rPr>
        <w:sectPr>
          <w:footerReference r:id="rId11"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bookmarkStart w:id="61" w:name="_Toc256000077"/>
      <w:bookmarkStart w:id="62" w:name="_Toc256000015"/>
      <w:bookmarkStart w:id="63" w:name="_Toc256000046"/>
      <w:bookmarkStart w:id="64" w:name="_Toc256000108"/>
      <w:r>
        <w:rPr>
          <w:rFonts w:hint="eastAsia" w:ascii="仿宋" w:hAnsi="仿宋" w:eastAsia="仿宋" w:cs="仿宋"/>
          <w:b/>
          <w:spacing w:val="0"/>
          <w:sz w:val="32"/>
          <w:szCs w:val="32"/>
        </w:rPr>
        <w:t>九、国有资本经营预算财政拨款支出决算表</w:t>
      </w:r>
      <w:bookmarkEnd w:id="61"/>
      <w:bookmarkEnd w:id="62"/>
      <w:bookmarkEnd w:id="63"/>
      <w:bookmarkEnd w:id="64"/>
    </w:p>
    <w:tbl>
      <w:tblPr>
        <w:tblStyle w:val="23"/>
        <w:tblW w:w="9066" w:type="dxa"/>
        <w:jc w:val="center"/>
        <w:tblInd w:w="0" w:type="dxa"/>
        <w:tblLayout w:type="fixed"/>
        <w:tblCellMar>
          <w:top w:w="15" w:type="dxa"/>
          <w:left w:w="15" w:type="dxa"/>
          <w:bottom w:w="15" w:type="dxa"/>
          <w:right w:w="15" w:type="dxa"/>
        </w:tblCellMar>
      </w:tblPr>
      <w:tblGrid>
        <w:gridCol w:w="1813"/>
        <w:gridCol w:w="2000"/>
        <w:gridCol w:w="1626"/>
        <w:gridCol w:w="1814"/>
        <w:gridCol w:w="1813"/>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0" w:hRule="atLeast"/>
          <w:jc w:val="center"/>
        </w:trPr>
        <w:tc>
          <w:tcPr>
            <w:tcW w:w="3813"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单位：厦门市天安小学</w:t>
            </w:r>
          </w:p>
        </w:tc>
        <w:tc>
          <w:tcPr>
            <w:tcW w:w="162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2024年度</w:t>
            </w:r>
          </w:p>
        </w:tc>
        <w:tc>
          <w:tcPr>
            <w:tcW w:w="362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金额单位：万元</w:t>
            </w:r>
          </w:p>
        </w:tc>
      </w:tr>
      <w:tr>
        <w:tblPrEx>
          <w:tblLayout w:type="fixed"/>
          <w:tblCellMar>
            <w:top w:w="15" w:type="dxa"/>
            <w:left w:w="15" w:type="dxa"/>
            <w:bottom w:w="15" w:type="dxa"/>
            <w:right w:w="15" w:type="dxa"/>
          </w:tblCellMar>
        </w:tblPrEx>
        <w:trPr>
          <w:trHeight w:val="0" w:hRule="atLeast"/>
          <w:jc w:val="center"/>
        </w:trPr>
        <w:tc>
          <w:tcPr>
            <w:tcW w:w="38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w:t>
            </w:r>
          </w:p>
        </w:tc>
        <w:tc>
          <w:tcPr>
            <w:tcW w:w="525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本年支出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科目代码</w:t>
            </w:r>
          </w:p>
        </w:tc>
        <w:tc>
          <w:tcPr>
            <w:tcW w:w="20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科目名称</w:t>
            </w:r>
          </w:p>
        </w:tc>
        <w:tc>
          <w:tcPr>
            <w:tcW w:w="162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20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62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20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62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0" w:hRule="atLeast"/>
          <w:jc w:val="center"/>
        </w:trPr>
        <w:tc>
          <w:tcPr>
            <w:tcW w:w="38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栏次</w:t>
            </w:r>
          </w:p>
        </w:tc>
        <w:tc>
          <w:tcPr>
            <w:tcW w:w="16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w:t>
            </w:r>
          </w:p>
        </w:tc>
      </w:tr>
      <w:tr>
        <w:tblPrEx>
          <w:tblLayout w:type="fixed"/>
          <w:tblCellMar>
            <w:top w:w="15" w:type="dxa"/>
            <w:left w:w="15" w:type="dxa"/>
            <w:bottom w:w="15" w:type="dxa"/>
            <w:right w:w="15" w:type="dxa"/>
          </w:tblCellMar>
        </w:tblPrEx>
        <w:trPr>
          <w:trHeight w:val="0" w:hRule="atLeast"/>
          <w:jc w:val="center"/>
        </w:trPr>
        <w:tc>
          <w:tcPr>
            <w:tcW w:w="381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6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2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6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注：本表反映</w:t>
            </w:r>
            <w:r>
              <w:rPr>
                <w:rFonts w:hint="eastAsia" w:ascii="仿宋" w:hAnsi="仿宋" w:eastAsia="仿宋" w:cs="仿宋"/>
                <w:b w:val="0"/>
                <w:bCs w:val="0"/>
                <w:i w:val="0"/>
                <w:iCs w:val="0"/>
                <w:smallCaps w:val="0"/>
                <w:color w:val="000000"/>
                <w:kern w:val="0"/>
                <w:sz w:val="32"/>
                <w:szCs w:val="32"/>
                <w:lang w:eastAsia="zh-CN"/>
              </w:rPr>
              <w:t>单位</w:t>
            </w:r>
            <w:r>
              <w:rPr>
                <w:rFonts w:hint="eastAsia" w:ascii="仿宋" w:hAnsi="仿宋" w:eastAsia="仿宋" w:cs="仿宋"/>
                <w:b w:val="0"/>
                <w:bCs w:val="0"/>
                <w:i w:val="0"/>
                <w:iCs w:val="0"/>
                <w:smallCaps w:val="0"/>
                <w:color w:val="000000"/>
                <w:kern w:val="0"/>
                <w:sz w:val="32"/>
                <w:szCs w:val="32"/>
              </w:rPr>
              <w:t>本年度国有资本经营预算财政拨款支出情况。</w:t>
            </w:r>
          </w:p>
        </w:tc>
      </w:tr>
    </w:tbl>
    <w:p>
      <w:pPr>
        <w:pStyle w:val="4"/>
        <w:keepNext w:val="0"/>
        <w:keepLines w:val="0"/>
        <w:spacing w:before="100" w:after="100" w:line="240" w:lineRule="auto"/>
        <w:ind w:left="0" w:right="0" w:firstLine="640" w:firstLineChars="200"/>
        <w:rPr>
          <w:rFonts w:hint="eastAsia" w:ascii="仿宋" w:hAnsi="仿宋" w:eastAsia="仿宋" w:cs="仿宋"/>
          <w:kern w:val="0"/>
          <w:sz w:val="32"/>
          <w:szCs w:val="32"/>
          <w:lang w:eastAsia="zh-CN"/>
        </w:rPr>
      </w:pPr>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年度没有使用国有资本经营预算财政拨款安排的</w:t>
      </w:r>
      <w:r>
        <w:rPr>
          <w:rFonts w:hint="eastAsia" w:ascii="仿宋" w:hAnsi="仿宋" w:eastAsia="仿宋" w:cs="仿宋"/>
          <w:kern w:val="0"/>
          <w:sz w:val="32"/>
          <w:szCs w:val="32"/>
          <w:lang w:eastAsia="zh-CN"/>
        </w:rPr>
        <w:t>支出。</w:t>
      </w:r>
      <w:bookmarkStart w:id="65" w:name="_Toc256000078"/>
      <w:bookmarkStart w:id="66" w:name="_Toc256000109"/>
      <w:bookmarkStart w:id="67" w:name="_Toc256000047"/>
      <w:bookmarkStart w:id="68" w:name="_Toc256000016"/>
    </w:p>
    <w:p>
      <w:pPr>
        <w:pStyle w:val="4"/>
        <w:keepNext w:val="0"/>
        <w:keepLines w:val="0"/>
        <w:spacing w:before="100" w:after="100" w:line="240" w:lineRule="auto"/>
        <w:ind w:left="0" w:right="0" w:firstLine="0" w:firstLineChars="0"/>
        <w:rPr>
          <w:rFonts w:hint="eastAsia" w:ascii="仿宋" w:hAnsi="仿宋" w:eastAsia="仿宋" w:cs="仿宋"/>
          <w:kern w:val="0"/>
          <w:sz w:val="32"/>
          <w:szCs w:val="32"/>
          <w:lang w:eastAsia="zh-CN"/>
        </w:r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r>
        <w:rPr>
          <w:rFonts w:hint="eastAsia" w:ascii="仿宋" w:hAnsi="仿宋" w:eastAsia="仿宋" w:cs="仿宋"/>
          <w:b/>
          <w:spacing w:val="0"/>
          <w:sz w:val="32"/>
          <w:szCs w:val="32"/>
        </w:rPr>
        <w:t>第三部分</w:t>
      </w:r>
      <w:bookmarkEnd w:id="65"/>
      <w:bookmarkEnd w:id="66"/>
      <w:bookmarkEnd w:id="67"/>
      <w:bookmarkEnd w:id="68"/>
      <w:r>
        <w:rPr>
          <w:rFonts w:hint="eastAsia" w:ascii="仿宋" w:hAnsi="仿宋" w:eastAsia="仿宋" w:cs="仿宋"/>
          <w:b/>
          <w:spacing w:val="0"/>
          <w:sz w:val="32"/>
          <w:szCs w:val="32"/>
        </w:rPr>
        <w:t> </w:t>
      </w:r>
      <w:bookmarkStart w:id="69" w:name="_Toc256000017"/>
      <w:bookmarkStart w:id="70" w:name="_Toc256000048"/>
      <w:bookmarkStart w:id="71" w:name="_Toc256000110"/>
      <w:bookmarkStart w:id="72" w:name="_Toc256000079"/>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2024年度决算情况说明</w:t>
      </w:r>
      <w:bookmarkEnd w:id="69"/>
      <w:bookmarkEnd w:id="70"/>
      <w:bookmarkEnd w:id="71"/>
      <w:bookmarkEnd w:id="72"/>
    </w:p>
    <w:p>
      <w:pPr>
        <w:pStyle w:val="6"/>
        <w:keepNext w:val="0"/>
        <w:keepLines w:val="0"/>
        <w:spacing w:before="100" w:after="100" w:line="600" w:lineRule="atLeast"/>
        <w:ind w:left="0" w:leftChars="0" w:right="0" w:firstLine="643" w:firstLineChars="200"/>
        <w:jc w:val="both"/>
        <w:rPr>
          <w:rFonts w:hint="eastAsia" w:ascii="仿宋" w:hAnsi="仿宋" w:eastAsia="仿宋" w:cs="仿宋"/>
          <w:b/>
          <w:bCs/>
          <w:kern w:val="0"/>
          <w:sz w:val="32"/>
          <w:szCs w:val="32"/>
        </w:rPr>
      </w:pPr>
      <w:bookmarkStart w:id="73" w:name="_Toc256000080"/>
      <w:bookmarkStart w:id="74" w:name="_Toc256000111"/>
      <w:bookmarkStart w:id="75" w:name="_Toc256000018"/>
      <w:bookmarkStart w:id="76" w:name="_Toc256000049"/>
      <w:r>
        <w:rPr>
          <w:rFonts w:hint="eastAsia" w:ascii="仿宋" w:hAnsi="仿宋" w:eastAsia="仿宋" w:cs="仿宋"/>
          <w:b/>
          <w:spacing w:val="0"/>
          <w:sz w:val="32"/>
          <w:szCs w:val="32"/>
        </w:rPr>
        <w:t>一、收入支出决算总体情况说明</w:t>
      </w:r>
      <w:bookmarkEnd w:id="73"/>
      <w:bookmarkEnd w:id="74"/>
      <w:bookmarkEnd w:id="75"/>
      <w:bookmarkEnd w:id="76"/>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（一）收入支出决算总体情况说明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2024年度本单位收入总计2890.97万元，支出总计2890.97万元，与上年决算数相比，各增加81.26万元，各增长2.89%。主要是</w:t>
      </w:r>
      <w:r>
        <w:rPr>
          <w:rFonts w:hint="eastAsia" w:ascii="仿宋" w:hAnsi="仿宋" w:eastAsia="仿宋" w:cs="仿宋"/>
          <w:spacing w:val="0"/>
          <w:kern w:val="0"/>
          <w:sz w:val="32"/>
          <w:szCs w:val="32"/>
          <w:lang w:val="en-US" w:eastAsia="zh-CN"/>
        </w:rPr>
        <w:t>项目支出及专项经费支出增加。</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（二）收入决算情况说明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2024年度收入2890.97万元，比上年决算数</w:t>
      </w:r>
      <w:r>
        <w:rPr>
          <w:rFonts w:hint="eastAsia" w:ascii="仿宋" w:hAnsi="仿宋" w:eastAsia="仿宋" w:cs="仿宋"/>
          <w:kern w:val="0"/>
          <w:sz w:val="32"/>
          <w:szCs w:val="32"/>
        </w:rPr>
        <w:t>增加</w:t>
      </w:r>
      <w:r>
        <w:rPr>
          <w:rFonts w:hint="eastAsia" w:ascii="仿宋" w:hAnsi="仿宋" w:eastAsia="仿宋" w:cs="仿宋"/>
          <w:spacing w:val="0"/>
          <w:kern w:val="0"/>
          <w:sz w:val="32"/>
          <w:szCs w:val="32"/>
        </w:rPr>
        <w:t>81.26万元，</w:t>
      </w:r>
      <w:r>
        <w:rPr>
          <w:rFonts w:hint="eastAsia" w:ascii="仿宋" w:hAnsi="仿宋" w:eastAsia="仿宋" w:cs="仿宋"/>
          <w:kern w:val="0"/>
          <w:sz w:val="32"/>
          <w:szCs w:val="32"/>
        </w:rPr>
        <w:t>增长</w:t>
      </w:r>
      <w:r>
        <w:rPr>
          <w:rFonts w:hint="eastAsia" w:ascii="仿宋" w:hAnsi="仿宋" w:eastAsia="仿宋" w:cs="仿宋"/>
          <w:spacing w:val="0"/>
          <w:kern w:val="0"/>
          <w:sz w:val="32"/>
          <w:szCs w:val="32"/>
        </w:rPr>
        <w:t>2.89%，具体情况如下：</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1.一般公共预算财政拨款收入2885.40万元。</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2.政府性基金预算财政拨款收入5.57万元。</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3.国有资本经营预算财政拨款收入0万元。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4.上级补助收入0万元。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5.事业收入0万元。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6.经营收入0万元。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7.附属单位上缴收入0万元。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8.其他收入0万元。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（三）支出决算情况说明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2024年度支出2890.97万元，比上年决算数增加81.26万元，增长2.89%，具体情况如下：</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1.基本支出2545.45万元。其中，人员支出2316.51万元，公用支出228.93万元。</w:t>
      </w:r>
    </w:p>
    <w:p>
      <w:pPr>
        <w:pStyle w:val="29"/>
        <w:widowControl/>
        <w:spacing w:before="240" w:after="240"/>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2.项目支出345.53万元。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3.上缴上级支出0万元。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4.经营支出0万元。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5.对附属单位补助支出0万元。</w:t>
      </w:r>
    </w:p>
    <w:p>
      <w:pPr>
        <w:pStyle w:val="6"/>
        <w:keepNext w:val="0"/>
        <w:keepLines w:val="0"/>
        <w:spacing w:before="100" w:after="100" w:line="240" w:lineRule="auto"/>
        <w:ind w:left="0" w:right="0" w:firstLine="480" w:firstLineChars="0"/>
        <w:jc w:val="both"/>
        <w:rPr>
          <w:rFonts w:hint="eastAsia" w:ascii="仿宋" w:hAnsi="仿宋" w:eastAsia="仿宋" w:cs="仿宋"/>
          <w:b/>
          <w:bCs/>
          <w:kern w:val="0"/>
          <w:sz w:val="32"/>
          <w:szCs w:val="32"/>
        </w:rPr>
      </w:pPr>
      <w:bookmarkStart w:id="77" w:name="_Toc256000081"/>
      <w:bookmarkStart w:id="78" w:name="_Toc256000050"/>
      <w:bookmarkStart w:id="79" w:name="_Toc256000019"/>
      <w:bookmarkStart w:id="80" w:name="_Toc256000112"/>
      <w:r>
        <w:rPr>
          <w:rFonts w:hint="eastAsia" w:ascii="仿宋" w:hAnsi="仿宋" w:eastAsia="仿宋" w:cs="仿宋"/>
          <w:b/>
          <w:spacing w:val="0"/>
          <w:sz w:val="32"/>
          <w:szCs w:val="32"/>
        </w:rPr>
        <w:t>二、财政拨款收入支出决算总体情况说明</w:t>
      </w:r>
      <w:bookmarkEnd w:id="77"/>
      <w:bookmarkEnd w:id="78"/>
      <w:bookmarkEnd w:id="79"/>
      <w:bookmarkEnd w:id="80"/>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2024年度财政拨款收入总计2890.97万元，支出总计2890.97万元，与上年决算数相比，各增加81.26万元，增长2.89%，主要是：</w:t>
      </w:r>
      <w:r>
        <w:rPr>
          <w:rFonts w:hint="eastAsia" w:ascii="仿宋" w:hAnsi="仿宋" w:eastAsia="仿宋" w:cs="仿宋"/>
          <w:spacing w:val="0"/>
          <w:kern w:val="0"/>
          <w:sz w:val="32"/>
          <w:szCs w:val="32"/>
          <w:lang w:val="en-US" w:eastAsia="zh-CN"/>
        </w:rPr>
        <w:t>项目支出及专项经费支出增加。</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1" w:name="_Toc256000020"/>
      <w:bookmarkStart w:id="82" w:name="_Toc256000051"/>
      <w:bookmarkStart w:id="83" w:name="_Toc256000082"/>
      <w:bookmarkStart w:id="84" w:name="_Toc256000113"/>
      <w:r>
        <w:rPr>
          <w:rFonts w:hint="eastAsia" w:ascii="仿宋" w:hAnsi="仿宋" w:eastAsia="仿宋" w:cs="仿宋"/>
          <w:b/>
          <w:spacing w:val="0"/>
          <w:sz w:val="32"/>
          <w:szCs w:val="32"/>
        </w:rPr>
        <w:t>三、一般公共预算拨款支出决算情况说明</w:t>
      </w:r>
      <w:bookmarkEnd w:id="81"/>
      <w:bookmarkEnd w:id="82"/>
      <w:bookmarkEnd w:id="83"/>
      <w:bookmarkEnd w:id="84"/>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2024年一般公共预算支出2885.40万元，比上年决算数增加99.38万元，增长3.57%，具体情况如下(按</w:t>
      </w:r>
      <w:r>
        <w:rPr>
          <w:rStyle w:val="31"/>
          <w:rFonts w:hint="eastAsia" w:ascii="仿宋" w:hAnsi="仿宋" w:eastAsia="仿宋" w:cs="仿宋"/>
          <w:spacing w:val="0"/>
          <w:kern w:val="0"/>
          <w:sz w:val="32"/>
          <w:szCs w:val="32"/>
        </w:rPr>
        <w:t>项级科目</w:t>
      </w:r>
      <w:r>
        <w:rPr>
          <w:rFonts w:hint="eastAsia" w:ascii="仿宋" w:hAnsi="仿宋" w:eastAsia="仿宋" w:cs="仿宋"/>
          <w:spacing w:val="0"/>
          <w:kern w:val="0"/>
          <w:sz w:val="32"/>
          <w:szCs w:val="32"/>
        </w:rPr>
        <w:t>分类统计)：</w:t>
      </w:r>
    </w:p>
    <w:p>
      <w:pPr>
        <w:pStyle w:val="29"/>
        <w:widowControl/>
        <w:spacing w:before="100" w:after="100" w:line="600" w:lineRule="atLeast"/>
        <w:ind w:right="0" w:firstLine="640" w:firstLineChars="20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（一）2050202 小学教育2,068.62万元，较上年决算数增加35.02万元，增长1.72%。主要原因是</w:t>
      </w:r>
      <w:r>
        <w:rPr>
          <w:rFonts w:hint="eastAsia" w:ascii="仿宋" w:hAnsi="仿宋" w:eastAsia="仿宋" w:cs="仿宋"/>
          <w:spacing w:val="0"/>
          <w:kern w:val="0"/>
          <w:sz w:val="32"/>
          <w:szCs w:val="32"/>
          <w:lang w:eastAsia="zh-CN"/>
        </w:rPr>
        <w:t>专项经费支出增加。</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（二）2050299 其他普通教育支出170.13万元，较上年决算数增加15.50万元，增长10.02%。主要原因是</w:t>
      </w:r>
      <w:r>
        <w:rPr>
          <w:rFonts w:hint="eastAsia" w:ascii="仿宋" w:hAnsi="仿宋" w:eastAsia="仿宋" w:cs="仿宋"/>
          <w:spacing w:val="0"/>
          <w:kern w:val="0"/>
          <w:sz w:val="32"/>
          <w:szCs w:val="32"/>
          <w:lang w:val="en-US" w:eastAsia="zh-CN"/>
        </w:rPr>
        <w:t>项目支出增加。</w:t>
      </w:r>
    </w:p>
    <w:p>
      <w:pPr>
        <w:pStyle w:val="29"/>
        <w:widowControl/>
        <w:spacing w:before="100" w:after="100" w:line="600" w:lineRule="atLeast"/>
        <w:ind w:right="0" w:firstLine="640" w:firstLineChars="20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（三）2050999 其他教育费附加安排的支出226.26万元，较上年决算数增加6.10万元，增长2.77%。主要原因是</w:t>
      </w:r>
      <w:r>
        <w:rPr>
          <w:rFonts w:hint="eastAsia" w:ascii="仿宋" w:hAnsi="仿宋" w:eastAsia="仿宋" w:cs="仿宋"/>
          <w:spacing w:val="0"/>
          <w:kern w:val="0"/>
          <w:sz w:val="32"/>
          <w:szCs w:val="32"/>
          <w:lang w:val="en-US" w:eastAsia="zh-CN"/>
        </w:rPr>
        <w:t>学校修缮采购项目支出增加。</w:t>
      </w:r>
    </w:p>
    <w:p>
      <w:pPr>
        <w:pStyle w:val="29"/>
        <w:widowControl/>
        <w:spacing w:before="100" w:after="100" w:line="600" w:lineRule="atLeast"/>
        <w:ind w:right="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（四）2080502 事业单位离退休35.40万元，较上年决算数增加0.27万元，增长0.77%。主要原因是</w:t>
      </w:r>
      <w:r>
        <w:rPr>
          <w:rFonts w:hint="eastAsia" w:ascii="仿宋" w:hAnsi="仿宋" w:eastAsia="仿宋" w:cs="仿宋"/>
          <w:spacing w:val="0"/>
          <w:kern w:val="0"/>
          <w:sz w:val="32"/>
          <w:szCs w:val="32"/>
          <w:lang w:eastAsia="zh-CN"/>
        </w:rPr>
        <w:t>退休人员费用增加</w:t>
      </w:r>
      <w:r>
        <w:rPr>
          <w:rFonts w:hint="eastAsia" w:ascii="仿宋" w:hAnsi="仿宋" w:eastAsia="仿宋" w:cs="仿宋"/>
          <w:spacing w:val="0"/>
          <w:kern w:val="0"/>
          <w:sz w:val="32"/>
          <w:szCs w:val="32"/>
          <w:lang w:val="en-US" w:eastAsia="zh-CN"/>
        </w:rPr>
        <w:t>。</w:t>
      </w:r>
    </w:p>
    <w:p>
      <w:pPr>
        <w:pStyle w:val="29"/>
        <w:widowControl/>
        <w:spacing w:before="100" w:after="100" w:line="600" w:lineRule="atLeast"/>
        <w:ind w:right="0" w:firstLine="640" w:firstLineChars="20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（五）2080505 机关事业单位基本养老保险缴费支出169.64万元，较上年决算数增加10.13万元，增长6.35%。主要原因是</w:t>
      </w:r>
      <w:r>
        <w:rPr>
          <w:rFonts w:hint="eastAsia" w:ascii="仿宋" w:hAnsi="仿宋" w:eastAsia="仿宋" w:cs="仿宋"/>
          <w:spacing w:val="0"/>
          <w:kern w:val="0"/>
          <w:sz w:val="32"/>
          <w:szCs w:val="32"/>
          <w:lang w:val="en-US" w:eastAsia="zh-CN"/>
        </w:rPr>
        <w:t>缴费基数调整。</w:t>
      </w:r>
    </w:p>
    <w:p>
      <w:pPr>
        <w:pStyle w:val="29"/>
        <w:widowControl/>
        <w:spacing w:before="100" w:after="100" w:line="600" w:lineRule="atLeast"/>
        <w:ind w:right="0" w:firstLine="640" w:firstLineChars="200"/>
        <w:jc w:val="both"/>
        <w:rPr>
          <w:rFonts w:hint="default" w:ascii="仿宋" w:hAnsi="仿宋" w:eastAsia="仿宋" w:cs="仿宋"/>
          <w:kern w:val="0"/>
          <w:sz w:val="32"/>
          <w:szCs w:val="32"/>
          <w:lang w:val="en-US" w:eastAsia="zh-CN"/>
        </w:rPr>
      </w:pPr>
      <w:r>
        <w:rPr>
          <w:rFonts w:hint="eastAsia" w:ascii="仿宋" w:hAnsi="仿宋" w:eastAsia="仿宋" w:cs="仿宋"/>
          <w:spacing w:val="0"/>
          <w:kern w:val="0"/>
          <w:sz w:val="32"/>
          <w:szCs w:val="32"/>
        </w:rPr>
        <w:t>（六）2080506 机关事业单位职业年金缴费支出84.82万元，较上年决算数增加5.06万元，增长6.3</w:t>
      </w:r>
      <w:r>
        <w:rPr>
          <w:rFonts w:hint="eastAsia" w:ascii="仿宋" w:hAnsi="仿宋" w:eastAsia="仿宋" w:cs="仿宋"/>
          <w:spacing w:val="0"/>
          <w:kern w:val="0"/>
          <w:sz w:val="32"/>
          <w:szCs w:val="32"/>
          <w:lang w:val="en-US" w:eastAsia="zh-CN"/>
        </w:rPr>
        <w:t>4</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缴费基数调整。</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（七）2101102 事业单位医疗72.63万元，较上年决算数增加4.3</w:t>
      </w:r>
      <w:r>
        <w:rPr>
          <w:rFonts w:hint="eastAsia" w:ascii="仿宋" w:hAnsi="仿宋" w:eastAsia="仿宋" w:cs="仿宋"/>
          <w:spacing w:val="0"/>
          <w:kern w:val="0"/>
          <w:sz w:val="32"/>
          <w:szCs w:val="32"/>
          <w:lang w:val="en-US" w:eastAsia="zh-CN"/>
        </w:rPr>
        <w:t>4</w:t>
      </w:r>
      <w:r>
        <w:rPr>
          <w:rFonts w:hint="eastAsia" w:ascii="仿宋" w:hAnsi="仿宋" w:eastAsia="仿宋" w:cs="仿宋"/>
          <w:spacing w:val="0"/>
          <w:kern w:val="0"/>
          <w:sz w:val="32"/>
          <w:szCs w:val="32"/>
        </w:rPr>
        <w:t>万元，增长6.3</w:t>
      </w:r>
      <w:r>
        <w:rPr>
          <w:rFonts w:hint="eastAsia" w:ascii="仿宋" w:hAnsi="仿宋" w:eastAsia="仿宋" w:cs="仿宋"/>
          <w:spacing w:val="0"/>
          <w:kern w:val="0"/>
          <w:sz w:val="32"/>
          <w:szCs w:val="32"/>
          <w:lang w:val="en-US" w:eastAsia="zh-CN"/>
        </w:rPr>
        <w:t>6</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缴费基数调整。</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（八）2101199 其他行政事业单位医疗支出37.11万元，较上年决算数增加2.2</w:t>
      </w:r>
      <w:r>
        <w:rPr>
          <w:rFonts w:hint="eastAsia" w:ascii="仿宋" w:hAnsi="仿宋" w:eastAsia="仿宋" w:cs="仿宋"/>
          <w:spacing w:val="0"/>
          <w:kern w:val="0"/>
          <w:sz w:val="32"/>
          <w:szCs w:val="32"/>
          <w:lang w:val="en-US" w:eastAsia="zh-CN"/>
        </w:rPr>
        <w:t>2</w:t>
      </w:r>
      <w:r>
        <w:rPr>
          <w:rFonts w:hint="eastAsia" w:ascii="仿宋" w:hAnsi="仿宋" w:eastAsia="仿宋" w:cs="仿宋"/>
          <w:spacing w:val="0"/>
          <w:kern w:val="0"/>
          <w:sz w:val="32"/>
          <w:szCs w:val="32"/>
        </w:rPr>
        <w:t>万元，增长6.3</w:t>
      </w:r>
      <w:r>
        <w:rPr>
          <w:rFonts w:hint="eastAsia" w:ascii="仿宋" w:hAnsi="仿宋" w:eastAsia="仿宋" w:cs="仿宋"/>
          <w:spacing w:val="0"/>
          <w:kern w:val="0"/>
          <w:sz w:val="32"/>
          <w:szCs w:val="32"/>
          <w:lang w:val="en-US" w:eastAsia="zh-CN"/>
        </w:rPr>
        <w:t>6</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缴费基数调整。</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（九）2210203 购房补贴20.80万元，较上年决算数增加20.80万元，增长100%。主要原因是</w:t>
      </w:r>
      <w:r>
        <w:rPr>
          <w:rFonts w:hint="eastAsia" w:ascii="仿宋" w:hAnsi="仿宋" w:eastAsia="仿宋" w:cs="仿宋"/>
          <w:spacing w:val="0"/>
          <w:kern w:val="0"/>
          <w:sz w:val="32"/>
          <w:szCs w:val="32"/>
          <w:lang w:val="en-US" w:eastAsia="zh-CN"/>
        </w:rPr>
        <w:t>新增教师购房补贴支出。</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5" w:name="_Toc256000052"/>
      <w:bookmarkStart w:id="86" w:name="_Toc256000083"/>
      <w:bookmarkStart w:id="87" w:name="_Toc256000021"/>
      <w:bookmarkStart w:id="88" w:name="_Toc256000114"/>
      <w:r>
        <w:rPr>
          <w:rFonts w:hint="eastAsia" w:ascii="仿宋" w:hAnsi="仿宋" w:eastAsia="仿宋" w:cs="仿宋"/>
          <w:b/>
          <w:spacing w:val="0"/>
          <w:sz w:val="32"/>
          <w:szCs w:val="32"/>
        </w:rPr>
        <w:t>四、政府性基金预算财政拨款支出决算情况说明</w:t>
      </w:r>
      <w:bookmarkEnd w:id="85"/>
      <w:bookmarkEnd w:id="86"/>
      <w:bookmarkEnd w:id="87"/>
      <w:bookmarkEnd w:id="88"/>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2024年度政府性基金支出5.57万元，比上年决算数减少18.1</w:t>
      </w:r>
      <w:r>
        <w:rPr>
          <w:rFonts w:hint="eastAsia" w:ascii="仿宋" w:hAnsi="仿宋" w:eastAsia="仿宋" w:cs="仿宋"/>
          <w:spacing w:val="0"/>
          <w:kern w:val="0"/>
          <w:sz w:val="32"/>
          <w:szCs w:val="32"/>
          <w:lang w:val="en-US" w:eastAsia="zh-CN"/>
        </w:rPr>
        <w:t>3</w:t>
      </w:r>
      <w:r>
        <w:rPr>
          <w:rFonts w:hint="eastAsia" w:ascii="仿宋" w:hAnsi="仿宋" w:eastAsia="仿宋" w:cs="仿宋"/>
          <w:spacing w:val="0"/>
          <w:kern w:val="0"/>
          <w:sz w:val="32"/>
          <w:szCs w:val="32"/>
        </w:rPr>
        <w:t>万元，下降76.</w:t>
      </w:r>
      <w:r>
        <w:rPr>
          <w:rFonts w:hint="eastAsia" w:ascii="仿宋" w:hAnsi="仿宋" w:eastAsia="仿宋" w:cs="仿宋"/>
          <w:spacing w:val="0"/>
          <w:kern w:val="0"/>
          <w:sz w:val="32"/>
          <w:szCs w:val="32"/>
          <w:lang w:val="en-US" w:eastAsia="zh-CN"/>
        </w:rPr>
        <w:t>50</w:t>
      </w:r>
      <w:r>
        <w:rPr>
          <w:rFonts w:hint="eastAsia" w:ascii="仿宋" w:hAnsi="仿宋" w:eastAsia="仿宋" w:cs="仿宋"/>
          <w:spacing w:val="0"/>
          <w:kern w:val="0"/>
          <w:sz w:val="32"/>
          <w:szCs w:val="32"/>
        </w:rPr>
        <w:t>%，具体情况如下(按项级科目统计)：</w:t>
      </w:r>
    </w:p>
    <w:p>
      <w:pPr>
        <w:pStyle w:val="29"/>
        <w:widowControl/>
        <w:spacing w:before="100" w:after="100" w:line="600" w:lineRule="atLeast"/>
        <w:ind w:right="0" w:firstLine="640" w:firstLineChars="20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2296003 用于体育事业的彩票公益金支出5.57万元，较上年决算数减少18.1</w:t>
      </w:r>
      <w:r>
        <w:rPr>
          <w:rFonts w:hint="eastAsia" w:ascii="仿宋" w:hAnsi="仿宋" w:eastAsia="仿宋" w:cs="仿宋"/>
          <w:spacing w:val="0"/>
          <w:kern w:val="0"/>
          <w:sz w:val="32"/>
          <w:szCs w:val="32"/>
          <w:lang w:val="en-US" w:eastAsia="zh-CN"/>
        </w:rPr>
        <w:t>3</w:t>
      </w:r>
      <w:r>
        <w:rPr>
          <w:rFonts w:hint="eastAsia" w:ascii="仿宋" w:hAnsi="仿宋" w:eastAsia="仿宋" w:cs="仿宋"/>
          <w:spacing w:val="0"/>
          <w:kern w:val="0"/>
          <w:sz w:val="32"/>
          <w:szCs w:val="32"/>
        </w:rPr>
        <w:t>万元，下降76.</w:t>
      </w:r>
      <w:r>
        <w:rPr>
          <w:rFonts w:hint="eastAsia" w:ascii="仿宋" w:hAnsi="仿宋" w:eastAsia="仿宋" w:cs="仿宋"/>
          <w:spacing w:val="0"/>
          <w:kern w:val="0"/>
          <w:sz w:val="32"/>
          <w:szCs w:val="32"/>
          <w:lang w:val="en-US" w:eastAsia="zh-CN"/>
        </w:rPr>
        <w:t>50</w:t>
      </w:r>
      <w:r>
        <w:rPr>
          <w:rFonts w:hint="eastAsia" w:ascii="仿宋" w:hAnsi="仿宋" w:eastAsia="仿宋" w:cs="仿宋"/>
          <w:spacing w:val="0"/>
          <w:kern w:val="0"/>
          <w:sz w:val="32"/>
          <w:szCs w:val="32"/>
        </w:rPr>
        <w:t>%。主要原因是学校体育场地设施开放相关支出</w:t>
      </w:r>
      <w:r>
        <w:rPr>
          <w:rFonts w:hint="eastAsia" w:ascii="仿宋" w:hAnsi="仿宋" w:eastAsia="仿宋" w:cs="仿宋"/>
          <w:spacing w:val="0"/>
          <w:kern w:val="0"/>
          <w:sz w:val="32"/>
          <w:szCs w:val="32"/>
          <w:lang w:val="en-US" w:eastAsia="zh-CN"/>
        </w:rPr>
        <w:t>减少</w:t>
      </w:r>
      <w:r>
        <w:rPr>
          <w:rFonts w:hint="eastAsia" w:ascii="仿宋" w:hAnsi="仿宋" w:eastAsia="仿宋" w:cs="仿宋"/>
          <w:spacing w:val="0"/>
          <w:kern w:val="0"/>
          <w:sz w:val="32"/>
          <w:szCs w:val="32"/>
        </w:rPr>
        <w:t>。</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9" w:name="_Toc256000115"/>
      <w:bookmarkStart w:id="90" w:name="_Toc256000084"/>
      <w:bookmarkStart w:id="91" w:name="_Toc256000022"/>
      <w:bookmarkStart w:id="92" w:name="_Toc256000053"/>
      <w:r>
        <w:rPr>
          <w:rFonts w:hint="eastAsia" w:ascii="仿宋" w:hAnsi="仿宋" w:eastAsia="仿宋" w:cs="仿宋"/>
          <w:b/>
          <w:spacing w:val="0"/>
          <w:sz w:val="32"/>
          <w:szCs w:val="32"/>
        </w:rPr>
        <w:t>五、国有资本经营预算财政拨款支出决算情况说明</w:t>
      </w:r>
      <w:bookmarkEnd w:id="89"/>
      <w:bookmarkEnd w:id="90"/>
      <w:bookmarkEnd w:id="91"/>
      <w:bookmarkEnd w:id="92"/>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eastAsia="zh-CN"/>
        </w:rPr>
      </w:pPr>
      <w:bookmarkStart w:id="93" w:name="_Toc256000023"/>
      <w:bookmarkStart w:id="94" w:name="_Toc256000054"/>
      <w:bookmarkStart w:id="95" w:name="_Toc256000085"/>
      <w:bookmarkStart w:id="96" w:name="_Toc256000116"/>
      <w:r>
        <w:rPr>
          <w:rFonts w:hint="eastAsia"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本单位2024年度没有使用国有资本经营预算财政拨款安排的支出。</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六、一般公共预算财政拨款基本支出决算情况说明</w:t>
      </w:r>
      <w:bookmarkEnd w:id="93"/>
      <w:bookmarkEnd w:id="94"/>
      <w:bookmarkEnd w:id="95"/>
      <w:bookmarkEnd w:id="96"/>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2024年度一般公共预算财政拨款基本支出2545.45万元，其中：</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一）人员经费2316.51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二）公用经费228.93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97" w:name="_Toc256000086"/>
      <w:bookmarkStart w:id="98" w:name="_Toc256000024"/>
      <w:bookmarkStart w:id="99" w:name="_Toc256000117"/>
      <w:bookmarkStart w:id="100" w:name="_Toc256000055"/>
      <w:r>
        <w:rPr>
          <w:rFonts w:hint="eastAsia" w:ascii="仿宋" w:hAnsi="仿宋" w:eastAsia="仿宋" w:cs="仿宋"/>
          <w:b/>
          <w:spacing w:val="0"/>
          <w:sz w:val="32"/>
          <w:szCs w:val="32"/>
        </w:rPr>
        <w:t>七、一般公共预算拨款“三公”经费支出决算情况说明</w:t>
      </w:r>
      <w:bookmarkEnd w:id="97"/>
      <w:bookmarkEnd w:id="98"/>
      <w:bookmarkEnd w:id="99"/>
      <w:bookmarkEnd w:id="100"/>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bookmarkStart w:id="101" w:name="_Toc256000118"/>
      <w:bookmarkStart w:id="102" w:name="_Toc256000025"/>
      <w:bookmarkStart w:id="103" w:name="_Toc256000087"/>
      <w:bookmarkStart w:id="104" w:name="_Toc256000056"/>
      <w:r>
        <w:rPr>
          <w:rFonts w:hint="eastAsia" w:ascii="仿宋" w:hAnsi="仿宋" w:eastAsia="仿宋" w:cs="仿宋"/>
          <w:spacing w:val="0"/>
          <w:kern w:val="0"/>
          <w:sz w:val="32"/>
          <w:szCs w:val="32"/>
        </w:rPr>
        <w:t>2024年度一般公共预算拨款“三公”经费支出0万元，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本单位没有使用“三公”经费支出</w:t>
      </w:r>
      <w:r>
        <w:rPr>
          <w:rFonts w:hint="eastAsia" w:ascii="仿宋" w:hAnsi="仿宋" w:eastAsia="仿宋" w:cs="仿宋"/>
          <w:spacing w:val="0"/>
          <w:kern w:val="0"/>
          <w:sz w:val="32"/>
          <w:szCs w:val="32"/>
        </w:rPr>
        <w:t>。具体情况如下：</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eastAsia="zh-CN"/>
        </w:rPr>
        <w:t>（一）</w:t>
      </w:r>
      <w:r>
        <w:rPr>
          <w:rFonts w:hint="eastAsia" w:ascii="仿宋" w:hAnsi="仿宋" w:eastAsia="仿宋" w:cs="仿宋"/>
          <w:spacing w:val="0"/>
          <w:kern w:val="0"/>
          <w:sz w:val="32"/>
          <w:szCs w:val="32"/>
        </w:rPr>
        <w:t>因公出国（境）费支出0.00万元，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全年安排本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组织的出国团组0 个，参加其他</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出国团组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 个；全年因公出国（境）累计0人次。主要是</w:t>
      </w:r>
      <w:r>
        <w:rPr>
          <w:rFonts w:hint="eastAsia" w:ascii="仿宋" w:hAnsi="仿宋" w:eastAsia="仿宋" w:cs="仿宋"/>
          <w:spacing w:val="0"/>
          <w:kern w:val="0"/>
          <w:sz w:val="32"/>
          <w:szCs w:val="32"/>
          <w:lang w:val="en-US" w:eastAsia="zh-CN"/>
        </w:rPr>
        <w:t>本单位没有组织出国团组及参加其他部</w:t>
      </w:r>
      <w:r>
        <w:rPr>
          <w:rFonts w:hint="default" w:ascii="仿宋" w:hAnsi="仿宋" w:eastAsia="仿宋" w:cs="仿宋"/>
          <w:spacing w:val="0"/>
          <w:kern w:val="0"/>
          <w:sz w:val="32"/>
          <w:szCs w:val="32"/>
          <w:lang w:val="en-US" w:eastAsia="zh-CN"/>
        </w:rPr>
        <w:t>门出国团组。</w:t>
      </w:r>
      <w:r>
        <w:rPr>
          <w:rFonts w:hint="eastAsia" w:ascii="仿宋" w:hAnsi="仿宋" w:eastAsia="仿宋" w:cs="仿宋"/>
          <w:spacing w:val="0"/>
          <w:kern w:val="0"/>
          <w:sz w:val="32"/>
          <w:szCs w:val="32"/>
          <w:lang w:val="en-US" w:eastAsia="zh-CN"/>
        </w:rPr>
        <w:t xml:space="preserve">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（二）公务用车购置及运行费支出0.00万元，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hint="eastAsia" w:ascii="仿宋" w:hAnsi="仿宋" w:eastAsia="仿宋" w:cs="仿宋"/>
          <w:spacing w:val="0"/>
          <w:kern w:val="0"/>
          <w:sz w:val="32"/>
          <w:szCs w:val="32"/>
        </w:rPr>
        <w:t>其中：</w:t>
      </w:r>
    </w:p>
    <w:p>
      <w:pPr>
        <w:pStyle w:val="29"/>
        <w:widowControl/>
        <w:spacing w:before="100" w:after="100" w:line="600" w:lineRule="atLeast"/>
        <w:ind w:left="0" w:right="0" w:firstLine="640"/>
        <w:jc w:val="both"/>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公务用车购置费支出0.00万元，与全年预算0.00万元持平，较上年决算的0.00万元相比持平。2024年公务用车购置0 辆。主要是本单位</w:t>
      </w:r>
      <w:r>
        <w:rPr>
          <w:rFonts w:hint="default" w:ascii="仿宋" w:hAnsi="仿宋" w:eastAsia="仿宋" w:cs="仿宋"/>
          <w:spacing w:val="0"/>
          <w:kern w:val="0"/>
          <w:sz w:val="32"/>
          <w:szCs w:val="32"/>
          <w:lang w:val="en-US" w:eastAsia="zh-CN"/>
        </w:rPr>
        <w:t>没有购置公务用车。</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本单位没有公务用车运行维护</w:t>
      </w:r>
      <w:r>
        <w:rPr>
          <w:rFonts w:hint="default" w:ascii="仿宋" w:hAnsi="仿宋" w:eastAsia="仿宋" w:cs="仿宋"/>
          <w:spacing w:val="0"/>
          <w:kern w:val="0"/>
          <w:sz w:val="32"/>
          <w:szCs w:val="32"/>
          <w:lang w:val="en-US" w:eastAsia="zh-CN"/>
        </w:rPr>
        <w:t>费的支出。</w:t>
      </w:r>
      <w:r>
        <w:rPr>
          <w:rFonts w:hint="eastAsia" w:ascii="仿宋" w:hAnsi="仿宋" w:eastAsia="仿宋" w:cs="仿宋"/>
          <w:spacing w:val="0"/>
          <w:kern w:val="0"/>
          <w:sz w:val="32"/>
          <w:szCs w:val="32"/>
        </w:rPr>
        <w:t>截至20</w:t>
      </w:r>
      <w:r>
        <w:rPr>
          <w:rFonts w:hint="eastAsia" w:ascii="仿宋" w:hAnsi="仿宋" w:eastAsia="仿宋" w:cs="仿宋"/>
          <w:spacing w:val="0"/>
          <w:kern w:val="0"/>
          <w:sz w:val="32"/>
          <w:szCs w:val="32"/>
          <w:lang w:val="en-US" w:eastAsia="zh-CN"/>
        </w:rPr>
        <w:t>24</w:t>
      </w:r>
      <w:r>
        <w:rPr>
          <w:rFonts w:hint="eastAsia" w:ascii="仿宋" w:hAnsi="仿宋" w:eastAsia="仿宋" w:cs="仿宋"/>
          <w:spacing w:val="0"/>
          <w:kern w:val="0"/>
          <w:sz w:val="32"/>
          <w:szCs w:val="32"/>
        </w:rPr>
        <w:t>年12月31日，本</w:t>
      </w:r>
      <w:r>
        <w:rPr>
          <w:rFonts w:hint="eastAsia" w:ascii="仿宋" w:hAnsi="仿宋" w:eastAsia="仿宋" w:cs="仿宋"/>
          <w:spacing w:val="0"/>
          <w:kern w:val="0"/>
          <w:sz w:val="32"/>
          <w:szCs w:val="32"/>
          <w:lang w:val="en-US" w:eastAsia="zh-CN"/>
        </w:rPr>
        <w:t>单位</w:t>
      </w:r>
      <w:r>
        <w:rPr>
          <w:rFonts w:hint="eastAsia" w:ascii="仿宋" w:hAnsi="仿宋" w:eastAsia="仿宋" w:cs="仿宋"/>
          <w:spacing w:val="0"/>
          <w:kern w:val="0"/>
          <w:sz w:val="32"/>
          <w:szCs w:val="32"/>
        </w:rPr>
        <w:t>公务用车保有量为0辆。</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eastAsia="zh-CN"/>
        </w:rPr>
        <w:t>（三）</w:t>
      </w:r>
      <w:r>
        <w:rPr>
          <w:rFonts w:hint="eastAsia" w:ascii="仿宋" w:hAnsi="仿宋" w:eastAsia="仿宋" w:cs="仿宋"/>
          <w:spacing w:val="0"/>
          <w:kern w:val="0"/>
          <w:sz w:val="32"/>
          <w:szCs w:val="32"/>
        </w:rPr>
        <w:t>公务接待费支出0.00万元，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本单位没有公务接待活动。</w:t>
      </w:r>
      <w:r>
        <w:rPr>
          <w:rFonts w:hint="eastAsia" w:ascii="仿宋" w:hAnsi="仿宋" w:eastAsia="仿宋" w:cs="仿宋"/>
          <w:spacing w:val="0"/>
          <w:kern w:val="0"/>
          <w:sz w:val="32"/>
          <w:szCs w:val="32"/>
        </w:rPr>
        <w:t>累计接待0 批次、0人次。</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八、预算绩效情况说明</w:t>
      </w:r>
      <w:bookmarkEnd w:id="101"/>
      <w:bookmarkEnd w:id="102"/>
      <w:bookmarkEnd w:id="103"/>
      <w:bookmarkEnd w:id="104"/>
    </w:p>
    <w:p>
      <w:pPr>
        <w:pStyle w:val="29"/>
        <w:widowControl/>
        <w:spacing w:before="100" w:after="100" w:line="600" w:lineRule="atLeast"/>
        <w:ind w:left="0" w:right="0" w:firstLine="640"/>
        <w:jc w:val="both"/>
        <w:rPr>
          <w:rFonts w:hint="eastAsia" w:ascii="仿宋" w:hAnsi="仿宋" w:eastAsia="仿宋" w:cs="仿宋"/>
          <w:spacing w:val="0"/>
          <w:kern w:val="0"/>
          <w:sz w:val="30"/>
          <w:szCs w:val="30"/>
          <w:lang w:eastAsia="zh-CN"/>
        </w:rPr>
      </w:pPr>
      <w:bookmarkStart w:id="105" w:name="_Toc256000119"/>
      <w:bookmarkStart w:id="106" w:name="_Toc256000057"/>
      <w:bookmarkStart w:id="107" w:name="_Toc256000026"/>
      <w:bookmarkStart w:id="108" w:name="_Toc256000088"/>
      <w:r>
        <w:rPr>
          <w:rFonts w:hint="eastAsia" w:ascii="仿宋" w:hAnsi="仿宋" w:eastAsia="仿宋" w:cs="仿宋"/>
          <w:spacing w:val="0"/>
          <w:kern w:val="0"/>
          <w:sz w:val="32"/>
          <w:szCs w:val="32"/>
          <w:lang w:eastAsia="zh-CN"/>
        </w:rPr>
        <w:t>根据预算绩效管理要求，本单位组织对2024年度</w:t>
      </w:r>
      <w:r>
        <w:rPr>
          <w:rFonts w:hint="eastAsia" w:ascii="仿宋" w:hAnsi="仿宋" w:eastAsia="仿宋" w:cs="仿宋"/>
          <w:spacing w:val="0"/>
          <w:kern w:val="0"/>
          <w:sz w:val="32"/>
          <w:szCs w:val="32"/>
          <w:lang w:val="en-US" w:eastAsia="zh-CN"/>
        </w:rPr>
        <w:t>1</w:t>
      </w:r>
      <w:r>
        <w:rPr>
          <w:rFonts w:hint="eastAsia" w:ascii="仿宋" w:hAnsi="仿宋" w:eastAsia="仿宋" w:cs="仿宋"/>
          <w:spacing w:val="0"/>
          <w:kern w:val="0"/>
          <w:sz w:val="32"/>
          <w:szCs w:val="32"/>
          <w:lang w:eastAsia="zh-CN"/>
        </w:rPr>
        <w:t>个项目实施单位自评，项目名称为义务教育阶段家庭经济困难学生营养餐补助，涉及财政拨款资金共计</w:t>
      </w:r>
      <w:r>
        <w:rPr>
          <w:rFonts w:hint="eastAsia" w:ascii="仿宋" w:hAnsi="仿宋" w:eastAsia="仿宋" w:cs="仿宋"/>
          <w:spacing w:val="0"/>
          <w:kern w:val="0"/>
          <w:sz w:val="32"/>
          <w:szCs w:val="32"/>
          <w:lang w:val="en-US" w:eastAsia="zh-CN"/>
        </w:rPr>
        <w:t>0.49</w:t>
      </w:r>
      <w:r>
        <w:rPr>
          <w:rFonts w:hint="eastAsia" w:ascii="仿宋" w:hAnsi="仿宋" w:eastAsia="仿宋" w:cs="仿宋"/>
          <w:spacing w:val="0"/>
          <w:kern w:val="0"/>
          <w:sz w:val="32"/>
          <w:szCs w:val="32"/>
          <w:lang w:eastAsia="zh-CN"/>
        </w:rPr>
        <w:t>万元。（《项目支出绩效自评表》详见附件）</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九、其他重要事项说明</w:t>
      </w:r>
      <w:bookmarkEnd w:id="105"/>
      <w:bookmarkEnd w:id="106"/>
      <w:bookmarkEnd w:id="107"/>
      <w:bookmarkEnd w:id="108"/>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4"/>
        </w:rPr>
      </w:pPr>
      <w:bookmarkStart w:id="109" w:name="_Toc256000058"/>
      <w:bookmarkStart w:id="110" w:name="_Toc256000120"/>
      <w:bookmarkStart w:id="111" w:name="_Toc256000027"/>
      <w:bookmarkStart w:id="112" w:name="_Toc256000089"/>
      <w:r>
        <w:rPr>
          <w:rStyle w:val="31"/>
          <w:rFonts w:ascii="楷体" w:hAnsi="楷体" w:eastAsia="楷体" w:cs="楷体"/>
          <w:b/>
          <w:bCs/>
          <w:spacing w:val="0"/>
          <w:kern w:val="0"/>
          <w:sz w:val="32"/>
          <w:szCs w:val="32"/>
        </w:rPr>
        <w:t>（一）机关运行经费</w:t>
      </w:r>
      <w:r>
        <w:rPr>
          <w:rFonts w:ascii="宋体" w:hAnsi="宋体" w:cs="宋体"/>
          <w:spacing w:val="0"/>
          <w:kern w:val="0"/>
          <w:sz w:val="32"/>
          <w:szCs w:val="32"/>
        </w:rPr>
        <w:t>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lang w:eastAsia="zh-CN"/>
        </w:rPr>
        <w:t>2024年度机关运行经费支出0万元，比上年决算数增加（减少）</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lang w:eastAsia="zh-CN"/>
        </w:rPr>
        <w:t>万元，增长（下降）</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lang w:eastAsia="zh-CN"/>
        </w:rPr>
        <w:t>%，主要原因是:本单位为事业单位，没有机关运行经费。</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（二）政府采购情况</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lang w:eastAsia="zh-CN"/>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lang w:eastAsia="zh-CN"/>
        </w:rPr>
        <w:t>%，工程采购授予中小企业合同金额占工程支出金额的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lang w:eastAsia="zh-CN"/>
        </w:rPr>
        <w:t>%，服务采购授予中小企业合同金额占服务支出金额的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lang w:eastAsia="zh-CN"/>
        </w:rPr>
        <w:t>%。</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lang w:eastAsia="zh-CN"/>
        </w:rPr>
        <w:t>本单位2024年度没有政府采购支出。</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7"/>
        <w:jc w:val="both"/>
        <w:textAlignment w:val="auto"/>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lang w:eastAsia="zh-CN"/>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 </w:t>
      </w:r>
    </w:p>
    <w:p>
      <w:pPr>
        <w:pStyle w:val="4"/>
        <w:keepNext w:val="0"/>
        <w:keepLines w:val="0"/>
        <w:spacing w:before="100" w:after="100" w:line="240" w:lineRule="auto"/>
        <w:ind w:left="0" w:right="0" w:firstLine="0" w:firstLineChars="0"/>
        <w:rPr>
          <w:rFonts w:hint="eastAsia" w:ascii="仿宋" w:hAnsi="仿宋" w:eastAsia="仿宋" w:cs="仿宋"/>
          <w:b/>
          <w:spacing w:val="0"/>
          <w:sz w:val="32"/>
          <w:szCs w:val="32"/>
        </w:r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r>
        <w:rPr>
          <w:rFonts w:hint="eastAsia" w:ascii="仿宋" w:hAnsi="仿宋" w:eastAsia="仿宋" w:cs="仿宋"/>
          <w:b/>
          <w:spacing w:val="0"/>
          <w:sz w:val="32"/>
          <w:szCs w:val="32"/>
        </w:rPr>
        <w:t>第四部分</w:t>
      </w:r>
      <w:bookmarkEnd w:id="109"/>
      <w:bookmarkEnd w:id="110"/>
      <w:bookmarkEnd w:id="111"/>
      <w:bookmarkEnd w:id="112"/>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bookmarkStart w:id="113" w:name="_Toc256000028"/>
      <w:bookmarkStart w:id="114" w:name="_Toc256000059"/>
      <w:bookmarkStart w:id="115" w:name="_Toc256000090"/>
      <w:bookmarkStart w:id="116" w:name="_Toc256000121"/>
      <w:r>
        <w:rPr>
          <w:rFonts w:hint="eastAsia" w:ascii="仿宋" w:hAnsi="仿宋" w:eastAsia="仿宋" w:cs="仿宋"/>
          <w:b/>
          <w:spacing w:val="0"/>
          <w:sz w:val="32"/>
          <w:szCs w:val="32"/>
        </w:rPr>
        <w:t>名词解释</w:t>
      </w:r>
      <w:bookmarkEnd w:id="113"/>
      <w:bookmarkEnd w:id="114"/>
      <w:bookmarkEnd w:id="115"/>
      <w:bookmarkEnd w:id="116"/>
    </w:p>
    <w:p>
      <w:pPr>
        <w:pStyle w:val="29"/>
        <w:widowControl/>
        <w:spacing w:before="100" w:after="100" w:line="600" w:lineRule="atLeast"/>
        <w:ind w:right="0" w:firstLine="643" w:firstLineChars="20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一、财政拨款收入：</w:t>
      </w:r>
      <w:r>
        <w:rPr>
          <w:rFonts w:hint="eastAsia"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二、事业收入：</w:t>
      </w:r>
      <w:r>
        <w:rPr>
          <w:rFonts w:hint="eastAsia" w:ascii="仿宋" w:hAnsi="仿宋" w:eastAsia="仿宋" w:cs="仿宋"/>
          <w:spacing w:val="0"/>
          <w:kern w:val="0"/>
          <w:sz w:val="32"/>
          <w:szCs w:val="32"/>
        </w:rPr>
        <w:t>指事业单位开展专业业务活动及辅助活动所取得的收入。</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三、经营收入：</w:t>
      </w:r>
      <w:r>
        <w:rPr>
          <w:rFonts w:hint="eastAsia" w:ascii="仿宋" w:hAnsi="仿宋" w:eastAsia="仿宋" w:cs="仿宋"/>
          <w:spacing w:val="0"/>
          <w:kern w:val="0"/>
          <w:sz w:val="32"/>
          <w:szCs w:val="32"/>
        </w:rPr>
        <w:t>指事业单位在专业业务活动及其辅助活动之外开展非独立核算经营活动取得的收入。</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四、其他收入：</w:t>
      </w:r>
      <w:r>
        <w:rPr>
          <w:rFonts w:hint="eastAsia" w:ascii="仿宋" w:hAnsi="仿宋" w:eastAsia="仿宋" w:cs="仿宋"/>
          <w:spacing w:val="0"/>
          <w:kern w:val="0"/>
          <w:sz w:val="32"/>
          <w:szCs w:val="32"/>
        </w:rPr>
        <w:t>指除上述“财政拨款收入”“事业收入” “上级补助收入”“附属单位上缴收入”“经营收入”等以外取得的各项收入。主要是事业单位固定资产出租收入等。</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五、使用非财政拨款结余：</w:t>
      </w:r>
      <w:r>
        <w:rPr>
          <w:rFonts w:hint="eastAsia" w:ascii="仿宋" w:hAnsi="仿宋" w:eastAsia="仿宋" w:cs="仿宋"/>
          <w:spacing w:val="0"/>
          <w:kern w:val="0"/>
          <w:sz w:val="32"/>
          <w:szCs w:val="32"/>
        </w:rPr>
        <w:t>指事业单位使用以前年度积累的非财政拨款结余弥补当年收支差额的金额。</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六、年初结转和结余：</w:t>
      </w:r>
      <w:r>
        <w:rPr>
          <w:rFonts w:hint="eastAsia" w:ascii="仿宋" w:hAnsi="仿宋" w:eastAsia="仿宋" w:cs="仿宋"/>
          <w:spacing w:val="0"/>
          <w:kern w:val="0"/>
          <w:sz w:val="32"/>
          <w:szCs w:val="32"/>
        </w:rPr>
        <w:t>指单位以前年度尚未完成、结转到本年仍按原规定用途继续使用的资金，或项目已完成等产生的结余资金。</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七、结余分配：</w:t>
      </w:r>
      <w:r>
        <w:rPr>
          <w:rFonts w:hint="eastAsia" w:ascii="仿宋" w:hAnsi="仿宋" w:eastAsia="仿宋" w:cs="仿宋"/>
          <w:spacing w:val="0"/>
          <w:kern w:val="0"/>
          <w:sz w:val="32"/>
          <w:szCs w:val="32"/>
        </w:rPr>
        <w:t>指事业单位按照会计制度规定缴纳的所得税、提取的专用结余以及转入非财政拨款结余的金额等。</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八、年末结转和结余：</w:t>
      </w:r>
      <w:r>
        <w:rPr>
          <w:rFonts w:hint="eastAsia" w:ascii="仿宋" w:hAnsi="仿宋" w:eastAsia="仿宋" w:cs="仿宋"/>
          <w:spacing w:val="0"/>
          <w:kern w:val="0"/>
          <w:sz w:val="32"/>
          <w:szCs w:val="32"/>
        </w:rPr>
        <w:t>指单位按有关规定结转到下年或以后年度继续使用的资金，或项目已完成等产生的结余资金。</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九、基本支出：</w:t>
      </w:r>
      <w:r>
        <w:rPr>
          <w:rFonts w:hint="eastAsia" w:ascii="仿宋" w:hAnsi="仿宋" w:eastAsia="仿宋" w:cs="仿宋"/>
          <w:spacing w:val="0"/>
          <w:kern w:val="0"/>
          <w:sz w:val="32"/>
          <w:szCs w:val="32"/>
        </w:rPr>
        <w:t>指为保障机构正常运转、完成日常工作任务而发生的人员支出和公用支出。</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十、项目支出：</w:t>
      </w:r>
      <w:r>
        <w:rPr>
          <w:rFonts w:hint="eastAsia" w:ascii="仿宋" w:hAnsi="仿宋" w:eastAsia="仿宋" w:cs="仿宋"/>
          <w:spacing w:val="0"/>
          <w:kern w:val="0"/>
          <w:sz w:val="32"/>
          <w:szCs w:val="32"/>
        </w:rPr>
        <w:t>指在基本支出之外为完成特定行政任务和事业发展目标所发生的支出。</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十一、经营支出：</w:t>
      </w:r>
      <w:r>
        <w:rPr>
          <w:rFonts w:hint="eastAsia" w:ascii="仿宋" w:hAnsi="仿宋" w:eastAsia="仿宋" w:cs="仿宋"/>
          <w:spacing w:val="0"/>
          <w:kern w:val="0"/>
          <w:sz w:val="32"/>
          <w:szCs w:val="32"/>
        </w:rPr>
        <w:t>指事业单位在专业业务活动及其辅助活动之外开展非独立核算经营活动发生的支出。</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十二、“三公”经费：</w:t>
      </w:r>
      <w:r>
        <w:rPr>
          <w:rFonts w:hint="eastAsia"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十三、机关运行经费：</w:t>
      </w:r>
      <w:r>
        <w:rPr>
          <w:rFonts w:hint="eastAsia"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4"/>
        <w:keepNext w:val="0"/>
        <w:keepLines w:val="0"/>
        <w:spacing w:before="299" w:after="299" w:line="240" w:lineRule="auto"/>
        <w:ind w:firstLine="0" w:firstLineChars="0"/>
        <w:jc w:val="center"/>
        <w:rPr>
          <w:rFonts w:hint="eastAsia" w:ascii="仿宋" w:hAnsi="仿宋" w:eastAsia="仿宋" w:cs="仿宋"/>
          <w:b/>
          <w:sz w:val="32"/>
          <w:szCs w:val="32"/>
        </w:rPr>
      </w:pPr>
      <w:bookmarkStart w:id="117" w:name="_Toc256000091"/>
      <w:bookmarkStart w:id="118" w:name="_Toc256000029"/>
      <w:bookmarkStart w:id="119" w:name="_Toc256000122"/>
      <w:bookmarkStart w:id="120" w:name="_Toc256000060"/>
      <w:r>
        <w:rPr>
          <w:rFonts w:hint="eastAsia" w:ascii="仿宋" w:hAnsi="仿宋" w:eastAsia="仿宋" w:cs="仿宋"/>
          <w:b/>
          <w:sz w:val="32"/>
          <w:szCs w:val="32"/>
        </w:rPr>
        <w:t>第五部分</w:t>
      </w:r>
      <w:bookmarkEnd w:id="117"/>
      <w:bookmarkEnd w:id="118"/>
      <w:bookmarkEnd w:id="119"/>
      <w:bookmarkEnd w:id="120"/>
      <w:r>
        <w:rPr>
          <w:rFonts w:hint="eastAsia" w:ascii="仿宋" w:hAnsi="仿宋" w:eastAsia="仿宋" w:cs="仿宋"/>
          <w:b/>
          <w:sz w:val="32"/>
          <w:szCs w:val="32"/>
        </w:rPr>
        <w:t> </w:t>
      </w:r>
      <w:bookmarkStart w:id="121" w:name="_Toc256000092"/>
      <w:bookmarkStart w:id="122" w:name="_Toc256000061"/>
      <w:bookmarkStart w:id="123" w:name="_Toc256000123"/>
      <w:bookmarkStart w:id="124" w:name="_Toc256000030"/>
      <w:r>
        <w:rPr>
          <w:rFonts w:hint="eastAsia" w:ascii="仿宋" w:hAnsi="仿宋" w:cs="仿宋"/>
          <w:b/>
          <w:sz w:val="32"/>
          <w:szCs w:val="32"/>
          <w:lang w:val="en-US" w:eastAsia="zh-CN"/>
        </w:rPr>
        <w:t xml:space="preserve"> </w:t>
      </w:r>
      <w:r>
        <w:rPr>
          <w:rFonts w:hint="eastAsia" w:ascii="仿宋" w:hAnsi="仿宋" w:eastAsia="仿宋" w:cs="仿宋"/>
          <w:b/>
          <w:sz w:val="32"/>
          <w:szCs w:val="32"/>
        </w:rPr>
        <w:t>附件</w:t>
      </w:r>
      <w:bookmarkEnd w:id="121"/>
      <w:bookmarkEnd w:id="122"/>
      <w:bookmarkEnd w:id="123"/>
      <w:bookmarkEnd w:id="124"/>
    </w:p>
    <w:tbl>
      <w:tblPr>
        <w:tblStyle w:val="23"/>
        <w:tblW w:w="99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346"/>
        <w:gridCol w:w="679"/>
        <w:gridCol w:w="1258"/>
        <w:gridCol w:w="1754"/>
        <w:gridCol w:w="707"/>
        <w:gridCol w:w="1050"/>
        <w:gridCol w:w="985"/>
        <w:gridCol w:w="1115"/>
        <w:gridCol w:w="579"/>
        <w:gridCol w:w="600"/>
        <w:gridCol w:w="8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75" w:hRule="atLeast"/>
        </w:trPr>
        <w:tc>
          <w:tcPr>
            <w:tcW w:w="9956" w:type="dxa"/>
            <w:gridSpan w:val="11"/>
            <w:tcBorders>
              <w:top w:val="nil"/>
              <w:left w:val="nil"/>
              <w:bottom w:val="nil"/>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60" w:hRule="atLeast"/>
        </w:trPr>
        <w:tc>
          <w:tcPr>
            <w:tcW w:w="9956" w:type="dxa"/>
            <w:gridSpan w:val="11"/>
            <w:tcBorders>
              <w:top w:val="nil"/>
              <w:left w:val="nil"/>
              <w:bottom w:val="nil"/>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90" w:hRule="atLeast"/>
        </w:trPr>
        <w:tc>
          <w:tcPr>
            <w:tcW w:w="2283" w:type="dxa"/>
            <w:gridSpan w:val="3"/>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预算单位（盖章）：                                                                                                  </w:t>
            </w:r>
          </w:p>
        </w:tc>
        <w:tc>
          <w:tcPr>
            <w:tcW w:w="1754" w:type="dxa"/>
            <w:tcBorders>
              <w:top w:val="nil"/>
              <w:left w:val="nil"/>
              <w:bottom w:val="single" w:color="000000" w:sz="4" w:space="0"/>
              <w:right w:val="nil"/>
            </w:tcBorders>
            <w:shd w:val="clear" w:color="auto" w:fill="FFFFFF" w:themeFill="background1"/>
            <w:noWrap/>
            <w:vAlign w:val="center"/>
          </w:tcPr>
          <w:p>
            <w:pP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厦门市天安小学</w:t>
            </w:r>
          </w:p>
        </w:tc>
        <w:tc>
          <w:tcPr>
            <w:tcW w:w="707" w:type="dxa"/>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050" w:type="dxa"/>
            <w:tcBorders>
              <w:top w:val="nil"/>
              <w:left w:val="nil"/>
              <w:bottom w:val="single" w:color="000000" w:sz="4" w:space="0"/>
              <w:right w:val="nil"/>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985" w:type="dxa"/>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115" w:type="dxa"/>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579" w:type="dxa"/>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600" w:type="dxa"/>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883" w:type="dxa"/>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60" w:hRule="atLeast"/>
        </w:trPr>
        <w:tc>
          <w:tcPr>
            <w:tcW w:w="1025"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项目名称</w:t>
            </w:r>
          </w:p>
        </w:tc>
        <w:tc>
          <w:tcPr>
            <w:tcW w:w="4769" w:type="dxa"/>
            <w:gridSpan w:val="4"/>
            <w:tcBorders>
              <w:top w:val="single" w:color="000000" w:sz="4" w:space="0"/>
              <w:left w:val="single" w:color="000000" w:sz="4" w:space="0"/>
              <w:bottom w:val="single" w:color="000000" w:sz="4" w:space="0"/>
              <w:right w:val="nil"/>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义务教育阶段家庭经济困难学生营养餐补助</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自评年度</w:t>
            </w:r>
          </w:p>
        </w:tc>
        <w:tc>
          <w:tcPr>
            <w:tcW w:w="3177"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60" w:hRule="atLeast"/>
        </w:trPr>
        <w:tc>
          <w:tcPr>
            <w:tcW w:w="102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主管部门</w:t>
            </w:r>
          </w:p>
        </w:tc>
        <w:tc>
          <w:tcPr>
            <w:tcW w:w="4769"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湖里区教育局</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实施单位</w:t>
            </w:r>
          </w:p>
        </w:tc>
        <w:tc>
          <w:tcPr>
            <w:tcW w:w="2294"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厦门市天安小学</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60" w:hRule="atLeast"/>
        </w:trPr>
        <w:tc>
          <w:tcPr>
            <w:tcW w:w="1025"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年度预算执行情况</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年初预算数</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已调整数</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调整后预算数</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全年执行数</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执行率</w:t>
            </w:r>
          </w:p>
        </w:tc>
        <w:tc>
          <w:tcPr>
            <w:tcW w:w="579"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0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年度资金总额</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0.84</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0.84</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0.4902</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579"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困难生未全部在校用餐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0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其中：当年财政拨款</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0.84</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0.84</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0.4902</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579"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0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 xml:space="preserve">     上年结转资金</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579"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0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 xml:space="preserve">     其他资金</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579"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75" w:hRule="atLeast"/>
        </w:trPr>
        <w:tc>
          <w:tcPr>
            <w:tcW w:w="346"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年度</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总体</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目标</w:t>
            </w:r>
          </w:p>
        </w:tc>
        <w:tc>
          <w:tcPr>
            <w:tcW w:w="5448"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预期目标</w:t>
            </w:r>
          </w:p>
        </w:tc>
        <w:tc>
          <w:tcPr>
            <w:tcW w:w="4162"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270" w:hRule="atLeast"/>
        </w:trPr>
        <w:tc>
          <w:tcPr>
            <w:tcW w:w="34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5448"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4162"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1560" w:hRule="atLeast"/>
        </w:trPr>
        <w:tc>
          <w:tcPr>
            <w:tcW w:w="34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5448"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i w:val="0"/>
                <w:iCs w:val="0"/>
                <w:color w:val="000000"/>
                <w:sz w:val="21"/>
                <w:szCs w:val="21"/>
                <w:u w:val="none"/>
              </w:rPr>
            </w:pPr>
          </w:p>
        </w:tc>
        <w:tc>
          <w:tcPr>
            <w:tcW w:w="4162"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75" w:hRule="atLeast"/>
        </w:trPr>
        <w:tc>
          <w:tcPr>
            <w:tcW w:w="34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指标类型</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绩效目标值</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实际完成值</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完成比例</w:t>
            </w:r>
          </w:p>
        </w:tc>
        <w:tc>
          <w:tcPr>
            <w:tcW w:w="579"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450" w:hRule="atLeast"/>
        </w:trPr>
        <w:tc>
          <w:tcPr>
            <w:tcW w:w="346"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绩</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效</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指</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标</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完</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成</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情</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况</w:t>
            </w:r>
          </w:p>
        </w:tc>
        <w:tc>
          <w:tcPr>
            <w:tcW w:w="679"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产出指标</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数量指标</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审核义务教育阶段受助学生</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大于等于11人</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11人</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5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450" w:hRule="atLeast"/>
        </w:trPr>
        <w:tc>
          <w:tcPr>
            <w:tcW w:w="34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b/>
                <w:bCs/>
                <w:i w:val="0"/>
                <w:iCs w:val="0"/>
                <w:color w:val="000000"/>
                <w:sz w:val="21"/>
                <w:szCs w:val="21"/>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数量指标</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全年营养餐补助学生</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大于等于7人</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7人</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5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450" w:hRule="atLeast"/>
        </w:trPr>
        <w:tc>
          <w:tcPr>
            <w:tcW w:w="34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b/>
                <w:bCs/>
                <w:i w:val="0"/>
                <w:iCs w:val="0"/>
                <w:color w:val="000000"/>
                <w:sz w:val="21"/>
                <w:szCs w:val="21"/>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成本指标</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营养餐发放标准</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6元/餐</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6元/餐</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5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15" w:hRule="atLeast"/>
        </w:trPr>
        <w:tc>
          <w:tcPr>
            <w:tcW w:w="34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679"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b/>
                <w:bCs/>
                <w:i w:val="0"/>
                <w:iCs w:val="0"/>
                <w:color w:val="000000"/>
                <w:sz w:val="21"/>
                <w:szCs w:val="21"/>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时效指标</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义务教育困难生资助资金下拨及时率</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5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15" w:hRule="atLeast"/>
        </w:trPr>
        <w:tc>
          <w:tcPr>
            <w:tcW w:w="34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679"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效益指标</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社会效益指标</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改善受助学生学习生活质量</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定性</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有所改善</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有所改善</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5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15" w:hRule="atLeast"/>
        </w:trPr>
        <w:tc>
          <w:tcPr>
            <w:tcW w:w="34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67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满意度</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指标</w:t>
            </w:r>
          </w:p>
        </w:tc>
        <w:tc>
          <w:tcPr>
            <w:tcW w:w="12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服务对象满意度指标</w:t>
            </w:r>
          </w:p>
        </w:tc>
        <w:tc>
          <w:tcPr>
            <w:tcW w:w="175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受资助对象满意度</w:t>
            </w:r>
          </w:p>
        </w:tc>
        <w:tc>
          <w:tcPr>
            <w:tcW w:w="70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大于等于90%</w:t>
            </w:r>
          </w:p>
        </w:tc>
        <w:tc>
          <w:tcPr>
            <w:tcW w:w="98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97%</w:t>
            </w:r>
          </w:p>
        </w:tc>
        <w:tc>
          <w:tcPr>
            <w:tcW w:w="11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5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540" w:hRule="atLeast"/>
        </w:trPr>
        <w:tc>
          <w:tcPr>
            <w:tcW w:w="7894"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总分</w:t>
            </w:r>
          </w:p>
        </w:tc>
        <w:tc>
          <w:tcPr>
            <w:tcW w:w="579"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8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1515" w:hRule="atLeast"/>
        </w:trPr>
        <w:tc>
          <w:tcPr>
            <w:tcW w:w="995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填表说明：1.年度总体目标和绩效指标中的“具体指标”“年度指标值”按照部门预算批复的绩效目标填写，必须有量化指标。</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keepNext w:val="0"/>
        <w:keepLines w:val="0"/>
        <w:pageBreakBefore w:val="0"/>
        <w:widowControl w:val="0"/>
        <w:tabs>
          <w:tab w:val="left" w:pos="8415"/>
        </w:tabs>
        <w:kinsoku/>
        <w:wordWrap/>
        <w:overflowPunct/>
        <w:topLinePunct w:val="0"/>
        <w:autoSpaceDE/>
        <w:autoSpaceDN/>
        <w:bidi w:val="0"/>
        <w:adjustRightInd/>
        <w:snapToGrid/>
        <w:textAlignment w:val="auto"/>
        <w:rPr>
          <w:rFonts w:hint="eastAsia" w:ascii="仿宋" w:hAnsi="仿宋" w:eastAsia="仿宋" w:cs="仿宋"/>
          <w:sz w:val="32"/>
          <w:szCs w:val="32"/>
        </w:rPr>
      </w:pPr>
    </w:p>
    <w:sectPr>
      <w:footerReference r:id="rId12" w:type="default"/>
      <w:pgSz w:w="11906" w:h="16838"/>
      <w:pgMar w:top="1984" w:right="1083" w:bottom="1984" w:left="1083" w:header="0" w:footer="720" w:gutter="0"/>
      <w:pgBorders>
        <w:top w:val="none" w:sz="0" w:space="0"/>
        <w:left w:val="none" w:sz="0" w:space="0"/>
        <w:bottom w:val="none" w:sz="0" w:space="0"/>
        <w:right w:val="none" w:sz="0" w:space="0"/>
      </w:pgBorders>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14</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17</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22</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24</w:t>
    </w:r>
    <w:r>
      <w:rPr>
        <w:rFonts w:ascii="宋体" w:hAnsi="宋体" w:eastAsia="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28</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Y2E0NGRmYTUxOGFhZmU2MmQ3YTU3NWU4MTFlZjhkZDMifQ=="/>
  </w:docVars>
  <w:rsids>
    <w:rsidRoot w:val="00000000"/>
    <w:rsid w:val="00ED7617"/>
    <w:rsid w:val="02E0080C"/>
    <w:rsid w:val="04076F1F"/>
    <w:rsid w:val="0B1C01AC"/>
    <w:rsid w:val="11636E2C"/>
    <w:rsid w:val="18AD3F21"/>
    <w:rsid w:val="1B140288"/>
    <w:rsid w:val="2EBB6FFC"/>
    <w:rsid w:val="300C1965"/>
    <w:rsid w:val="371F74D7"/>
    <w:rsid w:val="39D07DBA"/>
    <w:rsid w:val="3F3E2BD5"/>
    <w:rsid w:val="444A1966"/>
    <w:rsid w:val="4A1F0026"/>
    <w:rsid w:val="4D9D7CE1"/>
    <w:rsid w:val="55B93F40"/>
    <w:rsid w:val="55BA13BC"/>
    <w:rsid w:val="57AE659F"/>
    <w:rsid w:val="57AF2C96"/>
    <w:rsid w:val="5C3B462E"/>
    <w:rsid w:val="5F9E5975"/>
    <w:rsid w:val="5FFF097C"/>
    <w:rsid w:val="6B961BC0"/>
    <w:rsid w:val="6FB863EE"/>
    <w:rsid w:val="7057087B"/>
    <w:rsid w:val="736F0AF7"/>
    <w:rsid w:val="774D784D"/>
    <w:rsid w:val="7BDF4C9E"/>
    <w:rsid w:val="7DD678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20</Words>
  <Characters>35</Characters>
  <Lines>1</Lines>
  <Paragraphs>1</Paragraphs>
  <TotalTime>0</TotalTime>
  <ScaleCrop>false</ScaleCrop>
  <LinksUpToDate>false</LinksUpToDate>
  <CharactersWithSpaces>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2025-09-16T05:13:10Z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