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厦门市安兜小学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18"/>
          <w:szCs w:val="18"/>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18"/>
              <w:szCs w:val="18"/>
            </w:rPr>
          </w:pPr>
          <w:r>
            <w:rPr>
              <w:rFonts w:hint="eastAsia" w:ascii="仿宋" w:hAnsi="仿宋" w:eastAsia="仿宋" w:cs="仿宋"/>
              <w:b/>
              <w:bCs/>
              <w:kern w:val="0"/>
              <w:sz w:val="32"/>
              <w:szCs w:val="32"/>
            </w:rPr>
            <w:t>目录</w:t>
          </w:r>
        </w:p>
        <w:p>
          <w:pPr>
            <w:pStyle w:val="19"/>
            <w:tabs>
              <w:tab w:val="right" w:leader="dot" w:pos="9730"/>
            </w:tabs>
            <w:rPr>
              <w:rFonts w:asciiTheme="minorHAnsi" w:hAnsiTheme="minorHAnsi"/>
              <w:sz w:val="32"/>
              <w:szCs w:val="32"/>
            </w:rPr>
          </w:pPr>
          <w:r>
            <w:rPr>
              <w:rFonts w:hint="eastAsia" w:ascii="仿宋" w:hAnsi="仿宋" w:eastAsia="仿宋" w:cs="仿宋"/>
              <w:b w:val="0"/>
              <w:bCs/>
              <w:kern w:val="2"/>
              <w:sz w:val="18"/>
              <w:szCs w:val="18"/>
              <w:lang w:val="en-US" w:eastAsia="zh-CN" w:bidi="ar-SA"/>
            </w:rPr>
            <w:fldChar w:fldCharType="begin"/>
          </w:r>
          <w:r>
            <w:rPr>
              <w:rFonts w:hint="eastAsia" w:ascii="仿宋" w:hAnsi="仿宋" w:eastAsia="仿宋" w:cs="仿宋"/>
              <w:b w:val="0"/>
              <w:bCs/>
              <w:kern w:val="2"/>
              <w:sz w:val="18"/>
              <w:szCs w:val="18"/>
              <w:lang w:val="en-US" w:eastAsia="zh-CN" w:bidi="ar-SA"/>
            </w:rPr>
            <w:instrText xml:space="preserve">TOC \o "1-3" \h \u </w:instrText>
          </w:r>
          <w:r>
            <w:rPr>
              <w:rFonts w:hint="eastAsia" w:ascii="仿宋" w:hAnsi="仿宋" w:eastAsia="仿宋" w:cs="仿宋"/>
              <w:b w:val="0"/>
              <w:bCs/>
              <w:kern w:val="2"/>
              <w:sz w:val="18"/>
              <w:szCs w:val="18"/>
              <w:lang w:val="en-US" w:eastAsia="zh-CN" w:bidi="ar-SA"/>
            </w:rPr>
            <w:fldChar w:fldCharType="separate"/>
          </w:r>
          <w:r>
            <w:rPr>
              <w:sz w:val="32"/>
              <w:szCs w:val="32"/>
            </w:rPr>
            <w:fldChar w:fldCharType="begin"/>
          </w:r>
          <w:r>
            <w:rPr>
              <w:sz w:val="32"/>
              <w:szCs w:val="32"/>
            </w:rPr>
            <w:instrText xml:space="preserve"> HYPERLINK \l "_Toc256000093" </w:instrText>
          </w:r>
          <w:r>
            <w:rPr>
              <w:sz w:val="32"/>
              <w:szCs w:val="32"/>
            </w:rPr>
            <w:fldChar w:fldCharType="separate"/>
          </w:r>
          <w:r>
            <w:rPr>
              <w:rStyle w:val="23"/>
              <w:rFonts w:ascii="黑体" w:hAnsi="黑体" w:eastAsia="黑体" w:cs="黑体"/>
              <w:sz w:val="32"/>
              <w:szCs w:val="32"/>
            </w:rPr>
            <w:t>第一部分</w:t>
          </w:r>
          <w:r>
            <w:rPr>
              <w:sz w:val="32"/>
              <w:szCs w:val="32"/>
            </w:rPr>
            <w:tab/>
          </w:r>
          <w:r>
            <w:rPr>
              <w:sz w:val="32"/>
              <w:szCs w:val="32"/>
            </w:rPr>
            <w:fldChar w:fldCharType="begin"/>
          </w:r>
          <w:r>
            <w:rPr>
              <w:sz w:val="32"/>
              <w:szCs w:val="32"/>
            </w:rPr>
            <w:instrText xml:space="preserve"> PAGEREF _Toc256000093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"_Toc256000094" </w:instrText>
          </w:r>
          <w:r>
            <w:rPr>
              <w:sz w:val="32"/>
              <w:szCs w:val="32"/>
            </w:rPr>
            <w:fldChar w:fldCharType="separate"/>
          </w:r>
          <w:r>
            <w:rPr>
              <w:rStyle w:val="23"/>
              <w:rFonts w:ascii="黑体" w:hAnsi="黑体" w:eastAsia="黑体" w:cs="黑体"/>
              <w:sz w:val="32"/>
              <w:szCs w:val="32"/>
            </w:rPr>
            <w:t>单位概况</w:t>
          </w:r>
          <w:r>
            <w:rPr>
              <w:sz w:val="32"/>
              <w:szCs w:val="32"/>
            </w:rPr>
            <w:tab/>
          </w:r>
          <w:r>
            <w:rPr>
              <w:sz w:val="32"/>
              <w:szCs w:val="32"/>
            </w:rPr>
            <w:fldChar w:fldCharType="begin"/>
          </w:r>
          <w:r>
            <w:rPr>
              <w:sz w:val="32"/>
              <w:szCs w:val="32"/>
            </w:rPr>
            <w:instrText xml:space="preserve"> PAGEREF _Toc256000094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"_Toc256000095" </w:instrText>
          </w:r>
          <w:r>
            <w:rPr>
              <w:sz w:val="32"/>
              <w:szCs w:val="32"/>
            </w:rPr>
            <w:fldChar w:fldCharType="separate"/>
          </w:r>
          <w:r>
            <w:rPr>
              <w:rStyle w:val="23"/>
              <w:rFonts w:ascii="黑体" w:hAnsi="黑体" w:eastAsia="黑体" w:cs="黑体"/>
              <w:sz w:val="32"/>
              <w:szCs w:val="32"/>
            </w:rPr>
            <w:t>一、单位主要职责</w:t>
          </w:r>
          <w:r>
            <w:rPr>
              <w:sz w:val="32"/>
              <w:szCs w:val="32"/>
            </w:rPr>
            <w:tab/>
          </w:r>
          <w:r>
            <w:rPr>
              <w:rFonts w:hint="eastAsia"/>
              <w:sz w:val="32"/>
              <w:szCs w:val="32"/>
              <w:lang w:val="en-US" w:eastAsia="zh-CN"/>
            </w:rPr>
            <w:t>4</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"_Toc256000096" </w:instrText>
          </w:r>
          <w:r>
            <w:rPr>
              <w:sz w:val="32"/>
              <w:szCs w:val="32"/>
            </w:rPr>
            <w:fldChar w:fldCharType="separate"/>
          </w:r>
          <w:r>
            <w:rPr>
              <w:rStyle w:val="23"/>
              <w:rFonts w:ascii="黑体" w:hAnsi="黑体" w:eastAsia="黑体" w:cs="黑体"/>
              <w:sz w:val="32"/>
              <w:szCs w:val="32"/>
            </w:rPr>
            <w:t>二、单位基本情况</w:t>
          </w:r>
          <w:r>
            <w:rPr>
              <w:sz w:val="32"/>
              <w:szCs w:val="32"/>
            </w:rPr>
            <w:tab/>
          </w:r>
          <w:r>
            <w:rPr>
              <w:rFonts w:hint="eastAsia"/>
              <w:sz w:val="32"/>
              <w:szCs w:val="32"/>
              <w:lang w:val="en-US" w:eastAsia="zh-CN"/>
            </w:rPr>
            <w:t>4</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"_Toc256000097" </w:instrText>
          </w:r>
          <w:r>
            <w:rPr>
              <w:sz w:val="32"/>
              <w:szCs w:val="32"/>
            </w:rPr>
            <w:fldChar w:fldCharType="separate"/>
          </w:r>
          <w:r>
            <w:rPr>
              <w:rStyle w:val="23"/>
              <w:rFonts w:ascii="黑体" w:hAnsi="黑体" w:eastAsia="黑体" w:cs="黑体"/>
              <w:sz w:val="32"/>
              <w:szCs w:val="32"/>
            </w:rPr>
            <w:t>三、单位主要工作总结</w:t>
          </w:r>
          <w:r>
            <w:rPr>
              <w:sz w:val="32"/>
              <w:szCs w:val="32"/>
            </w:rPr>
            <w:tab/>
          </w:r>
          <w:r>
            <w:rPr>
              <w:rFonts w:hint="eastAsia"/>
              <w:sz w:val="32"/>
              <w:szCs w:val="32"/>
              <w:lang w:val="en-US" w:eastAsia="zh-CN"/>
            </w:rPr>
            <w:t>4</w:t>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"_Toc256000098" </w:instrText>
          </w:r>
          <w:r>
            <w:rPr>
              <w:sz w:val="32"/>
              <w:szCs w:val="32"/>
            </w:rPr>
            <w:fldChar w:fldCharType="separate"/>
          </w:r>
          <w:r>
            <w:rPr>
              <w:rStyle w:val="23"/>
              <w:rFonts w:ascii="黑体" w:hAnsi="黑体" w:eastAsia="黑体" w:cs="黑体"/>
              <w:sz w:val="32"/>
              <w:szCs w:val="32"/>
            </w:rPr>
            <w:t>第二部分</w:t>
          </w:r>
          <w:r>
            <w:rPr>
              <w:sz w:val="32"/>
              <w:szCs w:val="32"/>
            </w:rPr>
            <w:tab/>
          </w:r>
          <w:r>
            <w:rPr>
              <w:rFonts w:hint="eastAsia"/>
              <w:sz w:val="32"/>
              <w:szCs w:val="32"/>
              <w:lang w:val="en-US" w:eastAsia="zh-CN"/>
            </w:rPr>
            <w:t>5</w:t>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"_Toc256000099" </w:instrText>
          </w:r>
          <w:r>
            <w:rPr>
              <w:sz w:val="32"/>
              <w:szCs w:val="32"/>
            </w:rPr>
            <w:fldChar w:fldCharType="separate"/>
          </w:r>
          <w:r>
            <w:rPr>
              <w:rStyle w:val="23"/>
              <w:rFonts w:ascii="黑体" w:hAnsi="黑体" w:eastAsia="黑体" w:cs="黑体"/>
              <w:sz w:val="32"/>
              <w:szCs w:val="32"/>
            </w:rPr>
            <w:t>2024年度决算表</w:t>
          </w:r>
          <w:r>
            <w:rPr>
              <w:sz w:val="32"/>
              <w:szCs w:val="32"/>
            </w:rPr>
            <w:tab/>
          </w:r>
          <w:r>
            <w:rPr>
              <w:rFonts w:hint="eastAsia"/>
              <w:sz w:val="32"/>
              <w:szCs w:val="32"/>
              <w:lang w:val="en-US" w:eastAsia="zh-CN"/>
            </w:rPr>
            <w:t>5</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"_Toc256000100" </w:instrText>
          </w:r>
          <w:r>
            <w:rPr>
              <w:sz w:val="32"/>
              <w:szCs w:val="32"/>
            </w:rPr>
            <w:fldChar w:fldCharType="separate"/>
          </w:r>
          <w:r>
            <w:rPr>
              <w:rStyle w:val="23"/>
              <w:rFonts w:ascii="黑体" w:hAnsi="黑体" w:eastAsia="黑体" w:cs="黑体"/>
              <w:sz w:val="32"/>
              <w:szCs w:val="32"/>
            </w:rPr>
            <w:t>一、收入支出决算总表</w:t>
          </w:r>
          <w:r>
            <w:rPr>
              <w:sz w:val="32"/>
              <w:szCs w:val="32"/>
            </w:rPr>
            <w:tab/>
          </w:r>
          <w:r>
            <w:rPr>
              <w:rFonts w:hint="eastAsia"/>
              <w:sz w:val="32"/>
              <w:szCs w:val="32"/>
              <w:lang w:val="en-US" w:eastAsia="zh-CN"/>
            </w:rPr>
            <w:t>5</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"_Toc256000101" </w:instrText>
          </w:r>
          <w:r>
            <w:rPr>
              <w:sz w:val="32"/>
              <w:szCs w:val="32"/>
            </w:rPr>
            <w:fldChar w:fldCharType="separate"/>
          </w:r>
          <w:r>
            <w:rPr>
              <w:rStyle w:val="23"/>
              <w:rFonts w:ascii="黑体" w:hAnsi="黑体" w:eastAsia="黑体" w:cs="黑体"/>
              <w:sz w:val="32"/>
              <w:szCs w:val="32"/>
            </w:rPr>
            <w:t>二、收入决算表</w:t>
          </w:r>
          <w:r>
            <w:rPr>
              <w:sz w:val="32"/>
              <w:szCs w:val="32"/>
            </w:rPr>
            <w:tab/>
          </w:r>
          <w:r>
            <w:rPr>
              <w:rFonts w:hint="eastAsia"/>
              <w:sz w:val="32"/>
              <w:szCs w:val="32"/>
              <w:lang w:val="en-US" w:eastAsia="zh-CN"/>
            </w:rPr>
            <w:t>7</w:t>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"_Toc256000102" </w:instrText>
          </w:r>
          <w:r>
            <w:rPr>
              <w:sz w:val="32"/>
              <w:szCs w:val="32"/>
            </w:rPr>
            <w:fldChar w:fldCharType="separate"/>
          </w:r>
          <w:r>
            <w:rPr>
              <w:rStyle w:val="23"/>
              <w:rFonts w:ascii="黑体" w:hAnsi="黑体" w:eastAsia="黑体" w:cs="黑体"/>
              <w:sz w:val="32"/>
              <w:szCs w:val="32"/>
            </w:rPr>
            <w:t>三、支出决算表</w:t>
          </w:r>
          <w:r>
            <w:rPr>
              <w:sz w:val="32"/>
              <w:szCs w:val="32"/>
            </w:rPr>
            <w:tab/>
          </w:r>
          <w:r>
            <w:rPr>
              <w:rFonts w:hint="eastAsia"/>
              <w:sz w:val="32"/>
              <w:szCs w:val="32"/>
              <w:lang w:val="en-US" w:eastAsia="zh-CN"/>
            </w:rPr>
            <w:t>8</w:t>
          </w:r>
          <w:r>
            <w:rPr>
              <w:sz w:val="32"/>
              <w:szCs w:val="32"/>
            </w:rPr>
            <w:fldChar w:fldCharType="end"/>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"_Toc256000103" </w:instrText>
          </w:r>
          <w:r>
            <w:rPr>
              <w:sz w:val="32"/>
              <w:szCs w:val="32"/>
            </w:rPr>
            <w:fldChar w:fldCharType="separate"/>
          </w:r>
          <w:r>
            <w:rPr>
              <w:rStyle w:val="23"/>
              <w:rFonts w:ascii="黑体" w:hAnsi="黑体" w:eastAsia="黑体" w:cs="黑体"/>
              <w:sz w:val="32"/>
              <w:szCs w:val="32"/>
            </w:rPr>
            <w:t>四、财政拨款收入支出决算总表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0</w:t>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"_Toc256000104" </w:instrText>
          </w:r>
          <w:r>
            <w:rPr>
              <w:sz w:val="32"/>
              <w:szCs w:val="32"/>
            </w:rPr>
            <w:fldChar w:fldCharType="separate"/>
          </w:r>
          <w:r>
            <w:rPr>
              <w:rStyle w:val="23"/>
              <w:rFonts w:ascii="黑体" w:hAnsi="黑体" w:eastAsia="黑体" w:cs="黑体"/>
              <w:sz w:val="32"/>
              <w:szCs w:val="32"/>
            </w:rPr>
            <w:t>五、一般公共预算财政拨款支出决算表</w:t>
          </w:r>
          <w:r>
            <w:rPr>
              <w:sz w:val="32"/>
              <w:szCs w:val="32"/>
            </w:rPr>
            <w:tab/>
          </w:r>
          <w:r>
            <w:rPr>
              <w:sz w:val="32"/>
              <w:szCs w:val="32"/>
            </w:rPr>
            <w:fldChar w:fldCharType="begin"/>
          </w:r>
          <w:r>
            <w:rPr>
              <w:sz w:val="32"/>
              <w:szCs w:val="32"/>
            </w:rPr>
            <w:instrText xml:space="preserve"> PAGEREF _Toc256000104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"_Toc256000105" </w:instrText>
          </w:r>
          <w:r>
            <w:rPr>
              <w:sz w:val="32"/>
              <w:szCs w:val="32"/>
            </w:rPr>
            <w:fldChar w:fldCharType="separate"/>
          </w:r>
          <w:r>
            <w:rPr>
              <w:rStyle w:val="23"/>
              <w:rFonts w:ascii="黑体" w:hAnsi="黑体" w:eastAsia="黑体" w:cs="黑体"/>
              <w:sz w:val="32"/>
              <w:szCs w:val="32"/>
            </w:rPr>
            <w:t>六、一般公共预算财政拨款基本支出决算表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3</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"_Toc256000106" </w:instrText>
          </w:r>
          <w:r>
            <w:rPr>
              <w:sz w:val="32"/>
              <w:szCs w:val="32"/>
            </w:rPr>
            <w:fldChar w:fldCharType="separate"/>
          </w:r>
          <w:r>
            <w:rPr>
              <w:rStyle w:val="23"/>
              <w:rFonts w:ascii="黑体" w:hAnsi="黑体" w:eastAsia="黑体" w:cs="黑体"/>
              <w:sz w:val="32"/>
              <w:szCs w:val="32"/>
            </w:rPr>
            <w:t>七、一般公共预算财政拨款“三公”经费支出决算表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4</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"_Toc256000107" </w:instrText>
          </w:r>
          <w:r>
            <w:rPr>
              <w:sz w:val="32"/>
              <w:szCs w:val="32"/>
            </w:rPr>
            <w:fldChar w:fldCharType="separate"/>
          </w:r>
          <w:r>
            <w:rPr>
              <w:rStyle w:val="23"/>
              <w:rFonts w:ascii="黑体" w:hAnsi="黑体" w:eastAsia="黑体" w:cs="黑体"/>
              <w:sz w:val="32"/>
              <w:szCs w:val="32"/>
            </w:rPr>
            <w:t>八、政府性基金预算财政拨款收入支出决算表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5</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"_Toc256000108" </w:instrText>
          </w:r>
          <w:r>
            <w:rPr>
              <w:sz w:val="32"/>
              <w:szCs w:val="32"/>
            </w:rPr>
            <w:fldChar w:fldCharType="separate"/>
          </w:r>
          <w:r>
            <w:rPr>
              <w:rStyle w:val="23"/>
              <w:rFonts w:ascii="黑体" w:hAnsi="黑体" w:eastAsia="黑体" w:cs="黑体"/>
              <w:sz w:val="32"/>
              <w:szCs w:val="32"/>
            </w:rPr>
            <w:t>九、国有资本经营预算财政拨款支出决算表</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5</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"_Toc256000109" </w:instrText>
          </w:r>
          <w:r>
            <w:rPr>
              <w:sz w:val="32"/>
              <w:szCs w:val="32"/>
            </w:rPr>
            <w:fldChar w:fldCharType="separate"/>
          </w:r>
          <w:r>
            <w:rPr>
              <w:rStyle w:val="23"/>
              <w:rFonts w:ascii="黑体" w:hAnsi="黑体" w:eastAsia="黑体" w:cs="黑体"/>
              <w:sz w:val="32"/>
              <w:szCs w:val="32"/>
            </w:rPr>
            <w:t>第三部分</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6</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"_Toc256000110" </w:instrText>
          </w:r>
          <w:r>
            <w:rPr>
              <w:sz w:val="32"/>
              <w:szCs w:val="32"/>
            </w:rPr>
            <w:fldChar w:fldCharType="separate"/>
          </w:r>
          <w:r>
            <w:rPr>
              <w:rStyle w:val="23"/>
              <w:rFonts w:ascii="黑体" w:hAnsi="黑体" w:eastAsia="黑体" w:cs="黑体"/>
              <w:sz w:val="32"/>
              <w:szCs w:val="32"/>
            </w:rPr>
            <w:t>2024年度决算情况说明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6</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"_Toc256000111" </w:instrText>
          </w:r>
          <w:r>
            <w:rPr>
              <w:sz w:val="32"/>
              <w:szCs w:val="32"/>
            </w:rPr>
            <w:fldChar w:fldCharType="separate"/>
          </w:r>
          <w:r>
            <w:rPr>
              <w:rStyle w:val="23"/>
              <w:rFonts w:ascii="黑体" w:hAnsi="黑体" w:eastAsia="黑体" w:cs="黑体"/>
              <w:sz w:val="32"/>
              <w:szCs w:val="32"/>
            </w:rPr>
            <w:t>一、收入支出决算总体情况说明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6</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"_Toc256000112" </w:instrText>
          </w:r>
          <w:r>
            <w:rPr>
              <w:sz w:val="32"/>
              <w:szCs w:val="32"/>
            </w:rPr>
            <w:fldChar w:fldCharType="separate"/>
          </w:r>
          <w:r>
            <w:rPr>
              <w:rStyle w:val="23"/>
              <w:rFonts w:ascii="黑体" w:hAnsi="黑体" w:eastAsia="黑体" w:cs="黑体"/>
              <w:sz w:val="32"/>
              <w:szCs w:val="32"/>
            </w:rPr>
            <w:t>二、财政拨款收入支出决算总体情况说明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7</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"_Toc256000113" </w:instrText>
          </w:r>
          <w:r>
            <w:rPr>
              <w:sz w:val="32"/>
              <w:szCs w:val="32"/>
            </w:rPr>
            <w:fldChar w:fldCharType="separate"/>
          </w:r>
          <w:r>
            <w:rPr>
              <w:rStyle w:val="23"/>
              <w:rFonts w:ascii="黑体" w:hAnsi="黑体" w:eastAsia="黑体" w:cs="黑体"/>
              <w:sz w:val="32"/>
              <w:szCs w:val="32"/>
            </w:rPr>
            <w:t>三、一般公共预算拨款支出决算情况说明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7</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"_Toc256000114" </w:instrText>
          </w:r>
          <w:r>
            <w:rPr>
              <w:sz w:val="32"/>
              <w:szCs w:val="32"/>
            </w:rPr>
            <w:fldChar w:fldCharType="separate"/>
          </w:r>
          <w:r>
            <w:rPr>
              <w:rStyle w:val="23"/>
              <w:rFonts w:ascii="黑体" w:hAnsi="黑体" w:eastAsia="黑体" w:cs="黑体"/>
              <w:sz w:val="32"/>
              <w:szCs w:val="32"/>
            </w:rPr>
            <w:t>四、政府性基金预算财政拨款支出决算情况说明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9</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"_Toc256000115" </w:instrText>
          </w:r>
          <w:r>
            <w:rPr>
              <w:sz w:val="32"/>
              <w:szCs w:val="32"/>
            </w:rPr>
            <w:fldChar w:fldCharType="separate"/>
          </w:r>
          <w:r>
            <w:rPr>
              <w:rStyle w:val="23"/>
              <w:rFonts w:ascii="黑体" w:hAnsi="黑体" w:eastAsia="黑体" w:cs="黑体"/>
              <w:sz w:val="32"/>
              <w:szCs w:val="32"/>
            </w:rPr>
            <w:t>五、国有资本经营预算财政拨款支出决算情况说明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9</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"_Toc256000116" </w:instrText>
          </w:r>
          <w:r>
            <w:rPr>
              <w:sz w:val="32"/>
              <w:szCs w:val="32"/>
            </w:rPr>
            <w:fldChar w:fldCharType="separate"/>
          </w:r>
          <w:r>
            <w:rPr>
              <w:rStyle w:val="23"/>
              <w:rFonts w:ascii="黑体" w:hAnsi="黑体" w:eastAsia="黑体" w:cs="黑体"/>
              <w:sz w:val="32"/>
              <w:szCs w:val="32"/>
            </w:rPr>
            <w:t>六、一般公共预算财政拨款基本支出决算情况说明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9</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"_Toc256000117" </w:instrText>
          </w:r>
          <w:r>
            <w:rPr>
              <w:sz w:val="32"/>
              <w:szCs w:val="32"/>
            </w:rPr>
            <w:fldChar w:fldCharType="separate"/>
          </w:r>
          <w:r>
            <w:rPr>
              <w:rStyle w:val="23"/>
              <w:rFonts w:ascii="黑体" w:hAnsi="黑体" w:eastAsia="黑体" w:cs="黑体"/>
              <w:sz w:val="32"/>
              <w:szCs w:val="32"/>
            </w:rPr>
            <w:t>七、一般公共预算拨款“三公”经费支出决算情况说明</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0</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"_Toc256000118" </w:instrText>
          </w:r>
          <w:r>
            <w:rPr>
              <w:sz w:val="32"/>
              <w:szCs w:val="32"/>
            </w:rPr>
            <w:fldChar w:fldCharType="separate"/>
          </w:r>
          <w:r>
            <w:rPr>
              <w:rStyle w:val="23"/>
              <w:rFonts w:ascii="黑体" w:hAnsi="黑体" w:eastAsia="黑体" w:cs="黑体"/>
              <w:sz w:val="32"/>
              <w:szCs w:val="32"/>
            </w:rPr>
            <w:t>八、预算绩效情况说明</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1</w:t>
          </w:r>
        </w:p>
        <w:p>
          <w:pPr>
            <w:pStyle w:val="12"/>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"_Toc256000119" </w:instrText>
          </w:r>
          <w:r>
            <w:rPr>
              <w:sz w:val="32"/>
              <w:szCs w:val="32"/>
            </w:rPr>
            <w:fldChar w:fldCharType="separate"/>
          </w:r>
          <w:r>
            <w:rPr>
              <w:rStyle w:val="23"/>
              <w:rFonts w:ascii="黑体" w:hAnsi="黑体" w:eastAsia="黑体" w:cs="黑体"/>
              <w:sz w:val="32"/>
              <w:szCs w:val="32"/>
            </w:rPr>
            <w:t>九、其他重要事项说明</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1</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"_Toc256000120" </w:instrText>
          </w:r>
          <w:r>
            <w:rPr>
              <w:sz w:val="32"/>
              <w:szCs w:val="32"/>
            </w:rPr>
            <w:fldChar w:fldCharType="separate"/>
          </w:r>
          <w:r>
            <w:rPr>
              <w:rStyle w:val="23"/>
              <w:rFonts w:ascii="黑体" w:hAnsi="黑体" w:eastAsia="黑体" w:cs="黑体"/>
              <w:sz w:val="32"/>
              <w:szCs w:val="32"/>
            </w:rPr>
            <w:t>第四部分</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3</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"_Toc256000121" </w:instrText>
          </w:r>
          <w:r>
            <w:rPr>
              <w:sz w:val="32"/>
              <w:szCs w:val="32"/>
            </w:rPr>
            <w:fldChar w:fldCharType="separate"/>
          </w:r>
          <w:r>
            <w:rPr>
              <w:rStyle w:val="23"/>
              <w:rFonts w:ascii="黑体" w:hAnsi="黑体" w:eastAsia="黑体" w:cs="黑体"/>
              <w:sz w:val="32"/>
              <w:szCs w:val="32"/>
            </w:rPr>
            <w:t>名词解释</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3</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"_Toc256000122" </w:instrText>
          </w:r>
          <w:r>
            <w:rPr>
              <w:sz w:val="32"/>
              <w:szCs w:val="32"/>
            </w:rPr>
            <w:fldChar w:fldCharType="separate"/>
          </w:r>
          <w:r>
            <w:rPr>
              <w:rStyle w:val="23"/>
              <w:rFonts w:ascii="黑体" w:hAnsi="黑体" w:eastAsia="黑体" w:cs="黑体"/>
              <w:sz w:val="32"/>
              <w:szCs w:val="32"/>
            </w:rPr>
            <w:t>第五部分</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5</w:t>
          </w:r>
        </w:p>
        <w:p>
          <w:pPr>
            <w:pStyle w:val="19"/>
            <w:tabs>
              <w:tab w:val="right" w:leader="dot" w:pos="9730"/>
            </w:tabs>
            <w:rPr>
              <w:rFonts w:hint="eastAsia" w:eastAsia="仿宋" w:asciiTheme="minorHAnsi" w:hAnsiTheme="minorHAnsi"/>
              <w:sz w:val="18"/>
              <w:szCs w:val="18"/>
              <w:lang w:val="en-US" w:eastAsia="zh-CN"/>
            </w:rPr>
          </w:pPr>
          <w:r>
            <w:rPr>
              <w:sz w:val="32"/>
              <w:szCs w:val="32"/>
            </w:rPr>
            <w:fldChar w:fldCharType="begin"/>
          </w:r>
          <w:r>
            <w:rPr>
              <w:sz w:val="32"/>
              <w:szCs w:val="32"/>
            </w:rPr>
            <w:instrText xml:space="preserve"> HYPERLINK \l "_Toc256000123" </w:instrText>
          </w:r>
          <w:r>
            <w:rPr>
              <w:sz w:val="32"/>
              <w:szCs w:val="32"/>
            </w:rPr>
            <w:fldChar w:fldCharType="separate"/>
          </w:r>
          <w:r>
            <w:rPr>
              <w:rStyle w:val="23"/>
              <w:rFonts w:ascii="黑体" w:hAnsi="黑体" w:eastAsia="黑体" w:cs="黑体"/>
              <w:sz w:val="32"/>
              <w:szCs w:val="32"/>
            </w:rPr>
            <w:t>附件</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5</w:t>
          </w:r>
        </w:p>
        <w:p>
          <w:pPr>
            <w:adjustRightInd w:val="0"/>
            <w:snapToGrid w:val="0"/>
            <w:rPr>
              <w:rFonts w:hint="eastAsia" w:ascii="仿宋" w:hAnsi="仿宋" w:eastAsia="仿宋" w:cs="仿宋"/>
              <w:b w:val="0"/>
              <w:bCs/>
              <w:kern w:val="2"/>
              <w:sz w:val="18"/>
              <w:szCs w:val="18"/>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18"/>
              <w:szCs w:val="18"/>
              <w:lang w:val="en-US" w:eastAsia="zh-CN" w:bidi="ar-SA"/>
            </w:rPr>
            <w:fldChar w:fldCharType="end"/>
          </w:r>
        </w:p>
      </w:sdtContent>
    </w:sdt>
    <w:p>
      <w:pPr>
        <w:pStyle w:val="31"/>
        <w:widowControl/>
        <w:spacing w:before="100" w:after="270"/>
        <w:ind w:left="0" w:right="0" w:firstLine="0"/>
        <w:jc w:val="center"/>
        <w:rPr>
          <w:rFonts w:ascii="Times New Roman" w:hAnsi="Times New Roman" w:eastAsia="Times New Roman" w:cs="Times New Roman"/>
          <w:kern w:val="0"/>
          <w:sz w:val="18"/>
          <w:szCs w:val="18"/>
        </w:rPr>
      </w:pPr>
      <w:bookmarkStart w:id="0" w:name="a000"/>
    </w:p>
    <w:p>
      <w:pPr>
        <w:pStyle w:val="31"/>
        <w:widowControl/>
        <w:spacing w:before="100" w:after="100"/>
        <w:ind w:left="0" w:right="0" w:firstLine="0"/>
        <w:jc w:val="center"/>
        <w:rPr>
          <w:rFonts w:ascii="Times New Roman" w:hAnsi="Times New Roman" w:eastAsia="Times New Roman" w:cs="Times New Roman"/>
          <w:kern w:val="0"/>
          <w:sz w:val="18"/>
          <w:szCs w:val="18"/>
        </w:rPr>
      </w:pPr>
      <w:r>
        <w:rPr>
          <w:rFonts w:ascii="Calibri" w:hAnsi="Calibri" w:eastAsia="Calibri" w:cs="Calibri"/>
          <w:spacing w:val="0"/>
          <w:kern w:val="0"/>
          <w:sz w:val="18"/>
          <w:szCs w:val="18"/>
        </w:rPr>
        <w:t> </w:t>
      </w:r>
    </w:p>
    <w:p>
      <w:pPr>
        <w:pStyle w:val="4"/>
        <w:keepNext w:val="0"/>
        <w:keepLines w:val="0"/>
        <w:spacing w:before="100" w:after="100" w:line="240" w:lineRule="auto"/>
        <w:ind w:left="0" w:right="0" w:firstLine="0" w:firstLineChars="0"/>
        <w:jc w:val="center"/>
        <w:rPr>
          <w:rFonts w:ascii="黑体" w:hAnsi="黑体" w:eastAsia="黑体" w:cs="黑体"/>
          <w:b/>
          <w:spacing w:val="0"/>
          <w:sz w:val="32"/>
          <w:szCs w:val="32"/>
        </w:rPr>
      </w:pPr>
      <w:bookmarkStart w:id="1" w:name="_Toc256000062"/>
      <w:bookmarkStart w:id="2" w:name="_Toc256000000"/>
      <w:bookmarkStart w:id="3" w:name="_Toc256000093"/>
      <w:bookmarkStart w:id="4" w:name="_Toc256000031"/>
      <w:r>
        <w:rPr>
          <w:rFonts w:ascii="黑体" w:hAnsi="黑体" w:eastAsia="黑体" w:cs="黑体"/>
          <w:b/>
          <w:spacing w:val="0"/>
          <w:sz w:val="32"/>
          <w:szCs w:val="32"/>
        </w:rPr>
        <w:t>第一部分</w:t>
      </w:r>
      <w:bookmarkEnd w:id="1"/>
      <w:bookmarkEnd w:id="2"/>
      <w:bookmarkEnd w:id="3"/>
      <w:bookmarkEnd w:id="4"/>
      <w:bookmarkStart w:id="5" w:name="_Toc256000094"/>
      <w:bookmarkStart w:id="6" w:name="_Toc256000001"/>
      <w:bookmarkStart w:id="7" w:name="_Toc256000032"/>
      <w:bookmarkStart w:id="8" w:name="_Toc256000063"/>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pStyle w:val="5"/>
        <w:rPr>
          <w:rFonts w:ascii="黑体" w:hAnsi="黑体" w:eastAsia="黑体" w:cs="黑体"/>
          <w:b/>
          <w:spacing w:val="0"/>
          <w:sz w:val="18"/>
          <w:szCs w:val="18"/>
        </w:rPr>
      </w:pPr>
    </w:p>
    <w:p>
      <w:pPr>
        <w:pStyle w:val="5"/>
        <w:rPr>
          <w:rFonts w:ascii="黑体" w:hAnsi="黑体" w:eastAsia="黑体" w:cs="黑体"/>
          <w:b/>
          <w:spacing w:val="0"/>
          <w:sz w:val="18"/>
          <w:szCs w:val="18"/>
        </w:rPr>
      </w:pPr>
    </w:p>
    <w:p>
      <w:pPr>
        <w:pStyle w:val="32"/>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24"/>
          <w:szCs w:val="24"/>
        </w:rPr>
      </w:pPr>
      <w:r>
        <w:rPr>
          <w:rFonts w:ascii="Calibri" w:hAnsi="Calibri" w:eastAsia="Calibri" w:cs="Calibri"/>
          <w:b/>
          <w:spacing w:val="0"/>
          <w:sz w:val="24"/>
          <w:szCs w:val="24"/>
        </w:rPr>
        <w:t> </w:t>
      </w:r>
      <w:r>
        <w:rPr>
          <w:rFonts w:ascii="黑体" w:hAnsi="黑体" w:eastAsia="黑体" w:cs="黑体"/>
          <w:b/>
          <w:spacing w:val="0"/>
          <w:sz w:val="32"/>
          <w:szCs w:val="32"/>
        </w:rPr>
        <w:t xml:space="preserve"> </w:t>
      </w:r>
      <w:bookmarkStart w:id="9" w:name="_Toc256000033"/>
      <w:bookmarkStart w:id="10" w:name="_Toc256000002"/>
      <w:bookmarkStart w:id="11" w:name="_Toc256000095"/>
      <w:bookmarkStart w:id="12" w:name="_Toc256000064"/>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一、单位主要职责</w:t>
      </w:r>
      <w:bookmarkEnd w:id="9"/>
      <w:bookmarkEnd w:id="10"/>
      <w:bookmarkEnd w:id="11"/>
      <w:bookmarkEnd w:id="12"/>
    </w:p>
    <w:p>
      <w:pPr>
        <w:pStyle w:val="31"/>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厦门市安兜小学单位的主要职责是：</w:t>
      </w:r>
    </w:p>
    <w:p>
      <w:pPr>
        <w:spacing w:before="189" w:line="228" w:lineRule="auto"/>
        <w:ind w:left="645"/>
        <w:rPr>
          <w:rFonts w:ascii="仿宋" w:hAnsi="仿宋" w:eastAsia="仿宋" w:cs="仿宋"/>
          <w:sz w:val="32"/>
          <w:szCs w:val="32"/>
        </w:rPr>
      </w:pPr>
      <w:r>
        <w:rPr>
          <w:rFonts w:ascii="仿宋" w:hAnsi="仿宋" w:eastAsia="仿宋" w:cs="仿宋"/>
          <w:spacing w:val="6"/>
          <w:sz w:val="32"/>
          <w:szCs w:val="32"/>
        </w:rPr>
        <w:t>（一）实施小学义务教育。</w:t>
      </w:r>
    </w:p>
    <w:p>
      <w:pPr>
        <w:spacing w:line="354" w:lineRule="auto"/>
        <w:rPr>
          <w:rFonts w:ascii="Arial"/>
          <w:sz w:val="32"/>
          <w:szCs w:val="32"/>
        </w:rPr>
      </w:pPr>
    </w:p>
    <w:p>
      <w:pPr>
        <w:spacing w:before="101" w:line="227" w:lineRule="auto"/>
        <w:ind w:left="645"/>
        <w:rPr>
          <w:rFonts w:ascii="仿宋" w:hAnsi="仿宋" w:eastAsia="仿宋" w:cs="仿宋"/>
          <w:sz w:val="32"/>
          <w:szCs w:val="32"/>
        </w:rPr>
      </w:pPr>
      <w:r>
        <w:rPr>
          <w:rFonts w:ascii="仿宋" w:hAnsi="仿宋" w:eastAsia="仿宋" w:cs="仿宋"/>
          <w:spacing w:val="6"/>
          <w:sz w:val="32"/>
          <w:szCs w:val="32"/>
        </w:rPr>
        <w:t>（二）促进基础教育发展。</w:t>
      </w:r>
    </w:p>
    <w:p>
      <w:pPr>
        <w:spacing w:line="317" w:lineRule="auto"/>
        <w:rPr>
          <w:rFonts w:ascii="Arial"/>
          <w:sz w:val="32"/>
          <w:szCs w:val="32"/>
        </w:rPr>
      </w:pPr>
    </w:p>
    <w:p>
      <w:pPr>
        <w:spacing w:before="101" w:line="228" w:lineRule="auto"/>
        <w:ind w:left="645"/>
        <w:rPr>
          <w:rFonts w:ascii="仿宋" w:hAnsi="仿宋" w:eastAsia="仿宋" w:cs="仿宋"/>
          <w:spacing w:val="0"/>
          <w:kern w:val="0"/>
          <w:sz w:val="24"/>
          <w:szCs w:val="24"/>
        </w:rPr>
      </w:pPr>
      <w:r>
        <w:rPr>
          <w:rFonts w:ascii="仿宋" w:hAnsi="仿宋" w:eastAsia="仿宋" w:cs="仿宋"/>
          <w:spacing w:val="6"/>
          <w:sz w:val="32"/>
          <w:szCs w:val="32"/>
        </w:rPr>
        <w:t>（三）小学学历教育。</w:t>
      </w:r>
    </w:p>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32"/>
          <w:szCs w:val="32"/>
        </w:rPr>
      </w:pPr>
      <w:bookmarkStart w:id="13" w:name="_Toc256000034"/>
      <w:bookmarkStart w:id="14" w:name="_Toc256000065"/>
      <w:bookmarkStart w:id="15" w:name="_Toc256000003"/>
      <w:bookmarkStart w:id="16" w:name="_Toc256000096"/>
      <w:r>
        <w:rPr>
          <w:rFonts w:ascii="黑体" w:hAnsi="黑体" w:eastAsia="黑体" w:cs="黑体"/>
          <w:b/>
          <w:spacing w:val="0"/>
          <w:sz w:val="32"/>
          <w:szCs w:val="32"/>
        </w:rPr>
        <w:t>二、单位基本情况</w:t>
      </w:r>
      <w:bookmarkEnd w:id="13"/>
      <w:bookmarkEnd w:id="14"/>
      <w:bookmarkEnd w:id="15"/>
      <w:bookmarkEnd w:id="16"/>
    </w:p>
    <w:p>
      <w:pPr>
        <w:pStyle w:val="31"/>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个内设机构，其中：列入2024年决算编制范围的单位详细情况见下表:</w:t>
      </w:r>
    </w:p>
    <w:tbl>
      <w:tblPr>
        <w:tblStyle w:val="24"/>
        <w:tblW w:w="8317" w:type="dxa"/>
        <w:jc w:val="center"/>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512"/>
        <w:gridCol w:w="580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trHeight w:val="0" w:hRule="atLeast"/>
          <w:tblHeader/>
          <w:jc w:val="center"/>
        </w:trPr>
        <w:tc>
          <w:tcPr>
            <w:tcW w:w="2512" w:type="dxa"/>
            <w:tcBorders>
              <w:bottom w:val="single" w:color="auto" w:sz="4" w:space="0"/>
              <w:right w:val="inset" w:color="808080" w:sz="6" w:space="0"/>
            </w:tcBorders>
            <w:noWrap w:val="0"/>
            <w:tcMar>
              <w:top w:w="22" w:type="dxa"/>
              <w:left w:w="22" w:type="dxa"/>
              <w:bottom w:w="22" w:type="dxa"/>
              <w:right w:w="22" w:type="dxa"/>
            </w:tcMar>
            <w:vAlign w:val="center"/>
          </w:tcPr>
          <w:p>
            <w:pPr>
              <w:widowControl/>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5805" w:type="dxa"/>
            <w:tcBorders>
              <w:left w:val="inset" w:color="808080" w:sz="6" w:space="0"/>
              <w:bottom w:val="single" w:color="auto" w:sz="4" w:space="0"/>
            </w:tcBorders>
            <w:noWrap w:val="0"/>
            <w:tcMar>
              <w:top w:w="22" w:type="dxa"/>
              <w:left w:w="22" w:type="dxa"/>
              <w:bottom w:w="22" w:type="dxa"/>
              <w:right w:w="22" w:type="dxa"/>
            </w:tcMar>
            <w:vAlign w:val="center"/>
          </w:tcPr>
          <w:p>
            <w:pPr>
              <w:widowControl/>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2512" w:type="dxa"/>
            <w:tcBorders>
              <w:top w:val="single" w:color="auto" w:sz="4" w:space="0"/>
              <w:right w:val="inset" w:color="808080" w:sz="6" w:space="0"/>
            </w:tcBorders>
            <w:noWrap w:val="0"/>
            <w:tcMar>
              <w:top w:w="22" w:type="dxa"/>
              <w:left w:w="22" w:type="dxa"/>
              <w:bottom w:w="22" w:type="dxa"/>
              <w:right w:w="22" w:type="dxa"/>
            </w:tcMar>
            <w:vAlign w:val="top"/>
          </w:tcPr>
          <w:p>
            <w:pPr>
              <w:spacing w:before="52" w:line="417" w:lineRule="exact"/>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position w:val="2"/>
                <w:sz w:val="32"/>
                <w:szCs w:val="32"/>
              </w:rPr>
              <w:t>1</w:t>
            </w:r>
          </w:p>
        </w:tc>
        <w:tc>
          <w:tcPr>
            <w:tcW w:w="5805" w:type="dxa"/>
            <w:tcBorders>
              <w:top w:val="single" w:color="auto" w:sz="4" w:space="0"/>
              <w:left w:val="inset" w:color="808080" w:sz="6" w:space="0"/>
            </w:tcBorders>
            <w:noWrap w:val="0"/>
            <w:tcMar>
              <w:top w:w="22" w:type="dxa"/>
              <w:left w:w="22" w:type="dxa"/>
              <w:bottom w:w="22" w:type="dxa"/>
              <w:right w:w="22" w:type="dxa"/>
            </w:tcMar>
            <w:vAlign w:val="top"/>
          </w:tcPr>
          <w:p>
            <w:pPr>
              <w:spacing w:before="52" w:line="227" w:lineRule="auto"/>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spacing w:val="6"/>
                <w:sz w:val="32"/>
                <w:szCs w:val="32"/>
              </w:rPr>
              <w:t>厦门市安兜小学</w:t>
            </w:r>
          </w:p>
        </w:tc>
      </w:tr>
    </w:tbl>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32"/>
          <w:szCs w:val="32"/>
        </w:rPr>
      </w:pPr>
      <w:bookmarkStart w:id="17" w:name="_Toc256000004"/>
      <w:bookmarkStart w:id="18" w:name="_Toc256000097"/>
      <w:bookmarkStart w:id="19" w:name="_Toc256000035"/>
      <w:bookmarkStart w:id="20" w:name="_Toc256000066"/>
      <w:r>
        <w:rPr>
          <w:rFonts w:ascii="黑体" w:hAnsi="黑体" w:eastAsia="黑体" w:cs="黑体"/>
          <w:b/>
          <w:spacing w:val="0"/>
          <w:sz w:val="32"/>
          <w:szCs w:val="32"/>
        </w:rPr>
        <w:t>三、单位主要工作总结</w:t>
      </w:r>
      <w:bookmarkEnd w:id="17"/>
      <w:bookmarkEnd w:id="18"/>
      <w:bookmarkEnd w:id="19"/>
      <w:bookmarkEnd w:id="20"/>
    </w:p>
    <w:p>
      <w:pPr>
        <w:pStyle w:val="31"/>
        <w:widowControl/>
        <w:spacing w:before="240" w:after="240" w:line="600" w:lineRule="atLeast"/>
        <w:ind w:firstLine="640"/>
        <w:jc w:val="left"/>
        <w:rPr>
          <w:rFonts w:hint="eastAsia" w:ascii="仿宋" w:hAnsi="仿宋" w:eastAsia="仿宋" w:cs="仿宋"/>
          <w:kern w:val="0"/>
          <w:sz w:val="32"/>
          <w:szCs w:val="32"/>
        </w:rPr>
      </w:pPr>
      <w:r>
        <w:rPr>
          <w:rFonts w:ascii="仿宋" w:hAnsi="仿宋" w:eastAsia="仿宋" w:cs="仿宋"/>
          <w:spacing w:val="0"/>
          <w:kern w:val="0"/>
          <w:sz w:val="32"/>
          <w:szCs w:val="32"/>
        </w:rPr>
        <w:t>2024年，厦门市安兜小学单位主要任务是：</w:t>
      </w:r>
      <w:r>
        <w:rPr>
          <w:rFonts w:hint="eastAsia" w:ascii="仿宋" w:hAnsi="仿宋" w:eastAsia="仿宋" w:cs="仿宋"/>
          <w:kern w:val="0"/>
          <w:sz w:val="32"/>
          <w:szCs w:val="32"/>
          <w:shd w:val="clear" w:fill="FFFFFF"/>
        </w:rPr>
        <w:t>通过教育教学，提高中小学生的知识水平、知识面，思维方式，提高智力水平。</w:t>
      </w:r>
      <w:r>
        <w:rPr>
          <w:rFonts w:hint="eastAsia" w:ascii="仿宋" w:hAnsi="仿宋" w:eastAsia="仿宋" w:cs="仿宋"/>
          <w:kern w:val="0"/>
          <w:sz w:val="32"/>
          <w:szCs w:val="32"/>
        </w:rPr>
        <w:t>围绕上述任务，重点完成了以下工作：</w:t>
      </w:r>
    </w:p>
    <w:p>
      <w:pPr>
        <w:spacing w:before="8" w:line="357" w:lineRule="auto"/>
        <w:ind w:left="645"/>
        <w:jc w:val="both"/>
        <w:rPr>
          <w:rFonts w:ascii="仿宋" w:hAnsi="仿宋" w:eastAsia="仿宋" w:cs="仿宋"/>
          <w:sz w:val="32"/>
          <w:szCs w:val="32"/>
          <w:u w:val="none" w:color="auto"/>
        </w:rPr>
      </w:pPr>
      <w:r>
        <w:rPr>
          <w:rFonts w:ascii="仿宋" w:hAnsi="仿宋" w:eastAsia="仿宋" w:cs="仿宋"/>
          <w:spacing w:val="7"/>
          <w:sz w:val="32"/>
          <w:szCs w:val="32"/>
        </w:rPr>
        <w:t>（一）要提高全体学生的知</w:t>
      </w:r>
      <w:r>
        <w:rPr>
          <w:rFonts w:ascii="仿宋" w:hAnsi="仿宋" w:eastAsia="仿宋" w:cs="仿宋"/>
          <w:spacing w:val="7"/>
          <w:sz w:val="32"/>
          <w:szCs w:val="32"/>
          <w:u w:val="none" w:color="auto"/>
        </w:rPr>
        <w:t>识</w:t>
      </w:r>
      <w:r>
        <w:rPr>
          <w:sz w:val="32"/>
          <w:szCs w:val="32"/>
          <w:u w:val="none" w:color="auto"/>
        </w:rPr>
        <w:fldChar w:fldCharType="begin"/>
      </w:r>
      <w:r>
        <w:rPr>
          <w:sz w:val="32"/>
          <w:szCs w:val="32"/>
          <w:u w:val="none" w:color="auto"/>
        </w:rPr>
        <w:instrText xml:space="preserve"> HYPERLINK "http://www.so.com/s?q=质量&amp;ie=utf-8&amp;src=internal_wenda_recommend_textn" </w:instrText>
      </w:r>
      <w:r>
        <w:rPr>
          <w:sz w:val="32"/>
          <w:szCs w:val="32"/>
          <w:u w:val="none" w:color="auto"/>
        </w:rPr>
        <w:fldChar w:fldCharType="separate"/>
      </w:r>
      <w:r>
        <w:rPr>
          <w:rFonts w:ascii="仿宋" w:hAnsi="仿宋" w:eastAsia="仿宋" w:cs="仿宋"/>
          <w:spacing w:val="7"/>
          <w:sz w:val="32"/>
          <w:szCs w:val="32"/>
          <w:u w:val="none" w:color="auto"/>
        </w:rPr>
        <w:t>质量</w:t>
      </w:r>
      <w:r>
        <w:rPr>
          <w:rFonts w:ascii="仿宋" w:hAnsi="仿宋" w:eastAsia="仿宋" w:cs="仿宋"/>
          <w:spacing w:val="7"/>
          <w:sz w:val="32"/>
          <w:szCs w:val="32"/>
          <w:u w:val="none" w:color="auto"/>
        </w:rPr>
        <w:fldChar w:fldCharType="end"/>
      </w:r>
      <w:r>
        <w:rPr>
          <w:rFonts w:ascii="仿宋" w:hAnsi="仿宋" w:eastAsia="仿宋" w:cs="仿宋"/>
          <w:spacing w:val="7"/>
          <w:sz w:val="32"/>
          <w:szCs w:val="32"/>
          <w:u w:val="none" w:color="auto"/>
        </w:rPr>
        <w:t>。</w:t>
      </w:r>
    </w:p>
    <w:p>
      <w:pPr>
        <w:spacing w:before="1" w:line="357" w:lineRule="auto"/>
        <w:ind w:left="7" w:right="146" w:firstLine="637"/>
        <w:jc w:val="both"/>
        <w:rPr>
          <w:rFonts w:ascii="仿宋" w:hAnsi="仿宋" w:eastAsia="仿宋" w:cs="仿宋"/>
          <w:sz w:val="32"/>
          <w:szCs w:val="32"/>
        </w:rPr>
      </w:pPr>
      <w:r>
        <w:rPr>
          <w:rFonts w:ascii="仿宋" w:hAnsi="仿宋" w:eastAsia="仿宋" w:cs="仿宋"/>
          <w:spacing w:val="9"/>
          <w:sz w:val="32"/>
          <w:szCs w:val="32"/>
        </w:rPr>
        <w:t>（二）要注重和抓好</w:t>
      </w:r>
      <w:r>
        <w:rPr>
          <w:sz w:val="32"/>
          <w:szCs w:val="32"/>
        </w:rPr>
        <w:fldChar w:fldCharType="begin"/>
      </w:r>
      <w:r>
        <w:rPr>
          <w:sz w:val="32"/>
          <w:szCs w:val="32"/>
        </w:rPr>
        <w:instrText xml:space="preserve"> HYPERLINK "http://www.so.com/s?q=质量管理&amp;ie=utf-8&amp;src=internal_wenda_recommend_textn" </w:instrText>
      </w:r>
      <w:r>
        <w:rPr>
          <w:sz w:val="32"/>
          <w:szCs w:val="32"/>
        </w:rPr>
        <w:fldChar w:fldCharType="separate"/>
      </w:r>
      <w:r>
        <w:rPr>
          <w:rFonts w:ascii="仿宋" w:hAnsi="仿宋" w:eastAsia="仿宋" w:cs="仿宋"/>
          <w:spacing w:val="9"/>
          <w:sz w:val="32"/>
          <w:szCs w:val="32"/>
        </w:rPr>
        <w:t>质量管理</w:t>
      </w:r>
      <w:r>
        <w:rPr>
          <w:rFonts w:ascii="仿宋" w:hAnsi="仿宋" w:eastAsia="仿宋" w:cs="仿宋"/>
          <w:spacing w:val="9"/>
          <w:sz w:val="32"/>
          <w:szCs w:val="32"/>
        </w:rPr>
        <w:fldChar w:fldCharType="end"/>
      </w:r>
      <w:r>
        <w:rPr>
          <w:rFonts w:ascii="仿宋" w:hAnsi="仿宋" w:eastAsia="仿宋" w:cs="仿宋"/>
          <w:spacing w:val="9"/>
          <w:sz w:val="32"/>
          <w:szCs w:val="32"/>
        </w:rPr>
        <w:t>,不断提高工作</w:t>
      </w:r>
      <w:r>
        <w:rPr>
          <w:sz w:val="32"/>
          <w:szCs w:val="32"/>
        </w:rPr>
        <w:fldChar w:fldCharType="begin"/>
      </w:r>
      <w:r>
        <w:rPr>
          <w:sz w:val="32"/>
          <w:szCs w:val="32"/>
        </w:rPr>
        <w:instrText xml:space="preserve"> HYPERLINK "http://www.so.com/s?q=效益&amp;ie=utf-8&amp;src=internal_wenda_recommend_textn" </w:instrText>
      </w:r>
      <w:r>
        <w:rPr>
          <w:sz w:val="32"/>
          <w:szCs w:val="32"/>
        </w:rPr>
        <w:fldChar w:fldCharType="separate"/>
      </w:r>
      <w:r>
        <w:rPr>
          <w:rFonts w:ascii="仿宋" w:hAnsi="仿宋" w:eastAsia="仿宋" w:cs="仿宋"/>
          <w:spacing w:val="8"/>
          <w:sz w:val="32"/>
          <w:szCs w:val="32"/>
        </w:rPr>
        <w:t>效益</w:t>
      </w:r>
      <w:r>
        <w:rPr>
          <w:rFonts w:ascii="仿宋" w:hAnsi="仿宋" w:eastAsia="仿宋" w:cs="仿宋"/>
          <w:spacing w:val="8"/>
          <w:sz w:val="32"/>
          <w:szCs w:val="32"/>
        </w:rPr>
        <w:fldChar w:fldCharType="end"/>
      </w:r>
      <w:r>
        <w:rPr>
          <w:rFonts w:ascii="仿宋" w:hAnsi="仿宋" w:eastAsia="仿宋" w:cs="仿宋"/>
          <w:spacing w:val="8"/>
          <w:sz w:val="32"/>
          <w:szCs w:val="32"/>
        </w:rPr>
        <w:t>,要把各科教学</w:t>
      </w:r>
      <w:r>
        <w:rPr>
          <w:rFonts w:ascii="仿宋" w:hAnsi="仿宋" w:eastAsia="仿宋" w:cs="仿宋"/>
          <w:sz w:val="32"/>
          <w:szCs w:val="32"/>
        </w:rPr>
        <w:t xml:space="preserve"> </w:t>
      </w:r>
      <w:r>
        <w:rPr>
          <w:rFonts w:ascii="仿宋" w:hAnsi="仿宋" w:eastAsia="仿宋" w:cs="仿宋"/>
          <w:spacing w:val="5"/>
          <w:sz w:val="32"/>
          <w:szCs w:val="32"/>
        </w:rPr>
        <w:t>质量,提高到新的</w:t>
      </w:r>
      <w:r>
        <w:rPr>
          <w:sz w:val="32"/>
          <w:szCs w:val="32"/>
        </w:rPr>
        <w:fldChar w:fldCharType="begin"/>
      </w:r>
      <w:r>
        <w:rPr>
          <w:sz w:val="32"/>
          <w:szCs w:val="32"/>
        </w:rPr>
        <w:instrText xml:space="preserve"> HYPERLINK "http://www.so.com/s?q=水平&amp;ie=utf-8&amp;src=internal_wenda_recommend_textn" </w:instrText>
      </w:r>
      <w:r>
        <w:rPr>
          <w:sz w:val="32"/>
          <w:szCs w:val="32"/>
        </w:rPr>
        <w:fldChar w:fldCharType="separate"/>
      </w:r>
      <w:r>
        <w:rPr>
          <w:rFonts w:ascii="仿宋" w:hAnsi="仿宋" w:eastAsia="仿宋" w:cs="仿宋"/>
          <w:spacing w:val="5"/>
          <w:sz w:val="32"/>
          <w:szCs w:val="32"/>
        </w:rPr>
        <w:t>水平</w:t>
      </w:r>
      <w:r>
        <w:rPr>
          <w:rFonts w:ascii="仿宋" w:hAnsi="仿宋" w:eastAsia="仿宋" w:cs="仿宋"/>
          <w:spacing w:val="5"/>
          <w:sz w:val="32"/>
          <w:szCs w:val="32"/>
        </w:rPr>
        <w:fldChar w:fldCharType="end"/>
      </w:r>
      <w:r>
        <w:rPr>
          <w:rFonts w:ascii="仿宋" w:hAnsi="仿宋" w:eastAsia="仿宋" w:cs="仿宋"/>
          <w:spacing w:val="5"/>
          <w:sz w:val="32"/>
          <w:szCs w:val="32"/>
        </w:rPr>
        <w:t>。</w:t>
      </w:r>
    </w:p>
    <w:p>
      <w:pPr>
        <w:spacing w:before="234" w:line="291" w:lineRule="auto"/>
        <w:ind w:left="2" w:firstLine="642"/>
        <w:jc w:val="both"/>
        <w:rPr>
          <w:rFonts w:ascii="仿宋" w:hAnsi="仿宋" w:eastAsia="仿宋" w:cs="仿宋"/>
          <w:spacing w:val="8"/>
          <w:sz w:val="32"/>
          <w:szCs w:val="32"/>
        </w:rPr>
      </w:pPr>
      <w:r>
        <w:rPr>
          <w:rFonts w:ascii="仿宋" w:hAnsi="仿宋" w:eastAsia="仿宋" w:cs="仿宋"/>
          <w:spacing w:val="8"/>
          <w:sz w:val="32"/>
          <w:szCs w:val="32"/>
        </w:rPr>
        <w:t>（三）要抓全校</w:t>
      </w:r>
      <w:r>
        <w:rPr>
          <w:sz w:val="32"/>
          <w:szCs w:val="32"/>
        </w:rPr>
        <w:fldChar w:fldCharType="begin"/>
      </w:r>
      <w:r>
        <w:rPr>
          <w:sz w:val="32"/>
          <w:szCs w:val="32"/>
        </w:rPr>
        <w:instrText xml:space="preserve"> HYPERLINK "http://www.so.com/s?q=教学计划&amp;ie=utf-8&amp;src=internal_wenda_recommend_textn" </w:instrText>
      </w:r>
      <w:r>
        <w:rPr>
          <w:sz w:val="32"/>
          <w:szCs w:val="32"/>
        </w:rPr>
        <w:fldChar w:fldCharType="separate"/>
      </w:r>
      <w:r>
        <w:rPr>
          <w:rFonts w:ascii="仿宋" w:hAnsi="仿宋" w:eastAsia="仿宋" w:cs="仿宋"/>
          <w:spacing w:val="8"/>
          <w:sz w:val="32"/>
          <w:szCs w:val="32"/>
        </w:rPr>
        <w:t>教学计划</w:t>
      </w:r>
      <w:r>
        <w:rPr>
          <w:rFonts w:ascii="仿宋" w:hAnsi="仿宋" w:eastAsia="仿宋" w:cs="仿宋"/>
          <w:spacing w:val="8"/>
          <w:sz w:val="32"/>
          <w:szCs w:val="32"/>
        </w:rPr>
        <w:fldChar w:fldCharType="end"/>
      </w:r>
      <w:r>
        <w:rPr>
          <w:rFonts w:ascii="仿宋" w:hAnsi="仿宋" w:eastAsia="仿宋" w:cs="仿宋"/>
          <w:spacing w:val="8"/>
          <w:sz w:val="32"/>
          <w:szCs w:val="32"/>
        </w:rPr>
        <w:t>的制订,</w:t>
      </w:r>
      <w:r>
        <w:rPr>
          <w:sz w:val="32"/>
          <w:szCs w:val="32"/>
        </w:rPr>
        <w:fldChar w:fldCharType="begin"/>
      </w:r>
      <w:r>
        <w:rPr>
          <w:sz w:val="32"/>
          <w:szCs w:val="32"/>
        </w:rPr>
        <w:instrText xml:space="preserve"> HYPERLINK "http://www.so.com/s?q=组织&amp;ie=utf-8&amp;src=internal_wenda_recommend_textn" </w:instrText>
      </w:r>
      <w:r>
        <w:rPr>
          <w:sz w:val="32"/>
          <w:szCs w:val="32"/>
        </w:rPr>
        <w:fldChar w:fldCharType="separate"/>
      </w:r>
      <w:r>
        <w:rPr>
          <w:rFonts w:ascii="仿宋" w:hAnsi="仿宋" w:eastAsia="仿宋" w:cs="仿宋"/>
          <w:spacing w:val="8"/>
          <w:sz w:val="32"/>
          <w:szCs w:val="32"/>
        </w:rPr>
        <w:t>组织</w:t>
      </w:r>
      <w:r>
        <w:rPr>
          <w:rFonts w:ascii="仿宋" w:hAnsi="仿宋" w:eastAsia="仿宋" w:cs="仿宋"/>
          <w:spacing w:val="8"/>
          <w:sz w:val="32"/>
          <w:szCs w:val="32"/>
        </w:rPr>
        <w:fldChar w:fldCharType="end"/>
      </w:r>
      <w:r>
        <w:rPr>
          <w:sz w:val="32"/>
          <w:szCs w:val="32"/>
        </w:rPr>
        <w:fldChar w:fldCharType="begin"/>
      </w:r>
      <w:r>
        <w:rPr>
          <w:sz w:val="32"/>
          <w:szCs w:val="32"/>
        </w:rPr>
        <w:instrText xml:space="preserve"> HYPERLINK "http://www.so.com/s?q=教师&amp;ie=utf-8&amp;src=internal_wenda_recommend_textn" </w:instrText>
      </w:r>
      <w:r>
        <w:rPr>
          <w:sz w:val="32"/>
          <w:szCs w:val="32"/>
        </w:rPr>
        <w:fldChar w:fldCharType="separate"/>
      </w:r>
      <w:r>
        <w:rPr>
          <w:rFonts w:ascii="仿宋" w:hAnsi="仿宋" w:eastAsia="仿宋" w:cs="仿宋"/>
          <w:spacing w:val="8"/>
          <w:sz w:val="32"/>
          <w:szCs w:val="32"/>
        </w:rPr>
        <w:t>教师</w:t>
      </w:r>
      <w:r>
        <w:rPr>
          <w:rFonts w:ascii="仿宋" w:hAnsi="仿宋" w:eastAsia="仿宋" w:cs="仿宋"/>
          <w:spacing w:val="8"/>
          <w:sz w:val="32"/>
          <w:szCs w:val="32"/>
        </w:rPr>
        <w:fldChar w:fldCharType="end"/>
      </w:r>
      <w:r>
        <w:rPr>
          <w:rFonts w:ascii="仿宋" w:hAnsi="仿宋" w:eastAsia="仿宋" w:cs="仿宋"/>
          <w:spacing w:val="8"/>
          <w:sz w:val="32"/>
          <w:szCs w:val="32"/>
        </w:rPr>
        <w:t>学习国家颁发的</w:t>
      </w:r>
      <w:r>
        <w:rPr>
          <w:sz w:val="32"/>
          <w:szCs w:val="32"/>
        </w:rPr>
        <w:fldChar w:fldCharType="begin"/>
      </w:r>
      <w:r>
        <w:rPr>
          <w:sz w:val="32"/>
          <w:szCs w:val="32"/>
        </w:rPr>
        <w:instrText xml:space="preserve"> HYPERLINK "http://www.so.com/s?q=教学大纲&amp;ie=utf-8&amp;src=internal_wenda_recommend_textn" </w:instrText>
      </w:r>
      <w:r>
        <w:rPr>
          <w:sz w:val="32"/>
          <w:szCs w:val="32"/>
        </w:rPr>
        <w:fldChar w:fldCharType="separate"/>
      </w:r>
      <w:r>
        <w:rPr>
          <w:rFonts w:ascii="仿宋" w:hAnsi="仿宋" w:eastAsia="仿宋" w:cs="仿宋"/>
          <w:spacing w:val="8"/>
          <w:sz w:val="32"/>
          <w:szCs w:val="32"/>
        </w:rPr>
        <w:t>教学大</w:t>
      </w:r>
      <w:r>
        <w:rPr>
          <w:rFonts w:ascii="仿宋" w:hAnsi="仿宋" w:eastAsia="仿宋" w:cs="仿宋"/>
          <w:spacing w:val="8"/>
          <w:sz w:val="32"/>
          <w:szCs w:val="32"/>
        </w:rPr>
        <w:fldChar w:fldCharType="end"/>
      </w:r>
      <w:r>
        <w:rPr>
          <w:rFonts w:ascii="仿宋" w:hAnsi="仿宋" w:eastAsia="仿宋" w:cs="仿宋"/>
          <w:spacing w:val="11"/>
          <w:sz w:val="32"/>
          <w:szCs w:val="32"/>
        </w:rPr>
        <w:t xml:space="preserve"> </w:t>
      </w:r>
      <w:r>
        <w:rPr>
          <w:rFonts w:ascii="仿宋" w:hAnsi="仿宋" w:eastAsia="仿宋" w:cs="仿宋"/>
          <w:spacing w:val="8"/>
          <w:sz w:val="32"/>
          <w:szCs w:val="32"/>
        </w:rPr>
        <w:t>纲,制订出教学计划,并组织教师进行讨论,使计划得到完善。</w:t>
      </w:r>
      <w:bookmarkStart w:id="21" w:name="_Toc256000067"/>
      <w:bookmarkStart w:id="22" w:name="_Toc256000005"/>
      <w:bookmarkStart w:id="23" w:name="_Toc256000036"/>
      <w:bookmarkStart w:id="24" w:name="_Toc256000098"/>
    </w:p>
    <w:p>
      <w:pPr>
        <w:spacing w:before="234" w:line="291" w:lineRule="auto"/>
        <w:ind w:left="2" w:firstLine="642"/>
        <w:rPr>
          <w:rFonts w:ascii="仿宋" w:hAnsi="仿宋" w:eastAsia="仿宋" w:cs="仿宋"/>
          <w:spacing w:val="8"/>
          <w:sz w:val="32"/>
          <w:szCs w:val="32"/>
        </w:rPr>
      </w:pPr>
    </w:p>
    <w:p>
      <w:pPr>
        <w:spacing w:before="234" w:line="291" w:lineRule="auto"/>
        <w:ind w:left="2" w:firstLine="642"/>
        <w:jc w:val="center"/>
        <w:rPr>
          <w:rFonts w:ascii="Times New Roman" w:hAnsi="Times New Roman" w:eastAsia="Times New Roman" w:cs="Times New Roman"/>
          <w:b/>
          <w:bCs/>
          <w:kern w:val="0"/>
          <w:sz w:val="32"/>
          <w:szCs w:val="32"/>
        </w:rPr>
      </w:pPr>
      <w:r>
        <w:rPr>
          <w:rFonts w:ascii="黑体" w:hAnsi="黑体" w:eastAsia="黑体" w:cs="黑体"/>
          <w:b/>
          <w:spacing w:val="0"/>
          <w:sz w:val="32"/>
          <w:szCs w:val="32"/>
        </w:rPr>
        <w:t>第二部分</w:t>
      </w:r>
      <w:bookmarkEnd w:id="21"/>
      <w:bookmarkEnd w:id="22"/>
      <w:bookmarkEnd w:id="23"/>
      <w:bookmarkEnd w:id="24"/>
      <w:bookmarkStart w:id="25" w:name="_Toc256000037"/>
      <w:bookmarkStart w:id="26" w:name="_Toc256000099"/>
      <w:bookmarkStart w:id="27" w:name="_Toc256000006"/>
      <w:bookmarkStart w:id="28" w:name="_Toc256000068"/>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5"/>
      <w:bookmarkEnd w:id="26"/>
      <w:bookmarkEnd w:id="27"/>
      <w:bookmarkEnd w:id="28"/>
    </w:p>
    <w:p>
      <w:pPr>
        <w:pStyle w:val="32"/>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vanish/>
          <w:kern w:val="0"/>
          <w:sz w:val="18"/>
          <w:szCs w:val="18"/>
        </w:rPr>
      </w:pPr>
      <w:bookmarkStart w:id="29" w:name="_Toc256000038"/>
      <w:bookmarkStart w:id="30" w:name="_Toc256000007"/>
      <w:bookmarkStart w:id="31" w:name="_Toc256000069"/>
      <w:bookmarkStart w:id="32" w:name="_Toc256000100"/>
      <w:r>
        <w:rPr>
          <w:rFonts w:ascii="黑体" w:hAnsi="黑体" w:eastAsia="黑体" w:cs="黑体"/>
          <w:b/>
          <w:spacing w:val="0"/>
          <w:sz w:val="32"/>
          <w:szCs w:val="32"/>
        </w:rPr>
        <w:t>一、收入支出决算总表</w:t>
      </w:r>
      <w:bookmarkEnd w:id="29"/>
      <w:bookmarkEnd w:id="30"/>
      <w:bookmarkEnd w:id="31"/>
      <w:bookmarkEnd w:id="32"/>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512"/>
        <w:gridCol w:w="1510"/>
        <w:gridCol w:w="1511"/>
        <w:gridCol w:w="1511"/>
        <w:gridCol w:w="1511"/>
        <w:gridCol w:w="1511"/>
      </w:tblGrid>
      <w:tr>
        <w:tblPrEx>
          <w:tblLayout w:type="fixed"/>
          <w:tblCellMar>
            <w:top w:w="15" w:type="dxa"/>
            <w:left w:w="15" w:type="dxa"/>
            <w:bottom w:w="15" w:type="dxa"/>
            <w:right w:w="15" w:type="dxa"/>
          </w:tblCellMar>
        </w:tblPrEx>
        <w:trPr>
          <w:trHeight w:val="0" w:hRule="atLeast"/>
          <w:tblHeader/>
          <w:jc w:val="center"/>
        </w:trPr>
        <w:tc>
          <w:tcPr>
            <w:tcW w:w="906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0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5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5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72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33" w:name="_Toc256000039"/>
      <w:bookmarkStart w:id="34" w:name="_Toc256000070"/>
      <w:bookmarkStart w:id="35" w:name="_Toc256000008"/>
      <w:bookmarkStart w:id="36" w:name="_Toc256000101"/>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pPr w:leftFromText="180" w:rightFromText="180" w:vertAnchor="text" w:horzAnchor="page" w:tblpXSpec="center" w:tblpY="-8"/>
        <w:tblOverlap w:val="never"/>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2,183.42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2,183.42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177.84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177.84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本年度取得的各项收入情况。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72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37" w:name="_Toc256000071"/>
      <w:bookmarkStart w:id="38" w:name="_Toc256000040"/>
      <w:bookmarkStart w:id="39" w:name="_Toc256000102"/>
      <w:bookmarkStart w:id="40" w:name="_Toc256000009"/>
      <w:r>
        <w:rPr>
          <w:rFonts w:ascii="黑体" w:hAnsi="黑体" w:eastAsia="黑体" w:cs="黑体"/>
          <w:b/>
          <w:spacing w:val="0"/>
          <w:sz w:val="32"/>
          <w:szCs w:val="32"/>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922"/>
        <w:gridCol w:w="855"/>
        <w:gridCol w:w="835"/>
        <w:gridCol w:w="921"/>
        <w:gridCol w:w="922"/>
        <w:gridCol w:w="922"/>
        <w:gridCol w:w="923"/>
        <w:gridCol w:w="922"/>
        <w:gridCol w:w="922"/>
        <w:gridCol w:w="922"/>
      </w:tblGrid>
      <w:tr>
        <w:tblPrEx>
          <w:tblLayout w:type="fixed"/>
          <w:tblCellMar>
            <w:top w:w="15" w:type="dxa"/>
            <w:left w:w="15" w:type="dxa"/>
            <w:bottom w:w="15" w:type="dxa"/>
            <w:right w:w="15" w:type="dxa"/>
          </w:tblCellMar>
        </w:tblPrEx>
        <w:trPr>
          <w:tblHeader/>
        </w:trPr>
        <w:tc>
          <w:tcPr>
            <w:tcW w:w="906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455"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2612"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92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61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2,533.37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386.58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2,061.21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381.91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2,183.42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2,061.21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177.84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55.63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本年度各项支出情况。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41" w:name="_Toc256000072"/>
      <w:bookmarkStart w:id="42" w:name="_Toc256000010"/>
      <w:bookmarkStart w:id="43" w:name="_Toc256000041"/>
      <w:bookmarkStart w:id="44" w:name="_Toc256000103"/>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
        <w:gridCol w:w="1007"/>
      </w:tblGrid>
      <w:tr>
        <w:tblPrEx>
          <w:tblLayout w:type="fixed"/>
          <w:tblCellMar>
            <w:top w:w="15" w:type="dxa"/>
            <w:left w:w="15" w:type="dxa"/>
            <w:bottom w:w="15" w:type="dxa"/>
            <w:right w:w="15" w:type="dxa"/>
          </w:tblCellMar>
        </w:tblPrEx>
        <w:trPr>
          <w:tblHeader/>
        </w:trPr>
        <w:tc>
          <w:tcPr>
            <w:tcW w:w="906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201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045" w:type="dxa"/>
            <w:gridSpan w:val="9"/>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2,919.95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18"/>
          <w:szCs w:val="18"/>
        </w:rPr>
      </w:pPr>
      <w:bookmarkStart w:id="45" w:name="_Toc256000104"/>
      <w:bookmarkStart w:id="46" w:name="_Toc256000042"/>
      <w:bookmarkStart w:id="47" w:name="_Toc256000073"/>
      <w:bookmarkStart w:id="48" w:name="_Toc256000011"/>
    </w:p>
    <w:p>
      <w:pPr>
        <w:pStyle w:val="6"/>
        <w:keepNext w:val="0"/>
        <w:keepLines w:val="0"/>
        <w:spacing w:before="100" w:after="100" w:line="240" w:lineRule="auto"/>
        <w:ind w:left="720" w:right="0" w:hanging="720" w:firstLineChars="0"/>
        <w:rPr>
          <w:rFonts w:ascii="黑体" w:hAnsi="黑体" w:eastAsia="黑体" w:cs="黑体"/>
          <w:b/>
          <w:spacing w:val="0"/>
          <w:sz w:val="18"/>
          <w:szCs w:val="18"/>
        </w:rPr>
      </w:pPr>
    </w:p>
    <w:p>
      <w:pPr>
        <w:pStyle w:val="6"/>
        <w:keepNext w:val="0"/>
        <w:keepLines w:val="0"/>
        <w:spacing w:before="100" w:after="100" w:line="240" w:lineRule="auto"/>
        <w:ind w:left="720" w:right="0" w:hanging="720" w:firstLineChars="0"/>
        <w:rPr>
          <w:rFonts w:ascii="黑体" w:hAnsi="黑体" w:eastAsia="黑体" w:cs="黑体"/>
          <w:b/>
          <w:spacing w:val="0"/>
          <w:sz w:val="18"/>
          <w:szCs w:val="18"/>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vanish/>
          <w:kern w:val="0"/>
          <w:sz w:val="18"/>
          <w:szCs w:val="18"/>
        </w:rPr>
      </w:pPr>
      <w:r>
        <w:rPr>
          <w:rFonts w:ascii="黑体" w:hAnsi="黑体" w:eastAsia="黑体" w:cs="黑体"/>
          <w:b/>
          <w:spacing w:val="0"/>
          <w:sz w:val="32"/>
          <w:szCs w:val="32"/>
        </w:rPr>
        <w:t>五、一般公共预算财政拨款支出决算表</w:t>
      </w:r>
      <w:bookmarkEnd w:id="45"/>
      <w:bookmarkEnd w:id="46"/>
      <w:bookmarkEnd w:id="47"/>
      <w:bookmarkEnd w:id="48"/>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Layout w:type="fixed"/>
          <w:tblCellMar>
            <w:top w:w="15" w:type="dxa"/>
            <w:left w:w="15" w:type="dxa"/>
            <w:bottom w:w="15" w:type="dxa"/>
            <w:right w:w="15" w:type="dxa"/>
          </w:tblCellMar>
        </w:tblPrEx>
        <w:trPr>
          <w:tblHeader/>
        </w:trPr>
        <w:tc>
          <w:tcPr>
            <w:tcW w:w="906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42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3778"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2,915.28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2,533.37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381.91</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2,443.12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2,061.21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381.91</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2,183.42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2,061.21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122.2</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2,005.58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177.84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55.63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122.2</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259.05</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0.65</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355.18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80.87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18"/>
          <w:szCs w:val="18"/>
        </w:rPr>
      </w:pPr>
      <w:bookmarkStart w:id="49" w:name="_Toc256000012"/>
      <w:bookmarkStart w:id="50" w:name="_Toc256000105"/>
      <w:bookmarkStart w:id="51" w:name="_Toc256000043"/>
      <w:bookmarkStart w:id="52" w:name="_Toc256000074"/>
    </w:p>
    <w:p>
      <w:pPr>
        <w:pStyle w:val="6"/>
        <w:keepNext w:val="0"/>
        <w:keepLines w:val="0"/>
        <w:spacing w:before="100" w:after="100" w:line="240" w:lineRule="auto"/>
        <w:ind w:left="0" w:leftChars="0" w:right="0" w:firstLine="0" w:firstLineChars="0"/>
        <w:rPr>
          <w:rFonts w:ascii="黑体" w:hAnsi="黑体" w:eastAsia="黑体" w:cs="黑体"/>
          <w:b/>
          <w:spacing w:val="0"/>
          <w:sz w:val="18"/>
          <w:szCs w:val="18"/>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2,177.22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217.81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83.48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412.25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20.53</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693.87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20.53</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132.74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121.71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117.81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106.48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2,295.03</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238.34</w:t>
            </w:r>
          </w:p>
        </w:tc>
      </w:tr>
      <w:tr>
        <w:tblPrEx>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本年度一般公共预算财政拨款基本支出明细情况。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2"/>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bookmarkStart w:id="53" w:name="_Toc256000075"/>
      <w:bookmarkStart w:id="54" w:name="_Toc256000013"/>
      <w:bookmarkStart w:id="55" w:name="_Toc256000044"/>
      <w:bookmarkStart w:id="56" w:name="_Toc256000106"/>
      <w:r>
        <w:rPr>
          <w:rFonts w:ascii="黑体" w:hAnsi="黑体" w:eastAsia="黑体" w:cs="黑体"/>
          <w:b/>
          <w:spacing w:val="0"/>
          <w:sz w:val="32"/>
          <w:szCs w:val="32"/>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blHeader/>
        </w:trPr>
        <w:tc>
          <w:tcPr>
            <w:tcW w:w="9066" w:type="dxa"/>
            <w:gridSpan w:val="1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531" w:type="dxa"/>
            <w:gridSpan w:val="7"/>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5"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r>
      <w:bookmarkEnd w:id="125"/>
      <w:tr>
        <w:tblPrEx>
          <w:tblLayout w:type="fixed"/>
          <w:tblCellMar>
            <w:top w:w="15" w:type="dxa"/>
            <w:left w:w="15" w:type="dxa"/>
            <w:bottom w:w="15" w:type="dxa"/>
            <w:right w:w="15" w:type="dxa"/>
          </w:tblCellMar>
        </w:tblPrEx>
        <w:tc>
          <w:tcPr>
            <w:tcW w:w="9066" w:type="dxa"/>
            <w:gridSpan w:val="1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0" w:right="0" w:firstLine="640" w:firstLineChars="200"/>
        <w:rPr>
          <w:rFonts w:ascii="黑体" w:hAnsi="黑体" w:eastAsia="黑体" w:cs="黑体"/>
          <w:b/>
          <w:spacing w:val="0"/>
          <w:sz w:val="32"/>
          <w:szCs w:val="32"/>
        </w:rPr>
      </w:pPr>
      <w:bookmarkStart w:id="57" w:name="_Toc256000107"/>
      <w:bookmarkStart w:id="58" w:name="_Toc256000076"/>
      <w:bookmarkStart w:id="59" w:name="_Toc256000045"/>
      <w:bookmarkStart w:id="60" w:name="_Toc256000014"/>
      <w:r>
        <w:rPr>
          <w:rFonts w:ascii="仿宋" w:hAnsi="仿宋" w:eastAsia="仿宋" w:cs="仿宋"/>
          <w:b w:val="0"/>
          <w:bCs w:val="0"/>
          <w:i w:val="0"/>
          <w:iCs w:val="0"/>
          <w:caps w:val="0"/>
          <w:smallCaps w:val="0"/>
          <w:color w:val="000000"/>
          <w:kern w:val="0"/>
          <w:sz w:val="32"/>
          <w:szCs w:val="32"/>
          <w:lang w:eastAsia="zh-CN"/>
        </w:rPr>
        <w:t>本单位</w:t>
      </w:r>
      <w:r>
        <w:rPr>
          <w:rFonts w:ascii="仿宋" w:hAnsi="仿宋" w:eastAsia="仿宋" w:cs="仿宋"/>
          <w:b w:val="0"/>
          <w:bCs w:val="0"/>
          <w:i w:val="0"/>
          <w:iCs w:val="0"/>
          <w:caps w:val="0"/>
          <w:smallCaps w:val="0"/>
          <w:color w:val="000000"/>
          <w:kern w:val="0"/>
          <w:sz w:val="32"/>
          <w:szCs w:val="32"/>
          <w:lang w:val="en-US" w:eastAsia="zh-CN"/>
        </w:rPr>
        <w:t>2024年度没有使用一般公共预算财政拨款安排的“三公”经费支出。</w:t>
      </w: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政府性基金预算财政拨款收入支出决算表</w:t>
            </w:r>
          </w:p>
        </w:tc>
      </w:tr>
      <w:tr>
        <w:tblPrEx>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本年度政府性基金预算财政拨款收入、支出及结转和结余情况。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bookmarkStart w:id="61" w:name="_Toc256000046"/>
      <w:bookmarkStart w:id="62" w:name="_Toc256000015"/>
      <w:bookmarkStart w:id="63" w:name="_Toc256000108"/>
      <w:bookmarkStart w:id="64" w:name="_Toc256000077"/>
    </w:p>
    <w:p>
      <w:pPr>
        <w:widowControl/>
        <w:jc w:val="left"/>
        <w:rPr>
          <w:rFonts w:ascii="Times New Roman" w:hAnsi="Times New Roman" w:eastAsia="Times New Roman" w:cs="Times New Roman"/>
          <w:kern w:val="0"/>
          <w:sz w:val="18"/>
          <w:szCs w:val="18"/>
        </w:rPr>
      </w:pPr>
    </w:p>
    <w:p>
      <w:pPr>
        <w:widowControl/>
        <w:jc w:val="left"/>
        <w:rPr>
          <w:rFonts w:ascii="Times New Roman" w:hAnsi="Times New Roman" w:eastAsia="Times New Roman" w:cs="Times New Roman"/>
          <w:kern w:val="0"/>
          <w:sz w:val="18"/>
          <w:szCs w:val="18"/>
        </w:rPr>
      </w:pPr>
    </w:p>
    <w:p>
      <w:pPr>
        <w:widowControl/>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tblInd w:w="0" w:type="dxa"/>
        <w:tblLayout w:type="fixed"/>
        <w:tblCellMar>
          <w:top w:w="15" w:type="dxa"/>
          <w:left w:w="15" w:type="dxa"/>
          <w:bottom w:w="15" w:type="dxa"/>
          <w:right w:w="15" w:type="dxa"/>
        </w:tblCellMar>
      </w:tblPr>
      <w:tblGrid>
        <w:gridCol w:w="1813"/>
        <w:gridCol w:w="1813"/>
        <w:gridCol w:w="1813"/>
        <w:gridCol w:w="1814"/>
        <w:gridCol w:w="1813"/>
      </w:tblGrid>
      <w:tr>
        <w:tblPrEx>
          <w:tblLayout w:type="fixed"/>
          <w:tblCellMar>
            <w:top w:w="15" w:type="dxa"/>
            <w:left w:w="15" w:type="dxa"/>
            <w:bottom w:w="15" w:type="dxa"/>
            <w:right w:w="15" w:type="dxa"/>
          </w:tblCellMar>
        </w:tblPrEx>
        <w:trPr>
          <w:tblHead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单位：厦门市安兜小学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本年度国有资本经营预算财政拨款支出情况。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240" w:after="240"/>
        <w:jc w:val="left"/>
        <w:rPr>
          <w:rFonts w:ascii="黑体" w:hAnsi="黑体" w:eastAsia="黑体" w:cs="黑体"/>
          <w:kern w:val="0"/>
          <w:sz w:val="32"/>
          <w:szCs w:val="32"/>
        </w:rPr>
      </w:pPr>
      <w:r>
        <w:rPr>
          <w:rFonts w:ascii="Calibri" w:hAnsi="Calibri" w:eastAsia="Calibri" w:cs="Calibri"/>
          <w:spacing w:val="0"/>
          <w:kern w:val="0"/>
          <w:sz w:val="32"/>
          <w:szCs w:val="32"/>
        </w:rPr>
        <w:t> </w:t>
      </w:r>
      <w:r>
        <w:rPr>
          <w:rFonts w:hint="eastAsia" w:ascii="Calibri" w:hAnsi="Calibri" w:eastAsia="宋体" w:cs="Calibri"/>
          <w:spacing w:val="0"/>
          <w:kern w:val="0"/>
          <w:sz w:val="32"/>
          <w:szCs w:val="32"/>
          <w:lang w:val="en-US" w:eastAsia="zh-CN"/>
        </w:rPr>
        <w:t xml:space="preserve">        </w:t>
      </w:r>
      <w:r>
        <w:rPr>
          <w:rFonts w:ascii="仿宋" w:hAnsi="仿宋" w:eastAsia="仿宋" w:cs="仿宋"/>
          <w:kern w:val="0"/>
          <w:sz w:val="32"/>
          <w:szCs w:val="32"/>
        </w:rPr>
        <w:t>本</w:t>
      </w:r>
      <w:r>
        <w:rPr>
          <w:rFonts w:ascii="仿宋" w:hAnsi="仿宋" w:eastAsia="仿宋" w:cs="仿宋"/>
          <w:kern w:val="0"/>
          <w:sz w:val="32"/>
          <w:szCs w:val="32"/>
          <w:lang w:eastAsia="zh-CN"/>
        </w:rPr>
        <w:t>单位</w:t>
      </w:r>
      <w:r>
        <w:rPr>
          <w:rFonts w:ascii="仿宋" w:hAnsi="仿宋" w:eastAsia="仿宋" w:cs="仿宋"/>
          <w:kern w:val="0"/>
          <w:sz w:val="32"/>
          <w:szCs w:val="32"/>
        </w:rPr>
        <w:t>202</w:t>
      </w:r>
      <w:r>
        <w:rPr>
          <w:rFonts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ascii="仿宋" w:hAnsi="仿宋" w:eastAsia="仿宋" w:cs="仿宋"/>
          <w:kern w:val="0"/>
          <w:sz w:val="32"/>
          <w:szCs w:val="32"/>
          <w:lang w:eastAsia="zh-CN"/>
        </w:rPr>
        <w:t>支出。</w:t>
      </w:r>
    </w:p>
    <w:p>
      <w:pPr>
        <w:pStyle w:val="31"/>
        <w:widowControl/>
        <w:spacing w:before="240" w:after="240"/>
        <w:jc w:val="left"/>
        <w:rPr>
          <w:rFonts w:ascii="Times New Roman" w:hAnsi="Times New Roman" w:eastAsia="Times New Roman" w:cs="Times New Roman"/>
          <w:kern w:val="0"/>
          <w:sz w:val="18"/>
          <w:szCs w:val="18"/>
        </w:rPr>
        <w:sectPr>
          <w:footerReference r:id="rId5" w:type="default"/>
          <w:pgSz w:w="11906" w:h="16383"/>
          <w:pgMar w:top="1179" w:right="1440" w:bottom="1179" w:left="1440" w:header="720" w:footer="720" w:gutter="0"/>
          <w:cols w:space="720" w:num="1"/>
        </w:sect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bookmarkStart w:id="65" w:name="_Toc256000078"/>
      <w:bookmarkStart w:id="66" w:name="_Toc256000016"/>
      <w:bookmarkStart w:id="67" w:name="_Toc256000109"/>
      <w:bookmarkStart w:id="68" w:name="_Toc256000047"/>
      <w:r>
        <w:rPr>
          <w:rFonts w:ascii="黑体" w:hAnsi="黑体" w:eastAsia="黑体" w:cs="黑体"/>
          <w:b/>
          <w:spacing w:val="0"/>
          <w:sz w:val="32"/>
          <w:szCs w:val="32"/>
        </w:rPr>
        <w:t>第三部分</w:t>
      </w:r>
      <w:bookmarkEnd w:id="65"/>
      <w:bookmarkEnd w:id="66"/>
      <w:bookmarkEnd w:id="67"/>
      <w:bookmarkEnd w:id="68"/>
      <w:bookmarkStart w:id="69" w:name="_Toc256000048"/>
      <w:bookmarkStart w:id="70" w:name="_Toc256000017"/>
      <w:bookmarkStart w:id="71" w:name="_Toc256000110"/>
      <w:bookmarkStart w:id="72" w:name="_Toc256000079"/>
      <w:r>
        <w:rPr>
          <w:rFonts w:hint="eastAsia" w:ascii="黑体" w:hAnsi="黑体" w:eastAsia="黑体" w:cs="黑体"/>
          <w:b/>
          <w:spacing w:val="0"/>
          <w:sz w:val="32"/>
          <w:szCs w:val="32"/>
          <w:lang w:val="en-US" w:eastAsia="zh-CN"/>
        </w:rPr>
        <w:t xml:space="preserve"> </w:t>
      </w:r>
      <w:r>
        <w:rPr>
          <w:rFonts w:hint="eastAsia" w:ascii="仿宋" w:hAnsi="仿宋" w:eastAsia="仿宋" w:cs="仿宋"/>
          <w:b/>
          <w:bCs/>
          <w:spacing w:val="0"/>
          <w:sz w:val="32"/>
          <w:szCs w:val="32"/>
        </w:rPr>
        <w:t>2024年度决算情况说明</w:t>
      </w:r>
      <w:bookmarkEnd w:id="69"/>
      <w:bookmarkEnd w:id="70"/>
      <w:bookmarkEnd w:id="71"/>
      <w:bookmarkEnd w:id="72"/>
    </w:p>
    <w:p>
      <w:pPr>
        <w:widowControl/>
        <w:spacing w:before="240" w:after="240"/>
        <w:jc w:val="left"/>
        <w:rPr>
          <w:rFonts w:hint="eastAsia" w:ascii="仿宋" w:hAnsi="仿宋" w:eastAsia="仿宋" w:cs="仿宋"/>
          <w:b w:val="0"/>
          <w:bCs w:val="0"/>
          <w:vanish/>
          <w:kern w:val="0"/>
          <w:sz w:val="32"/>
          <w:szCs w:val="32"/>
        </w:rPr>
      </w:pPr>
      <w:r>
        <w:rPr>
          <w:rFonts w:hint="eastAsia" w:ascii="仿宋" w:hAnsi="仿宋" w:eastAsia="仿宋" w:cs="仿宋"/>
          <w:b w:val="0"/>
          <w:bCs w:val="0"/>
          <w:vanish/>
          <w:kern w:val="0"/>
          <w:sz w:val="32"/>
          <w:szCs w:val="32"/>
        </w:rPr>
        <w:t>word page break</w:t>
      </w:r>
    </w:p>
    <w:p>
      <w:pPr>
        <w:widowControl/>
        <w:spacing w:before="240" w:after="240"/>
        <w:jc w:val="left"/>
        <w:rPr>
          <w:rFonts w:hint="eastAsia" w:ascii="仿宋" w:hAnsi="仿宋" w:eastAsia="仿宋" w:cs="仿宋"/>
          <w:b w:val="0"/>
          <w:bCs w:val="0"/>
          <w:kern w:val="0"/>
          <w:sz w:val="32"/>
          <w:szCs w:val="32"/>
        </w:rPr>
      </w:pPr>
    </w:p>
    <w:p>
      <w:pPr>
        <w:pStyle w:val="6"/>
        <w:keepNext w:val="0"/>
        <w:keepLines w:val="0"/>
        <w:spacing w:before="100" w:after="100" w:line="600" w:lineRule="atLeast"/>
        <w:ind w:right="0" w:firstLine="964" w:firstLineChars="300"/>
        <w:rPr>
          <w:rFonts w:hint="eastAsia" w:ascii="仿宋" w:hAnsi="仿宋" w:eastAsia="仿宋" w:cs="仿宋"/>
          <w:b/>
          <w:bCs/>
          <w:kern w:val="0"/>
          <w:sz w:val="32"/>
          <w:szCs w:val="32"/>
        </w:rPr>
      </w:pPr>
      <w:bookmarkStart w:id="73" w:name="_Toc256000080"/>
      <w:bookmarkStart w:id="74" w:name="_Toc256000049"/>
      <w:bookmarkStart w:id="75" w:name="_Toc256000018"/>
      <w:bookmarkStart w:id="76" w:name="_Toc256000111"/>
      <w:r>
        <w:rPr>
          <w:rFonts w:hint="eastAsia" w:ascii="仿宋" w:hAnsi="仿宋" w:eastAsia="仿宋" w:cs="仿宋"/>
          <w:b/>
          <w:bCs/>
          <w:spacing w:val="0"/>
          <w:sz w:val="32"/>
          <w:szCs w:val="32"/>
        </w:rPr>
        <w:t>一、收入支出决算总体情况说明</w:t>
      </w:r>
      <w:bookmarkEnd w:id="73"/>
      <w:bookmarkEnd w:id="74"/>
      <w:bookmarkEnd w:id="75"/>
      <w:bookmarkEnd w:id="76"/>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（一）收入支出决算总体情况说明</w:t>
      </w:r>
    </w:p>
    <w:p>
      <w:pPr>
        <w:pStyle w:val="31"/>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b w:val="0"/>
          <w:bCs w:val="0"/>
          <w:spacing w:val="0"/>
          <w:kern w:val="0"/>
          <w:sz w:val="32"/>
          <w:szCs w:val="32"/>
        </w:rPr>
        <w:t>2024年度本单位收入总计2919.95万元，支出总计2919.95万元，与上年决算数相比，各增加49.18万元，各增长1.71%。</w:t>
      </w:r>
      <w:r>
        <w:rPr>
          <w:rFonts w:ascii="仿宋" w:hAnsi="仿宋" w:eastAsia="仿宋" w:cs="仿宋"/>
          <w:kern w:val="0"/>
          <w:sz w:val="32"/>
          <w:szCs w:val="32"/>
        </w:rPr>
        <w:t>主要</w:t>
      </w:r>
      <w:r>
        <w:rPr>
          <w:rFonts w:hint="eastAsia" w:ascii="仿宋" w:hAnsi="仿宋" w:eastAsia="仿宋" w:cs="仿宋"/>
          <w:kern w:val="0"/>
          <w:sz w:val="32"/>
          <w:szCs w:val="32"/>
        </w:rPr>
        <w:t>是</w:t>
      </w:r>
      <w:r>
        <w:rPr>
          <w:rFonts w:hint="eastAsia" w:ascii="仿宋" w:hAnsi="仿宋" w:eastAsia="仿宋" w:cs="仿宋"/>
          <w:kern w:val="0"/>
          <w:sz w:val="32"/>
          <w:szCs w:val="32"/>
          <w:shd w:val="clear" w:fill="FFFFFF"/>
        </w:rPr>
        <w:t>校园建设，人员增加</w:t>
      </w:r>
      <w:r>
        <w:rPr>
          <w:rFonts w:hint="eastAsia" w:ascii="仿宋" w:hAnsi="仿宋" w:eastAsia="仿宋" w:cs="仿宋"/>
          <w:kern w:val="0"/>
          <w:sz w:val="32"/>
          <w:szCs w:val="32"/>
        </w:rPr>
        <w:t>。</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（二）收入决算情况说明</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2024年度收入2919.95万元，比上年决算数</w:t>
      </w:r>
      <w:r>
        <w:rPr>
          <w:rFonts w:hint="eastAsia" w:ascii="仿宋" w:hAnsi="仿宋" w:eastAsia="仿宋" w:cs="仿宋"/>
          <w:b w:val="0"/>
          <w:bCs w:val="0"/>
          <w:kern w:val="0"/>
          <w:sz w:val="32"/>
          <w:szCs w:val="32"/>
        </w:rPr>
        <w:t>增加</w:t>
      </w:r>
      <w:r>
        <w:rPr>
          <w:rFonts w:hint="eastAsia" w:ascii="仿宋" w:hAnsi="仿宋" w:eastAsia="仿宋" w:cs="仿宋"/>
          <w:b w:val="0"/>
          <w:bCs w:val="0"/>
          <w:spacing w:val="0"/>
          <w:kern w:val="0"/>
          <w:sz w:val="32"/>
          <w:szCs w:val="32"/>
        </w:rPr>
        <w:t>49.18万元，</w:t>
      </w:r>
      <w:r>
        <w:rPr>
          <w:rFonts w:hint="eastAsia" w:ascii="仿宋" w:hAnsi="仿宋" w:eastAsia="仿宋" w:cs="仿宋"/>
          <w:b w:val="0"/>
          <w:bCs w:val="0"/>
          <w:kern w:val="0"/>
          <w:sz w:val="32"/>
          <w:szCs w:val="32"/>
        </w:rPr>
        <w:t>增长</w:t>
      </w:r>
      <w:r>
        <w:rPr>
          <w:rFonts w:hint="eastAsia" w:ascii="仿宋" w:hAnsi="仿宋" w:eastAsia="仿宋" w:cs="仿宋"/>
          <w:b w:val="0"/>
          <w:bCs w:val="0"/>
          <w:spacing w:val="0"/>
          <w:kern w:val="0"/>
          <w:sz w:val="32"/>
          <w:szCs w:val="32"/>
        </w:rPr>
        <w:t>1.71%，具体情况如下：</w:t>
      </w:r>
    </w:p>
    <w:p>
      <w:pPr>
        <w:pStyle w:val="31"/>
        <w:widowControl/>
        <w:spacing w:before="100" w:after="100" w:line="600" w:lineRule="atLeast"/>
        <w:ind w:left="160" w:right="0" w:firstLine="48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1.一般公共预算财政拨款收入2915.28万元。</w:t>
      </w:r>
    </w:p>
    <w:p>
      <w:pPr>
        <w:pStyle w:val="31"/>
        <w:widowControl/>
        <w:spacing w:before="100" w:after="100" w:line="600" w:lineRule="atLeast"/>
        <w:ind w:left="160" w:right="0" w:firstLine="48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2.政府性基金预算财政拨款收入4.67万元。</w:t>
      </w:r>
    </w:p>
    <w:p>
      <w:pPr>
        <w:pStyle w:val="31"/>
        <w:widowControl/>
        <w:spacing w:before="100" w:after="100" w:line="600" w:lineRule="atLeast"/>
        <w:ind w:left="160" w:right="0" w:firstLine="48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3.国有资本经营预算财政拨款收入0万元。</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4.上级补助收入0万元。</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5.事业收入0万元。</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6.经营收入0万元。</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7.附属单位上缴收入0万元。</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8.其他收入0万元。</w:t>
      </w:r>
    </w:p>
    <w:p>
      <w:pPr>
        <w:pStyle w:val="31"/>
        <w:widowControl/>
        <w:spacing w:before="100" w:after="100" w:line="600" w:lineRule="atLeast"/>
        <w:ind w:left="0" w:right="0" w:firstLine="640"/>
        <w:jc w:val="both"/>
        <w:rPr>
          <w:rFonts w:hint="eastAsia" w:ascii="仿宋" w:hAnsi="仿宋" w:eastAsia="仿宋" w:cs="仿宋"/>
          <w:b w:val="0"/>
          <w:bCs w:val="0"/>
          <w:spacing w:val="0"/>
          <w:kern w:val="0"/>
          <w:sz w:val="32"/>
          <w:szCs w:val="32"/>
        </w:rPr>
      </w:pPr>
    </w:p>
    <w:p>
      <w:pPr>
        <w:pStyle w:val="31"/>
        <w:widowControl/>
        <w:spacing w:before="100" w:after="100" w:line="600" w:lineRule="atLeast"/>
        <w:ind w:left="0" w:right="0" w:firstLine="640"/>
        <w:jc w:val="both"/>
        <w:rPr>
          <w:rFonts w:hint="eastAsia" w:ascii="仿宋" w:hAnsi="仿宋" w:eastAsia="仿宋" w:cs="仿宋"/>
          <w:b w:val="0"/>
          <w:bCs w:val="0"/>
          <w:spacing w:val="0"/>
          <w:kern w:val="0"/>
          <w:sz w:val="32"/>
          <w:szCs w:val="32"/>
        </w:rPr>
      </w:pP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（三）支出决算情况说明</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2024年度支出2919.95万元，比上年决算数增加49.18万元，增长1.71%，具体情况如下：</w:t>
      </w:r>
    </w:p>
    <w:p>
      <w:pPr>
        <w:pStyle w:val="31"/>
        <w:widowControl/>
        <w:spacing w:before="100" w:after="100" w:line="600" w:lineRule="atLeast"/>
        <w:ind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1.基本支出2533.37万元。其中，人员支出2295.03万元，公用支出238.34万元。</w:t>
      </w:r>
    </w:p>
    <w:p>
      <w:pPr>
        <w:pStyle w:val="31"/>
        <w:widowControl/>
        <w:spacing w:before="240" w:after="240"/>
        <w:ind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2.项目支出386.58万元。</w:t>
      </w:r>
    </w:p>
    <w:p>
      <w:pPr>
        <w:pStyle w:val="31"/>
        <w:widowControl/>
        <w:spacing w:before="100" w:after="100" w:line="600" w:lineRule="atLeast"/>
        <w:ind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3.上缴上级支出0万元。</w:t>
      </w:r>
    </w:p>
    <w:p>
      <w:pPr>
        <w:pStyle w:val="31"/>
        <w:widowControl/>
        <w:spacing w:before="100" w:after="100" w:line="600" w:lineRule="atLeast"/>
        <w:ind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4.经营支出0万元。</w:t>
      </w:r>
    </w:p>
    <w:p>
      <w:pPr>
        <w:pStyle w:val="31"/>
        <w:widowControl/>
        <w:spacing w:before="100" w:after="100" w:line="600" w:lineRule="atLeast"/>
        <w:ind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hint="eastAsia" w:ascii="仿宋" w:hAnsi="仿宋" w:eastAsia="仿宋" w:cs="仿宋"/>
          <w:b/>
          <w:bCs/>
          <w:kern w:val="0"/>
          <w:sz w:val="32"/>
          <w:szCs w:val="32"/>
        </w:rPr>
      </w:pPr>
      <w:bookmarkStart w:id="77" w:name="_Toc256000112"/>
      <w:bookmarkStart w:id="78" w:name="_Toc256000019"/>
      <w:bookmarkStart w:id="79" w:name="_Toc256000050"/>
      <w:bookmarkStart w:id="80" w:name="_Toc256000081"/>
      <w:r>
        <w:rPr>
          <w:rFonts w:hint="eastAsia" w:ascii="仿宋" w:hAnsi="仿宋" w:eastAsia="仿宋" w:cs="仿宋"/>
          <w:b/>
          <w:bCs/>
          <w:spacing w:val="0"/>
          <w:sz w:val="32"/>
          <w:szCs w:val="32"/>
        </w:rPr>
        <w:t>二、财政拨款收入支出决算总体情况说明</w:t>
      </w:r>
      <w:bookmarkEnd w:id="77"/>
      <w:bookmarkEnd w:id="78"/>
      <w:bookmarkEnd w:id="79"/>
      <w:bookmarkEnd w:id="80"/>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lang w:eastAsia="zh-CN"/>
        </w:rPr>
      </w:pPr>
      <w:r>
        <w:rPr>
          <w:rFonts w:hint="eastAsia" w:ascii="仿宋" w:hAnsi="仿宋" w:eastAsia="仿宋" w:cs="仿宋"/>
          <w:b w:val="0"/>
          <w:bCs w:val="0"/>
          <w:spacing w:val="0"/>
          <w:kern w:val="0"/>
          <w:sz w:val="32"/>
          <w:szCs w:val="32"/>
        </w:rPr>
        <w:t>2024年度财政拨款收入总计2919.95万元，支出总计2919.95万元，与上年决算数相比，各增加49.18万元，增长1.71%，主要是：</w:t>
      </w:r>
      <w:r>
        <w:rPr>
          <w:rFonts w:hint="eastAsia" w:ascii="仿宋" w:hAnsi="仿宋" w:eastAsia="仿宋" w:cs="仿宋"/>
          <w:b w:val="0"/>
          <w:bCs w:val="0"/>
          <w:spacing w:val="5"/>
          <w:sz w:val="32"/>
          <w:szCs w:val="32"/>
        </w:rPr>
        <w:t>校园建设，人员增加</w:t>
      </w:r>
      <w:r>
        <w:rPr>
          <w:rFonts w:hint="eastAsia" w:ascii="仿宋" w:hAnsi="仿宋" w:eastAsia="仿宋" w:cs="仿宋"/>
          <w:b w:val="0"/>
          <w:bCs w:val="0"/>
          <w:spacing w:val="5"/>
          <w:sz w:val="32"/>
          <w:szCs w:val="32"/>
          <w:lang w:eastAsia="zh-CN"/>
        </w:rPr>
        <w:t>。</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1" w:name="_Toc256000082"/>
      <w:bookmarkStart w:id="82" w:name="_Toc256000020"/>
      <w:bookmarkStart w:id="83" w:name="_Toc256000113"/>
      <w:bookmarkStart w:id="84" w:name="_Toc256000051"/>
      <w:r>
        <w:rPr>
          <w:rFonts w:hint="eastAsia" w:ascii="仿宋" w:hAnsi="仿宋" w:eastAsia="仿宋" w:cs="仿宋"/>
          <w:b/>
          <w:bCs/>
          <w:spacing w:val="0"/>
          <w:sz w:val="32"/>
          <w:szCs w:val="32"/>
        </w:rPr>
        <w:t>三、一般公共预算拨款支出决算情况说明</w:t>
      </w:r>
      <w:bookmarkEnd w:id="81"/>
      <w:bookmarkEnd w:id="82"/>
      <w:bookmarkEnd w:id="83"/>
      <w:bookmarkEnd w:id="84"/>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2024年一般公共预算支出2915.28万元，比上年决算数增加71.03万元，增长2.50%，具体情况如下(按</w:t>
      </w:r>
      <w:r>
        <w:rPr>
          <w:rStyle w:val="33"/>
          <w:rFonts w:hint="eastAsia" w:ascii="仿宋" w:hAnsi="仿宋" w:eastAsia="仿宋" w:cs="仿宋"/>
          <w:b w:val="0"/>
          <w:bCs w:val="0"/>
          <w:spacing w:val="0"/>
          <w:kern w:val="0"/>
          <w:sz w:val="32"/>
          <w:szCs w:val="32"/>
        </w:rPr>
        <w:t>项级科目</w:t>
      </w:r>
      <w:r>
        <w:rPr>
          <w:rFonts w:hint="eastAsia" w:ascii="仿宋" w:hAnsi="仿宋" w:eastAsia="仿宋" w:cs="仿宋"/>
          <w:b w:val="0"/>
          <w:bCs w:val="0"/>
          <w:spacing w:val="0"/>
          <w:kern w:val="0"/>
          <w:sz w:val="32"/>
          <w:szCs w:val="32"/>
        </w:rPr>
        <w:t>分类统计)：</w:t>
      </w:r>
    </w:p>
    <w:p>
      <w:pPr>
        <w:pStyle w:val="31"/>
        <w:keepNext w:val="0"/>
        <w:keepLines w:val="0"/>
        <w:pageBreakBefore w:val="0"/>
        <w:widowControl/>
        <w:overflowPunct w:val="0"/>
        <w:bidi w:val="0"/>
        <w:snapToGrid/>
        <w:spacing w:before="240" w:after="240" w:line="520" w:lineRule="exact"/>
        <w:ind w:firstLine="640"/>
        <w:jc w:val="both"/>
        <w:textAlignment w:val="auto"/>
        <w:rPr>
          <w:rFonts w:ascii="仿宋" w:hAnsi="仿宋" w:eastAsia="仿宋" w:cs="仿宋"/>
          <w:spacing w:val="0"/>
          <w:kern w:val="0"/>
          <w:sz w:val="32"/>
          <w:szCs w:val="32"/>
        </w:rPr>
      </w:pPr>
      <w:r>
        <w:rPr>
          <w:rFonts w:hint="eastAsia" w:ascii="仿宋" w:hAnsi="仿宋" w:eastAsia="仿宋" w:cs="仿宋"/>
          <w:b w:val="0"/>
          <w:bCs w:val="0"/>
          <w:spacing w:val="0"/>
          <w:kern w:val="0"/>
          <w:sz w:val="32"/>
          <w:szCs w:val="32"/>
        </w:rPr>
        <w:t>（一）2050202 小学教育2,005.58万元，较上年决算数增加47.27万元，增长2.41%。主要原因是</w:t>
      </w:r>
      <w:r>
        <w:rPr>
          <w:rFonts w:hint="eastAsia" w:ascii="仿宋" w:hAnsi="仿宋" w:eastAsia="仿宋" w:cs="仿宋"/>
          <w:b w:val="0"/>
          <w:bCs w:val="0"/>
          <w:spacing w:val="0"/>
          <w:kern w:val="0"/>
          <w:sz w:val="32"/>
          <w:szCs w:val="32"/>
          <w:lang w:eastAsia="zh-CN"/>
        </w:rPr>
        <w:t>校园建设，人员增加。</w:t>
      </w:r>
      <w:r>
        <w:rPr>
          <w:rFonts w:hint="eastAsia" w:ascii="仿宋" w:hAnsi="仿宋" w:eastAsia="仿宋" w:cs="仿宋"/>
          <w:b w:val="0"/>
          <w:bCs w:val="0"/>
          <w:spacing w:val="0"/>
          <w:kern w:val="0"/>
          <w:sz w:val="32"/>
          <w:szCs w:val="32"/>
        </w:rPr>
        <w:br w:type="textWrapping"/>
      </w:r>
      <w:r>
        <w:rPr>
          <w:rFonts w:hint="eastAsia" w:ascii="仿宋" w:hAnsi="仿宋" w:eastAsia="仿宋" w:cs="仿宋"/>
          <w:b w:val="0"/>
          <w:bCs w:val="0"/>
          <w:spacing w:val="0"/>
          <w:kern w:val="0"/>
          <w:sz w:val="32"/>
          <w:szCs w:val="32"/>
          <w:lang w:val="en-US" w:eastAsia="zh-CN"/>
        </w:rPr>
        <w:t xml:space="preserve">   </w:t>
      </w:r>
      <w:r>
        <w:rPr>
          <w:rFonts w:hint="eastAsia" w:ascii="仿宋" w:hAnsi="仿宋" w:eastAsia="仿宋" w:cs="仿宋"/>
          <w:b w:val="0"/>
          <w:bCs w:val="0"/>
          <w:spacing w:val="0"/>
          <w:kern w:val="0"/>
          <w:sz w:val="32"/>
          <w:szCs w:val="32"/>
        </w:rPr>
        <w:t>（二）2050299 其他普通教育支出177.84万元，较上年决算数增加30.63万元，增长20.81%。主要原因是</w:t>
      </w:r>
      <w:r>
        <w:rPr>
          <w:rFonts w:hint="eastAsia" w:ascii="仿宋" w:hAnsi="仿宋" w:eastAsia="仿宋" w:cs="仿宋"/>
          <w:b w:val="0"/>
          <w:bCs w:val="0"/>
          <w:spacing w:val="0"/>
          <w:kern w:val="0"/>
          <w:sz w:val="32"/>
          <w:szCs w:val="32"/>
          <w:lang w:eastAsia="zh-CN"/>
        </w:rPr>
        <w:t>校园建设。</w:t>
      </w:r>
      <w:r>
        <w:rPr>
          <w:rFonts w:hint="eastAsia" w:ascii="仿宋" w:hAnsi="仿宋" w:eastAsia="仿宋" w:cs="仿宋"/>
          <w:b w:val="0"/>
          <w:bCs w:val="0"/>
          <w:spacing w:val="0"/>
          <w:kern w:val="0"/>
          <w:sz w:val="32"/>
          <w:szCs w:val="32"/>
        </w:rPr>
        <w:br w:type="textWrapping"/>
      </w:r>
      <w:r>
        <w:rPr>
          <w:rFonts w:hint="eastAsia" w:ascii="仿宋" w:hAnsi="仿宋" w:eastAsia="仿宋" w:cs="仿宋"/>
          <w:b w:val="0"/>
          <w:bCs w:val="0"/>
          <w:spacing w:val="0"/>
          <w:kern w:val="0"/>
          <w:sz w:val="32"/>
          <w:szCs w:val="32"/>
          <w:lang w:val="en-US" w:eastAsia="zh-CN"/>
        </w:rPr>
        <w:t xml:space="preserve">   </w:t>
      </w:r>
      <w:r>
        <w:rPr>
          <w:rFonts w:hint="eastAsia" w:ascii="仿宋" w:hAnsi="仿宋" w:eastAsia="仿宋" w:cs="仿宋"/>
          <w:b w:val="0"/>
          <w:bCs w:val="0"/>
          <w:spacing w:val="0"/>
          <w:kern w:val="0"/>
          <w:sz w:val="32"/>
          <w:szCs w:val="32"/>
        </w:rPr>
        <w:t>（三）2050999 其他教育费附加安排的支出259.05万元，较上年决算数减少20.04万元，下降7.18%。主要原因是</w:t>
      </w:r>
      <w:r>
        <w:rPr>
          <w:rFonts w:ascii="仿宋" w:hAnsi="仿宋" w:eastAsia="仿宋" w:cs="仿宋"/>
          <w:spacing w:val="0"/>
          <w:kern w:val="0"/>
          <w:sz w:val="32"/>
          <w:szCs w:val="32"/>
          <w:lang w:val="en-US" w:eastAsia="zh-CN"/>
        </w:rPr>
        <w:t>专项经费支出减少</w:t>
      </w:r>
      <w:r>
        <w:rPr>
          <w:rFonts w:ascii="仿宋" w:hAnsi="仿宋" w:eastAsia="仿宋" w:cs="仿宋"/>
          <w:kern w:val="0"/>
          <w:sz w:val="32"/>
          <w:szCs w:val="32"/>
        </w:rPr>
        <w:t>。</w:t>
      </w:r>
    </w:p>
    <w:p>
      <w:pPr>
        <w:pStyle w:val="31"/>
        <w:widowControl/>
        <w:spacing w:before="100" w:after="100" w:line="600" w:lineRule="atLeast"/>
        <w:ind w:left="0" w:right="0" w:firstLine="640" w:firstLineChars="200"/>
        <w:jc w:val="both"/>
        <w:rPr>
          <w:rFonts w:hint="eastAsia" w:ascii="仿宋" w:hAnsi="仿宋" w:eastAsia="仿宋" w:cs="仿宋"/>
          <w:b w:val="0"/>
          <w:bCs w:val="0"/>
          <w:spacing w:val="5"/>
          <w:sz w:val="32"/>
          <w:szCs w:val="32"/>
        </w:rPr>
      </w:pPr>
      <w:r>
        <w:rPr>
          <w:rFonts w:hint="eastAsia" w:ascii="仿宋" w:hAnsi="仿宋" w:eastAsia="仿宋" w:cs="仿宋"/>
          <w:b w:val="0"/>
          <w:bCs w:val="0"/>
          <w:spacing w:val="0"/>
          <w:kern w:val="0"/>
          <w:sz w:val="32"/>
          <w:szCs w:val="32"/>
        </w:rPr>
        <w:t>（四）2059999 其他教育支出0.65万元，较上年决算数增加0.17万元，增长35.42%。主要原因是</w:t>
      </w:r>
      <w:r>
        <w:rPr>
          <w:rFonts w:hint="eastAsia" w:ascii="仿宋" w:hAnsi="仿宋" w:eastAsia="仿宋" w:cs="仿宋"/>
          <w:b w:val="0"/>
          <w:bCs w:val="0"/>
          <w:spacing w:val="12"/>
          <w:sz w:val="32"/>
          <w:szCs w:val="32"/>
        </w:rPr>
        <w:t>校园招聘新教师</w:t>
      </w:r>
      <w:r>
        <w:rPr>
          <w:rFonts w:hint="eastAsia" w:ascii="仿宋" w:hAnsi="仿宋" w:eastAsia="仿宋" w:cs="仿宋"/>
          <w:b w:val="0"/>
          <w:bCs w:val="0"/>
          <w:spacing w:val="6"/>
          <w:sz w:val="32"/>
          <w:szCs w:val="32"/>
        </w:rPr>
        <w:t>住房补助经费</w:t>
      </w:r>
      <w:r>
        <w:rPr>
          <w:rFonts w:hint="eastAsia" w:ascii="仿宋" w:hAnsi="仿宋" w:eastAsia="仿宋" w:cs="仿宋"/>
          <w:b w:val="0"/>
          <w:bCs w:val="0"/>
          <w:spacing w:val="6"/>
          <w:sz w:val="32"/>
          <w:szCs w:val="32"/>
          <w:lang w:eastAsia="zh-CN"/>
        </w:rPr>
        <w:t>增加。</w:t>
      </w:r>
      <w:r>
        <w:rPr>
          <w:rFonts w:hint="eastAsia" w:ascii="仿宋" w:hAnsi="仿宋" w:eastAsia="仿宋" w:cs="仿宋"/>
          <w:b w:val="0"/>
          <w:bCs w:val="0"/>
          <w:spacing w:val="0"/>
          <w:kern w:val="0"/>
          <w:sz w:val="32"/>
          <w:szCs w:val="32"/>
        </w:rPr>
        <w:br w:type="textWrapping"/>
      </w:r>
      <w:r>
        <w:rPr>
          <w:rFonts w:hint="eastAsia" w:ascii="仿宋" w:hAnsi="仿宋" w:eastAsia="仿宋" w:cs="仿宋"/>
          <w:b w:val="0"/>
          <w:bCs w:val="0"/>
          <w:spacing w:val="0"/>
          <w:kern w:val="0"/>
          <w:sz w:val="32"/>
          <w:szCs w:val="32"/>
          <w:lang w:val="en-US" w:eastAsia="zh-CN"/>
        </w:rPr>
        <w:t xml:space="preserve">    </w:t>
      </w:r>
      <w:r>
        <w:rPr>
          <w:rFonts w:hint="eastAsia" w:ascii="仿宋" w:hAnsi="仿宋" w:eastAsia="仿宋" w:cs="仿宋"/>
          <w:b w:val="0"/>
          <w:bCs w:val="0"/>
          <w:spacing w:val="0"/>
          <w:kern w:val="0"/>
          <w:sz w:val="32"/>
          <w:szCs w:val="32"/>
        </w:rPr>
        <w:t>（五）2080502 事业单位离退休112.59万元，较上年决算数增加3.33万元，增长3.05%。主要原因是</w:t>
      </w:r>
      <w:r>
        <w:rPr>
          <w:rFonts w:hint="eastAsia" w:ascii="仿宋" w:hAnsi="仿宋" w:eastAsia="仿宋" w:cs="仿宋"/>
          <w:b w:val="0"/>
          <w:bCs w:val="0"/>
          <w:spacing w:val="7"/>
          <w:sz w:val="32"/>
          <w:szCs w:val="32"/>
        </w:rPr>
        <w:t>离退休</w:t>
      </w:r>
      <w:r>
        <w:rPr>
          <w:rFonts w:hint="eastAsia" w:ascii="仿宋" w:hAnsi="仿宋" w:eastAsia="仿宋" w:cs="仿宋"/>
          <w:b w:val="0"/>
          <w:bCs w:val="0"/>
          <w:spacing w:val="7"/>
          <w:sz w:val="32"/>
          <w:szCs w:val="32"/>
          <w:lang w:eastAsia="zh-CN"/>
        </w:rPr>
        <w:t>费</w:t>
      </w:r>
      <w:r>
        <w:rPr>
          <w:rFonts w:hint="eastAsia" w:ascii="仿宋" w:hAnsi="仿宋" w:eastAsia="仿宋" w:cs="仿宋"/>
          <w:b w:val="0"/>
          <w:bCs w:val="0"/>
          <w:spacing w:val="7"/>
          <w:sz w:val="32"/>
          <w:szCs w:val="32"/>
        </w:rPr>
        <w:t>较</w:t>
      </w:r>
      <w:r>
        <w:rPr>
          <w:rFonts w:hint="eastAsia" w:ascii="仿宋" w:hAnsi="仿宋" w:eastAsia="仿宋" w:cs="仿宋"/>
          <w:b w:val="0"/>
          <w:bCs w:val="0"/>
          <w:spacing w:val="5"/>
          <w:sz w:val="32"/>
          <w:szCs w:val="32"/>
        </w:rPr>
        <w:t>上一年度增加。</w:t>
      </w:r>
    </w:p>
    <w:p>
      <w:pPr>
        <w:pStyle w:val="31"/>
        <w:keepNext w:val="0"/>
        <w:keepLines w:val="0"/>
        <w:pageBreakBefore w:val="0"/>
        <w:widowControl/>
        <w:overflowPunct w:val="0"/>
        <w:bidi w:val="0"/>
        <w:snapToGrid/>
        <w:spacing w:before="240" w:after="240" w:line="520" w:lineRule="exact"/>
        <w:ind w:firstLine="640" w:firstLineChars="200"/>
        <w:jc w:val="both"/>
        <w:textAlignment w:val="auto"/>
        <w:rPr>
          <w:rFonts w:ascii="仿宋" w:hAnsi="仿宋" w:eastAsia="仿宋" w:cs="仿宋"/>
          <w:kern w:val="0"/>
          <w:sz w:val="32"/>
          <w:szCs w:val="32"/>
        </w:rPr>
      </w:pPr>
      <w:r>
        <w:rPr>
          <w:rFonts w:hint="eastAsia" w:ascii="仿宋" w:hAnsi="仿宋" w:eastAsia="仿宋" w:cs="仿宋"/>
          <w:b w:val="0"/>
          <w:bCs w:val="0"/>
          <w:spacing w:val="0"/>
          <w:kern w:val="0"/>
          <w:sz w:val="32"/>
          <w:szCs w:val="32"/>
        </w:rPr>
        <w:t>（六）2080505 机关事业单位基本养老保险缴费支出161.73万元，较上年决算数增加7.71万元，增长5.00%。主要原因是</w:t>
      </w:r>
      <w:r>
        <w:rPr>
          <w:rFonts w:ascii="仿宋" w:hAnsi="仿宋" w:eastAsia="仿宋" w:cs="仿宋"/>
          <w:kern w:val="0"/>
          <w:sz w:val="32"/>
          <w:szCs w:val="32"/>
          <w:lang w:val="en-US" w:eastAsia="zh-CN"/>
        </w:rPr>
        <w:t>新增缴费人员和缴费基数提高</w:t>
      </w:r>
      <w:r>
        <w:rPr>
          <w:rFonts w:ascii="仿宋" w:hAnsi="仿宋" w:eastAsia="仿宋" w:cs="仿宋"/>
          <w:kern w:val="0"/>
          <w:sz w:val="32"/>
          <w:szCs w:val="32"/>
        </w:rPr>
        <w:t>。</w:t>
      </w:r>
    </w:p>
    <w:p>
      <w:pPr>
        <w:pStyle w:val="31"/>
        <w:keepNext w:val="0"/>
        <w:keepLines w:val="0"/>
        <w:pageBreakBefore w:val="0"/>
        <w:widowControl/>
        <w:overflowPunct w:val="0"/>
        <w:bidi w:val="0"/>
        <w:snapToGrid/>
        <w:spacing w:before="100" w:after="100" w:line="520" w:lineRule="exact"/>
        <w:ind w:right="0" w:firstLine="640" w:firstLineChars="200"/>
        <w:jc w:val="both"/>
        <w:textAlignment w:val="auto"/>
        <w:rPr>
          <w:rFonts w:ascii="仿宋" w:hAnsi="仿宋" w:eastAsia="仿宋" w:cs="仿宋"/>
          <w:spacing w:val="0"/>
          <w:kern w:val="0"/>
          <w:sz w:val="32"/>
          <w:szCs w:val="32"/>
          <w:lang w:eastAsia="zh-CN"/>
        </w:rPr>
      </w:pPr>
      <w:r>
        <w:rPr>
          <w:rFonts w:hint="eastAsia" w:ascii="仿宋" w:hAnsi="仿宋" w:eastAsia="仿宋" w:cs="仿宋"/>
          <w:b w:val="0"/>
          <w:bCs w:val="0"/>
          <w:spacing w:val="0"/>
          <w:kern w:val="0"/>
          <w:sz w:val="32"/>
          <w:szCs w:val="32"/>
        </w:rPr>
        <w:t>（七）2080506 机关事业单位职业年金缴费支出80.87万元，较上年决算数减少15.36万元，下降15.97%。主要原因是</w:t>
      </w:r>
      <w:r>
        <w:rPr>
          <w:rFonts w:hint="eastAsia" w:ascii="仿宋" w:hAnsi="仿宋" w:eastAsia="仿宋" w:cs="仿宋"/>
          <w:b w:val="0"/>
          <w:bCs w:val="0"/>
          <w:spacing w:val="2"/>
          <w:sz w:val="32"/>
          <w:szCs w:val="32"/>
        </w:rPr>
        <w:t>核算</w:t>
      </w:r>
      <w:r>
        <w:rPr>
          <w:rFonts w:hint="eastAsia" w:ascii="仿宋" w:hAnsi="仿宋" w:eastAsia="仿宋" w:cs="仿宋"/>
          <w:b w:val="0"/>
          <w:bCs w:val="0"/>
          <w:spacing w:val="8"/>
          <w:sz w:val="32"/>
          <w:szCs w:val="32"/>
        </w:rPr>
        <w:t>科目调整，缴纳职业年金人员</w:t>
      </w:r>
      <w:r>
        <w:rPr>
          <w:rFonts w:hint="eastAsia" w:ascii="仿宋" w:hAnsi="仿宋" w:eastAsia="仿宋" w:cs="仿宋"/>
          <w:b w:val="0"/>
          <w:bCs w:val="0"/>
          <w:spacing w:val="8"/>
          <w:sz w:val="32"/>
          <w:szCs w:val="32"/>
          <w:lang w:eastAsia="zh-CN"/>
        </w:rPr>
        <w:t>减少</w:t>
      </w:r>
      <w:r>
        <w:rPr>
          <w:rFonts w:hint="eastAsia" w:ascii="仿宋" w:hAnsi="仿宋" w:eastAsia="仿宋" w:cs="仿宋"/>
          <w:b w:val="0"/>
          <w:bCs w:val="0"/>
          <w:spacing w:val="8"/>
          <w:sz w:val="32"/>
          <w:szCs w:val="32"/>
        </w:rPr>
        <w:t>等</w:t>
      </w:r>
      <w:r>
        <w:rPr>
          <w:rFonts w:hint="eastAsia" w:ascii="仿宋" w:hAnsi="仿宋" w:eastAsia="仿宋" w:cs="仿宋"/>
          <w:b w:val="0"/>
          <w:bCs w:val="0"/>
          <w:spacing w:val="0"/>
          <w:kern w:val="0"/>
          <w:sz w:val="32"/>
          <w:szCs w:val="32"/>
        </w:rPr>
        <w:br w:type="textWrapping"/>
      </w:r>
      <w:r>
        <w:rPr>
          <w:rFonts w:hint="eastAsia" w:ascii="仿宋" w:hAnsi="仿宋" w:eastAsia="仿宋" w:cs="仿宋"/>
          <w:b w:val="0"/>
          <w:bCs w:val="0"/>
          <w:spacing w:val="0"/>
          <w:kern w:val="0"/>
          <w:sz w:val="32"/>
          <w:szCs w:val="32"/>
          <w:lang w:val="en-US" w:eastAsia="zh-CN"/>
        </w:rPr>
        <w:t xml:space="preserve">    </w:t>
      </w:r>
      <w:r>
        <w:rPr>
          <w:rFonts w:hint="eastAsia" w:ascii="仿宋" w:hAnsi="仿宋" w:eastAsia="仿宋" w:cs="仿宋"/>
          <w:b w:val="0"/>
          <w:bCs w:val="0"/>
          <w:spacing w:val="0"/>
          <w:kern w:val="0"/>
          <w:sz w:val="32"/>
          <w:szCs w:val="32"/>
        </w:rPr>
        <w:t>（八）2101102 事业单位医疗69.24万元，较上年决算数增加3.30万元，增长5.00%。主要原因是</w:t>
      </w:r>
      <w:r>
        <w:rPr>
          <w:rFonts w:ascii="仿宋" w:hAnsi="仿宋" w:eastAsia="仿宋" w:cs="仿宋"/>
          <w:kern w:val="0"/>
          <w:sz w:val="32"/>
          <w:szCs w:val="32"/>
          <w:lang w:val="en-US" w:eastAsia="zh-CN"/>
        </w:rPr>
        <w:t>新增缴费人员和缴费基数提高</w:t>
      </w:r>
      <w:r>
        <w:rPr>
          <w:rFonts w:ascii="仿宋" w:hAnsi="仿宋" w:eastAsia="仿宋" w:cs="仿宋"/>
          <w:spacing w:val="0"/>
          <w:kern w:val="0"/>
          <w:sz w:val="32"/>
          <w:szCs w:val="32"/>
          <w:lang w:eastAsia="zh-CN"/>
        </w:rPr>
        <w:t>。</w:t>
      </w:r>
    </w:p>
    <w:p>
      <w:pPr>
        <w:pStyle w:val="31"/>
        <w:keepNext w:val="0"/>
        <w:keepLines w:val="0"/>
        <w:pageBreakBefore w:val="0"/>
        <w:widowControl/>
        <w:overflowPunct w:val="0"/>
        <w:bidi w:val="0"/>
        <w:snapToGrid/>
        <w:spacing w:before="100" w:after="100" w:line="520" w:lineRule="exact"/>
        <w:ind w:right="0" w:firstLine="640" w:firstLineChars="200"/>
        <w:jc w:val="both"/>
        <w:textAlignment w:val="auto"/>
        <w:rPr>
          <w:rFonts w:ascii="仿宋" w:hAnsi="仿宋" w:eastAsia="仿宋" w:cs="仿宋"/>
          <w:kern w:val="0"/>
          <w:sz w:val="32"/>
          <w:szCs w:val="32"/>
          <w:lang w:eastAsia="zh-CN"/>
        </w:rPr>
      </w:pPr>
      <w:r>
        <w:rPr>
          <w:rFonts w:hint="eastAsia" w:ascii="仿宋" w:hAnsi="仿宋" w:eastAsia="仿宋" w:cs="仿宋"/>
          <w:b w:val="0"/>
          <w:bCs w:val="0"/>
          <w:spacing w:val="0"/>
          <w:kern w:val="0"/>
          <w:sz w:val="32"/>
          <w:szCs w:val="32"/>
        </w:rPr>
        <w:t>（九）2101199 其他行政事业单位医疗支出35.38万元，较上年决算数增加1.69万元，增长5.00%。主要原因是</w:t>
      </w:r>
      <w:r>
        <w:rPr>
          <w:rFonts w:hint="eastAsia" w:ascii="仿宋" w:hAnsi="仿宋" w:eastAsia="仿宋" w:cs="仿宋"/>
          <w:b w:val="0"/>
          <w:bCs w:val="0"/>
          <w:spacing w:val="12"/>
          <w:sz w:val="32"/>
          <w:szCs w:val="32"/>
        </w:rPr>
        <w:t>缴费人员及缴费</w:t>
      </w:r>
      <w:r>
        <w:rPr>
          <w:rFonts w:hint="eastAsia" w:ascii="仿宋" w:hAnsi="仿宋" w:eastAsia="仿宋" w:cs="仿宋"/>
          <w:b w:val="0"/>
          <w:bCs w:val="0"/>
          <w:spacing w:val="3"/>
          <w:sz w:val="32"/>
          <w:szCs w:val="32"/>
        </w:rPr>
        <w:t>基数增加。</w:t>
      </w:r>
      <w:r>
        <w:rPr>
          <w:rFonts w:hint="eastAsia" w:ascii="仿宋" w:hAnsi="仿宋" w:eastAsia="仿宋" w:cs="仿宋"/>
          <w:b w:val="0"/>
          <w:bCs w:val="0"/>
          <w:spacing w:val="0"/>
          <w:kern w:val="0"/>
          <w:sz w:val="32"/>
          <w:szCs w:val="32"/>
        </w:rPr>
        <w:br w:type="textWrapping"/>
      </w:r>
      <w:r>
        <w:rPr>
          <w:rFonts w:hint="eastAsia" w:ascii="仿宋" w:hAnsi="仿宋" w:eastAsia="仿宋" w:cs="仿宋"/>
          <w:b w:val="0"/>
          <w:bCs w:val="0"/>
          <w:spacing w:val="0"/>
          <w:kern w:val="0"/>
          <w:sz w:val="32"/>
          <w:szCs w:val="32"/>
          <w:lang w:val="en-US" w:eastAsia="zh-CN"/>
        </w:rPr>
        <w:t xml:space="preserve">   </w:t>
      </w:r>
      <w:r>
        <w:rPr>
          <w:rFonts w:hint="eastAsia" w:ascii="仿宋" w:hAnsi="仿宋" w:eastAsia="仿宋" w:cs="仿宋"/>
          <w:b w:val="0"/>
          <w:bCs w:val="0"/>
          <w:spacing w:val="0"/>
          <w:kern w:val="0"/>
          <w:sz w:val="32"/>
          <w:szCs w:val="32"/>
        </w:rPr>
        <w:t>（十）2210203 购房补贴12.35万元，较上年决算数增加12.35万元，增长100%。主要原因是</w:t>
      </w:r>
      <w:r>
        <w:rPr>
          <w:rFonts w:ascii="仿宋" w:hAnsi="仿宋" w:eastAsia="仿宋" w:cs="仿宋"/>
          <w:spacing w:val="0"/>
          <w:kern w:val="0"/>
          <w:sz w:val="32"/>
          <w:szCs w:val="32"/>
          <w:lang w:eastAsia="zh-CN"/>
        </w:rPr>
        <w:t>新增教师住房货币化补贴。</w:t>
      </w:r>
    </w:p>
    <w:p>
      <w:pPr>
        <w:pStyle w:val="6"/>
        <w:keepNext w:val="0"/>
        <w:keepLines w:val="0"/>
        <w:spacing w:before="100" w:after="100" w:line="600" w:lineRule="atLeast"/>
        <w:ind w:left="0" w:leftChars="0" w:right="0" w:firstLine="643" w:firstLineChars="200"/>
        <w:jc w:val="both"/>
        <w:rPr>
          <w:rFonts w:hint="eastAsia" w:ascii="仿宋" w:hAnsi="仿宋" w:eastAsia="仿宋" w:cs="仿宋"/>
          <w:b/>
          <w:bCs/>
          <w:kern w:val="0"/>
          <w:sz w:val="32"/>
          <w:szCs w:val="32"/>
        </w:rPr>
      </w:pPr>
      <w:bookmarkStart w:id="85" w:name="_Toc256000083"/>
      <w:bookmarkStart w:id="86" w:name="_Toc256000114"/>
      <w:bookmarkStart w:id="87" w:name="_Toc256000021"/>
      <w:bookmarkStart w:id="88" w:name="_Toc256000052"/>
      <w:r>
        <w:rPr>
          <w:rFonts w:hint="eastAsia" w:ascii="仿宋" w:hAnsi="仿宋" w:eastAsia="仿宋" w:cs="仿宋"/>
          <w:b/>
          <w:bCs/>
          <w:spacing w:val="0"/>
          <w:sz w:val="32"/>
          <w:szCs w:val="32"/>
        </w:rPr>
        <w:t>四、政府性基金预算财政拨款支出决算情况说明</w:t>
      </w:r>
      <w:bookmarkEnd w:id="85"/>
      <w:bookmarkEnd w:id="86"/>
      <w:bookmarkEnd w:id="87"/>
      <w:bookmarkEnd w:id="88"/>
    </w:p>
    <w:p>
      <w:pPr>
        <w:pStyle w:val="31"/>
        <w:widowControl/>
        <w:spacing w:before="100" w:after="100" w:line="600" w:lineRule="atLeast"/>
        <w:ind w:left="0" w:right="0" w:firstLine="704"/>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2024年度政府性基金支出4.67万元，比上年决算数减少21.85万元，下降82.38%，具体情况如下(按项级科目统计)：</w:t>
      </w:r>
    </w:p>
    <w:p>
      <w:pPr>
        <w:pStyle w:val="31"/>
        <w:widowControl/>
        <w:spacing w:before="100" w:after="100" w:line="600" w:lineRule="atLeast"/>
        <w:ind w:left="0" w:right="0" w:firstLine="640" w:firstLineChars="200"/>
        <w:jc w:val="both"/>
        <w:rPr>
          <w:rFonts w:hint="eastAsia" w:ascii="仿宋" w:hAnsi="仿宋" w:eastAsia="仿宋" w:cs="仿宋"/>
          <w:b/>
          <w:bCs/>
          <w:spacing w:val="0"/>
          <w:sz w:val="32"/>
          <w:szCs w:val="32"/>
        </w:rPr>
      </w:pPr>
      <w:r>
        <w:rPr>
          <w:rFonts w:hint="eastAsia" w:ascii="仿宋" w:hAnsi="仿宋" w:eastAsia="仿宋" w:cs="仿宋"/>
          <w:b w:val="0"/>
          <w:bCs w:val="0"/>
          <w:spacing w:val="0"/>
          <w:kern w:val="0"/>
          <w:sz w:val="32"/>
          <w:szCs w:val="32"/>
        </w:rPr>
        <w:t>2296003 用于体育事业的彩票公益金支出4.67万元，较上年决算数减少21.85万元，下降82.38%。主要原因是</w:t>
      </w:r>
      <w:r>
        <w:rPr>
          <w:rFonts w:hint="eastAsia" w:ascii="仿宋" w:hAnsi="仿宋" w:eastAsia="仿宋" w:cs="仿宋"/>
          <w:b w:val="0"/>
          <w:bCs w:val="0"/>
          <w:spacing w:val="0"/>
          <w:kern w:val="0"/>
          <w:sz w:val="32"/>
          <w:szCs w:val="32"/>
          <w:lang w:eastAsia="zh-CN"/>
        </w:rPr>
        <w:t>校园建设投入减少。</w:t>
      </w:r>
      <w:bookmarkStart w:id="89" w:name="_Toc256000115"/>
      <w:bookmarkStart w:id="90" w:name="_Toc256000022"/>
      <w:bookmarkStart w:id="91" w:name="_Toc256000084"/>
      <w:bookmarkStart w:id="92" w:name="_Toc256000053"/>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bCs/>
          <w:spacing w:val="0"/>
          <w:sz w:val="32"/>
          <w:szCs w:val="32"/>
        </w:rPr>
        <w:t>五、国有资本经营预算财政拨款支出决算情况说明</w:t>
      </w:r>
      <w:bookmarkEnd w:id="89"/>
      <w:bookmarkEnd w:id="90"/>
      <w:bookmarkEnd w:id="91"/>
      <w:bookmarkEnd w:id="92"/>
    </w:p>
    <w:p>
      <w:pPr>
        <w:pStyle w:val="31"/>
        <w:keepNext w:val="0"/>
        <w:keepLines w:val="0"/>
        <w:pageBreakBefore w:val="0"/>
        <w:widowControl/>
        <w:overflowPunct w:val="0"/>
        <w:bidi w:val="0"/>
        <w:snapToGrid/>
        <w:spacing w:before="100" w:after="100" w:line="520" w:lineRule="exact"/>
        <w:ind w:left="0" w:right="0" w:firstLine="640"/>
        <w:jc w:val="both"/>
        <w:textAlignment w:val="auto"/>
        <w:rPr>
          <w:rFonts w:ascii="仿宋" w:hAnsi="仿宋" w:eastAsia="仿宋" w:cs="仿宋"/>
          <w:spacing w:val="0"/>
          <w:kern w:val="0"/>
          <w:sz w:val="32"/>
          <w:szCs w:val="32"/>
          <w:lang w:eastAsia="zh-CN"/>
        </w:rPr>
      </w:pPr>
      <w:bookmarkStart w:id="93" w:name="_Toc256000023"/>
      <w:bookmarkStart w:id="94" w:name="_Toc256000054"/>
      <w:bookmarkStart w:id="95" w:name="_Toc256000085"/>
      <w:bookmarkStart w:id="96" w:name="_Toc256000116"/>
      <w:r>
        <w:rPr>
          <w:rFonts w:ascii="仿宋" w:hAnsi="仿宋" w:eastAsia="仿宋" w:cs="仿宋"/>
          <w:spacing w:val="0"/>
          <w:kern w:val="0"/>
          <w:sz w:val="32"/>
          <w:szCs w:val="32"/>
        </w:rPr>
        <w:t>2024年度国有资本经营预算支出0万元，比上年决算数增加0万元，增长0%</w:t>
      </w:r>
      <w:r>
        <w:rPr>
          <w:rFonts w:ascii="仿宋" w:hAnsi="仿宋" w:eastAsia="仿宋" w:cs="仿宋"/>
          <w:spacing w:val="0"/>
          <w:kern w:val="0"/>
          <w:sz w:val="32"/>
          <w:szCs w:val="32"/>
          <w:lang w:eastAsia="zh-CN"/>
        </w:rPr>
        <w:t>。</w:t>
      </w:r>
    </w:p>
    <w:p>
      <w:pPr>
        <w:pStyle w:val="31"/>
        <w:keepNext w:val="0"/>
        <w:keepLines w:val="0"/>
        <w:pageBreakBefore w:val="0"/>
        <w:widowControl/>
        <w:overflowPunct w:val="0"/>
        <w:bidi w:val="0"/>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bCs/>
          <w:spacing w:val="0"/>
          <w:sz w:val="32"/>
          <w:szCs w:val="32"/>
        </w:rPr>
        <w:t>六、一般公共预算财政拨款基本支出决算情况说明</w:t>
      </w:r>
      <w:bookmarkEnd w:id="93"/>
      <w:bookmarkEnd w:id="94"/>
      <w:bookmarkEnd w:id="95"/>
      <w:bookmarkEnd w:id="96"/>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2024年度一般公共预算财政拨款基本支出2533.37万元，其中：</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一）人员经费2295.03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1"/>
        <w:widowControl/>
        <w:spacing w:before="100" w:after="100" w:line="600" w:lineRule="atLeast"/>
        <w:ind w:left="0" w:right="0" w:firstLine="640"/>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二）公用经费238.34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leftChars="0" w:right="0" w:firstLine="321" w:firstLineChars="100"/>
        <w:jc w:val="both"/>
        <w:rPr>
          <w:rFonts w:hint="eastAsia" w:ascii="仿宋" w:hAnsi="仿宋" w:eastAsia="仿宋" w:cs="仿宋"/>
          <w:b/>
          <w:bCs/>
          <w:kern w:val="0"/>
          <w:sz w:val="32"/>
          <w:szCs w:val="32"/>
        </w:rPr>
      </w:pPr>
      <w:bookmarkStart w:id="97" w:name="_Toc256000024"/>
      <w:bookmarkStart w:id="98" w:name="_Toc256000055"/>
      <w:bookmarkStart w:id="99" w:name="_Toc256000086"/>
      <w:bookmarkStart w:id="100" w:name="_Toc256000117"/>
      <w:r>
        <w:rPr>
          <w:rFonts w:hint="eastAsia" w:ascii="仿宋" w:hAnsi="仿宋" w:eastAsia="仿宋" w:cs="仿宋"/>
          <w:b/>
          <w:bCs/>
          <w:spacing w:val="0"/>
          <w:sz w:val="32"/>
          <w:szCs w:val="32"/>
        </w:rPr>
        <w:t>七、一般公共预算拨款“三公”经费支出决算情况说明</w:t>
      </w:r>
      <w:bookmarkEnd w:id="97"/>
      <w:bookmarkEnd w:id="98"/>
      <w:bookmarkEnd w:id="99"/>
      <w:bookmarkEnd w:id="100"/>
    </w:p>
    <w:p>
      <w:pPr>
        <w:pStyle w:val="31"/>
        <w:keepNext w:val="0"/>
        <w:keepLines w:val="0"/>
        <w:pageBreakBefore w:val="0"/>
        <w:widowControl/>
        <w:overflowPunct w:val="0"/>
        <w:bidi w:val="0"/>
        <w:snapToGrid/>
        <w:spacing w:before="100" w:after="100" w:line="520" w:lineRule="exact"/>
        <w:ind w:left="0" w:right="0" w:firstLine="704"/>
        <w:jc w:val="both"/>
        <w:textAlignment w:val="auto"/>
        <w:rPr>
          <w:rFonts w:ascii="Times New Roman" w:hAnsi="Times New Roman" w:eastAsia="Times New Roman" w:cs="Times New Roman"/>
          <w:kern w:val="0"/>
          <w:sz w:val="24"/>
        </w:rPr>
      </w:pPr>
      <w:bookmarkStart w:id="101" w:name="_Toc256000118"/>
      <w:bookmarkStart w:id="102" w:name="_Toc256000087"/>
      <w:bookmarkStart w:id="103" w:name="_Toc256000056"/>
      <w:bookmarkStart w:id="104" w:name="_Toc256000025"/>
      <w:r>
        <w:rPr>
          <w:rFonts w:ascii="仿宋" w:hAnsi="仿宋" w:eastAsia="仿宋" w:cs="仿宋"/>
          <w:spacing w:val="0"/>
          <w:kern w:val="0"/>
          <w:sz w:val="32"/>
          <w:szCs w:val="32"/>
        </w:rPr>
        <w:t>2024年度一般公共预算拨款“三公”经费支出0万元，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主要原因是</w:t>
      </w:r>
      <w:r>
        <w:rPr>
          <w:rFonts w:ascii="仿宋" w:hAnsi="仿宋" w:eastAsia="仿宋" w:cs="仿宋"/>
          <w:kern w:val="0"/>
          <w:sz w:val="32"/>
          <w:szCs w:val="32"/>
          <w:shd w:val="clear" w:fill="FFFFFF"/>
          <w:lang w:eastAsia="zh-CN"/>
        </w:rPr>
        <w:t>本单位没有使用“三公”经费支出</w:t>
      </w:r>
      <w:r>
        <w:rPr>
          <w:rFonts w:ascii="仿宋" w:hAnsi="仿宋" w:eastAsia="仿宋" w:cs="仿宋"/>
          <w:kern w:val="0"/>
          <w:sz w:val="32"/>
          <w:szCs w:val="32"/>
          <w:shd w:val="clear" w:fill="FFFFFF"/>
        </w:rPr>
        <w:t>。</w:t>
      </w:r>
      <w:r>
        <w:rPr>
          <w:rFonts w:ascii="仿宋" w:hAnsi="仿宋" w:eastAsia="仿宋" w:cs="仿宋"/>
          <w:spacing w:val="0"/>
          <w:kern w:val="0"/>
          <w:sz w:val="32"/>
          <w:szCs w:val="32"/>
        </w:rPr>
        <w:t>具体情况如下：</w:t>
      </w:r>
    </w:p>
    <w:p>
      <w:pPr>
        <w:pStyle w:val="31"/>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lang w:val="en-US" w:eastAsia="zh-CN"/>
        </w:rPr>
      </w:pPr>
      <w:r>
        <w:rPr>
          <w:rFonts w:ascii="仿宋" w:hAnsi="仿宋" w:eastAsia="仿宋" w:cs="仿宋"/>
          <w:spacing w:val="0"/>
          <w:kern w:val="0"/>
          <w:sz w:val="32"/>
          <w:szCs w:val="32"/>
          <w:lang w:eastAsia="zh-CN"/>
        </w:rPr>
        <w:t>（一）</w:t>
      </w:r>
      <w:r>
        <w:rPr>
          <w:rFonts w:ascii="仿宋" w:hAnsi="仿宋" w:eastAsia="仿宋" w:cs="仿宋"/>
          <w:spacing w:val="0"/>
          <w:kern w:val="0"/>
          <w:sz w:val="32"/>
          <w:szCs w:val="32"/>
        </w:rPr>
        <w:t>因公出国（境）费支出0.00万元，</w:t>
      </w:r>
      <w:r>
        <w:rPr>
          <w:rFonts w:ascii="仿宋" w:hAnsi="仿宋" w:eastAsia="仿宋" w:cs="仿宋"/>
          <w:spacing w:val="0"/>
          <w:kern w:val="0"/>
          <w:sz w:val="32"/>
          <w:szCs w:val="32"/>
          <w:lang w:eastAsia="zh-CN"/>
        </w:rPr>
        <w:t>与</w:t>
      </w:r>
      <w:r>
        <w:rPr>
          <w:rFonts w:ascii="仿宋" w:hAnsi="仿宋" w:eastAsia="仿宋" w:cs="仿宋"/>
          <w:spacing w:val="0"/>
          <w:kern w:val="0"/>
          <w:sz w:val="32"/>
          <w:szCs w:val="32"/>
        </w:rPr>
        <w:t>全年预算</w:t>
      </w:r>
      <w:r>
        <w:rPr>
          <w:rFonts w:ascii="仿宋" w:hAnsi="仿宋" w:eastAsia="仿宋" w:cs="仿宋"/>
          <w:spacing w:val="0"/>
          <w:kern w:val="0"/>
          <w:sz w:val="32"/>
          <w:szCs w:val="32"/>
          <w:lang w:val="en-US" w:eastAsia="zh-CN"/>
        </w:rPr>
        <w:t>0.00万元持平，</w:t>
      </w:r>
      <w:r>
        <w:rPr>
          <w:rFonts w:ascii="仿宋" w:hAnsi="仿宋" w:eastAsia="仿宋" w:cs="仿宋"/>
          <w:spacing w:val="0"/>
          <w:kern w:val="0"/>
          <w:sz w:val="32"/>
          <w:szCs w:val="32"/>
        </w:rPr>
        <w:t>较上年</w:t>
      </w:r>
      <w:r>
        <w:rPr>
          <w:rFonts w:ascii="仿宋" w:hAnsi="仿宋" w:eastAsia="仿宋" w:cs="仿宋"/>
          <w:spacing w:val="0"/>
          <w:kern w:val="0"/>
          <w:sz w:val="32"/>
          <w:szCs w:val="32"/>
          <w:lang w:eastAsia="zh-CN"/>
        </w:rPr>
        <w:t>决算的</w:t>
      </w:r>
      <w:r>
        <w:rPr>
          <w:rFonts w:ascii="仿宋" w:hAnsi="仿宋" w:eastAsia="仿宋" w:cs="仿宋"/>
          <w:spacing w:val="0"/>
          <w:kern w:val="0"/>
          <w:sz w:val="32"/>
          <w:szCs w:val="32"/>
          <w:lang w:val="en-US" w:eastAsia="zh-CN"/>
        </w:rPr>
        <w:t>0.00万元相比持平。</w:t>
      </w:r>
      <w:r>
        <w:rPr>
          <w:rFonts w:ascii="仿宋" w:hAnsi="仿宋" w:eastAsia="仿宋" w:cs="仿宋"/>
          <w:spacing w:val="0"/>
          <w:kern w:val="0"/>
          <w:sz w:val="32"/>
          <w:szCs w:val="32"/>
        </w:rPr>
        <w:t>全年安排本</w:t>
      </w:r>
      <w:r>
        <w:rPr>
          <w:rFonts w:ascii="仿宋" w:hAnsi="仿宋" w:eastAsia="仿宋" w:cs="仿宋"/>
          <w:spacing w:val="0"/>
          <w:kern w:val="0"/>
          <w:sz w:val="32"/>
          <w:szCs w:val="32"/>
          <w:lang w:eastAsia="zh-CN"/>
        </w:rPr>
        <w:t>单位</w:t>
      </w:r>
      <w:r>
        <w:rPr>
          <w:rFonts w:ascii="仿宋" w:hAnsi="仿宋" w:eastAsia="仿宋" w:cs="仿宋"/>
          <w:spacing w:val="0"/>
          <w:kern w:val="0"/>
          <w:sz w:val="32"/>
          <w:szCs w:val="32"/>
        </w:rPr>
        <w:t>组织的出国团组0 个，参加其他</w:t>
      </w:r>
      <w:r>
        <w:rPr>
          <w:rFonts w:ascii="仿宋" w:hAnsi="仿宋" w:eastAsia="仿宋" w:cs="仿宋"/>
          <w:spacing w:val="0"/>
          <w:kern w:val="0"/>
          <w:sz w:val="32"/>
          <w:szCs w:val="32"/>
          <w:lang w:eastAsia="zh-CN"/>
        </w:rPr>
        <w:t>单位</w:t>
      </w:r>
      <w:r>
        <w:rPr>
          <w:rFonts w:ascii="仿宋" w:hAnsi="仿宋" w:eastAsia="仿宋" w:cs="仿宋"/>
          <w:spacing w:val="0"/>
          <w:kern w:val="0"/>
          <w:sz w:val="32"/>
          <w:szCs w:val="32"/>
        </w:rPr>
        <w:t>出国团组</w:t>
      </w:r>
      <w:r>
        <w:rPr>
          <w:rFonts w:ascii="仿宋" w:hAnsi="仿宋" w:eastAsia="仿宋" w:cs="仿宋"/>
          <w:spacing w:val="0"/>
          <w:kern w:val="0"/>
          <w:sz w:val="32"/>
          <w:szCs w:val="32"/>
          <w:lang w:val="en-US" w:eastAsia="zh-CN"/>
        </w:rPr>
        <w:t>0</w:t>
      </w:r>
      <w:r>
        <w:rPr>
          <w:rFonts w:ascii="仿宋" w:hAnsi="仿宋" w:eastAsia="仿宋" w:cs="仿宋"/>
          <w:spacing w:val="0"/>
          <w:kern w:val="0"/>
          <w:sz w:val="32"/>
          <w:szCs w:val="32"/>
        </w:rPr>
        <w:t> 个；全年因公出国（境）累计0人次。主要是</w:t>
      </w:r>
      <w:r>
        <w:rPr>
          <w:rFonts w:ascii="仿宋" w:hAnsi="仿宋" w:eastAsia="仿宋" w:cs="仿宋"/>
          <w:spacing w:val="0"/>
          <w:kern w:val="0"/>
          <w:sz w:val="32"/>
          <w:szCs w:val="32"/>
          <w:lang w:val="en-US" w:eastAsia="zh-CN"/>
        </w:rPr>
        <w:t>本单位没有组织出国团组及参加其他</w:t>
      </w:r>
      <w:r>
        <w:rPr>
          <w:rFonts w:hint="eastAsia" w:ascii="仿宋" w:hAnsi="仿宋" w:eastAsia="仿宋" w:cs="仿宋"/>
          <w:spacing w:val="0"/>
          <w:kern w:val="0"/>
          <w:sz w:val="32"/>
          <w:szCs w:val="32"/>
          <w:lang w:val="en-US" w:eastAsia="zh-CN"/>
        </w:rPr>
        <w:t>单位</w:t>
      </w:r>
      <w:r>
        <w:rPr>
          <w:rFonts w:ascii="仿宋" w:hAnsi="仿宋" w:eastAsia="仿宋" w:cs="仿宋"/>
          <w:spacing w:val="0"/>
          <w:kern w:val="0"/>
          <w:sz w:val="32"/>
          <w:szCs w:val="32"/>
          <w:lang w:val="en-US" w:eastAsia="zh-CN"/>
        </w:rPr>
        <w:t xml:space="preserve">出国团组。 </w:t>
      </w:r>
      <w:r>
        <w:rPr>
          <w:rFonts w:ascii="仿宋" w:hAnsi="仿宋" w:eastAsia="仿宋" w:cs="仿宋"/>
          <w:kern w:val="0"/>
          <w:sz w:val="32"/>
          <w:szCs w:val="32"/>
          <w:lang w:val="en-US" w:eastAsia="zh-CN"/>
        </w:rPr>
        <w:t xml:space="preserve"> </w:t>
      </w:r>
    </w:p>
    <w:p>
      <w:pPr>
        <w:pStyle w:val="31"/>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rPr>
      </w:pPr>
      <w:r>
        <w:rPr>
          <w:rFonts w:ascii="仿宋" w:hAnsi="仿宋" w:eastAsia="仿宋" w:cs="仿宋"/>
          <w:kern w:val="0"/>
          <w:sz w:val="32"/>
          <w:szCs w:val="32"/>
        </w:rPr>
        <w:t>（二）公务用车购置及运行费支出0.00万元，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本单位没有购置公务用车及运行</w:t>
      </w:r>
      <w:r>
        <w:rPr>
          <w:rFonts w:hint="eastAsia" w:ascii="仿宋" w:hAnsi="仿宋" w:eastAsia="仿宋" w:cs="仿宋"/>
          <w:color w:val="000000"/>
          <w:kern w:val="0"/>
          <w:sz w:val="32"/>
          <w:szCs w:val="32"/>
          <w:lang w:val="en-US" w:eastAsia="zh-CN" w:bidi="ar-SA"/>
        </w:rPr>
        <w:t>维护</w:t>
      </w:r>
      <w:r>
        <w:rPr>
          <w:rFonts w:ascii="仿宋" w:hAnsi="仿宋" w:eastAsia="仿宋" w:cs="仿宋"/>
          <w:color w:val="000000"/>
          <w:kern w:val="0"/>
          <w:sz w:val="32"/>
          <w:szCs w:val="32"/>
          <w:lang w:val="en-US" w:eastAsia="zh-CN" w:bidi="ar-SA"/>
        </w:rPr>
        <w:t>费支出。</w:t>
      </w:r>
      <w:r>
        <w:rPr>
          <w:rFonts w:ascii="仿宋" w:hAnsi="仿宋" w:eastAsia="仿宋" w:cs="仿宋"/>
          <w:kern w:val="0"/>
          <w:sz w:val="32"/>
          <w:szCs w:val="32"/>
        </w:rPr>
        <w:t>其中：</w:t>
      </w:r>
    </w:p>
    <w:p>
      <w:pPr>
        <w:pStyle w:val="31"/>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lang w:val="en-US" w:eastAsia="zh-CN"/>
        </w:rPr>
      </w:pPr>
      <w:r>
        <w:rPr>
          <w:rFonts w:ascii="仿宋" w:hAnsi="仿宋" w:eastAsia="仿宋" w:cs="仿宋"/>
          <w:kern w:val="0"/>
          <w:sz w:val="32"/>
          <w:szCs w:val="32"/>
          <w:lang w:val="en-US" w:eastAsia="zh-CN"/>
        </w:rPr>
        <w:t>公务用车购置费支出0.00万元，与全年预算0.00万元持平，较上年决算的0.00万元相比持平。2024年公务用车购置0 辆。主要是本</w:t>
      </w:r>
      <w:r>
        <w:rPr>
          <w:rFonts w:ascii="仿宋" w:hAnsi="仿宋" w:eastAsia="仿宋" w:cs="仿宋"/>
          <w:color w:val="000000"/>
          <w:kern w:val="0"/>
          <w:sz w:val="32"/>
          <w:szCs w:val="32"/>
          <w:lang w:val="en-US" w:eastAsia="zh-CN" w:bidi="ar-SA"/>
        </w:rPr>
        <w:t>单位</w:t>
      </w:r>
      <w:r>
        <w:rPr>
          <w:rFonts w:ascii="仿宋" w:hAnsi="仿宋" w:eastAsia="仿宋" w:cs="仿宋"/>
          <w:kern w:val="0"/>
          <w:sz w:val="32"/>
          <w:szCs w:val="32"/>
          <w:lang w:val="en-US" w:eastAsia="zh-CN"/>
        </w:rPr>
        <w:t>没有购置公务用车。</w:t>
      </w:r>
    </w:p>
    <w:p>
      <w:pPr>
        <w:pStyle w:val="31"/>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32"/>
          <w:szCs w:val="32"/>
        </w:rPr>
      </w:pPr>
      <w:r>
        <w:rPr>
          <w:rFonts w:ascii="仿宋" w:hAnsi="仿宋" w:eastAsia="仿宋" w:cs="仿宋"/>
          <w:kern w:val="0"/>
          <w:sz w:val="32"/>
          <w:szCs w:val="32"/>
        </w:rPr>
        <w:t>公务用车运行费支出0.00万元，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本单位没有公务用车运行</w:t>
      </w:r>
      <w:r>
        <w:rPr>
          <w:rFonts w:hint="eastAsia" w:ascii="仿宋" w:hAnsi="仿宋" w:eastAsia="仿宋" w:cs="仿宋"/>
          <w:color w:val="000000"/>
          <w:kern w:val="0"/>
          <w:sz w:val="32"/>
          <w:szCs w:val="32"/>
          <w:lang w:val="en-US" w:eastAsia="zh-CN" w:bidi="ar-SA"/>
        </w:rPr>
        <w:t>维护</w:t>
      </w:r>
      <w:r>
        <w:rPr>
          <w:rFonts w:ascii="仿宋" w:hAnsi="仿宋" w:eastAsia="仿宋" w:cs="仿宋"/>
          <w:color w:val="000000"/>
          <w:kern w:val="0"/>
          <w:sz w:val="32"/>
          <w:szCs w:val="32"/>
          <w:lang w:val="en-US" w:eastAsia="zh-CN" w:bidi="ar-SA"/>
        </w:rPr>
        <w:t>费的支出。</w:t>
      </w:r>
      <w:r>
        <w:rPr>
          <w:rFonts w:ascii="仿宋" w:hAnsi="仿宋" w:eastAsia="仿宋" w:cs="仿宋"/>
          <w:kern w:val="0"/>
          <w:sz w:val="32"/>
          <w:szCs w:val="32"/>
        </w:rPr>
        <w:t>截至20</w:t>
      </w:r>
      <w:r>
        <w:rPr>
          <w:rFonts w:ascii="仿宋" w:hAnsi="仿宋" w:eastAsia="仿宋" w:cs="仿宋"/>
          <w:kern w:val="0"/>
          <w:sz w:val="32"/>
          <w:szCs w:val="32"/>
          <w:lang w:val="en-US" w:eastAsia="zh-CN"/>
        </w:rPr>
        <w:t>24</w:t>
      </w:r>
      <w:r>
        <w:rPr>
          <w:rFonts w:ascii="仿宋" w:hAnsi="仿宋" w:eastAsia="仿宋" w:cs="仿宋"/>
          <w:kern w:val="0"/>
          <w:sz w:val="32"/>
          <w:szCs w:val="32"/>
        </w:rPr>
        <w:t>年12月31日，本</w:t>
      </w:r>
      <w:r>
        <w:rPr>
          <w:rFonts w:ascii="仿宋" w:hAnsi="仿宋" w:eastAsia="仿宋" w:cs="仿宋"/>
          <w:color w:val="000000"/>
          <w:kern w:val="0"/>
          <w:sz w:val="32"/>
          <w:szCs w:val="32"/>
          <w:lang w:val="en-US" w:eastAsia="zh-CN" w:bidi="ar-SA"/>
        </w:rPr>
        <w:t>单位</w:t>
      </w:r>
      <w:r>
        <w:rPr>
          <w:rFonts w:ascii="仿宋" w:hAnsi="仿宋" w:eastAsia="仿宋" w:cs="仿宋"/>
          <w:kern w:val="0"/>
          <w:sz w:val="32"/>
          <w:szCs w:val="32"/>
        </w:rPr>
        <w:t>公务用车保有量为0辆。</w:t>
      </w:r>
    </w:p>
    <w:p>
      <w:pPr>
        <w:pStyle w:val="31"/>
        <w:keepNext w:val="0"/>
        <w:keepLines w:val="0"/>
        <w:pageBreakBefore w:val="0"/>
        <w:widowControl/>
        <w:numPr>
          <w:ilvl w:val="0"/>
          <w:numId w:val="1"/>
        </w:numPr>
        <w:overflowPunct w:val="0"/>
        <w:bidi w:val="0"/>
        <w:snapToGrid/>
        <w:spacing w:before="240" w:after="240" w:line="520" w:lineRule="exact"/>
        <w:ind w:firstLine="640"/>
        <w:jc w:val="both"/>
        <w:textAlignment w:val="auto"/>
        <w:rPr>
          <w:rFonts w:ascii="仿宋" w:hAnsi="仿宋" w:eastAsia="仿宋" w:cs="仿宋"/>
          <w:kern w:val="0"/>
          <w:sz w:val="32"/>
          <w:szCs w:val="32"/>
        </w:rPr>
      </w:pPr>
      <w:r>
        <w:rPr>
          <w:rFonts w:ascii="仿宋" w:hAnsi="仿宋" w:eastAsia="仿宋" w:cs="仿宋"/>
          <w:kern w:val="0"/>
          <w:sz w:val="32"/>
          <w:szCs w:val="32"/>
        </w:rPr>
        <w:t>公务接待费支出0.00万元，</w:t>
      </w:r>
      <w:r>
        <w:rPr>
          <w:rFonts w:ascii="仿宋" w:hAnsi="仿宋" w:eastAsia="仿宋" w:cs="仿宋"/>
          <w:kern w:val="0"/>
          <w:sz w:val="32"/>
          <w:szCs w:val="32"/>
          <w:lang w:eastAsia="zh-CN"/>
        </w:rPr>
        <w:t>与</w:t>
      </w:r>
      <w:r>
        <w:rPr>
          <w:rFonts w:ascii="仿宋" w:hAnsi="仿宋" w:eastAsia="仿宋" w:cs="仿宋"/>
          <w:kern w:val="0"/>
          <w:sz w:val="32"/>
          <w:szCs w:val="32"/>
        </w:rPr>
        <w:t>全年预算</w:t>
      </w:r>
      <w:r>
        <w:rPr>
          <w:rFonts w:ascii="仿宋" w:hAnsi="仿宋" w:eastAsia="仿宋" w:cs="仿宋"/>
          <w:kern w:val="0"/>
          <w:sz w:val="32"/>
          <w:szCs w:val="32"/>
          <w:lang w:val="en-US" w:eastAsia="zh-CN"/>
        </w:rPr>
        <w:t>0.00万元持平，</w:t>
      </w:r>
      <w:r>
        <w:rPr>
          <w:rFonts w:ascii="仿宋" w:hAnsi="仿宋" w:eastAsia="仿宋" w:cs="仿宋"/>
          <w:kern w:val="0"/>
          <w:sz w:val="32"/>
          <w:szCs w:val="32"/>
        </w:rPr>
        <w:t>较上年</w:t>
      </w:r>
      <w:r>
        <w:rPr>
          <w:rFonts w:ascii="仿宋" w:hAnsi="仿宋" w:eastAsia="仿宋" w:cs="仿宋"/>
          <w:kern w:val="0"/>
          <w:sz w:val="32"/>
          <w:szCs w:val="32"/>
          <w:lang w:eastAsia="zh-CN"/>
        </w:rPr>
        <w:t>决算的</w:t>
      </w:r>
      <w:r>
        <w:rPr>
          <w:rFonts w:ascii="仿宋" w:hAnsi="仿宋" w:eastAsia="仿宋" w:cs="仿宋"/>
          <w:kern w:val="0"/>
          <w:sz w:val="32"/>
          <w:szCs w:val="32"/>
          <w:lang w:val="en-US" w:eastAsia="zh-CN"/>
        </w:rPr>
        <w:t>0.00万元相比持平。</w:t>
      </w:r>
      <w:r>
        <w:rPr>
          <w:rFonts w:ascii="仿宋" w:hAnsi="仿宋" w:eastAsia="仿宋" w:cs="仿宋"/>
          <w:kern w:val="0"/>
          <w:sz w:val="32"/>
          <w:szCs w:val="32"/>
          <w:shd w:val="clear" w:fill="FFFFFF"/>
        </w:rPr>
        <w:t>主要是</w:t>
      </w:r>
      <w:r>
        <w:rPr>
          <w:rFonts w:ascii="仿宋" w:hAnsi="仿宋" w:eastAsia="仿宋" w:cs="仿宋"/>
          <w:color w:val="000000"/>
          <w:kern w:val="0"/>
          <w:sz w:val="32"/>
          <w:szCs w:val="32"/>
          <w:lang w:val="en-US" w:eastAsia="zh-CN" w:bidi="ar-SA"/>
        </w:rPr>
        <w:t>本单位没有公务接待活动。</w:t>
      </w:r>
      <w:r>
        <w:rPr>
          <w:rFonts w:ascii="仿宋" w:hAnsi="仿宋" w:eastAsia="仿宋" w:cs="仿宋"/>
          <w:kern w:val="0"/>
          <w:sz w:val="32"/>
          <w:szCs w:val="32"/>
        </w:rPr>
        <w:t>累计接待0 批次、0人次。</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32"/>
          <w:szCs w:val="32"/>
        </w:rPr>
      </w:pPr>
      <w:r>
        <w:rPr>
          <w:rFonts w:ascii="黑体" w:hAnsi="黑体" w:eastAsia="黑体" w:cs="黑体"/>
          <w:b/>
          <w:spacing w:val="0"/>
          <w:sz w:val="32"/>
          <w:szCs w:val="32"/>
        </w:rPr>
        <w:t>八、预算绩效情况说明</w:t>
      </w:r>
      <w:bookmarkEnd w:id="101"/>
      <w:bookmarkEnd w:id="102"/>
      <w:bookmarkEnd w:id="103"/>
      <w:bookmarkEnd w:id="104"/>
    </w:p>
    <w:p>
      <w:pPr>
        <w:pStyle w:val="31"/>
        <w:widowControl/>
        <w:spacing w:before="100" w:after="100" w:line="600" w:lineRule="atLeast"/>
        <w:ind w:left="0" w:right="0" w:firstLine="640"/>
        <w:jc w:val="both"/>
        <w:rPr>
          <w:rFonts w:ascii="黑体" w:hAnsi="黑体" w:eastAsia="黑体" w:cs="黑体"/>
          <w:b/>
          <w:spacing w:val="0"/>
          <w:sz w:val="32"/>
          <w:szCs w:val="32"/>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rPr>
        <w:t>0.5286</w:t>
      </w:r>
      <w:r>
        <w:rPr>
          <w:rFonts w:ascii="仿宋" w:hAnsi="仿宋" w:eastAsia="仿宋" w:cs="仿宋"/>
          <w:spacing w:val="0"/>
          <w:kern w:val="0"/>
          <w:sz w:val="32"/>
          <w:szCs w:val="32"/>
        </w:rPr>
        <w:t>万元。（《项目支出绩效自评表》详见附件）</w:t>
      </w:r>
      <w:bookmarkStart w:id="105" w:name="_Toc256000088"/>
      <w:bookmarkStart w:id="106" w:name="_Toc256000119"/>
      <w:bookmarkStart w:id="107" w:name="_Toc256000057"/>
      <w:bookmarkStart w:id="108" w:name="_Toc256000026"/>
    </w:p>
    <w:p>
      <w:pPr>
        <w:pStyle w:val="6"/>
        <w:keepNext w:val="0"/>
        <w:keepLines w:val="0"/>
        <w:spacing w:before="100" w:after="100" w:line="600" w:lineRule="atLeast"/>
        <w:ind w:left="0" w:leftChars="0" w:right="0" w:firstLine="643" w:firstLineChars="200"/>
        <w:jc w:val="both"/>
        <w:rPr>
          <w:rFonts w:ascii="Times New Roman" w:hAnsi="Times New Roman" w:eastAsia="Times New Roman" w:cs="Times New Roman"/>
          <w:b/>
          <w:bCs/>
          <w:kern w:val="0"/>
          <w:sz w:val="32"/>
          <w:szCs w:val="32"/>
        </w:rPr>
      </w:pPr>
      <w:r>
        <w:rPr>
          <w:rFonts w:ascii="黑体" w:hAnsi="黑体" w:eastAsia="黑体" w:cs="黑体"/>
          <w:b/>
          <w:spacing w:val="0"/>
          <w:sz w:val="32"/>
          <w:szCs w:val="32"/>
        </w:rPr>
        <w:t>九、其他重要事项说明</w:t>
      </w:r>
      <w:bookmarkEnd w:id="105"/>
      <w:bookmarkEnd w:id="106"/>
      <w:bookmarkEnd w:id="107"/>
      <w:bookmarkEnd w:id="108"/>
    </w:p>
    <w:p>
      <w:pPr>
        <w:pStyle w:val="31"/>
        <w:widowControl/>
        <w:spacing w:before="100" w:after="100" w:line="600" w:lineRule="atLeast"/>
        <w:ind w:left="0" w:right="0" w:firstLine="640"/>
        <w:jc w:val="both"/>
        <w:rPr>
          <w:rFonts w:ascii="仿宋" w:hAnsi="仿宋" w:eastAsia="仿宋" w:cs="仿宋"/>
          <w:b/>
          <w:bCs/>
          <w:spacing w:val="0"/>
          <w:kern w:val="0"/>
          <w:sz w:val="32"/>
          <w:szCs w:val="32"/>
        </w:rPr>
      </w:pPr>
      <w:r>
        <w:rPr>
          <w:rFonts w:ascii="仿宋" w:hAnsi="仿宋" w:eastAsia="仿宋" w:cs="仿宋"/>
          <w:b/>
          <w:bCs/>
          <w:spacing w:val="0"/>
          <w:kern w:val="0"/>
          <w:sz w:val="32"/>
          <w:szCs w:val="32"/>
        </w:rPr>
        <w:t>（一）机关运行经费 </w:t>
      </w:r>
    </w:p>
    <w:p>
      <w:pPr>
        <w:pStyle w:val="31"/>
        <w:keepNext w:val="0"/>
        <w:keepLines w:val="0"/>
        <w:pageBreakBefore w:val="0"/>
        <w:widowControl/>
        <w:overflowPunct w:val="0"/>
        <w:bidi w:val="0"/>
        <w:snapToGrid/>
        <w:spacing w:before="100" w:after="100" w:line="520" w:lineRule="exact"/>
        <w:ind w:left="0" w:right="0" w:firstLine="640"/>
        <w:jc w:val="both"/>
        <w:textAlignment w:val="auto"/>
        <w:rPr>
          <w:rStyle w:val="33"/>
          <w:rFonts w:ascii="楷体" w:hAnsi="楷体" w:eastAsia="楷体" w:cs="楷体"/>
          <w:b/>
          <w:bCs/>
          <w:spacing w:val="0"/>
          <w:kern w:val="0"/>
          <w:sz w:val="32"/>
          <w:szCs w:val="32"/>
        </w:rPr>
      </w:pPr>
      <w:r>
        <w:rPr>
          <w:rFonts w:ascii="仿宋" w:hAnsi="仿宋" w:eastAsia="仿宋" w:cs="仿宋"/>
          <w:spacing w:val="0"/>
          <w:kern w:val="0"/>
          <w:sz w:val="32"/>
          <w:szCs w:val="32"/>
        </w:rPr>
        <w:t>2024年度机关运行经费支出0万元，比上年决算数增加（减少）</w:t>
      </w:r>
      <w:r>
        <w:rPr>
          <w:rFonts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31"/>
        <w:keepNext w:val="0"/>
        <w:keepLines w:val="0"/>
        <w:pageBreakBefore w:val="0"/>
        <w:widowControl/>
        <w:overflowPunct w:val="0"/>
        <w:bidi w:val="0"/>
        <w:snapToGrid/>
        <w:spacing w:before="100" w:after="100" w:line="520" w:lineRule="exact"/>
        <w:ind w:left="0" w:right="0" w:firstLine="640"/>
        <w:jc w:val="both"/>
        <w:textAlignment w:val="auto"/>
        <w:rPr>
          <w:rFonts w:ascii="Times New Roman" w:hAnsi="Times New Roman" w:eastAsia="Times New Roman" w:cs="Times New Roman"/>
          <w:kern w:val="0"/>
          <w:sz w:val="32"/>
          <w:szCs w:val="32"/>
        </w:rPr>
      </w:pPr>
      <w:r>
        <w:rPr>
          <w:rStyle w:val="33"/>
          <w:rFonts w:ascii="楷体" w:hAnsi="楷体" w:eastAsia="楷体" w:cs="楷体"/>
          <w:b/>
          <w:bCs/>
          <w:spacing w:val="0"/>
          <w:kern w:val="0"/>
          <w:sz w:val="32"/>
          <w:szCs w:val="32"/>
        </w:rPr>
        <w:t>（二）政府采购情况</w:t>
      </w:r>
    </w:p>
    <w:p>
      <w:pPr>
        <w:pStyle w:val="31"/>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工程采购授予中小企业合同金额占工程支出金额的%，服务采购授予中小企业合同金额占服务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p>
    <w:p>
      <w:pPr>
        <w:pStyle w:val="31"/>
        <w:widowControl/>
        <w:spacing w:before="100" w:after="100" w:line="600" w:lineRule="atLeast"/>
        <w:ind w:left="0" w:right="0" w:firstLine="640"/>
        <w:jc w:val="both"/>
        <w:rPr>
          <w:rFonts w:hint="eastAsia" w:ascii="Times New Roman" w:hAnsi="Times New Roman" w:eastAsia="仿宋" w:cs="Times New Roman"/>
          <w:kern w:val="0"/>
          <w:sz w:val="32"/>
          <w:szCs w:val="32"/>
          <w:lang w:eastAsia="zh-CN"/>
        </w:rPr>
      </w:pPr>
      <w:r>
        <w:rPr>
          <w:rFonts w:hint="eastAsia" w:ascii="仿宋" w:hAnsi="仿宋" w:eastAsia="仿宋" w:cs="仿宋"/>
          <w:spacing w:val="0"/>
          <w:kern w:val="0"/>
          <w:sz w:val="32"/>
          <w:szCs w:val="32"/>
        </w:rPr>
        <w:t>本单位2024年度没有政府采购支出</w:t>
      </w:r>
      <w:r>
        <w:rPr>
          <w:rFonts w:hint="eastAsia" w:ascii="仿宋" w:hAnsi="仿宋" w:eastAsia="仿宋" w:cs="仿宋"/>
          <w:spacing w:val="0"/>
          <w:kern w:val="0"/>
          <w:sz w:val="32"/>
          <w:szCs w:val="32"/>
          <w:lang w:eastAsia="zh-CN"/>
        </w:rPr>
        <w:t>。</w:t>
      </w:r>
    </w:p>
    <w:p>
      <w:pPr>
        <w:pStyle w:val="31"/>
        <w:widowControl/>
        <w:spacing w:before="100" w:after="100" w:line="600" w:lineRule="atLeast"/>
        <w:ind w:right="0" w:firstLine="643" w:firstLineChars="200"/>
        <w:jc w:val="both"/>
        <w:rPr>
          <w:rFonts w:ascii="Times New Roman" w:hAnsi="Times New Roman" w:eastAsia="Times New Roman" w:cs="Times New Roman"/>
          <w:kern w:val="0"/>
          <w:sz w:val="32"/>
          <w:szCs w:val="32"/>
        </w:rPr>
      </w:pPr>
      <w:r>
        <w:rPr>
          <w:rStyle w:val="33"/>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1"/>
        <w:widowControl/>
        <w:spacing w:before="100" w:after="100" w:line="600" w:lineRule="atLeast"/>
        <w:ind w:left="0" w:right="0" w:firstLine="704"/>
        <w:jc w:val="both"/>
        <w:rPr>
          <w:rFonts w:ascii="黑体" w:hAnsi="黑体" w:eastAsia="黑体" w:cs="黑体"/>
          <w:b/>
          <w:spacing w:val="0"/>
          <w:sz w:val="32"/>
          <w:szCs w:val="32"/>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bookmarkStart w:id="109" w:name="_Toc256000027"/>
      <w:bookmarkStart w:id="110" w:name="_Toc256000089"/>
      <w:bookmarkStart w:id="111" w:name="_Toc256000058"/>
      <w:bookmarkStart w:id="112" w:name="_Toc256000120"/>
    </w:p>
    <w:p>
      <w:pPr>
        <w:pStyle w:val="4"/>
        <w:keepNext w:val="0"/>
        <w:keepLines w:val="0"/>
        <w:spacing w:before="100" w:after="100" w:line="240" w:lineRule="auto"/>
        <w:ind w:left="0" w:right="0" w:firstLine="0" w:firstLineChars="0"/>
        <w:rPr>
          <w:rFonts w:ascii="黑体" w:hAnsi="黑体" w:eastAsia="黑体" w:cs="黑体"/>
          <w:b/>
          <w:spacing w:val="0"/>
          <w:sz w:val="32"/>
          <w:szCs w:val="32"/>
        </w:r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r>
        <w:rPr>
          <w:rFonts w:ascii="黑体" w:hAnsi="黑体" w:eastAsia="黑体" w:cs="黑体"/>
          <w:b/>
          <w:spacing w:val="0"/>
          <w:sz w:val="32"/>
          <w:szCs w:val="32"/>
        </w:rPr>
        <w:t>第四部分</w:t>
      </w:r>
      <w:bookmarkEnd w:id="109"/>
      <w:bookmarkEnd w:id="110"/>
      <w:bookmarkEnd w:id="111"/>
      <w:bookmarkEnd w:id="112"/>
      <w:bookmarkStart w:id="113" w:name="_Toc256000059"/>
      <w:bookmarkStart w:id="114" w:name="_Toc256000028"/>
      <w:bookmarkStart w:id="115" w:name="_Toc256000121"/>
      <w:bookmarkStart w:id="116" w:name="_Toc256000090"/>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13"/>
      <w:bookmarkEnd w:id="114"/>
      <w:bookmarkEnd w:id="115"/>
      <w:bookmarkEnd w:id="116"/>
    </w:p>
    <w:p>
      <w:pPr>
        <w:pStyle w:val="31"/>
        <w:widowControl/>
        <w:spacing w:before="100" w:after="100"/>
        <w:ind w:left="0" w:right="0" w:firstLine="0"/>
        <w:jc w:val="center"/>
        <w:rPr>
          <w:rFonts w:ascii="Times New Roman" w:hAnsi="Times New Roman" w:eastAsia="Times New Roman" w:cs="Times New Roman"/>
          <w:kern w:val="0"/>
          <w:sz w:val="32"/>
          <w:szCs w:val="32"/>
        </w:rPr>
      </w:pPr>
    </w:p>
    <w:p>
      <w:pPr>
        <w:pStyle w:val="31"/>
        <w:widowControl/>
        <w:spacing w:before="100" w:after="100" w:line="600" w:lineRule="atLeast"/>
        <w:ind w:right="0" w:firstLine="964" w:firstLineChars="30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1"/>
        <w:widowControl/>
        <w:spacing w:before="100" w:after="100" w:line="600" w:lineRule="atLeast"/>
        <w:ind w:left="0" w:right="0" w:firstLine="71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1"/>
        <w:widowControl/>
        <w:spacing w:before="100" w:after="100" w:line="600" w:lineRule="atLeast"/>
        <w:ind w:left="0" w:right="0" w:firstLine="71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1"/>
        <w:widowControl/>
        <w:spacing w:before="100" w:after="100" w:line="600" w:lineRule="atLeast"/>
        <w:ind w:left="0" w:right="0" w:firstLine="71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 w:val="32"/>
          <w:szCs w:val="32"/>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1"/>
        <w:widowControl/>
        <w:spacing w:before="100" w:after="100" w:line="600" w:lineRule="atLeast"/>
        <w:ind w:left="0" w:right="0" w:firstLine="71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1"/>
        <w:widowControl/>
        <w:spacing w:before="100" w:after="100" w:line="600" w:lineRule="atLeast"/>
        <w:ind w:left="0" w:right="0" w:firstLine="71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2"/>
        <w:widowControl/>
        <w:spacing w:before="100" w:after="100" w:line="600" w:lineRule="atLeast"/>
        <w:ind w:left="0" w:right="0" w:firstLine="640"/>
        <w:jc w:val="both"/>
        <w:rPr>
          <w:rFonts w:ascii="Times New Roman" w:hAnsi="Times New Roman" w:eastAsia="Times New Roman" w:cs="Times New Roman"/>
          <w:kern w:val="0"/>
          <w:sz w:val="32"/>
          <w:szCs w:val="32"/>
        </w:rPr>
      </w:pPr>
      <w:r>
        <w:rPr>
          <w:rStyle w:val="33"/>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2"/>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3"/>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1"/>
        <w:widowControl/>
        <w:spacing w:before="240" w:after="240"/>
        <w:jc w:val="left"/>
        <w:rPr>
          <w:rFonts w:ascii="Times New Roman" w:hAnsi="Times New Roman" w:eastAsia="Times New Roman" w:cs="Times New Roman"/>
          <w:kern w:val="0"/>
          <w:sz w:val="28"/>
          <w:szCs w:val="28"/>
        </w:rPr>
      </w:pPr>
    </w:p>
    <w:p>
      <w:pPr>
        <w:rPr>
          <w:sz w:val="18"/>
          <w:szCs w:val="18"/>
        </w:rPr>
        <w:sectPr>
          <w:footerReference r:id="rId6" w:type="default"/>
          <w:pgSz w:w="11906" w:h="16838"/>
          <w:pgMar w:top="1440" w:right="1587" w:bottom="1440" w:left="1587" w:header="720" w:footer="720" w:gutter="0"/>
          <w:cols w:space="720" w:num="1"/>
        </w:sectPr>
      </w:pPr>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page break</w:t>
      </w:r>
    </w:p>
    <w:p>
      <w:pPr>
        <w:pStyle w:val="4"/>
        <w:keepNext w:val="0"/>
        <w:keepLines w:val="0"/>
        <w:spacing w:before="299" w:after="299" w:line="240" w:lineRule="auto"/>
        <w:ind w:firstLine="0" w:firstLineChars="0"/>
        <w:jc w:val="center"/>
        <w:rPr>
          <w:rFonts w:ascii="黑体" w:hAnsi="黑体" w:eastAsia="黑体" w:cs="黑体"/>
          <w:b/>
          <w:sz w:val="32"/>
          <w:szCs w:val="32"/>
        </w:rPr>
      </w:pPr>
      <w:bookmarkStart w:id="117" w:name="_Toc256000029"/>
      <w:bookmarkStart w:id="118" w:name="_Toc256000091"/>
      <w:bookmarkStart w:id="119" w:name="_Toc256000122"/>
      <w:bookmarkStart w:id="120" w:name="_Toc256000060"/>
      <w:r>
        <w:rPr>
          <w:rFonts w:ascii="黑体" w:hAnsi="黑体" w:eastAsia="黑体" w:cs="黑体"/>
          <w:b/>
          <w:sz w:val="32"/>
          <w:szCs w:val="32"/>
        </w:rPr>
        <w:t>第五部分</w:t>
      </w:r>
      <w:bookmarkEnd w:id="117"/>
      <w:bookmarkEnd w:id="118"/>
      <w:bookmarkEnd w:id="119"/>
      <w:bookmarkEnd w:id="120"/>
      <w:bookmarkStart w:id="121" w:name="_Toc256000030"/>
      <w:bookmarkStart w:id="122" w:name="_Toc256000123"/>
      <w:bookmarkStart w:id="123" w:name="_Toc256000092"/>
      <w:bookmarkStart w:id="124" w:name="_Toc256000061"/>
      <w:r>
        <w:rPr>
          <w:rFonts w:hint="eastAsia" w:ascii="黑体" w:hAnsi="黑体" w:eastAsia="黑体" w:cs="黑体"/>
          <w:b/>
          <w:sz w:val="32"/>
          <w:szCs w:val="32"/>
          <w:lang w:val="en-US" w:eastAsia="zh-CN"/>
        </w:rPr>
        <w:t xml:space="preserve"> </w:t>
      </w:r>
      <w:r>
        <w:rPr>
          <w:rFonts w:ascii="黑体" w:hAnsi="黑体" w:eastAsia="黑体" w:cs="黑体"/>
          <w:b/>
          <w:sz w:val="32"/>
          <w:szCs w:val="32"/>
        </w:rPr>
        <w:t>附件</w:t>
      </w:r>
      <w:bookmarkEnd w:id="121"/>
      <w:bookmarkEnd w:id="122"/>
      <w:bookmarkEnd w:id="123"/>
      <w:bookmarkEnd w:id="124"/>
    </w:p>
    <w:tbl>
      <w:tblPr>
        <w:tblStyle w:val="24"/>
        <w:tblW w:w="10496" w:type="dxa"/>
        <w:tblInd w:w="0" w:type="dxa"/>
        <w:shd w:val="clear" w:color="auto" w:fill="auto"/>
        <w:tblLayout w:type="fixed"/>
        <w:tblCellMar>
          <w:top w:w="0" w:type="dxa"/>
          <w:left w:w="0" w:type="dxa"/>
          <w:bottom w:w="0" w:type="dxa"/>
          <w:right w:w="0" w:type="dxa"/>
        </w:tblCellMar>
      </w:tblPr>
      <w:tblGrid>
        <w:gridCol w:w="895"/>
        <w:gridCol w:w="626"/>
        <w:gridCol w:w="2041"/>
        <w:gridCol w:w="1"/>
        <w:gridCol w:w="1721"/>
        <w:gridCol w:w="1"/>
        <w:gridCol w:w="725"/>
        <w:gridCol w:w="833"/>
        <w:gridCol w:w="779"/>
        <w:gridCol w:w="626"/>
        <w:gridCol w:w="1"/>
        <w:gridCol w:w="443"/>
        <w:gridCol w:w="229"/>
        <w:gridCol w:w="1575"/>
      </w:tblGrid>
      <w:tr>
        <w:tblPrEx>
          <w:shd w:val="clear" w:color="auto" w:fill="auto"/>
          <w:tblLayout w:type="fixed"/>
          <w:tblCellMar>
            <w:top w:w="0" w:type="dxa"/>
            <w:left w:w="0" w:type="dxa"/>
            <w:bottom w:w="0" w:type="dxa"/>
            <w:right w:w="0" w:type="dxa"/>
          </w:tblCellMar>
        </w:tblPrEx>
        <w:trPr>
          <w:trHeight w:val="375" w:hRule="atLeast"/>
        </w:trPr>
        <w:tc>
          <w:tcPr>
            <w:tcW w:w="10496" w:type="dxa"/>
            <w:gridSpan w:val="1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32"/>
                <w:szCs w:val="32"/>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360" w:hRule="atLeast"/>
        </w:trPr>
        <w:tc>
          <w:tcPr>
            <w:tcW w:w="10496" w:type="dxa"/>
            <w:gridSpan w:val="1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trPr>
        <w:tc>
          <w:tcPr>
            <w:tcW w:w="895"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预算单位（盖章）：                                                                                                  </w:t>
            </w:r>
          </w:p>
        </w:tc>
        <w:tc>
          <w:tcPr>
            <w:tcW w:w="62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2042"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1722"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72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833"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79"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2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444"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229"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1575"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trPr>
        <w:tc>
          <w:tcPr>
            <w:tcW w:w="1521"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项目名称</w:t>
            </w:r>
          </w:p>
        </w:tc>
        <w:tc>
          <w:tcPr>
            <w:tcW w:w="2042"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义务教育阶段家庭经济困难学生营养餐补助</w:t>
            </w:r>
          </w:p>
        </w:tc>
        <w:tc>
          <w:tcPr>
            <w:tcW w:w="1722" w:type="dxa"/>
            <w:gridSpan w:val="2"/>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725"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833"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自评年度</w:t>
            </w:r>
          </w:p>
        </w:tc>
        <w:tc>
          <w:tcPr>
            <w:tcW w:w="287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trPr>
        <w:tc>
          <w:tcPr>
            <w:tcW w:w="15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主管部门</w:t>
            </w:r>
          </w:p>
        </w:tc>
        <w:tc>
          <w:tcPr>
            <w:tcW w:w="5322" w:type="dxa"/>
            <w:gridSpan w:val="6"/>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湖里区教育局</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实施单位</w:t>
            </w:r>
          </w:p>
        </w:tc>
        <w:tc>
          <w:tcPr>
            <w:tcW w:w="1299" w:type="dxa"/>
            <w:gridSpan w:val="4"/>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厦门市安兜小学</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60" w:hRule="atLeast"/>
        </w:trPr>
        <w:tc>
          <w:tcPr>
            <w:tcW w:w="15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年度预算执行情况</w:t>
            </w:r>
          </w:p>
        </w:tc>
        <w:tc>
          <w:tcPr>
            <w:tcW w:w="20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年初预算数</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已调整数</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调整后预算数</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全年执行数</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执行率</w:t>
            </w:r>
          </w:p>
        </w:tc>
        <w:tc>
          <w:tcPr>
            <w:tcW w:w="44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设置分值</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得分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trPr>
        <w:tc>
          <w:tcPr>
            <w:tcW w:w="15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年度资金总额</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0.96</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0.96</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0.5286</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0.5506</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困难学生未全部在校用餐</w:t>
            </w:r>
          </w:p>
        </w:tc>
      </w:tr>
      <w:tr>
        <w:tblPrEx>
          <w:shd w:val="clear" w:color="auto" w:fill="auto"/>
          <w:tblLayout w:type="fixed"/>
          <w:tblCellMar>
            <w:top w:w="0" w:type="dxa"/>
            <w:left w:w="0" w:type="dxa"/>
            <w:bottom w:w="0" w:type="dxa"/>
            <w:right w:w="0" w:type="dxa"/>
          </w:tblCellMar>
        </w:tblPrEx>
        <w:trPr>
          <w:trHeight w:val="330" w:hRule="atLeast"/>
        </w:trPr>
        <w:tc>
          <w:tcPr>
            <w:tcW w:w="15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其中：当年财政拨款</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0.96</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0.96</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0.5286</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0.5506</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330" w:hRule="atLeast"/>
        </w:trPr>
        <w:tc>
          <w:tcPr>
            <w:tcW w:w="15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上年结转资金</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44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30" w:hRule="atLeast"/>
        </w:trPr>
        <w:tc>
          <w:tcPr>
            <w:tcW w:w="15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     其他资金</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44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75" w:hRule="atLeast"/>
        </w:trPr>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总体</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w:t>
            </w:r>
          </w:p>
        </w:tc>
        <w:tc>
          <w:tcPr>
            <w:tcW w:w="594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预期目标</w:t>
            </w:r>
          </w:p>
        </w:tc>
        <w:tc>
          <w:tcPr>
            <w:tcW w:w="365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5948"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653"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5948"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36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一级指标</w:t>
            </w: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二级指标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三级指标</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指标类型</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绩效目标值</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实际完成值</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完成比例</w:t>
            </w:r>
          </w:p>
        </w:tc>
        <w:tc>
          <w:tcPr>
            <w:tcW w:w="44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设置分值</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得分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绩</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效</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指</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标</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完</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成</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情</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况</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产出指标</w:t>
            </w: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数量指标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审核义务教育阶段受助学生</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定量</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大于等于17人</w:t>
            </w:r>
          </w:p>
        </w:tc>
        <w:tc>
          <w:tcPr>
            <w:tcW w:w="7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17人</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数量指标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全年营养餐补助学生</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定量</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大于等于10人</w:t>
            </w:r>
          </w:p>
        </w:tc>
        <w:tc>
          <w:tcPr>
            <w:tcW w:w="7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10人</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成本指标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营养餐发放标准</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定量</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6元/餐</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6元/餐</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时效指标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义务教育困难生资助资金下拨及时率</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定量</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2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效益指标</w:t>
            </w:r>
          </w:p>
        </w:tc>
        <w:tc>
          <w:tcPr>
            <w:tcW w:w="20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社会效益指标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改善受助学生学习生活质量</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定性</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有所改善</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有所改善</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30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30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i w:val="0"/>
                <w:color w:val="000000"/>
                <w:sz w:val="18"/>
                <w:szCs w:val="18"/>
                <w:u w:val="none"/>
              </w:rPr>
            </w:pP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满意度</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指标</w:t>
            </w:r>
          </w:p>
        </w:tc>
        <w:tc>
          <w:tcPr>
            <w:tcW w:w="2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服务对象满意度指标</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受资助对象满意度</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b w:val="0"/>
                <w:bCs/>
                <w:i w:val="0"/>
                <w:color w:val="000000"/>
                <w:sz w:val="18"/>
                <w:szCs w:val="18"/>
                <w:u w:val="none"/>
              </w:rPr>
            </w:pPr>
            <w:r>
              <w:rPr>
                <w:rFonts w:ascii="宋体" w:hAnsi="宋体" w:eastAsia="宋体" w:cs="宋体"/>
                <w:b w:val="0"/>
                <w:bCs/>
                <w:i w:val="0"/>
                <w:color w:val="000000"/>
                <w:kern w:val="0"/>
                <w:sz w:val="18"/>
                <w:szCs w:val="18"/>
                <w:u w:val="none"/>
                <w:lang w:val="en-US" w:eastAsia="zh-CN" w:bidi="ar"/>
              </w:rPr>
              <w:t>定量</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大于等于90%</w:t>
            </w:r>
          </w:p>
        </w:tc>
        <w:tc>
          <w:tcPr>
            <w:tcW w:w="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95%</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trPr>
        <w:tc>
          <w:tcPr>
            <w:tcW w:w="8249" w:type="dxa"/>
            <w:gridSpan w:val="11"/>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总分</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2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95</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b w:val="0"/>
                <w:bCs/>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15" w:hRule="atLeast"/>
        </w:trPr>
        <w:tc>
          <w:tcPr>
            <w:tcW w:w="10496"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5"/>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0"/>
    <w:p>
      <w:pPr>
        <w:tabs>
          <w:tab w:val="left" w:pos="8415"/>
        </w:tabs>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7"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3"/>
      <w:numFmt w:val="chi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8F6E7E"/>
    <w:rsid w:val="04241B79"/>
    <w:rsid w:val="06246EC9"/>
    <w:rsid w:val="06C9479C"/>
    <w:rsid w:val="08236ED7"/>
    <w:rsid w:val="096E043E"/>
    <w:rsid w:val="0A246BE2"/>
    <w:rsid w:val="0B7C16EC"/>
    <w:rsid w:val="102B540D"/>
    <w:rsid w:val="14DA569A"/>
    <w:rsid w:val="16797200"/>
    <w:rsid w:val="179E2DF0"/>
    <w:rsid w:val="188D7C5A"/>
    <w:rsid w:val="1BB00900"/>
    <w:rsid w:val="1DAF40C1"/>
    <w:rsid w:val="245170BF"/>
    <w:rsid w:val="24937D7C"/>
    <w:rsid w:val="27995B37"/>
    <w:rsid w:val="2B5C74A5"/>
    <w:rsid w:val="2B913EE2"/>
    <w:rsid w:val="31C636E9"/>
    <w:rsid w:val="3B082CD8"/>
    <w:rsid w:val="40B4156D"/>
    <w:rsid w:val="44BF553E"/>
    <w:rsid w:val="49DD3A19"/>
    <w:rsid w:val="4A8B7325"/>
    <w:rsid w:val="4BF13EA0"/>
    <w:rsid w:val="4C575AC5"/>
    <w:rsid w:val="4CF02A77"/>
    <w:rsid w:val="50B26975"/>
    <w:rsid w:val="533A50F5"/>
    <w:rsid w:val="55673A30"/>
    <w:rsid w:val="5B8A23E9"/>
    <w:rsid w:val="5C4D7CF1"/>
    <w:rsid w:val="5CA623D6"/>
    <w:rsid w:val="5D0F7DE0"/>
    <w:rsid w:val="5D1363B4"/>
    <w:rsid w:val="60B53D2B"/>
    <w:rsid w:val="61A42B9C"/>
    <w:rsid w:val="629E5255"/>
    <w:rsid w:val="63B92E25"/>
    <w:rsid w:val="66E06B62"/>
    <w:rsid w:val="693E394B"/>
    <w:rsid w:val="6D493B58"/>
    <w:rsid w:val="712369E9"/>
    <w:rsid w:val="714062A1"/>
    <w:rsid w:val="71DF27F8"/>
    <w:rsid w:val="77180C4B"/>
    <w:rsid w:val="788A492F"/>
    <w:rsid w:val="795E56E9"/>
    <w:rsid w:val="7C0F4A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0"/>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6"/>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unhideWhenUsed/>
    <w:qFormat/>
    <w:uiPriority w:val="0"/>
    <w:pPr>
      <w:widowControl w:val="0"/>
      <w:spacing w:after="120" w:afterLines="0"/>
      <w:ind w:firstLine="420" w:firstLineChars="100"/>
      <w:jc w:val="both"/>
    </w:pPr>
    <w:rPr>
      <w:rFonts w:hint="default" w:ascii="Calibri" w:hAnsi="Calibri" w:eastAsia="宋体" w:cs="Times New Roman"/>
      <w:sz w:val="24"/>
      <w:lang w:val="en-US" w:eastAsia="zh-CN"/>
    </w:rPr>
  </w:style>
  <w:style w:type="paragraph" w:styleId="5">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Body Text"/>
    <w:basedOn w:val="1"/>
    <w:qFormat/>
    <w:uiPriority w:val="0"/>
    <w:pPr>
      <w:spacing w:before="0" w:beforeAutospacing="0" w:after="120" w:afterAutospacing="0"/>
      <w:ind w:left="0" w:right="0"/>
      <w:jc w:val="left"/>
    </w:pPr>
    <w:rPr>
      <w:rFonts w:hint="eastAsia" w:ascii="宋体" w:hAnsi="宋体" w:eastAsia="宋体" w:cs="宋体"/>
      <w:kern w:val="0"/>
      <w:sz w:val="24"/>
      <w:szCs w:val="24"/>
      <w:lang w:val="en-US" w:eastAsia="zh-CN" w:bidi="ar"/>
    </w:rPr>
  </w:style>
  <w:style w:type="paragraph" w:styleId="11">
    <w:name w:val="toc 5"/>
    <w:basedOn w:val="1"/>
    <w:next w:val="1"/>
    <w:qFormat/>
    <w:uiPriority w:val="0"/>
    <w:pPr>
      <w:ind w:left="840"/>
      <w:jc w:val="left"/>
    </w:pPr>
    <w:rPr>
      <w:sz w:val="20"/>
      <w:szCs w:val="20"/>
    </w:rPr>
  </w:style>
  <w:style w:type="paragraph" w:styleId="12">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3">
    <w:name w:val="toc 8"/>
    <w:basedOn w:val="1"/>
    <w:next w:val="1"/>
    <w:qFormat/>
    <w:uiPriority w:val="0"/>
    <w:pPr>
      <w:ind w:left="1470"/>
      <w:jc w:val="left"/>
    </w:pPr>
    <w:rPr>
      <w:sz w:val="20"/>
      <w:szCs w:val="20"/>
    </w:rPr>
  </w:style>
  <w:style w:type="paragraph" w:styleId="14">
    <w:name w:val="footer"/>
    <w:basedOn w:val="1"/>
    <w:link w:val="28"/>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paragraph" w:customStyle="1" w:styleId="25">
    <w:name w:val="1.正文"/>
    <w:basedOn w:val="1"/>
    <w:qFormat/>
    <w:uiPriority w:val="0"/>
    <w:pPr>
      <w:spacing w:before="0" w:beforeAutospacing="0" w:after="0" w:afterAutospacing="0"/>
      <w:ind w:left="0" w:right="0" w:firstLine="0"/>
      <w:jc w:val="left"/>
    </w:pPr>
    <w:rPr>
      <w:rFonts w:ascii="宋体" w:hAnsi="宋体" w:eastAsia="宋体" w:cs="宋体"/>
      <w:kern w:val="0"/>
      <w:sz w:val="24"/>
      <w:szCs w:val="24"/>
      <w:lang w:val="en-US" w:eastAsia="zh-CN" w:bidi="ar-SA"/>
    </w:rPr>
  </w:style>
  <w:style w:type="character" w:customStyle="1" w:styleId="26">
    <w:name w:val="标题 4 字符"/>
    <w:basedOn w:val="21"/>
    <w:link w:val="7"/>
    <w:qFormat/>
    <w:uiPriority w:val="0"/>
    <w:rPr>
      <w:rFonts w:ascii="Cambria" w:hAnsi="Cambria" w:eastAsia="仿宋"/>
      <w:bCs/>
      <w:kern w:val="2"/>
      <w:sz w:val="32"/>
      <w:szCs w:val="28"/>
    </w:rPr>
  </w:style>
  <w:style w:type="character" w:customStyle="1" w:styleId="27">
    <w:name w:val="无间隔 字符"/>
    <w:link w:val="5"/>
    <w:qFormat/>
    <w:locked/>
    <w:uiPriority w:val="0"/>
    <w:rPr>
      <w:rFonts w:eastAsia="仿宋_GB2312"/>
      <w:sz w:val="30"/>
      <w:szCs w:val="22"/>
      <w:lang w:bidi="ar-SA"/>
    </w:rPr>
  </w:style>
  <w:style w:type="character" w:customStyle="1" w:styleId="28">
    <w:name w:val="页脚 字符"/>
    <w:basedOn w:val="21"/>
    <w:link w:val="14"/>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1"/>
    <w:link w:val="6"/>
    <w:qFormat/>
    <w:uiPriority w:val="0"/>
    <w:rPr>
      <w:rFonts w:eastAsia="仿宋"/>
      <w:bCs/>
      <w:kern w:val="2"/>
      <w:sz w:val="32"/>
      <w:szCs w:val="32"/>
    </w:rPr>
  </w:style>
  <w:style w:type="paragraph" w:customStyle="1" w:styleId="31">
    <w:name w:val="MsoNormal"/>
    <w:basedOn w:val="1"/>
    <w:qFormat/>
    <w:uiPriority w:val="0"/>
  </w:style>
  <w:style w:type="paragraph" w:customStyle="1" w:styleId="32">
    <w:name w:val="p"/>
    <w:basedOn w:val="1"/>
    <w:qFormat/>
    <w:uiPriority w:val="0"/>
  </w:style>
  <w:style w:type="character" w:customStyle="1" w:styleId="33">
    <w:name w:val="15"/>
    <w:basedOn w:val="21"/>
    <w:qFormat/>
    <w:uiPriority w:val="0"/>
  </w:style>
  <w:style w:type="table" w:customStyle="1" w:styleId="34">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2025-09-16T04:48:56Z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