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sz w:val="24"/>
        </w:rPr>
      </w:pPr>
    </w:p>
    <w:p>
      <w:pPr>
        <w:spacing w:line="360" w:lineRule="auto"/>
        <w:jc w:val="center"/>
        <w:rPr>
          <w:rFonts w:ascii="宋体" w:hAnsi="宋体"/>
          <w:sz w:val="24"/>
        </w:rPr>
      </w:pPr>
    </w:p>
    <w:p>
      <w:pPr>
        <w:spacing w:line="360" w:lineRule="auto"/>
        <w:jc w:val="center"/>
        <w:rPr>
          <w:rFonts w:ascii="宋体" w:hAnsi="宋体"/>
          <w:sz w:val="24"/>
        </w:rPr>
      </w:pPr>
    </w:p>
    <w:p>
      <w:pPr>
        <w:spacing w:line="360" w:lineRule="auto"/>
        <w:jc w:val="center"/>
        <w:rPr>
          <w:rFonts w:ascii="宋体" w:hAnsi="宋体"/>
          <w:sz w:val="24"/>
        </w:rPr>
      </w:pPr>
    </w:p>
    <w:p>
      <w:pPr>
        <w:widowControl/>
        <w:jc w:val="center"/>
        <w:rPr>
          <w:sz w:val="32"/>
          <w:szCs w:val="32"/>
          <w:highlight w:val="none"/>
        </w:rPr>
      </w:pPr>
    </w:p>
    <w:p>
      <w:pPr>
        <w:widowControl/>
        <w:jc w:val="both"/>
        <w:rPr>
          <w:sz w:val="84"/>
          <w:szCs w:val="84"/>
          <w:highlight w:val="none"/>
        </w:rPr>
      </w:pPr>
    </w:p>
    <w:p>
      <w:pPr>
        <w:widowControl/>
        <w:jc w:val="center"/>
        <w:rPr>
          <w:rFonts w:hint="eastAsia" w:ascii="方正小标宋简体" w:eastAsia="方正小标宋简体"/>
          <w:b/>
          <w:bCs/>
          <w:sz w:val="84"/>
          <w:szCs w:val="84"/>
          <w:highlight w:val="none"/>
        </w:rPr>
      </w:pPr>
      <w:r>
        <w:rPr>
          <w:rFonts w:hint="eastAsia" w:ascii="方正小标宋简体" w:eastAsia="方正小标宋简体"/>
          <w:b/>
          <w:bCs/>
          <w:sz w:val="84"/>
          <w:szCs w:val="84"/>
          <w:highlight w:val="none"/>
          <w:lang w:val="en-US" w:eastAsia="zh-CN"/>
        </w:rPr>
        <w:t>2024</w:t>
      </w:r>
      <w:r>
        <w:rPr>
          <w:rFonts w:hint="eastAsia" w:ascii="方正小标宋简体" w:eastAsia="方正小标宋简体"/>
          <w:b/>
          <w:bCs/>
          <w:sz w:val="84"/>
          <w:szCs w:val="84"/>
          <w:highlight w:val="none"/>
        </w:rPr>
        <w:t>年度</w:t>
      </w:r>
    </w:p>
    <w:p>
      <w:pPr>
        <w:widowControl/>
        <w:jc w:val="center"/>
        <w:rPr>
          <w:rFonts w:hint="eastAsia" w:ascii="方正小标宋简体" w:eastAsia="方正小标宋简体"/>
          <w:b/>
          <w:bCs/>
          <w:sz w:val="84"/>
          <w:szCs w:val="84"/>
          <w:highlight w:val="none"/>
        </w:rPr>
      </w:pPr>
      <w:r>
        <w:rPr>
          <w:rFonts w:hint="eastAsia" w:ascii="方正小标宋简体" w:eastAsia="方正小标宋简体"/>
          <w:b/>
          <w:bCs/>
          <w:sz w:val="84"/>
          <w:szCs w:val="84"/>
          <w:highlight w:val="none"/>
        </w:rPr>
        <w:t>厦门市寨上小学</w:t>
      </w:r>
    </w:p>
    <w:p>
      <w:pPr>
        <w:widowControl/>
        <w:jc w:val="center"/>
        <w:rPr>
          <w:rFonts w:hint="eastAsia" w:ascii="方正小标宋简体" w:eastAsia="方正小标宋简体"/>
          <w:b/>
          <w:bCs/>
          <w:sz w:val="84"/>
          <w:szCs w:val="84"/>
          <w:highlight w:val="none"/>
          <w:lang w:val="en-US" w:eastAsia="zh-CN"/>
        </w:rPr>
        <w:sectPr>
          <w:footerReference r:id="rId3" w:type="default"/>
          <w:pgSz w:w="11906" w:h="16838"/>
          <w:pgMar w:top="1440" w:right="1083" w:bottom="1440" w:left="1083" w:header="0" w:footer="720" w:gutter="0"/>
          <w:pgBorders>
            <w:top w:val="none" w:sz="0" w:space="0"/>
            <w:left w:val="none" w:sz="0" w:space="0"/>
            <w:bottom w:val="none" w:sz="0" w:space="0"/>
            <w:right w:val="none" w:sz="0" w:space="0"/>
          </w:pgBorders>
          <w:pgNumType w:fmt="decimal"/>
          <w:cols w:space="0" w:num="1"/>
          <w:rtlGutter w:val="0"/>
          <w:docGrid w:type="lines" w:linePitch="317" w:charSpace="0"/>
        </w:sectPr>
      </w:pPr>
      <w:r>
        <w:rPr>
          <w:rFonts w:hint="eastAsia" w:ascii="方正小标宋简体" w:eastAsia="方正小标宋简体"/>
          <w:b/>
          <w:bCs/>
          <w:sz w:val="84"/>
          <w:szCs w:val="84"/>
          <w:highlight w:val="none"/>
          <w:lang w:val="en-US" w:eastAsia="zh-CN"/>
        </w:rPr>
        <w:t>单位</w:t>
      </w:r>
      <w:r>
        <w:rPr>
          <w:rFonts w:hint="eastAsia" w:ascii="方正小标宋简体" w:eastAsia="方正小标宋简体"/>
          <w:b/>
          <w:bCs/>
          <w:sz w:val="84"/>
          <w:szCs w:val="84"/>
          <w:highlight w:val="none"/>
        </w:rPr>
        <w:t>决算</w:t>
      </w:r>
    </w:p>
    <w:sdt>
      <w:sdtPr>
        <w:rPr>
          <w:rFonts w:hint="eastAsia" w:ascii="仿宋" w:hAnsi="仿宋" w:eastAsia="仿宋" w:cs="仿宋"/>
          <w:b/>
          <w:bCs/>
          <w:kern w:val="0"/>
          <w:sz w:val="32"/>
          <w:szCs w:val="32"/>
          <w:lang w:val="en-US" w:eastAsia="zh-CN"/>
        </w:rPr>
        <w:id w:val="147456983"/>
        <w15:color w:val="DBDBDB"/>
        <w:docPartObj>
          <w:docPartGallery w:val="Table of Contents"/>
          <w:docPartUnique/>
        </w:docPartObj>
      </w:sdtPr>
      <w:sdtEndPr>
        <w:rPr>
          <w:rFonts w:hint="eastAsia" w:ascii="宋体" w:hAnsi="宋体" w:eastAsia="宋体" w:cs="Times New Roman"/>
          <w:b/>
          <w:bCs/>
          <w:kern w:val="2"/>
          <w:sz w:val="32"/>
          <w:szCs w:val="32"/>
          <w:lang w:val="en-US" w:eastAsia="zh-CN" w:bidi="ar-SA"/>
        </w:rPr>
      </w:sdtEndPr>
      <w:sdtContent>
        <w:p>
          <w:pPr>
            <w:widowControl/>
            <w:spacing w:before="0" w:beforeLines="0" w:after="0" w:afterLines="0" w:line="240" w:lineRule="auto"/>
            <w:ind w:left="0" w:leftChars="0" w:right="0" w:rightChars="0" w:firstLine="0" w:firstLineChars="0"/>
            <w:jc w:val="center"/>
            <w:rPr>
              <w:rFonts w:hint="eastAsia" w:ascii="仿宋" w:hAnsi="仿宋" w:eastAsia="仿宋" w:cs="仿宋"/>
              <w:b/>
              <w:bCs/>
              <w:kern w:val="0"/>
              <w:sz w:val="32"/>
              <w:szCs w:val="32"/>
            </w:rPr>
          </w:pPr>
          <w:r>
            <w:rPr>
              <w:rFonts w:hint="eastAsia" w:ascii="仿宋" w:hAnsi="仿宋" w:eastAsia="仿宋" w:cs="仿宋"/>
              <w:b/>
              <w:bCs/>
              <w:kern w:val="0"/>
              <w:sz w:val="32"/>
              <w:szCs w:val="32"/>
            </w:rPr>
            <w:t>目录</w:t>
          </w:r>
        </w:p>
        <w:p>
          <w:pPr>
            <w:pStyle w:val="20"/>
            <w:tabs>
              <w:tab w:val="right" w:leader="dot" w:pos="9730"/>
            </w:tabs>
            <w:rPr>
              <w:rFonts w:asciiTheme="minorHAnsi" w:hAnsiTheme="minorHAnsi"/>
              <w:sz w:val="22"/>
            </w:rPr>
          </w:pPr>
          <w:r>
            <w:rPr>
              <w:rFonts w:hint="eastAsia" w:ascii="仿宋" w:hAnsi="仿宋" w:eastAsia="仿宋" w:cs="仿宋"/>
              <w:b w:val="0"/>
              <w:bCs/>
              <w:kern w:val="2"/>
              <w:sz w:val="32"/>
              <w:szCs w:val="32"/>
              <w:lang w:val="en-US" w:eastAsia="zh-CN" w:bidi="ar-SA"/>
            </w:rPr>
            <w:fldChar w:fldCharType="begin"/>
          </w:r>
          <w:r>
            <w:rPr>
              <w:rFonts w:hint="eastAsia" w:ascii="仿宋" w:hAnsi="仿宋" w:eastAsia="仿宋" w:cs="仿宋"/>
              <w:b w:val="0"/>
              <w:bCs/>
              <w:kern w:val="2"/>
              <w:sz w:val="32"/>
              <w:szCs w:val="32"/>
              <w:lang w:val="en-US" w:eastAsia="zh-CN" w:bidi="ar-SA"/>
            </w:rPr>
            <w:instrText xml:space="preserve">TOC \o "1-3" \h \u </w:instrText>
          </w:r>
          <w:r>
            <w:rPr>
              <w:rFonts w:hint="eastAsia" w:ascii="仿宋" w:hAnsi="仿宋" w:eastAsia="仿宋" w:cs="仿宋"/>
              <w:b w:val="0"/>
              <w:bCs/>
              <w:kern w:val="2"/>
              <w:sz w:val="32"/>
              <w:szCs w:val="32"/>
              <w:lang w:val="en-US" w:eastAsia="zh-CN" w:bidi="ar-SA"/>
            </w:rPr>
            <w:fldChar w:fldCharType="separate"/>
          </w:r>
          <w:r>
            <w:fldChar w:fldCharType="begin"/>
          </w:r>
          <w:r>
            <w:instrText xml:space="preserve"> HYPERLINK \l "_Toc256000093" </w:instrText>
          </w:r>
          <w:r>
            <w:fldChar w:fldCharType="separate"/>
          </w:r>
          <w:r>
            <w:rPr>
              <w:rStyle w:val="24"/>
              <w:rFonts w:ascii="黑体" w:hAnsi="黑体" w:eastAsia="黑体" w:cs="黑体"/>
            </w:rPr>
            <w:t>第一部分</w:t>
          </w:r>
          <w:r>
            <w:tab/>
          </w:r>
          <w:r>
            <w:fldChar w:fldCharType="begin"/>
          </w:r>
          <w:r>
            <w:instrText xml:space="preserve"> PAGEREF _Toc256000093 \h </w:instrText>
          </w:r>
          <w:r>
            <w:fldChar w:fldCharType="separate"/>
          </w:r>
          <w:r>
            <w:t>4</w:t>
          </w:r>
          <w:r>
            <w:fldChar w:fldCharType="end"/>
          </w:r>
          <w:r>
            <w:fldChar w:fldCharType="end"/>
          </w:r>
        </w:p>
        <w:p>
          <w:pPr>
            <w:pStyle w:val="20"/>
            <w:tabs>
              <w:tab w:val="right" w:leader="dot" w:pos="9730"/>
            </w:tabs>
            <w:rPr>
              <w:rFonts w:asciiTheme="minorHAnsi" w:hAnsiTheme="minorHAnsi"/>
              <w:sz w:val="22"/>
            </w:rPr>
          </w:pPr>
          <w:r>
            <w:fldChar w:fldCharType="begin"/>
          </w:r>
          <w:r>
            <w:instrText xml:space="preserve"> HYPERLINK \l "_Toc256000094" </w:instrText>
          </w:r>
          <w:r>
            <w:fldChar w:fldCharType="separate"/>
          </w:r>
          <w:r>
            <w:rPr>
              <w:rStyle w:val="24"/>
              <w:rFonts w:ascii="黑体" w:hAnsi="黑体" w:eastAsia="黑体" w:cs="黑体"/>
            </w:rPr>
            <w:t>单位概况</w:t>
          </w:r>
          <w:r>
            <w:tab/>
          </w:r>
          <w:r>
            <w:fldChar w:fldCharType="begin"/>
          </w:r>
          <w:r>
            <w:instrText xml:space="preserve"> PAGEREF _Toc256000094 \h </w:instrText>
          </w:r>
          <w:r>
            <w:fldChar w:fldCharType="separate"/>
          </w:r>
          <w:r>
            <w:t>4</w:t>
          </w:r>
          <w:r>
            <w:fldChar w:fldCharType="end"/>
          </w:r>
          <w:r>
            <w:fldChar w:fldCharType="end"/>
          </w:r>
        </w:p>
        <w:p>
          <w:pPr>
            <w:pStyle w:val="13"/>
            <w:tabs>
              <w:tab w:val="right" w:leader="dot" w:pos="9730"/>
            </w:tabs>
            <w:rPr>
              <w:rFonts w:asciiTheme="minorHAnsi" w:hAnsiTheme="minorHAnsi"/>
              <w:sz w:val="22"/>
            </w:rPr>
          </w:pPr>
          <w:r>
            <w:fldChar w:fldCharType="begin"/>
          </w:r>
          <w:r>
            <w:instrText xml:space="preserve"> HYPERLINK \l "_Toc256000095" </w:instrText>
          </w:r>
          <w:r>
            <w:fldChar w:fldCharType="separate"/>
          </w:r>
          <w:r>
            <w:rPr>
              <w:rStyle w:val="24"/>
              <w:rFonts w:ascii="黑体" w:hAnsi="黑体" w:eastAsia="黑体" w:cs="黑体"/>
            </w:rPr>
            <w:t>一、单位主要职责</w:t>
          </w:r>
          <w:r>
            <w:tab/>
          </w:r>
          <w:r>
            <w:fldChar w:fldCharType="begin"/>
          </w:r>
          <w:r>
            <w:instrText xml:space="preserve"> PAGEREF _Toc256000095 \h </w:instrText>
          </w:r>
          <w:r>
            <w:fldChar w:fldCharType="separate"/>
          </w:r>
          <w:r>
            <w:t>4</w:t>
          </w:r>
          <w:r>
            <w:fldChar w:fldCharType="end"/>
          </w:r>
          <w:r>
            <w:fldChar w:fldCharType="end"/>
          </w:r>
        </w:p>
        <w:p>
          <w:pPr>
            <w:pStyle w:val="13"/>
            <w:tabs>
              <w:tab w:val="right" w:leader="dot" w:pos="9730"/>
            </w:tabs>
            <w:rPr>
              <w:rFonts w:asciiTheme="minorHAnsi" w:hAnsiTheme="minorHAnsi"/>
              <w:sz w:val="22"/>
            </w:rPr>
          </w:pPr>
          <w:r>
            <w:fldChar w:fldCharType="begin"/>
          </w:r>
          <w:r>
            <w:instrText xml:space="preserve"> HYPERLINK \l "_Toc256000096" </w:instrText>
          </w:r>
          <w:r>
            <w:fldChar w:fldCharType="separate"/>
          </w:r>
          <w:r>
            <w:rPr>
              <w:rStyle w:val="24"/>
              <w:rFonts w:ascii="黑体" w:hAnsi="黑体" w:eastAsia="黑体" w:cs="黑体"/>
            </w:rPr>
            <w:t>二、单位基本情况</w:t>
          </w:r>
          <w:r>
            <w:tab/>
          </w:r>
          <w:r>
            <w:fldChar w:fldCharType="begin"/>
          </w:r>
          <w:r>
            <w:instrText xml:space="preserve"> PAGEREF _Toc256000096 \h </w:instrText>
          </w:r>
          <w:r>
            <w:fldChar w:fldCharType="separate"/>
          </w:r>
          <w:r>
            <w:t>4</w:t>
          </w:r>
          <w:r>
            <w:fldChar w:fldCharType="end"/>
          </w:r>
          <w:r>
            <w:fldChar w:fldCharType="end"/>
          </w:r>
        </w:p>
        <w:p>
          <w:pPr>
            <w:pStyle w:val="13"/>
            <w:tabs>
              <w:tab w:val="right" w:leader="dot" w:pos="9730"/>
            </w:tabs>
            <w:rPr>
              <w:rFonts w:asciiTheme="minorHAnsi" w:hAnsiTheme="minorHAnsi"/>
              <w:sz w:val="22"/>
            </w:rPr>
          </w:pPr>
          <w:r>
            <w:fldChar w:fldCharType="begin"/>
          </w:r>
          <w:r>
            <w:instrText xml:space="preserve"> HYPERLINK \l "_Toc256000097" </w:instrText>
          </w:r>
          <w:r>
            <w:fldChar w:fldCharType="separate"/>
          </w:r>
          <w:r>
            <w:rPr>
              <w:rStyle w:val="24"/>
              <w:rFonts w:ascii="黑体" w:hAnsi="黑体" w:eastAsia="黑体" w:cs="黑体"/>
            </w:rPr>
            <w:t>三、单位主要工作总结</w:t>
          </w:r>
          <w:r>
            <w:tab/>
          </w:r>
          <w:r>
            <w:fldChar w:fldCharType="begin"/>
          </w:r>
          <w:r>
            <w:instrText xml:space="preserve"> PAGEREF _Toc256000097 \h </w:instrText>
          </w:r>
          <w:r>
            <w:fldChar w:fldCharType="separate"/>
          </w:r>
          <w:r>
            <w:t>4</w:t>
          </w:r>
          <w:r>
            <w:fldChar w:fldCharType="end"/>
          </w:r>
          <w:r>
            <w:fldChar w:fldCharType="end"/>
          </w:r>
        </w:p>
        <w:p>
          <w:pPr>
            <w:pStyle w:val="20"/>
            <w:tabs>
              <w:tab w:val="right" w:leader="dot" w:pos="9730"/>
            </w:tabs>
            <w:rPr>
              <w:rFonts w:asciiTheme="minorHAnsi" w:hAnsiTheme="minorHAnsi"/>
              <w:sz w:val="22"/>
            </w:rPr>
          </w:pPr>
          <w:r>
            <w:fldChar w:fldCharType="begin"/>
          </w:r>
          <w:r>
            <w:instrText xml:space="preserve"> HYPERLINK \l "_Toc256000098" </w:instrText>
          </w:r>
          <w:r>
            <w:fldChar w:fldCharType="separate"/>
          </w:r>
          <w:r>
            <w:rPr>
              <w:rStyle w:val="24"/>
              <w:rFonts w:ascii="黑体" w:hAnsi="黑体" w:eastAsia="黑体" w:cs="黑体"/>
            </w:rPr>
            <w:t>第二部分</w:t>
          </w:r>
          <w:r>
            <w:tab/>
          </w:r>
          <w:r>
            <w:fldChar w:fldCharType="begin"/>
          </w:r>
          <w:r>
            <w:instrText xml:space="preserve"> PAGEREF _Toc256000098 \h </w:instrText>
          </w:r>
          <w:r>
            <w:fldChar w:fldCharType="separate"/>
          </w:r>
          <w:r>
            <w:t>5</w:t>
          </w:r>
          <w:r>
            <w:fldChar w:fldCharType="end"/>
          </w:r>
          <w:r>
            <w:fldChar w:fldCharType="end"/>
          </w:r>
        </w:p>
        <w:p>
          <w:pPr>
            <w:pStyle w:val="20"/>
            <w:tabs>
              <w:tab w:val="right" w:leader="dot" w:pos="9730"/>
            </w:tabs>
            <w:rPr>
              <w:rFonts w:asciiTheme="minorHAnsi" w:hAnsiTheme="minorHAnsi"/>
              <w:sz w:val="22"/>
            </w:rPr>
          </w:pPr>
          <w:r>
            <w:fldChar w:fldCharType="begin"/>
          </w:r>
          <w:r>
            <w:instrText xml:space="preserve"> HYPERLINK \l "_Toc256000099" </w:instrText>
          </w:r>
          <w:r>
            <w:fldChar w:fldCharType="separate"/>
          </w:r>
          <w:r>
            <w:rPr>
              <w:rStyle w:val="24"/>
              <w:rFonts w:ascii="黑体" w:hAnsi="黑体" w:eastAsia="黑体" w:cs="黑体"/>
            </w:rPr>
            <w:t>2024年度决算表</w:t>
          </w:r>
          <w:r>
            <w:tab/>
          </w:r>
          <w:r>
            <w:fldChar w:fldCharType="begin"/>
          </w:r>
          <w:r>
            <w:instrText xml:space="preserve"> PAGEREF _Toc256000099 \h </w:instrText>
          </w:r>
          <w:r>
            <w:fldChar w:fldCharType="separate"/>
          </w:r>
          <w:r>
            <w:t>5</w:t>
          </w:r>
          <w:r>
            <w:fldChar w:fldCharType="end"/>
          </w:r>
          <w:r>
            <w:fldChar w:fldCharType="end"/>
          </w:r>
        </w:p>
        <w:p>
          <w:pPr>
            <w:pStyle w:val="13"/>
            <w:tabs>
              <w:tab w:val="right" w:leader="dot" w:pos="9730"/>
            </w:tabs>
            <w:rPr>
              <w:rFonts w:asciiTheme="minorHAnsi" w:hAnsiTheme="minorHAnsi"/>
              <w:sz w:val="22"/>
            </w:rPr>
          </w:pPr>
          <w:r>
            <w:fldChar w:fldCharType="begin"/>
          </w:r>
          <w:r>
            <w:instrText xml:space="preserve"> HYPERLINK \l "_Toc256000100" </w:instrText>
          </w:r>
          <w:r>
            <w:fldChar w:fldCharType="separate"/>
          </w:r>
          <w:r>
            <w:rPr>
              <w:rStyle w:val="24"/>
              <w:rFonts w:ascii="黑体" w:hAnsi="黑体" w:eastAsia="黑体" w:cs="黑体"/>
            </w:rPr>
            <w:t>一、收入支出决算总表</w:t>
          </w:r>
          <w:r>
            <w:tab/>
          </w:r>
          <w:r>
            <w:fldChar w:fldCharType="begin"/>
          </w:r>
          <w:r>
            <w:instrText xml:space="preserve"> PAGEREF _Toc256000100 \h </w:instrText>
          </w:r>
          <w:r>
            <w:fldChar w:fldCharType="separate"/>
          </w:r>
          <w:r>
            <w:t>5</w:t>
          </w:r>
          <w:r>
            <w:fldChar w:fldCharType="end"/>
          </w:r>
          <w:r>
            <w:fldChar w:fldCharType="end"/>
          </w:r>
        </w:p>
        <w:p>
          <w:pPr>
            <w:pStyle w:val="13"/>
            <w:tabs>
              <w:tab w:val="right" w:leader="dot" w:pos="9730"/>
            </w:tabs>
            <w:rPr>
              <w:rFonts w:asciiTheme="minorHAnsi" w:hAnsiTheme="minorHAnsi"/>
              <w:sz w:val="22"/>
            </w:rPr>
          </w:pPr>
          <w:r>
            <w:fldChar w:fldCharType="begin"/>
          </w:r>
          <w:r>
            <w:instrText xml:space="preserve"> HYPERLINK \l "_Toc256000101" </w:instrText>
          </w:r>
          <w:r>
            <w:fldChar w:fldCharType="separate"/>
          </w:r>
          <w:r>
            <w:rPr>
              <w:rStyle w:val="24"/>
              <w:rFonts w:ascii="黑体" w:hAnsi="黑体" w:eastAsia="黑体" w:cs="黑体"/>
            </w:rPr>
            <w:t>二、收入决算表</w:t>
          </w:r>
          <w:r>
            <w:tab/>
          </w:r>
          <w:r>
            <w:fldChar w:fldCharType="begin"/>
          </w:r>
          <w:r>
            <w:instrText xml:space="preserve"> PAGEREF _Toc256000101 \h </w:instrText>
          </w:r>
          <w:r>
            <w:fldChar w:fldCharType="separate"/>
          </w:r>
          <w:r>
            <w:t>7</w:t>
          </w:r>
          <w:r>
            <w:fldChar w:fldCharType="end"/>
          </w:r>
          <w:r>
            <w:fldChar w:fldCharType="end"/>
          </w:r>
        </w:p>
        <w:p>
          <w:pPr>
            <w:pStyle w:val="13"/>
            <w:tabs>
              <w:tab w:val="right" w:leader="dot" w:pos="9730"/>
            </w:tabs>
            <w:rPr>
              <w:rFonts w:asciiTheme="minorHAnsi" w:hAnsiTheme="minorHAnsi"/>
              <w:sz w:val="22"/>
            </w:rPr>
          </w:pPr>
          <w:r>
            <w:fldChar w:fldCharType="begin"/>
          </w:r>
          <w:r>
            <w:instrText xml:space="preserve"> HYPERLINK \l "_Toc256000102" </w:instrText>
          </w:r>
          <w:r>
            <w:fldChar w:fldCharType="separate"/>
          </w:r>
          <w:r>
            <w:rPr>
              <w:rStyle w:val="24"/>
              <w:rFonts w:ascii="黑体" w:hAnsi="黑体" w:eastAsia="黑体" w:cs="黑体"/>
            </w:rPr>
            <w:t>三、支出决算表</w:t>
          </w:r>
          <w:r>
            <w:tab/>
          </w:r>
          <w:r>
            <w:fldChar w:fldCharType="begin"/>
          </w:r>
          <w:r>
            <w:instrText xml:space="preserve"> PAGEREF _Toc256000102 \h </w:instrText>
          </w:r>
          <w:r>
            <w:fldChar w:fldCharType="separate"/>
          </w:r>
          <w:r>
            <w:t>8</w:t>
          </w:r>
          <w:r>
            <w:fldChar w:fldCharType="end"/>
          </w:r>
          <w:r>
            <w:fldChar w:fldCharType="end"/>
          </w:r>
        </w:p>
        <w:p>
          <w:pPr>
            <w:pStyle w:val="13"/>
            <w:tabs>
              <w:tab w:val="right" w:leader="dot" w:pos="9730"/>
            </w:tabs>
            <w:rPr>
              <w:rFonts w:asciiTheme="minorHAnsi" w:hAnsiTheme="minorHAnsi"/>
              <w:sz w:val="22"/>
            </w:rPr>
          </w:pPr>
          <w:r>
            <w:fldChar w:fldCharType="begin"/>
          </w:r>
          <w:r>
            <w:instrText xml:space="preserve"> HYPERLINK \l "_Toc256000103" </w:instrText>
          </w:r>
          <w:r>
            <w:fldChar w:fldCharType="separate"/>
          </w:r>
          <w:r>
            <w:rPr>
              <w:rStyle w:val="24"/>
              <w:rFonts w:ascii="黑体" w:hAnsi="黑体" w:eastAsia="黑体" w:cs="黑体"/>
            </w:rPr>
            <w:t>四、财政拨款收入支出决算总表</w:t>
          </w:r>
          <w:r>
            <w:tab/>
          </w:r>
          <w:r>
            <w:fldChar w:fldCharType="begin"/>
          </w:r>
          <w:r>
            <w:instrText xml:space="preserve"> PAGEREF _Toc256000103 \h </w:instrText>
          </w:r>
          <w:r>
            <w:fldChar w:fldCharType="separate"/>
          </w:r>
          <w:r>
            <w:t>9</w:t>
          </w:r>
          <w:r>
            <w:fldChar w:fldCharType="end"/>
          </w:r>
          <w:r>
            <w:fldChar w:fldCharType="end"/>
          </w:r>
        </w:p>
        <w:p>
          <w:pPr>
            <w:pStyle w:val="13"/>
            <w:tabs>
              <w:tab w:val="right" w:leader="dot" w:pos="9730"/>
            </w:tabs>
            <w:rPr>
              <w:rFonts w:asciiTheme="minorHAnsi" w:hAnsiTheme="minorHAnsi"/>
              <w:sz w:val="22"/>
            </w:rPr>
          </w:pPr>
          <w:r>
            <w:fldChar w:fldCharType="begin"/>
          </w:r>
          <w:r>
            <w:instrText xml:space="preserve"> HYPERLINK \l "_Toc256000104" </w:instrText>
          </w:r>
          <w:r>
            <w:fldChar w:fldCharType="separate"/>
          </w:r>
          <w:r>
            <w:rPr>
              <w:rStyle w:val="24"/>
              <w:rFonts w:ascii="黑体" w:hAnsi="黑体" w:eastAsia="黑体" w:cs="黑体"/>
            </w:rPr>
            <w:t>五、一般公共预算财政拨款支出决算表</w:t>
          </w:r>
          <w:r>
            <w:tab/>
          </w:r>
          <w:r>
            <w:fldChar w:fldCharType="begin"/>
          </w:r>
          <w:r>
            <w:instrText xml:space="preserve"> PAGEREF _Toc256000104 \h </w:instrText>
          </w:r>
          <w:r>
            <w:fldChar w:fldCharType="separate"/>
          </w:r>
          <w:r>
            <w:t>10</w:t>
          </w:r>
          <w:r>
            <w:fldChar w:fldCharType="end"/>
          </w:r>
          <w:r>
            <w:fldChar w:fldCharType="end"/>
          </w:r>
        </w:p>
        <w:p>
          <w:pPr>
            <w:pStyle w:val="13"/>
            <w:tabs>
              <w:tab w:val="right" w:leader="dot" w:pos="9730"/>
            </w:tabs>
            <w:rPr>
              <w:rFonts w:asciiTheme="minorHAnsi" w:hAnsiTheme="minorHAnsi"/>
              <w:sz w:val="22"/>
            </w:rPr>
          </w:pPr>
          <w:r>
            <w:fldChar w:fldCharType="begin"/>
          </w:r>
          <w:r>
            <w:instrText xml:space="preserve"> HYPERLINK \l "_Toc256000105" </w:instrText>
          </w:r>
          <w:r>
            <w:fldChar w:fldCharType="separate"/>
          </w:r>
          <w:r>
            <w:rPr>
              <w:rStyle w:val="24"/>
              <w:rFonts w:ascii="黑体" w:hAnsi="黑体" w:eastAsia="黑体" w:cs="黑体"/>
            </w:rPr>
            <w:t>六、一般公共预算财政拨款基本支出决算表</w:t>
          </w:r>
          <w:r>
            <w:tab/>
          </w:r>
          <w:r>
            <w:fldChar w:fldCharType="begin"/>
          </w:r>
          <w:r>
            <w:instrText xml:space="preserve"> PAGEREF _Toc256000105 \h </w:instrText>
          </w:r>
          <w:r>
            <w:fldChar w:fldCharType="separate"/>
          </w:r>
          <w:r>
            <w:t>11</w:t>
          </w:r>
          <w:r>
            <w:fldChar w:fldCharType="end"/>
          </w:r>
          <w:r>
            <w:fldChar w:fldCharType="end"/>
          </w:r>
        </w:p>
        <w:p>
          <w:pPr>
            <w:pStyle w:val="13"/>
            <w:tabs>
              <w:tab w:val="right" w:leader="dot" w:pos="9730"/>
            </w:tabs>
            <w:rPr>
              <w:rFonts w:asciiTheme="minorHAnsi" w:hAnsiTheme="minorHAnsi"/>
              <w:sz w:val="22"/>
            </w:rPr>
          </w:pPr>
          <w:r>
            <w:fldChar w:fldCharType="begin"/>
          </w:r>
          <w:r>
            <w:instrText xml:space="preserve"> HYPERLINK \l "_Toc256000106" </w:instrText>
          </w:r>
          <w:r>
            <w:fldChar w:fldCharType="separate"/>
          </w:r>
          <w:r>
            <w:rPr>
              <w:rStyle w:val="24"/>
              <w:rFonts w:ascii="黑体" w:hAnsi="黑体" w:eastAsia="黑体" w:cs="黑体"/>
            </w:rPr>
            <w:t>七、一般公共预算财政拨款“三公”经费支出决算表</w:t>
          </w:r>
          <w:r>
            <w:tab/>
          </w:r>
          <w:r>
            <w:fldChar w:fldCharType="begin"/>
          </w:r>
          <w:r>
            <w:instrText xml:space="preserve"> PAGEREF _Toc256000106 \h </w:instrText>
          </w:r>
          <w:r>
            <w:fldChar w:fldCharType="separate"/>
          </w:r>
          <w:r>
            <w:t>12</w:t>
          </w:r>
          <w:r>
            <w:fldChar w:fldCharType="end"/>
          </w:r>
          <w:r>
            <w:fldChar w:fldCharType="end"/>
          </w:r>
        </w:p>
        <w:p>
          <w:pPr>
            <w:pStyle w:val="13"/>
            <w:tabs>
              <w:tab w:val="right" w:leader="dot" w:pos="9730"/>
            </w:tabs>
            <w:rPr>
              <w:rFonts w:asciiTheme="minorHAnsi" w:hAnsiTheme="minorHAnsi"/>
              <w:sz w:val="22"/>
            </w:rPr>
          </w:pPr>
          <w:r>
            <w:fldChar w:fldCharType="begin"/>
          </w:r>
          <w:r>
            <w:instrText xml:space="preserve"> HYPERLINK \l "_Toc256000107" </w:instrText>
          </w:r>
          <w:r>
            <w:fldChar w:fldCharType="separate"/>
          </w:r>
          <w:r>
            <w:rPr>
              <w:rStyle w:val="24"/>
              <w:rFonts w:ascii="黑体" w:hAnsi="黑体" w:eastAsia="黑体" w:cs="黑体"/>
            </w:rPr>
            <w:t>八、政府性基金预算财政拨款收入支出决算表</w:t>
          </w:r>
          <w:r>
            <w:tab/>
          </w:r>
          <w:r>
            <w:fldChar w:fldCharType="begin"/>
          </w:r>
          <w:r>
            <w:instrText xml:space="preserve"> PAGEREF _Toc256000107 \h </w:instrText>
          </w:r>
          <w:r>
            <w:fldChar w:fldCharType="separate"/>
          </w:r>
          <w:r>
            <w:t>13</w:t>
          </w:r>
          <w:r>
            <w:fldChar w:fldCharType="end"/>
          </w:r>
          <w:r>
            <w:fldChar w:fldCharType="end"/>
          </w:r>
        </w:p>
        <w:p>
          <w:pPr>
            <w:pStyle w:val="13"/>
            <w:tabs>
              <w:tab w:val="right" w:leader="dot" w:pos="9730"/>
            </w:tabs>
            <w:rPr>
              <w:rFonts w:asciiTheme="minorHAnsi" w:hAnsiTheme="minorHAnsi"/>
              <w:sz w:val="22"/>
            </w:rPr>
          </w:pPr>
          <w:r>
            <w:fldChar w:fldCharType="begin"/>
          </w:r>
          <w:r>
            <w:instrText xml:space="preserve"> HYPERLINK \l "_Toc256000108" </w:instrText>
          </w:r>
          <w:r>
            <w:fldChar w:fldCharType="separate"/>
          </w:r>
          <w:r>
            <w:rPr>
              <w:rStyle w:val="24"/>
              <w:rFonts w:ascii="黑体" w:hAnsi="黑体" w:eastAsia="黑体" w:cs="黑体"/>
            </w:rPr>
            <w:t>九、国有资本经营预算财政拨款支出决算表</w:t>
          </w:r>
          <w:r>
            <w:tab/>
          </w:r>
          <w:r>
            <w:fldChar w:fldCharType="begin"/>
          </w:r>
          <w:r>
            <w:instrText xml:space="preserve"> PAGEREF _Toc256000108 \h </w:instrText>
          </w:r>
          <w:r>
            <w:fldChar w:fldCharType="separate"/>
          </w:r>
          <w:r>
            <w:t>13</w:t>
          </w:r>
          <w:r>
            <w:fldChar w:fldCharType="end"/>
          </w:r>
          <w:r>
            <w:fldChar w:fldCharType="end"/>
          </w:r>
        </w:p>
        <w:p>
          <w:pPr>
            <w:pStyle w:val="20"/>
            <w:tabs>
              <w:tab w:val="right" w:leader="dot" w:pos="9730"/>
            </w:tabs>
            <w:rPr>
              <w:rFonts w:asciiTheme="minorHAnsi" w:hAnsiTheme="minorHAnsi"/>
              <w:sz w:val="22"/>
            </w:rPr>
          </w:pPr>
          <w:r>
            <w:fldChar w:fldCharType="begin"/>
          </w:r>
          <w:r>
            <w:instrText xml:space="preserve"> HYPERLINK \l "_Toc256000109" </w:instrText>
          </w:r>
          <w:r>
            <w:fldChar w:fldCharType="separate"/>
          </w:r>
          <w:r>
            <w:rPr>
              <w:rStyle w:val="24"/>
              <w:rFonts w:ascii="黑体" w:hAnsi="黑体" w:eastAsia="黑体" w:cs="黑体"/>
            </w:rPr>
            <w:t>第三部分</w:t>
          </w:r>
          <w:r>
            <w:tab/>
          </w:r>
          <w:r>
            <w:fldChar w:fldCharType="begin"/>
          </w:r>
          <w:r>
            <w:instrText xml:space="preserve"> PAGEREF _Toc256000109 \h </w:instrText>
          </w:r>
          <w:r>
            <w:fldChar w:fldCharType="separate"/>
          </w:r>
          <w:r>
            <w:t>14</w:t>
          </w:r>
          <w:r>
            <w:fldChar w:fldCharType="end"/>
          </w:r>
          <w:r>
            <w:fldChar w:fldCharType="end"/>
          </w:r>
        </w:p>
        <w:p>
          <w:pPr>
            <w:pStyle w:val="20"/>
            <w:tabs>
              <w:tab w:val="right" w:leader="dot" w:pos="9730"/>
            </w:tabs>
            <w:rPr>
              <w:rFonts w:asciiTheme="minorHAnsi" w:hAnsiTheme="minorHAnsi"/>
              <w:sz w:val="22"/>
            </w:rPr>
          </w:pPr>
          <w:r>
            <w:fldChar w:fldCharType="begin"/>
          </w:r>
          <w:r>
            <w:instrText xml:space="preserve"> HYPERLINK \l "_Toc256000110" </w:instrText>
          </w:r>
          <w:r>
            <w:fldChar w:fldCharType="separate"/>
          </w:r>
          <w:r>
            <w:rPr>
              <w:rStyle w:val="24"/>
              <w:rFonts w:ascii="黑体" w:hAnsi="黑体" w:eastAsia="黑体" w:cs="黑体"/>
            </w:rPr>
            <w:t>2024年度决算情况说明</w:t>
          </w:r>
          <w:r>
            <w:tab/>
          </w:r>
          <w:r>
            <w:fldChar w:fldCharType="begin"/>
          </w:r>
          <w:r>
            <w:instrText xml:space="preserve"> PAGEREF _Toc256000110 \h </w:instrText>
          </w:r>
          <w:r>
            <w:fldChar w:fldCharType="separate"/>
          </w:r>
          <w:r>
            <w:t>14</w:t>
          </w:r>
          <w:r>
            <w:fldChar w:fldCharType="end"/>
          </w:r>
          <w:r>
            <w:fldChar w:fldCharType="end"/>
          </w:r>
        </w:p>
        <w:p>
          <w:pPr>
            <w:pStyle w:val="13"/>
            <w:tabs>
              <w:tab w:val="right" w:leader="dot" w:pos="9730"/>
            </w:tabs>
            <w:rPr>
              <w:rFonts w:asciiTheme="minorHAnsi" w:hAnsiTheme="minorHAnsi"/>
              <w:sz w:val="22"/>
            </w:rPr>
          </w:pPr>
          <w:r>
            <w:fldChar w:fldCharType="begin"/>
          </w:r>
          <w:r>
            <w:instrText xml:space="preserve"> HYPERLINK \l "_Toc256000111" </w:instrText>
          </w:r>
          <w:r>
            <w:fldChar w:fldCharType="separate"/>
          </w:r>
          <w:r>
            <w:rPr>
              <w:rStyle w:val="24"/>
              <w:rFonts w:ascii="黑体" w:hAnsi="黑体" w:eastAsia="黑体" w:cs="黑体"/>
            </w:rPr>
            <w:t>一、收入支出决算总体情况说明</w:t>
          </w:r>
          <w:r>
            <w:tab/>
          </w:r>
          <w:r>
            <w:fldChar w:fldCharType="begin"/>
          </w:r>
          <w:r>
            <w:instrText xml:space="preserve"> PAGEREF _Toc256000111 \h </w:instrText>
          </w:r>
          <w:r>
            <w:fldChar w:fldCharType="separate"/>
          </w:r>
          <w:r>
            <w:t>14</w:t>
          </w:r>
          <w:r>
            <w:fldChar w:fldCharType="end"/>
          </w:r>
          <w:r>
            <w:fldChar w:fldCharType="end"/>
          </w:r>
        </w:p>
        <w:p>
          <w:pPr>
            <w:pStyle w:val="13"/>
            <w:tabs>
              <w:tab w:val="right" w:leader="dot" w:pos="9730"/>
            </w:tabs>
            <w:rPr>
              <w:rFonts w:asciiTheme="minorHAnsi" w:hAnsiTheme="minorHAnsi"/>
              <w:sz w:val="22"/>
            </w:rPr>
          </w:pPr>
          <w:r>
            <w:fldChar w:fldCharType="begin"/>
          </w:r>
          <w:r>
            <w:instrText xml:space="preserve"> HYPERLINK \l "_Toc256000112" </w:instrText>
          </w:r>
          <w:r>
            <w:fldChar w:fldCharType="separate"/>
          </w:r>
          <w:r>
            <w:rPr>
              <w:rStyle w:val="24"/>
              <w:rFonts w:ascii="黑体" w:hAnsi="黑体" w:eastAsia="黑体" w:cs="黑体"/>
            </w:rPr>
            <w:t>二、财政拨款收入支出决算总体情况说明</w:t>
          </w:r>
          <w:r>
            <w:tab/>
          </w:r>
          <w:r>
            <w:fldChar w:fldCharType="begin"/>
          </w:r>
          <w:r>
            <w:instrText xml:space="preserve"> PAGEREF _Toc256000112 \h </w:instrText>
          </w:r>
          <w:r>
            <w:fldChar w:fldCharType="separate"/>
          </w:r>
          <w:r>
            <w:t>15</w:t>
          </w:r>
          <w:r>
            <w:fldChar w:fldCharType="end"/>
          </w:r>
          <w:r>
            <w:fldChar w:fldCharType="end"/>
          </w:r>
        </w:p>
        <w:p>
          <w:pPr>
            <w:pStyle w:val="13"/>
            <w:tabs>
              <w:tab w:val="right" w:leader="dot" w:pos="9730"/>
            </w:tabs>
            <w:rPr>
              <w:rFonts w:asciiTheme="minorHAnsi" w:hAnsiTheme="minorHAnsi"/>
              <w:sz w:val="22"/>
            </w:rPr>
          </w:pPr>
          <w:r>
            <w:fldChar w:fldCharType="begin"/>
          </w:r>
          <w:r>
            <w:instrText xml:space="preserve"> HYPERLINK \l "_Toc256000113" </w:instrText>
          </w:r>
          <w:r>
            <w:fldChar w:fldCharType="separate"/>
          </w:r>
          <w:r>
            <w:rPr>
              <w:rStyle w:val="24"/>
              <w:rFonts w:ascii="黑体" w:hAnsi="黑体" w:eastAsia="黑体" w:cs="黑体"/>
            </w:rPr>
            <w:t>三、一般公共预算拨款支出决算情况说明</w:t>
          </w:r>
          <w:r>
            <w:tab/>
          </w:r>
          <w:r>
            <w:fldChar w:fldCharType="begin"/>
          </w:r>
          <w:r>
            <w:instrText xml:space="preserve"> PAGEREF _Toc256000113 \h </w:instrText>
          </w:r>
          <w:r>
            <w:fldChar w:fldCharType="separate"/>
          </w:r>
          <w:r>
            <w:t>15</w:t>
          </w:r>
          <w:r>
            <w:fldChar w:fldCharType="end"/>
          </w:r>
          <w:r>
            <w:fldChar w:fldCharType="end"/>
          </w:r>
        </w:p>
        <w:p>
          <w:pPr>
            <w:pStyle w:val="13"/>
            <w:tabs>
              <w:tab w:val="right" w:leader="dot" w:pos="9730"/>
            </w:tabs>
            <w:rPr>
              <w:rFonts w:asciiTheme="minorHAnsi" w:hAnsiTheme="minorHAnsi"/>
              <w:sz w:val="22"/>
            </w:rPr>
          </w:pPr>
          <w:r>
            <w:fldChar w:fldCharType="begin"/>
          </w:r>
          <w:r>
            <w:instrText xml:space="preserve"> HYPERLINK \l "_Toc256000114" </w:instrText>
          </w:r>
          <w:r>
            <w:fldChar w:fldCharType="separate"/>
          </w:r>
          <w:r>
            <w:rPr>
              <w:rStyle w:val="24"/>
              <w:rFonts w:ascii="黑体" w:hAnsi="黑体" w:eastAsia="黑体" w:cs="黑体"/>
            </w:rPr>
            <w:t>四、政府性基金预算财政拨款支出决算情况说明</w:t>
          </w:r>
          <w:r>
            <w:tab/>
          </w:r>
          <w:r>
            <w:fldChar w:fldCharType="begin"/>
          </w:r>
          <w:r>
            <w:instrText xml:space="preserve"> PAGEREF _Toc256000114 \h </w:instrText>
          </w:r>
          <w:r>
            <w:fldChar w:fldCharType="separate"/>
          </w:r>
          <w:r>
            <w:t>17</w:t>
          </w:r>
          <w:r>
            <w:fldChar w:fldCharType="end"/>
          </w:r>
          <w:r>
            <w:fldChar w:fldCharType="end"/>
          </w:r>
        </w:p>
        <w:p>
          <w:pPr>
            <w:pStyle w:val="13"/>
            <w:tabs>
              <w:tab w:val="right" w:leader="dot" w:pos="9730"/>
            </w:tabs>
            <w:rPr>
              <w:rFonts w:asciiTheme="minorHAnsi" w:hAnsiTheme="minorHAnsi"/>
              <w:sz w:val="22"/>
            </w:rPr>
          </w:pPr>
          <w:r>
            <w:fldChar w:fldCharType="begin"/>
          </w:r>
          <w:r>
            <w:instrText xml:space="preserve"> HYPERLINK \l "_Toc256000115" </w:instrText>
          </w:r>
          <w:r>
            <w:fldChar w:fldCharType="separate"/>
          </w:r>
          <w:r>
            <w:rPr>
              <w:rStyle w:val="24"/>
              <w:rFonts w:ascii="黑体" w:hAnsi="黑体" w:eastAsia="黑体" w:cs="黑体"/>
            </w:rPr>
            <w:t>五、国有资本经营预算财政拨款支出决算情况说明</w:t>
          </w:r>
          <w:r>
            <w:tab/>
          </w:r>
          <w:r>
            <w:fldChar w:fldCharType="begin"/>
          </w:r>
          <w:r>
            <w:instrText xml:space="preserve"> PAGEREF _Toc256000115 \h </w:instrText>
          </w:r>
          <w:r>
            <w:fldChar w:fldCharType="separate"/>
          </w:r>
          <w:r>
            <w:t>17</w:t>
          </w:r>
          <w:r>
            <w:fldChar w:fldCharType="end"/>
          </w:r>
          <w:r>
            <w:fldChar w:fldCharType="end"/>
          </w:r>
        </w:p>
        <w:p>
          <w:pPr>
            <w:pStyle w:val="13"/>
            <w:tabs>
              <w:tab w:val="right" w:leader="dot" w:pos="9730"/>
            </w:tabs>
            <w:rPr>
              <w:rFonts w:asciiTheme="minorHAnsi" w:hAnsiTheme="minorHAnsi"/>
              <w:sz w:val="22"/>
            </w:rPr>
          </w:pPr>
          <w:r>
            <w:fldChar w:fldCharType="begin"/>
          </w:r>
          <w:r>
            <w:instrText xml:space="preserve"> HYPERLINK \l "_Toc256000116" </w:instrText>
          </w:r>
          <w:r>
            <w:fldChar w:fldCharType="separate"/>
          </w:r>
          <w:r>
            <w:rPr>
              <w:rStyle w:val="24"/>
              <w:rFonts w:ascii="黑体" w:hAnsi="黑体" w:eastAsia="黑体" w:cs="黑体"/>
            </w:rPr>
            <w:t>六、一般公共预算财政拨款基本支出决算情况说明</w:t>
          </w:r>
          <w:r>
            <w:tab/>
          </w:r>
          <w:r>
            <w:fldChar w:fldCharType="begin"/>
          </w:r>
          <w:r>
            <w:instrText xml:space="preserve"> PAGEREF _Toc256000116 \h </w:instrText>
          </w:r>
          <w:r>
            <w:fldChar w:fldCharType="separate"/>
          </w:r>
          <w:r>
            <w:t>17</w:t>
          </w:r>
          <w:r>
            <w:fldChar w:fldCharType="end"/>
          </w:r>
          <w:r>
            <w:fldChar w:fldCharType="end"/>
          </w:r>
        </w:p>
        <w:p>
          <w:pPr>
            <w:pStyle w:val="13"/>
            <w:tabs>
              <w:tab w:val="right" w:leader="dot" w:pos="9730"/>
            </w:tabs>
            <w:rPr>
              <w:rFonts w:asciiTheme="minorHAnsi" w:hAnsiTheme="minorHAnsi"/>
              <w:sz w:val="22"/>
            </w:rPr>
          </w:pPr>
          <w:r>
            <w:fldChar w:fldCharType="begin"/>
          </w:r>
          <w:r>
            <w:instrText xml:space="preserve"> HYPERLINK \l "_Toc256000117" </w:instrText>
          </w:r>
          <w:r>
            <w:fldChar w:fldCharType="separate"/>
          </w:r>
          <w:r>
            <w:rPr>
              <w:rStyle w:val="24"/>
              <w:rFonts w:ascii="黑体" w:hAnsi="黑体" w:eastAsia="黑体" w:cs="黑体"/>
            </w:rPr>
            <w:t>七、一般公共预算拨款“三公”经费支出决算情况说明</w:t>
          </w:r>
          <w:r>
            <w:tab/>
          </w:r>
          <w:r>
            <w:fldChar w:fldCharType="begin"/>
          </w:r>
          <w:r>
            <w:instrText xml:space="preserve"> PAGEREF _Toc256000117 \h </w:instrText>
          </w:r>
          <w:r>
            <w:fldChar w:fldCharType="separate"/>
          </w:r>
          <w:r>
            <w:t>18</w:t>
          </w:r>
          <w:r>
            <w:fldChar w:fldCharType="end"/>
          </w:r>
          <w:r>
            <w:fldChar w:fldCharType="end"/>
          </w:r>
        </w:p>
        <w:p>
          <w:pPr>
            <w:pStyle w:val="13"/>
            <w:tabs>
              <w:tab w:val="right" w:leader="dot" w:pos="9730"/>
            </w:tabs>
            <w:rPr>
              <w:rFonts w:asciiTheme="minorHAnsi" w:hAnsiTheme="minorHAnsi"/>
              <w:sz w:val="22"/>
            </w:rPr>
          </w:pPr>
          <w:r>
            <w:fldChar w:fldCharType="begin"/>
          </w:r>
          <w:r>
            <w:instrText xml:space="preserve"> HYPERLINK \l "_Toc256000118" </w:instrText>
          </w:r>
          <w:r>
            <w:fldChar w:fldCharType="separate"/>
          </w:r>
          <w:r>
            <w:rPr>
              <w:rStyle w:val="24"/>
              <w:rFonts w:ascii="黑体" w:hAnsi="黑体" w:eastAsia="黑体" w:cs="黑体"/>
            </w:rPr>
            <w:t>八、预算绩效情况说明</w:t>
          </w:r>
          <w:r>
            <w:tab/>
          </w:r>
          <w:r>
            <w:fldChar w:fldCharType="begin"/>
          </w:r>
          <w:r>
            <w:instrText xml:space="preserve"> PAGEREF _Toc256000118 \h </w:instrText>
          </w:r>
          <w:r>
            <w:fldChar w:fldCharType="separate"/>
          </w:r>
          <w:r>
            <w:t>18</w:t>
          </w:r>
          <w:r>
            <w:fldChar w:fldCharType="end"/>
          </w:r>
          <w:r>
            <w:fldChar w:fldCharType="end"/>
          </w:r>
        </w:p>
        <w:p>
          <w:pPr>
            <w:pStyle w:val="13"/>
            <w:tabs>
              <w:tab w:val="right" w:leader="dot" w:pos="9730"/>
            </w:tabs>
            <w:rPr>
              <w:rFonts w:asciiTheme="minorHAnsi" w:hAnsiTheme="minorHAnsi"/>
              <w:sz w:val="22"/>
            </w:rPr>
          </w:pPr>
          <w:r>
            <w:fldChar w:fldCharType="begin"/>
          </w:r>
          <w:r>
            <w:instrText xml:space="preserve"> HYPERLINK \l "_Toc256000119" </w:instrText>
          </w:r>
          <w:r>
            <w:fldChar w:fldCharType="separate"/>
          </w:r>
          <w:r>
            <w:rPr>
              <w:rStyle w:val="24"/>
              <w:rFonts w:ascii="黑体" w:hAnsi="黑体" w:eastAsia="黑体" w:cs="黑体"/>
            </w:rPr>
            <w:t>九、其他重要事项说明</w:t>
          </w:r>
          <w:r>
            <w:tab/>
          </w:r>
          <w:r>
            <w:fldChar w:fldCharType="begin"/>
          </w:r>
          <w:r>
            <w:instrText xml:space="preserve"> PAGEREF _Toc256000119 \h </w:instrText>
          </w:r>
          <w:r>
            <w:fldChar w:fldCharType="separate"/>
          </w:r>
          <w:r>
            <w:t>19</w:t>
          </w:r>
          <w:r>
            <w:fldChar w:fldCharType="end"/>
          </w:r>
          <w:r>
            <w:fldChar w:fldCharType="end"/>
          </w:r>
        </w:p>
        <w:p>
          <w:pPr>
            <w:pStyle w:val="20"/>
            <w:tabs>
              <w:tab w:val="right" w:leader="dot" w:pos="9730"/>
            </w:tabs>
            <w:rPr>
              <w:rFonts w:asciiTheme="minorHAnsi" w:hAnsiTheme="minorHAnsi"/>
              <w:sz w:val="22"/>
            </w:rPr>
          </w:pPr>
          <w:r>
            <w:fldChar w:fldCharType="begin"/>
          </w:r>
          <w:r>
            <w:instrText xml:space="preserve"> HYPERLINK \l "_Toc256000120" </w:instrText>
          </w:r>
          <w:r>
            <w:fldChar w:fldCharType="separate"/>
          </w:r>
          <w:r>
            <w:rPr>
              <w:rStyle w:val="24"/>
              <w:rFonts w:ascii="黑体" w:hAnsi="黑体" w:eastAsia="黑体" w:cs="黑体"/>
            </w:rPr>
            <w:t>第四部分</w:t>
          </w:r>
          <w:r>
            <w:tab/>
          </w:r>
          <w:r>
            <w:fldChar w:fldCharType="begin"/>
          </w:r>
          <w:r>
            <w:instrText xml:space="preserve"> PAGEREF _Toc256000120 \h </w:instrText>
          </w:r>
          <w:r>
            <w:fldChar w:fldCharType="separate"/>
          </w:r>
          <w:r>
            <w:t>21</w:t>
          </w:r>
          <w:r>
            <w:fldChar w:fldCharType="end"/>
          </w:r>
          <w:r>
            <w:fldChar w:fldCharType="end"/>
          </w:r>
        </w:p>
        <w:p>
          <w:pPr>
            <w:pStyle w:val="20"/>
            <w:tabs>
              <w:tab w:val="right" w:leader="dot" w:pos="9730"/>
            </w:tabs>
            <w:rPr>
              <w:rFonts w:asciiTheme="minorHAnsi" w:hAnsiTheme="minorHAnsi"/>
              <w:sz w:val="22"/>
            </w:rPr>
          </w:pPr>
          <w:r>
            <w:fldChar w:fldCharType="begin"/>
          </w:r>
          <w:r>
            <w:instrText xml:space="preserve"> HYPERLINK \l "_Toc256000121" </w:instrText>
          </w:r>
          <w:r>
            <w:fldChar w:fldCharType="separate"/>
          </w:r>
          <w:r>
            <w:rPr>
              <w:rStyle w:val="24"/>
              <w:rFonts w:ascii="黑体" w:hAnsi="黑体" w:eastAsia="黑体" w:cs="黑体"/>
            </w:rPr>
            <w:t>名词解释</w:t>
          </w:r>
          <w:r>
            <w:tab/>
          </w:r>
          <w:r>
            <w:fldChar w:fldCharType="begin"/>
          </w:r>
          <w:r>
            <w:instrText xml:space="preserve"> PAGEREF _Toc256000121 \h </w:instrText>
          </w:r>
          <w:r>
            <w:fldChar w:fldCharType="separate"/>
          </w:r>
          <w:r>
            <w:t>21</w:t>
          </w:r>
          <w:r>
            <w:fldChar w:fldCharType="end"/>
          </w:r>
          <w:r>
            <w:fldChar w:fldCharType="end"/>
          </w:r>
        </w:p>
        <w:p>
          <w:pPr>
            <w:pStyle w:val="20"/>
            <w:tabs>
              <w:tab w:val="right" w:leader="dot" w:pos="9730"/>
            </w:tabs>
            <w:rPr>
              <w:rFonts w:asciiTheme="minorHAnsi" w:hAnsiTheme="minorHAnsi"/>
              <w:sz w:val="22"/>
            </w:rPr>
          </w:pPr>
          <w:r>
            <w:fldChar w:fldCharType="begin"/>
          </w:r>
          <w:r>
            <w:instrText xml:space="preserve"> HYPERLINK \l "_Toc256000122" </w:instrText>
          </w:r>
          <w:r>
            <w:fldChar w:fldCharType="separate"/>
          </w:r>
          <w:r>
            <w:rPr>
              <w:rStyle w:val="24"/>
              <w:rFonts w:ascii="黑体" w:hAnsi="黑体" w:eastAsia="黑体" w:cs="黑体"/>
            </w:rPr>
            <w:t>第五部分</w:t>
          </w:r>
          <w:r>
            <w:tab/>
          </w:r>
          <w:r>
            <w:fldChar w:fldCharType="begin"/>
          </w:r>
          <w:r>
            <w:instrText xml:space="preserve"> PAGEREF _Toc256000122 \h </w:instrText>
          </w:r>
          <w:r>
            <w:fldChar w:fldCharType="separate"/>
          </w:r>
          <w:r>
            <w:t>23</w:t>
          </w:r>
          <w:r>
            <w:fldChar w:fldCharType="end"/>
          </w:r>
          <w:r>
            <w:fldChar w:fldCharType="end"/>
          </w:r>
        </w:p>
        <w:p>
          <w:pPr>
            <w:pStyle w:val="20"/>
            <w:tabs>
              <w:tab w:val="right" w:leader="dot" w:pos="9730"/>
            </w:tabs>
            <w:rPr>
              <w:rFonts w:asciiTheme="minorHAnsi" w:hAnsiTheme="minorHAnsi"/>
              <w:sz w:val="22"/>
            </w:rPr>
          </w:pPr>
          <w:r>
            <w:fldChar w:fldCharType="begin"/>
          </w:r>
          <w:r>
            <w:instrText xml:space="preserve"> HYPERLINK \l "_Toc256000123" </w:instrText>
          </w:r>
          <w:r>
            <w:fldChar w:fldCharType="separate"/>
          </w:r>
          <w:r>
            <w:rPr>
              <w:rStyle w:val="24"/>
              <w:rFonts w:ascii="黑体" w:hAnsi="黑体" w:eastAsia="黑体" w:cs="黑体"/>
            </w:rPr>
            <w:t>附件</w:t>
          </w:r>
          <w:r>
            <w:tab/>
          </w:r>
          <w:r>
            <w:fldChar w:fldCharType="begin"/>
          </w:r>
          <w:r>
            <w:instrText xml:space="preserve"> PAGEREF _Toc256000123 \h </w:instrText>
          </w:r>
          <w:r>
            <w:fldChar w:fldCharType="separate"/>
          </w:r>
          <w:r>
            <w:t>23</w:t>
          </w:r>
          <w:r>
            <w:fldChar w:fldCharType="end"/>
          </w:r>
          <w:r>
            <w:fldChar w:fldCharType="end"/>
          </w:r>
        </w:p>
        <w:p>
          <w:pPr>
            <w:adjustRightInd w:val="0"/>
            <w:snapToGrid w:val="0"/>
            <w:rPr>
              <w:rFonts w:hint="eastAsia" w:ascii="仿宋" w:hAnsi="仿宋" w:eastAsia="仿宋" w:cs="仿宋"/>
              <w:b w:val="0"/>
              <w:bCs/>
              <w:kern w:val="2"/>
              <w:sz w:val="32"/>
              <w:szCs w:val="32"/>
              <w:lang w:val="en-US" w:eastAsia="zh-CN" w:bidi="ar-SA"/>
            </w:rPr>
            <w:sectPr>
              <w:footerReference r:id="rId4" w:type="default"/>
              <w:pgSz w:w="11906" w:h="16838"/>
              <w:pgMar w:top="1440" w:right="1083" w:bottom="1440" w:left="1083" w:header="0" w:footer="720" w:gutter="0"/>
              <w:cols w:space="0" w:num="1"/>
              <w:rtlGutter w:val="0"/>
              <w:docGrid w:type="lines" w:linePitch="317" w:charSpace="0"/>
            </w:sectPr>
          </w:pPr>
          <w:r>
            <w:rPr>
              <w:rFonts w:hint="eastAsia" w:ascii="仿宋" w:hAnsi="仿宋" w:eastAsia="仿宋" w:cs="仿宋"/>
              <w:b w:val="0"/>
              <w:bCs/>
              <w:kern w:val="2"/>
              <w:sz w:val="32"/>
              <w:szCs w:val="32"/>
              <w:lang w:val="en-US" w:eastAsia="zh-CN" w:bidi="ar-SA"/>
            </w:rPr>
            <w:fldChar w:fldCharType="end"/>
          </w:r>
        </w:p>
      </w:sdtContent>
    </w:sdt>
    <w:p>
      <w:pPr>
        <w:pStyle w:val="4"/>
        <w:keepNext w:val="0"/>
        <w:keepLines w:val="0"/>
        <w:spacing w:before="100" w:after="100" w:line="240" w:lineRule="auto"/>
        <w:ind w:left="0" w:right="0" w:firstLine="0" w:firstLineChars="0"/>
        <w:jc w:val="center"/>
        <w:rPr>
          <w:rFonts w:ascii="Times New Roman" w:hAnsi="Times New Roman" w:eastAsia="Times New Roman" w:cs="Times New Roman"/>
          <w:b/>
          <w:bCs/>
          <w:kern w:val="0"/>
          <w:sz w:val="36"/>
          <w:szCs w:val="36"/>
        </w:rPr>
      </w:pPr>
      <w:bookmarkStart w:id="0" w:name="_Toc256000093"/>
      <w:bookmarkStart w:id="1" w:name="_Toc256000062"/>
      <w:bookmarkStart w:id="2" w:name="_Toc256000000"/>
      <w:bookmarkStart w:id="3" w:name="_Toc256000031"/>
      <w:bookmarkStart w:id="4" w:name="a000"/>
      <w:r>
        <w:rPr>
          <w:rFonts w:ascii="黑体" w:hAnsi="黑体" w:eastAsia="黑体" w:cs="黑体"/>
          <w:b/>
          <w:spacing w:val="0"/>
          <w:sz w:val="36"/>
          <w:szCs w:val="36"/>
        </w:rPr>
        <w:t>第一部分</w:t>
      </w:r>
      <w:bookmarkEnd w:id="0"/>
      <w:bookmarkEnd w:id="1"/>
      <w:bookmarkEnd w:id="2"/>
      <w:bookmarkEnd w:id="3"/>
      <w:r>
        <w:rPr>
          <w:rFonts w:ascii="宋体" w:hAnsi="宋体" w:eastAsia="宋体" w:cs="宋体"/>
          <w:b/>
          <w:spacing w:val="0"/>
          <w:sz w:val="36"/>
          <w:szCs w:val="36"/>
        </w:rPr>
        <w:t> </w:t>
      </w:r>
      <w:bookmarkStart w:id="5" w:name="_Toc256000001"/>
      <w:bookmarkStart w:id="6" w:name="_Toc256000032"/>
      <w:bookmarkStart w:id="7" w:name="_Toc256000063"/>
      <w:bookmarkStart w:id="8" w:name="_Toc256000094"/>
      <w:r>
        <w:rPr>
          <w:rFonts w:ascii="黑体" w:hAnsi="黑体" w:eastAsia="黑体" w:cs="黑体"/>
          <w:b/>
          <w:spacing w:val="0"/>
          <w:sz w:val="36"/>
          <w:szCs w:val="36"/>
        </w:rPr>
        <w:t>单位概况</w:t>
      </w:r>
      <w:bookmarkEnd w:id="5"/>
      <w:bookmarkEnd w:id="6"/>
      <w:bookmarkEnd w:id="7"/>
      <w:bookmarkEnd w:id="8"/>
    </w:p>
    <w:p>
      <w:pPr>
        <w:keepNext w:val="0"/>
        <w:keepLines w:val="0"/>
        <w:pageBreakBefore w:val="0"/>
        <w:widowControl/>
        <w:kinsoku/>
        <w:wordWrap/>
        <w:overflowPunct/>
        <w:topLinePunct w:val="0"/>
        <w:autoSpaceDE/>
        <w:autoSpaceDN/>
        <w:bidi w:val="0"/>
        <w:adjustRightInd/>
        <w:snapToGrid/>
        <w:spacing w:before="240" w:after="240" w:line="560" w:lineRule="exact"/>
        <w:jc w:val="left"/>
        <w:textAlignment w:val="auto"/>
        <w:rPr>
          <w:rFonts w:ascii="Times New Roman" w:hAnsi="Times New Roman" w:eastAsia="Times New Roman" w:cs="Times New Roman"/>
          <w:kern w:val="0"/>
          <w:sz w:val="24"/>
        </w:rPr>
      </w:pPr>
    </w:p>
    <w:p>
      <w:pPr>
        <w:pStyle w:val="6"/>
        <w:keepNext w:val="0"/>
        <w:keepLines w:val="0"/>
        <w:pageBreakBefore w:val="0"/>
        <w:widowControl/>
        <w:kinsoku/>
        <w:wordWrap/>
        <w:overflowPunct/>
        <w:topLinePunct w:val="0"/>
        <w:autoSpaceDE/>
        <w:autoSpaceDN/>
        <w:bidi w:val="0"/>
        <w:adjustRightInd/>
        <w:snapToGrid/>
        <w:spacing w:before="100" w:after="100" w:line="560" w:lineRule="exact"/>
        <w:ind w:left="0" w:right="0" w:firstLine="0" w:firstLineChars="0"/>
        <w:textAlignment w:val="auto"/>
        <w:rPr>
          <w:rFonts w:ascii="Times New Roman" w:hAnsi="Times New Roman" w:eastAsia="Times New Roman" w:cs="Times New Roman"/>
          <w:b/>
          <w:bCs/>
          <w:kern w:val="0"/>
          <w:sz w:val="28"/>
          <w:szCs w:val="28"/>
        </w:rPr>
      </w:pPr>
      <w:r>
        <w:rPr>
          <w:rFonts w:ascii="Calibri" w:hAnsi="Calibri" w:eastAsia="Calibri" w:cs="Calibri"/>
          <w:b/>
          <w:spacing w:val="0"/>
        </w:rPr>
        <w:t> </w:t>
      </w:r>
      <w:r>
        <w:rPr>
          <w:rFonts w:ascii="黑体" w:hAnsi="黑体" w:eastAsia="黑体" w:cs="黑体"/>
          <w:b/>
          <w:spacing w:val="0"/>
        </w:rPr>
        <w:t xml:space="preserve"> </w:t>
      </w:r>
      <w:r>
        <w:rPr>
          <w:rFonts w:ascii="Calibri" w:hAnsi="Calibri" w:eastAsia="Calibri" w:cs="Calibri"/>
          <w:b/>
          <w:spacing w:val="0"/>
        </w:rPr>
        <w:t> </w:t>
      </w:r>
      <w:r>
        <w:rPr>
          <w:rFonts w:ascii="黑体" w:hAnsi="黑体" w:eastAsia="黑体" w:cs="黑体"/>
          <w:b/>
          <w:spacing w:val="0"/>
        </w:rPr>
        <w:t xml:space="preserve"> </w:t>
      </w:r>
      <w:bookmarkStart w:id="9" w:name="_Toc256000095"/>
      <w:bookmarkStart w:id="10" w:name="_Toc256000002"/>
      <w:bookmarkStart w:id="11" w:name="_Toc256000064"/>
      <w:bookmarkStart w:id="12" w:name="_Toc256000033"/>
      <w:r>
        <w:rPr>
          <w:rFonts w:ascii="黑体" w:hAnsi="黑体" w:eastAsia="黑体" w:cs="黑体"/>
          <w:b/>
          <w:spacing w:val="0"/>
        </w:rPr>
        <w:t>一、单位主要职责</w:t>
      </w:r>
      <w:bookmarkEnd w:id="9"/>
      <w:bookmarkEnd w:id="10"/>
      <w:bookmarkEnd w:id="11"/>
      <w:bookmarkEnd w:id="12"/>
    </w:p>
    <w:p>
      <w:pPr>
        <w:pStyle w:val="31"/>
        <w:keepNext w:val="0"/>
        <w:keepLines w:val="0"/>
        <w:pageBreakBefore w:val="0"/>
        <w:widowControl/>
        <w:kinsoku/>
        <w:wordWrap/>
        <w:overflowPunct/>
        <w:topLinePunct w:val="0"/>
        <w:autoSpaceDE/>
        <w:autoSpaceDN/>
        <w:bidi w:val="0"/>
        <w:adjustRightInd/>
        <w:snapToGrid/>
        <w:spacing w:before="100" w:after="100" w:line="560" w:lineRule="exact"/>
        <w:ind w:left="0" w:right="0" w:firstLine="640"/>
        <w:jc w:val="both"/>
        <w:textAlignment w:val="auto"/>
        <w:rPr>
          <w:rFonts w:ascii="Times New Roman" w:hAnsi="Times New Roman" w:eastAsia="Times New Roman" w:cs="Times New Roman"/>
          <w:kern w:val="0"/>
          <w:sz w:val="24"/>
          <w:highlight w:val="yellow"/>
        </w:rPr>
      </w:pPr>
      <w:r>
        <w:rPr>
          <w:rFonts w:ascii="仿宋" w:hAnsi="仿宋" w:eastAsia="仿宋" w:cs="仿宋"/>
          <w:color w:val="auto"/>
          <w:spacing w:val="0"/>
          <w:kern w:val="0"/>
          <w:sz w:val="32"/>
          <w:szCs w:val="32"/>
          <w:highlight w:val="none"/>
        </w:rPr>
        <w:t>厦门市寨上小学单位的主要职责是</w:t>
      </w:r>
      <w:r>
        <w:rPr>
          <w:rFonts w:hint="default" w:ascii="仿宋_GB2312" w:hAnsi="仿宋_GB2312" w:eastAsia="仿宋_GB2312" w:cs="仿宋_GB2312"/>
          <w:sz w:val="32"/>
          <w:szCs w:val="32"/>
          <w:lang w:val="en-US" w:eastAsia="zh-CN"/>
        </w:rPr>
        <w:t>负责小学教育教学工作</w:t>
      </w:r>
      <w:r>
        <w:rPr>
          <w:rFonts w:hint="eastAsia" w:ascii="仿宋_GB2312" w:hAnsi="仿宋_GB2312" w:eastAsia="仿宋_GB2312" w:cs="仿宋_GB2312"/>
          <w:color w:val="333333"/>
          <w:sz w:val="32"/>
          <w:szCs w:val="32"/>
          <w:lang w:eastAsia="zh-CN"/>
        </w:rPr>
        <w:t>。</w:t>
      </w:r>
      <w:r>
        <w:rPr>
          <w:rFonts w:hint="default" w:ascii="仿宋_GB2312" w:hAnsi="仿宋_GB2312" w:eastAsia="仿宋_GB2312" w:cs="仿宋_GB2312"/>
          <w:sz w:val="32"/>
          <w:szCs w:val="32"/>
          <w:lang w:val="en-US" w:eastAsia="zh-CN"/>
        </w:rPr>
        <w:t>结合厦门市、湖里区教育局、进修校</w:t>
      </w:r>
      <w:r>
        <w:rPr>
          <w:rFonts w:hint="default" w:ascii="仿宋_GB2312" w:hAnsi="仿宋_GB2312" w:eastAsia="仿宋_GB2312" w:cs="仿宋_GB2312"/>
          <w:sz w:val="32"/>
          <w:szCs w:val="32"/>
        </w:rPr>
        <w:t>等相关文件精神</w:t>
      </w:r>
      <w:r>
        <w:rPr>
          <w:rFonts w:hint="eastAsia" w:ascii="仿宋_GB2312" w:hAnsi="仿宋_GB2312" w:eastAsia="仿宋_GB2312" w:cs="仿宋_GB2312"/>
          <w:sz w:val="32"/>
          <w:szCs w:val="32"/>
          <w:lang w:eastAsia="zh-CN"/>
        </w:rPr>
        <w:t>，</w:t>
      </w:r>
      <w:r>
        <w:rPr>
          <w:rFonts w:hint="default" w:ascii="仿宋_GB2312" w:hAnsi="仿宋_GB2312" w:eastAsia="仿宋_GB2312" w:cs="仿宋_GB2312"/>
          <w:sz w:val="32"/>
          <w:szCs w:val="32"/>
          <w:lang w:val="en-US" w:eastAsia="zh-CN" w:bidi="ar"/>
        </w:rPr>
        <w:t>紧扣立德树人根本任务，突出问题意识、创新意识、目标意识，落实全面育人、全程育人、全员育人，针对学校“自觉·思辩” 办学特色，力争赋能年</w:t>
      </w:r>
      <w:r>
        <w:rPr>
          <w:rFonts w:hint="eastAsia" w:ascii="仿宋_GB2312" w:hAnsi="仿宋_GB2312" w:eastAsia="仿宋_GB2312" w:cs="仿宋_GB2312"/>
          <w:sz w:val="32"/>
          <w:szCs w:val="32"/>
          <w:lang w:val="en-US" w:eastAsia="zh-CN" w:bidi="ar"/>
        </w:rPr>
        <w:t>，</w:t>
      </w:r>
      <w:r>
        <w:rPr>
          <w:rFonts w:hint="default" w:ascii="仿宋_GB2312" w:hAnsi="仿宋_GB2312" w:eastAsia="仿宋_GB2312" w:cs="仿宋_GB2312"/>
          <w:sz w:val="32"/>
          <w:szCs w:val="32"/>
          <w:lang w:val="en-US" w:eastAsia="zh-CN" w:bidi="ar"/>
        </w:rPr>
        <w:t>更上</w:t>
      </w:r>
      <w:r>
        <w:rPr>
          <w:rFonts w:hint="eastAsia" w:ascii="仿宋_GB2312" w:hAnsi="仿宋_GB2312" w:eastAsia="仿宋_GB2312" w:cs="仿宋_GB2312"/>
          <w:sz w:val="32"/>
          <w:szCs w:val="32"/>
          <w:lang w:val="en-US" w:eastAsia="zh-CN" w:bidi="ar"/>
        </w:rPr>
        <w:t>新</w:t>
      </w:r>
      <w:r>
        <w:rPr>
          <w:rFonts w:hint="default" w:ascii="仿宋_GB2312" w:hAnsi="仿宋_GB2312" w:eastAsia="仿宋_GB2312" w:cs="仿宋_GB2312"/>
          <w:sz w:val="32"/>
          <w:szCs w:val="32"/>
          <w:lang w:val="en-US" w:eastAsia="zh-CN" w:bidi="ar"/>
        </w:rPr>
        <w:t>台阶。</w:t>
      </w:r>
    </w:p>
    <w:p>
      <w:pPr>
        <w:pStyle w:val="6"/>
        <w:keepNext w:val="0"/>
        <w:keepLines w:val="0"/>
        <w:pageBreakBefore w:val="0"/>
        <w:widowControl/>
        <w:kinsoku/>
        <w:wordWrap/>
        <w:overflowPunct/>
        <w:topLinePunct w:val="0"/>
        <w:autoSpaceDE/>
        <w:autoSpaceDN/>
        <w:bidi w:val="0"/>
        <w:adjustRightInd/>
        <w:snapToGrid/>
        <w:spacing w:before="100" w:after="100" w:line="560" w:lineRule="exact"/>
        <w:ind w:left="0" w:right="0" w:firstLine="640" w:firstLineChars="0"/>
        <w:jc w:val="both"/>
        <w:textAlignment w:val="auto"/>
        <w:rPr>
          <w:rFonts w:ascii="Times New Roman" w:hAnsi="Times New Roman" w:eastAsia="Times New Roman" w:cs="Times New Roman"/>
          <w:b/>
          <w:bCs/>
          <w:kern w:val="0"/>
          <w:sz w:val="28"/>
          <w:szCs w:val="28"/>
        </w:rPr>
      </w:pPr>
      <w:bookmarkStart w:id="13" w:name="_Toc256000003"/>
      <w:bookmarkStart w:id="14" w:name="_Toc256000034"/>
      <w:bookmarkStart w:id="15" w:name="_Toc256000096"/>
      <w:bookmarkStart w:id="16" w:name="_Toc256000065"/>
      <w:r>
        <w:rPr>
          <w:rFonts w:ascii="黑体" w:hAnsi="黑体" w:eastAsia="黑体" w:cs="黑体"/>
          <w:b/>
          <w:spacing w:val="0"/>
        </w:rPr>
        <w:t>二、单位基本情况</w:t>
      </w:r>
      <w:bookmarkEnd w:id="13"/>
      <w:bookmarkEnd w:id="14"/>
      <w:bookmarkEnd w:id="15"/>
      <w:bookmarkEnd w:id="16"/>
    </w:p>
    <w:p>
      <w:pPr>
        <w:pStyle w:val="31"/>
        <w:keepNext w:val="0"/>
        <w:keepLines w:val="0"/>
        <w:pageBreakBefore w:val="0"/>
        <w:widowControl/>
        <w:kinsoku/>
        <w:wordWrap/>
        <w:overflowPunct/>
        <w:topLinePunct w:val="0"/>
        <w:autoSpaceDE/>
        <w:autoSpaceDN/>
        <w:bidi w:val="0"/>
        <w:adjustRightInd/>
        <w:snapToGrid/>
        <w:spacing w:before="100" w:after="100" w:line="560" w:lineRule="exact"/>
        <w:ind w:left="0" w:right="0" w:firstLine="640"/>
        <w:jc w:val="both"/>
        <w:textAlignment w:val="auto"/>
        <w:rPr>
          <w:rFonts w:ascii="Times New Roman" w:hAnsi="Times New Roman" w:eastAsia="Times New Roman" w:cs="Times New Roman"/>
          <w:color w:val="auto"/>
          <w:kern w:val="0"/>
          <w:sz w:val="24"/>
          <w:highlight w:val="none"/>
        </w:rPr>
      </w:pPr>
      <w:r>
        <w:rPr>
          <w:rFonts w:ascii="仿宋" w:hAnsi="仿宋" w:eastAsia="仿宋" w:cs="仿宋"/>
          <w:color w:val="auto"/>
          <w:spacing w:val="0"/>
          <w:kern w:val="0"/>
          <w:sz w:val="32"/>
          <w:szCs w:val="32"/>
          <w:highlight w:val="none"/>
        </w:rPr>
        <w:t>从决算单位构成看，本单位包括</w:t>
      </w:r>
      <w:r>
        <w:rPr>
          <w:rFonts w:hint="eastAsia" w:ascii="仿宋" w:hAnsi="仿宋" w:eastAsia="仿宋" w:cs="仿宋"/>
          <w:color w:val="auto"/>
          <w:spacing w:val="0"/>
          <w:kern w:val="0"/>
          <w:sz w:val="32"/>
          <w:szCs w:val="32"/>
          <w:highlight w:val="none"/>
          <w:lang w:val="en-US" w:eastAsia="zh-CN"/>
        </w:rPr>
        <w:t>4</w:t>
      </w:r>
      <w:r>
        <w:rPr>
          <w:rFonts w:ascii="仿宋" w:hAnsi="仿宋" w:eastAsia="仿宋" w:cs="仿宋"/>
          <w:color w:val="auto"/>
          <w:spacing w:val="0"/>
          <w:kern w:val="0"/>
          <w:sz w:val="32"/>
          <w:szCs w:val="32"/>
          <w:highlight w:val="none"/>
        </w:rPr>
        <w:t>个内设机构，其中：列入2024年决算编制范围的单位详细情况见下表:</w:t>
      </w:r>
    </w:p>
    <w:tbl>
      <w:tblPr>
        <w:tblStyle w:val="25"/>
        <w:tblW w:w="9540" w:type="dxa"/>
        <w:jc w:val="center"/>
        <w:tblInd w:w="3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
      <w:tblGrid>
        <w:gridCol w:w="3327"/>
        <w:gridCol w:w="6213"/>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rPr>
          <w:trHeight w:val="463" w:hRule="atLeast"/>
          <w:tblHeader/>
          <w:jc w:val="center"/>
        </w:trPr>
        <w:tc>
          <w:tcPr>
            <w:tcW w:w="3327" w:type="dxa"/>
            <w:tcBorders>
              <w:bottom w:val="single" w:color="auto" w:sz="4" w:space="0"/>
              <w:right w:val="inset" w:color="808080" w:sz="6"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spacing w:line="560" w:lineRule="exact"/>
              <w:ind w:firstLine="640"/>
              <w:jc w:val="center"/>
              <w:textAlignment w:val="auto"/>
              <w:rPr>
                <w:rFonts w:ascii="仿宋" w:hAnsi="仿宋" w:eastAsia="仿宋" w:cs="仿宋"/>
                <w:b w:val="0"/>
                <w:bCs w:val="0"/>
                <w:i w:val="0"/>
                <w:iCs w:val="0"/>
                <w:smallCaps w:val="0"/>
                <w:color w:val="auto"/>
                <w:spacing w:val="0"/>
                <w:kern w:val="0"/>
                <w:sz w:val="32"/>
                <w:szCs w:val="32"/>
                <w:highlight w:val="none"/>
              </w:rPr>
            </w:pPr>
            <w:r>
              <w:rPr>
                <w:rFonts w:ascii="仿宋" w:hAnsi="仿宋" w:eastAsia="仿宋" w:cs="仿宋"/>
                <w:b w:val="0"/>
                <w:bCs w:val="0"/>
                <w:i w:val="0"/>
                <w:iCs w:val="0"/>
                <w:smallCaps w:val="0"/>
                <w:color w:val="auto"/>
                <w:spacing w:val="0"/>
                <w:kern w:val="0"/>
                <w:sz w:val="32"/>
                <w:szCs w:val="32"/>
                <w:highlight w:val="none"/>
              </w:rPr>
              <w:t>序号</w:t>
            </w:r>
          </w:p>
        </w:tc>
        <w:tc>
          <w:tcPr>
            <w:tcW w:w="6213" w:type="dxa"/>
            <w:tcBorders>
              <w:left w:val="inset" w:color="808080" w:sz="6" w:space="0"/>
              <w:bottom w:val="single" w:color="auto" w:sz="4"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spacing w:line="560" w:lineRule="exact"/>
              <w:ind w:firstLine="640"/>
              <w:jc w:val="center"/>
              <w:textAlignment w:val="auto"/>
              <w:rPr>
                <w:rFonts w:ascii="仿宋" w:hAnsi="仿宋" w:eastAsia="仿宋" w:cs="仿宋"/>
                <w:b w:val="0"/>
                <w:bCs w:val="0"/>
                <w:i w:val="0"/>
                <w:iCs w:val="0"/>
                <w:smallCaps w:val="0"/>
                <w:color w:val="auto"/>
                <w:spacing w:val="0"/>
                <w:kern w:val="0"/>
                <w:sz w:val="32"/>
                <w:szCs w:val="32"/>
                <w:highlight w:val="none"/>
              </w:rPr>
            </w:pPr>
            <w:r>
              <w:rPr>
                <w:rFonts w:ascii="仿宋" w:hAnsi="仿宋" w:eastAsia="仿宋" w:cs="仿宋"/>
                <w:b w:val="0"/>
                <w:bCs w:val="0"/>
                <w:i w:val="0"/>
                <w:iCs w:val="0"/>
                <w:smallCaps w:val="0"/>
                <w:color w:val="auto"/>
                <w:spacing w:val="0"/>
                <w:kern w:val="0"/>
                <w:sz w:val="32"/>
                <w:szCs w:val="32"/>
                <w:highlight w:val="none"/>
              </w:rPr>
              <w:t>单位名称</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rPr>
          <w:trHeight w:val="472" w:hRule="atLeast"/>
          <w:tblHeader/>
          <w:jc w:val="center"/>
        </w:trPr>
        <w:tc>
          <w:tcPr>
            <w:tcW w:w="3327" w:type="dxa"/>
            <w:tcBorders>
              <w:top w:val="single" w:color="auto" w:sz="4" w:space="0"/>
              <w:right w:val="inset" w:color="808080" w:sz="6"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spacing w:line="560" w:lineRule="exact"/>
              <w:ind w:firstLine="640"/>
              <w:jc w:val="center"/>
              <w:textAlignment w:val="auto"/>
              <w:rPr>
                <w:rFonts w:hint="eastAsia" w:ascii="仿宋" w:hAnsi="仿宋" w:eastAsia="仿宋" w:cs="仿宋"/>
                <w:b w:val="0"/>
                <w:bCs w:val="0"/>
                <w:i w:val="0"/>
                <w:iCs w:val="0"/>
                <w:smallCaps w:val="0"/>
                <w:color w:val="auto"/>
                <w:spacing w:val="0"/>
                <w:kern w:val="0"/>
                <w:sz w:val="32"/>
                <w:szCs w:val="32"/>
                <w:highlight w:val="none"/>
                <w:lang w:val="en-US" w:eastAsia="zh-CN"/>
              </w:rPr>
            </w:pPr>
            <w:r>
              <w:rPr>
                <w:rFonts w:hint="eastAsia" w:ascii="仿宋" w:hAnsi="仿宋" w:eastAsia="仿宋" w:cs="仿宋"/>
                <w:b w:val="0"/>
                <w:bCs w:val="0"/>
                <w:i w:val="0"/>
                <w:iCs w:val="0"/>
                <w:smallCaps w:val="0"/>
                <w:color w:val="auto"/>
                <w:spacing w:val="0"/>
                <w:kern w:val="0"/>
                <w:sz w:val="32"/>
                <w:szCs w:val="32"/>
                <w:highlight w:val="none"/>
                <w:lang w:val="en-US" w:eastAsia="zh-CN"/>
              </w:rPr>
              <w:t>1</w:t>
            </w:r>
          </w:p>
        </w:tc>
        <w:tc>
          <w:tcPr>
            <w:tcW w:w="6213" w:type="dxa"/>
            <w:tcBorders>
              <w:top w:val="single" w:color="auto" w:sz="4" w:space="0"/>
              <w:left w:val="inset" w:color="808080" w:sz="6"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spacing w:line="560" w:lineRule="exact"/>
              <w:ind w:firstLine="640"/>
              <w:jc w:val="center"/>
              <w:textAlignment w:val="auto"/>
              <w:rPr>
                <w:rFonts w:hint="default" w:ascii="仿宋" w:hAnsi="仿宋" w:eastAsia="仿宋" w:cs="仿宋"/>
                <w:b w:val="0"/>
                <w:bCs w:val="0"/>
                <w:i w:val="0"/>
                <w:iCs w:val="0"/>
                <w:smallCaps w:val="0"/>
                <w:color w:val="auto"/>
                <w:spacing w:val="0"/>
                <w:kern w:val="0"/>
                <w:sz w:val="32"/>
                <w:szCs w:val="32"/>
                <w:highlight w:val="none"/>
                <w:lang w:val="en-US" w:eastAsia="zh-CN"/>
              </w:rPr>
            </w:pPr>
            <w:r>
              <w:rPr>
                <w:rFonts w:hint="eastAsia" w:ascii="仿宋" w:hAnsi="仿宋" w:eastAsia="仿宋" w:cs="仿宋"/>
                <w:b w:val="0"/>
                <w:bCs w:val="0"/>
                <w:i w:val="0"/>
                <w:iCs w:val="0"/>
                <w:smallCaps w:val="0"/>
                <w:color w:val="auto"/>
                <w:spacing w:val="0"/>
                <w:kern w:val="0"/>
                <w:sz w:val="32"/>
                <w:szCs w:val="32"/>
                <w:highlight w:val="none"/>
                <w:lang w:val="en-US" w:eastAsia="zh-CN"/>
              </w:rPr>
              <w:t>厦门市寨上小学</w:t>
            </w:r>
          </w:p>
        </w:tc>
      </w:tr>
    </w:tbl>
    <w:p>
      <w:pPr>
        <w:pStyle w:val="6"/>
        <w:keepNext w:val="0"/>
        <w:keepLines w:val="0"/>
        <w:pageBreakBefore w:val="0"/>
        <w:widowControl/>
        <w:kinsoku/>
        <w:wordWrap/>
        <w:overflowPunct/>
        <w:topLinePunct w:val="0"/>
        <w:autoSpaceDE/>
        <w:autoSpaceDN/>
        <w:bidi w:val="0"/>
        <w:adjustRightInd/>
        <w:snapToGrid/>
        <w:spacing w:before="100" w:after="100" w:line="560" w:lineRule="exact"/>
        <w:ind w:left="0" w:right="0" w:firstLine="640" w:firstLineChars="0"/>
        <w:textAlignment w:val="auto"/>
        <w:rPr>
          <w:rFonts w:ascii="Times New Roman" w:hAnsi="Times New Roman" w:eastAsia="Times New Roman" w:cs="Times New Roman"/>
          <w:b/>
          <w:bCs/>
          <w:color w:val="auto"/>
          <w:kern w:val="0"/>
          <w:sz w:val="28"/>
          <w:szCs w:val="28"/>
          <w:highlight w:val="none"/>
        </w:rPr>
      </w:pPr>
      <w:bookmarkStart w:id="17" w:name="_Toc256000097"/>
      <w:bookmarkStart w:id="18" w:name="_Toc256000004"/>
      <w:bookmarkStart w:id="19" w:name="_Toc256000066"/>
      <w:bookmarkStart w:id="20" w:name="_Toc256000035"/>
      <w:r>
        <w:rPr>
          <w:rFonts w:ascii="黑体" w:hAnsi="黑体" w:eastAsia="黑体" w:cs="黑体"/>
          <w:b/>
          <w:color w:val="auto"/>
          <w:spacing w:val="0"/>
          <w:highlight w:val="none"/>
        </w:rPr>
        <w:t>三、单位主要工作总结</w:t>
      </w:r>
      <w:bookmarkEnd w:id="17"/>
      <w:bookmarkEnd w:id="18"/>
      <w:bookmarkEnd w:id="19"/>
      <w:bookmarkEnd w:id="20"/>
    </w:p>
    <w:p>
      <w:pPr>
        <w:pStyle w:val="31"/>
        <w:keepNext w:val="0"/>
        <w:keepLines w:val="0"/>
        <w:pageBreakBefore w:val="0"/>
        <w:widowControl/>
        <w:kinsoku/>
        <w:wordWrap/>
        <w:overflowPunct/>
        <w:topLinePunct w:val="0"/>
        <w:autoSpaceDE/>
        <w:autoSpaceDN/>
        <w:bidi w:val="0"/>
        <w:adjustRightInd/>
        <w:snapToGrid/>
        <w:spacing w:before="100" w:after="100" w:line="560" w:lineRule="exact"/>
        <w:ind w:left="0" w:right="0" w:firstLine="640"/>
        <w:jc w:val="both"/>
        <w:textAlignment w:val="auto"/>
        <w:rPr>
          <w:rFonts w:hint="eastAsia" w:ascii="仿宋" w:hAnsi="仿宋" w:eastAsia="仿宋" w:cs="仿宋"/>
          <w:color w:val="auto"/>
          <w:spacing w:val="0"/>
          <w:kern w:val="0"/>
          <w:sz w:val="32"/>
          <w:szCs w:val="32"/>
          <w:highlight w:val="none"/>
        </w:rPr>
      </w:pPr>
      <w:r>
        <w:rPr>
          <w:rFonts w:ascii="仿宋" w:hAnsi="仿宋" w:eastAsia="仿宋" w:cs="仿宋"/>
          <w:color w:val="auto"/>
          <w:spacing w:val="0"/>
          <w:kern w:val="0"/>
          <w:sz w:val="32"/>
          <w:szCs w:val="32"/>
          <w:highlight w:val="none"/>
        </w:rPr>
        <w:t>厦门市寨上小学单位主要任务是</w:t>
      </w:r>
      <w:r>
        <w:rPr>
          <w:rFonts w:hint="eastAsia" w:ascii="仿宋" w:hAnsi="仿宋" w:eastAsia="仿宋" w:cs="仿宋"/>
          <w:color w:val="auto"/>
          <w:spacing w:val="0"/>
          <w:kern w:val="0"/>
          <w:sz w:val="32"/>
          <w:szCs w:val="32"/>
          <w:highlight w:val="none"/>
        </w:rPr>
        <w:t>以“提升质量”为核心，以“规范”促提升，落实立德树人根本任务，聚力推进学校教研、教学、教改和管理等各项工作均衡向上发展。</w:t>
      </w:r>
    </w:p>
    <w:p>
      <w:pPr>
        <w:pStyle w:val="31"/>
        <w:keepNext w:val="0"/>
        <w:keepLines w:val="0"/>
        <w:pageBreakBefore w:val="0"/>
        <w:widowControl/>
        <w:kinsoku/>
        <w:wordWrap/>
        <w:overflowPunct/>
        <w:topLinePunct w:val="0"/>
        <w:autoSpaceDE/>
        <w:autoSpaceDN/>
        <w:bidi w:val="0"/>
        <w:adjustRightInd/>
        <w:snapToGrid/>
        <w:spacing w:before="100" w:after="100" w:line="560" w:lineRule="exact"/>
        <w:ind w:left="0" w:right="0" w:firstLine="640"/>
        <w:jc w:val="both"/>
        <w:textAlignment w:val="auto"/>
        <w:rPr>
          <w:rFonts w:ascii="仿宋" w:hAnsi="仿宋" w:eastAsia="仿宋" w:cs="仿宋"/>
          <w:color w:val="auto"/>
          <w:spacing w:val="0"/>
          <w:kern w:val="0"/>
          <w:sz w:val="32"/>
          <w:szCs w:val="32"/>
          <w:highlight w:val="none"/>
        </w:rPr>
      </w:pPr>
      <w:r>
        <w:rPr>
          <w:rFonts w:ascii="仿宋" w:hAnsi="仿宋" w:eastAsia="仿宋" w:cs="仿宋"/>
          <w:color w:val="auto"/>
          <w:spacing w:val="0"/>
          <w:kern w:val="0"/>
          <w:sz w:val="32"/>
          <w:szCs w:val="32"/>
          <w:highlight w:val="none"/>
        </w:rPr>
        <w:t>围绕上述任务，重点完成了以下工作：</w:t>
      </w:r>
    </w:p>
    <w:p>
      <w:pPr>
        <w:pStyle w:val="31"/>
        <w:keepNext w:val="0"/>
        <w:keepLines w:val="0"/>
        <w:pageBreakBefore w:val="0"/>
        <w:widowControl/>
        <w:kinsoku/>
        <w:wordWrap/>
        <w:overflowPunct/>
        <w:topLinePunct w:val="0"/>
        <w:autoSpaceDE/>
        <w:autoSpaceDN/>
        <w:bidi w:val="0"/>
        <w:adjustRightInd/>
        <w:snapToGrid/>
        <w:spacing w:before="100" w:after="100" w:line="560" w:lineRule="exact"/>
        <w:ind w:left="0" w:right="0" w:firstLine="640"/>
        <w:jc w:val="both"/>
        <w:textAlignment w:val="auto"/>
        <w:rPr>
          <w:rFonts w:hint="eastAsia" w:ascii="仿宋" w:hAnsi="仿宋" w:eastAsia="仿宋" w:cs="仿宋"/>
          <w:color w:val="auto"/>
          <w:spacing w:val="0"/>
          <w:kern w:val="0"/>
          <w:sz w:val="32"/>
          <w:szCs w:val="32"/>
          <w:highlight w:val="none"/>
        </w:rPr>
      </w:pPr>
      <w:r>
        <w:rPr>
          <w:rFonts w:hint="eastAsia" w:ascii="仿宋" w:hAnsi="仿宋" w:eastAsia="仿宋" w:cs="仿宋"/>
          <w:color w:val="auto"/>
          <w:spacing w:val="0"/>
          <w:kern w:val="0"/>
          <w:sz w:val="32"/>
          <w:szCs w:val="32"/>
          <w:highlight w:val="none"/>
          <w:lang w:eastAsia="zh-CN"/>
        </w:rPr>
        <w:t>（一）</w:t>
      </w:r>
      <w:r>
        <w:rPr>
          <w:rFonts w:hint="eastAsia" w:ascii="仿宋" w:hAnsi="仿宋" w:eastAsia="仿宋" w:cs="仿宋"/>
          <w:color w:val="auto"/>
          <w:spacing w:val="0"/>
          <w:kern w:val="0"/>
          <w:sz w:val="32"/>
          <w:szCs w:val="32"/>
          <w:highlight w:val="none"/>
        </w:rPr>
        <w:t>品牌建设与“双实验区”推进</w:t>
      </w:r>
      <w:r>
        <w:rPr>
          <w:rFonts w:hint="eastAsia" w:ascii="仿宋" w:hAnsi="仿宋" w:eastAsia="仿宋" w:cs="仿宋"/>
          <w:color w:val="auto"/>
          <w:spacing w:val="0"/>
          <w:kern w:val="0"/>
          <w:sz w:val="32"/>
          <w:szCs w:val="32"/>
          <w:highlight w:val="none"/>
          <w:lang w:eastAsia="zh-CN"/>
        </w:rPr>
        <w:t>：</w:t>
      </w:r>
      <w:r>
        <w:rPr>
          <w:rFonts w:hint="eastAsia" w:ascii="仿宋" w:hAnsi="仿宋" w:eastAsia="仿宋" w:cs="仿宋"/>
          <w:color w:val="auto"/>
          <w:spacing w:val="0"/>
          <w:kern w:val="0"/>
          <w:sz w:val="32"/>
          <w:szCs w:val="32"/>
          <w:highlight w:val="none"/>
        </w:rPr>
        <w:t>扎实推进“寨上小学品牌年”发展目标，有效推进“双实验区”建设工作。</w:t>
      </w:r>
    </w:p>
    <w:p>
      <w:pPr>
        <w:pStyle w:val="31"/>
        <w:keepNext w:val="0"/>
        <w:keepLines w:val="0"/>
        <w:pageBreakBefore w:val="0"/>
        <w:widowControl/>
        <w:kinsoku/>
        <w:wordWrap/>
        <w:overflowPunct/>
        <w:topLinePunct w:val="0"/>
        <w:autoSpaceDE/>
        <w:autoSpaceDN/>
        <w:bidi w:val="0"/>
        <w:adjustRightInd/>
        <w:snapToGrid/>
        <w:spacing w:before="100" w:after="100" w:line="560" w:lineRule="exact"/>
        <w:ind w:left="0" w:right="0" w:firstLine="640"/>
        <w:jc w:val="both"/>
        <w:textAlignment w:val="auto"/>
        <w:rPr>
          <w:rFonts w:hint="eastAsia" w:ascii="仿宋" w:hAnsi="仿宋" w:eastAsia="仿宋" w:cs="仿宋"/>
          <w:color w:val="auto"/>
          <w:spacing w:val="0"/>
          <w:kern w:val="0"/>
          <w:sz w:val="32"/>
          <w:szCs w:val="32"/>
          <w:highlight w:val="none"/>
        </w:rPr>
      </w:pPr>
      <w:r>
        <w:rPr>
          <w:rFonts w:hint="eastAsia" w:ascii="仿宋" w:hAnsi="仿宋" w:eastAsia="仿宋" w:cs="仿宋"/>
          <w:color w:val="auto"/>
          <w:spacing w:val="0"/>
          <w:kern w:val="0"/>
          <w:sz w:val="32"/>
          <w:szCs w:val="32"/>
          <w:highlight w:val="none"/>
          <w:lang w:eastAsia="zh-CN"/>
        </w:rPr>
        <w:t>（二）</w:t>
      </w:r>
      <w:r>
        <w:rPr>
          <w:rFonts w:hint="eastAsia" w:ascii="仿宋" w:hAnsi="仿宋" w:eastAsia="仿宋" w:cs="仿宋"/>
          <w:color w:val="auto"/>
          <w:spacing w:val="0"/>
          <w:kern w:val="0"/>
          <w:sz w:val="32"/>
          <w:szCs w:val="32"/>
          <w:highlight w:val="none"/>
        </w:rPr>
        <w:t>教育教学改革与创新</w:t>
      </w:r>
      <w:r>
        <w:rPr>
          <w:rFonts w:hint="eastAsia" w:ascii="仿宋" w:hAnsi="仿宋" w:eastAsia="仿宋" w:cs="仿宋"/>
          <w:color w:val="auto"/>
          <w:spacing w:val="0"/>
          <w:kern w:val="0"/>
          <w:sz w:val="32"/>
          <w:szCs w:val="32"/>
          <w:highlight w:val="none"/>
          <w:lang w:eastAsia="zh-CN"/>
        </w:rPr>
        <w:t>：</w:t>
      </w:r>
      <w:r>
        <w:rPr>
          <w:rFonts w:hint="eastAsia" w:ascii="仿宋" w:hAnsi="仿宋" w:eastAsia="仿宋" w:cs="仿宋"/>
          <w:color w:val="auto"/>
          <w:spacing w:val="0"/>
          <w:kern w:val="0"/>
          <w:sz w:val="32"/>
          <w:szCs w:val="32"/>
          <w:highlight w:val="none"/>
        </w:rPr>
        <w:t>深化“自教育3.0+”教学改革，提升教育教学质量。推进校本科研管理示范校建设，加强科学教育实验校建设。</w:t>
      </w:r>
    </w:p>
    <w:p>
      <w:pPr>
        <w:pStyle w:val="31"/>
        <w:keepNext w:val="0"/>
        <w:keepLines w:val="0"/>
        <w:pageBreakBefore w:val="0"/>
        <w:widowControl/>
        <w:kinsoku/>
        <w:wordWrap/>
        <w:overflowPunct/>
        <w:topLinePunct w:val="0"/>
        <w:autoSpaceDE/>
        <w:autoSpaceDN/>
        <w:bidi w:val="0"/>
        <w:adjustRightInd/>
        <w:snapToGrid/>
        <w:spacing w:before="100" w:after="100" w:line="560" w:lineRule="exact"/>
        <w:ind w:left="0" w:right="0" w:firstLine="640"/>
        <w:jc w:val="both"/>
        <w:textAlignment w:val="auto"/>
        <w:rPr>
          <w:rFonts w:hint="eastAsia" w:ascii="仿宋" w:hAnsi="仿宋" w:eastAsia="仿宋" w:cs="仿宋"/>
          <w:color w:val="auto"/>
          <w:spacing w:val="0"/>
          <w:kern w:val="0"/>
          <w:sz w:val="32"/>
          <w:szCs w:val="32"/>
          <w:highlight w:val="none"/>
        </w:rPr>
      </w:pPr>
      <w:r>
        <w:rPr>
          <w:rFonts w:hint="eastAsia" w:ascii="仿宋" w:hAnsi="仿宋" w:eastAsia="仿宋" w:cs="仿宋"/>
          <w:color w:val="auto"/>
          <w:spacing w:val="0"/>
          <w:kern w:val="0"/>
          <w:sz w:val="32"/>
          <w:szCs w:val="32"/>
          <w:highlight w:val="none"/>
          <w:lang w:val="en-US" w:eastAsia="zh-CN"/>
        </w:rPr>
        <w:t>（三）</w:t>
      </w:r>
      <w:r>
        <w:rPr>
          <w:rFonts w:hint="eastAsia" w:ascii="仿宋" w:hAnsi="仿宋" w:eastAsia="仿宋" w:cs="仿宋"/>
          <w:color w:val="auto"/>
          <w:spacing w:val="0"/>
          <w:kern w:val="0"/>
          <w:sz w:val="32"/>
          <w:szCs w:val="32"/>
          <w:highlight w:val="none"/>
        </w:rPr>
        <w:t>德育与学生全面发展</w:t>
      </w:r>
      <w:r>
        <w:rPr>
          <w:rFonts w:hint="eastAsia" w:ascii="仿宋" w:hAnsi="仿宋" w:eastAsia="仿宋" w:cs="仿宋"/>
          <w:color w:val="auto"/>
          <w:spacing w:val="0"/>
          <w:kern w:val="0"/>
          <w:sz w:val="32"/>
          <w:szCs w:val="32"/>
          <w:highlight w:val="none"/>
          <w:lang w:eastAsia="zh-CN"/>
        </w:rPr>
        <w:t>：</w:t>
      </w:r>
      <w:r>
        <w:rPr>
          <w:rFonts w:hint="eastAsia" w:ascii="仿宋" w:hAnsi="仿宋" w:eastAsia="仿宋" w:cs="仿宋"/>
          <w:color w:val="auto"/>
          <w:spacing w:val="0"/>
          <w:kern w:val="0"/>
          <w:sz w:val="32"/>
          <w:szCs w:val="32"/>
          <w:highlight w:val="none"/>
        </w:rPr>
        <w:t>强化德育工作实效，开展丰富多彩的德育活动。推进家庭和心理健康教育，提升师生心理健康素养。深入开展校园艺体教育，加强科学教育举措。</w:t>
      </w:r>
    </w:p>
    <w:p>
      <w:pPr>
        <w:pStyle w:val="31"/>
        <w:keepNext w:val="0"/>
        <w:keepLines w:val="0"/>
        <w:pageBreakBefore w:val="0"/>
        <w:widowControl/>
        <w:kinsoku/>
        <w:wordWrap/>
        <w:overflowPunct/>
        <w:topLinePunct w:val="0"/>
        <w:autoSpaceDE/>
        <w:autoSpaceDN/>
        <w:bidi w:val="0"/>
        <w:adjustRightInd/>
        <w:snapToGrid/>
        <w:spacing w:before="100" w:after="100" w:line="560" w:lineRule="exact"/>
        <w:ind w:left="0" w:right="0" w:firstLine="640"/>
        <w:jc w:val="both"/>
        <w:textAlignment w:val="auto"/>
        <w:rPr>
          <w:rFonts w:hint="eastAsia" w:ascii="仿宋" w:hAnsi="仿宋" w:eastAsia="仿宋" w:cs="仿宋"/>
          <w:color w:val="auto"/>
          <w:spacing w:val="0"/>
          <w:kern w:val="0"/>
          <w:sz w:val="32"/>
          <w:szCs w:val="32"/>
          <w:highlight w:val="none"/>
        </w:rPr>
      </w:pPr>
      <w:r>
        <w:rPr>
          <w:rFonts w:hint="eastAsia" w:ascii="仿宋" w:hAnsi="仿宋" w:eastAsia="仿宋" w:cs="仿宋"/>
          <w:color w:val="auto"/>
          <w:spacing w:val="0"/>
          <w:kern w:val="0"/>
          <w:sz w:val="32"/>
          <w:szCs w:val="32"/>
          <w:highlight w:val="none"/>
          <w:lang w:eastAsia="zh-CN"/>
        </w:rPr>
        <w:t>（四）</w:t>
      </w:r>
      <w:r>
        <w:rPr>
          <w:rFonts w:hint="eastAsia" w:ascii="仿宋" w:hAnsi="仿宋" w:eastAsia="仿宋" w:cs="仿宋"/>
          <w:color w:val="auto"/>
          <w:spacing w:val="0"/>
          <w:kern w:val="0"/>
          <w:sz w:val="32"/>
          <w:szCs w:val="32"/>
          <w:highlight w:val="none"/>
        </w:rPr>
        <w:t>教师队伍建设</w:t>
      </w:r>
      <w:r>
        <w:rPr>
          <w:rFonts w:hint="eastAsia" w:ascii="仿宋" w:hAnsi="仿宋" w:eastAsia="仿宋" w:cs="仿宋"/>
          <w:color w:val="auto"/>
          <w:spacing w:val="0"/>
          <w:kern w:val="0"/>
          <w:sz w:val="32"/>
          <w:szCs w:val="32"/>
          <w:highlight w:val="none"/>
          <w:lang w:eastAsia="zh-CN"/>
        </w:rPr>
        <w:t>：</w:t>
      </w:r>
      <w:r>
        <w:rPr>
          <w:rFonts w:hint="eastAsia" w:ascii="仿宋" w:hAnsi="仿宋" w:eastAsia="仿宋" w:cs="仿宋"/>
          <w:color w:val="auto"/>
          <w:spacing w:val="0"/>
          <w:kern w:val="0"/>
          <w:sz w:val="32"/>
          <w:szCs w:val="32"/>
          <w:highlight w:val="none"/>
        </w:rPr>
        <w:t>加强教师专业发展，提升教师队伍整体素质。强化师德师风建设，构建高素质教师队伍。</w:t>
      </w:r>
    </w:p>
    <w:p>
      <w:pPr>
        <w:pStyle w:val="31"/>
        <w:keepNext w:val="0"/>
        <w:keepLines w:val="0"/>
        <w:pageBreakBefore w:val="0"/>
        <w:widowControl/>
        <w:kinsoku/>
        <w:wordWrap/>
        <w:overflowPunct/>
        <w:topLinePunct w:val="0"/>
        <w:autoSpaceDE/>
        <w:autoSpaceDN/>
        <w:bidi w:val="0"/>
        <w:adjustRightInd/>
        <w:snapToGrid/>
        <w:spacing w:before="100" w:after="100" w:line="560" w:lineRule="exact"/>
        <w:ind w:left="0" w:right="0" w:firstLine="640"/>
        <w:jc w:val="both"/>
        <w:textAlignment w:val="auto"/>
        <w:rPr>
          <w:rFonts w:hint="eastAsia" w:ascii="仿宋" w:hAnsi="仿宋" w:eastAsia="仿宋" w:cs="仿宋"/>
          <w:color w:val="auto"/>
          <w:spacing w:val="0"/>
          <w:kern w:val="0"/>
          <w:sz w:val="32"/>
          <w:szCs w:val="32"/>
          <w:highlight w:val="none"/>
        </w:rPr>
      </w:pPr>
      <w:r>
        <w:rPr>
          <w:rFonts w:hint="eastAsia" w:ascii="仿宋" w:hAnsi="仿宋" w:eastAsia="仿宋" w:cs="仿宋"/>
          <w:color w:val="auto"/>
          <w:spacing w:val="0"/>
          <w:kern w:val="0"/>
          <w:sz w:val="32"/>
          <w:szCs w:val="32"/>
          <w:highlight w:val="none"/>
          <w:lang w:eastAsia="zh-CN"/>
        </w:rPr>
        <w:t>（五）</w:t>
      </w:r>
      <w:r>
        <w:rPr>
          <w:rFonts w:hint="eastAsia" w:ascii="仿宋" w:hAnsi="仿宋" w:eastAsia="仿宋" w:cs="仿宋"/>
          <w:color w:val="auto"/>
          <w:spacing w:val="0"/>
          <w:kern w:val="0"/>
          <w:sz w:val="32"/>
          <w:szCs w:val="32"/>
          <w:highlight w:val="none"/>
        </w:rPr>
        <w:t>校园安全与后勤保障</w:t>
      </w:r>
      <w:r>
        <w:rPr>
          <w:rFonts w:hint="eastAsia" w:ascii="仿宋" w:hAnsi="仿宋" w:eastAsia="仿宋" w:cs="仿宋"/>
          <w:color w:val="auto"/>
          <w:spacing w:val="0"/>
          <w:kern w:val="0"/>
          <w:sz w:val="32"/>
          <w:szCs w:val="32"/>
          <w:highlight w:val="none"/>
          <w:lang w:eastAsia="zh-CN"/>
        </w:rPr>
        <w:t>：</w:t>
      </w:r>
      <w:r>
        <w:rPr>
          <w:rFonts w:hint="eastAsia" w:ascii="仿宋" w:hAnsi="仿宋" w:eastAsia="仿宋" w:cs="仿宋"/>
          <w:color w:val="auto"/>
          <w:spacing w:val="0"/>
          <w:kern w:val="0"/>
          <w:sz w:val="32"/>
          <w:szCs w:val="32"/>
          <w:highlight w:val="none"/>
        </w:rPr>
        <w:t>优化后勤管理，提升校园安全水平。改善校园环境，为师生创造更好的学习生活条件。</w:t>
      </w:r>
    </w:p>
    <w:p>
      <w:pPr>
        <w:pStyle w:val="31"/>
        <w:keepNext w:val="0"/>
        <w:keepLines w:val="0"/>
        <w:pageBreakBefore w:val="0"/>
        <w:widowControl/>
        <w:kinsoku/>
        <w:wordWrap/>
        <w:overflowPunct/>
        <w:topLinePunct w:val="0"/>
        <w:autoSpaceDE/>
        <w:autoSpaceDN/>
        <w:bidi w:val="0"/>
        <w:adjustRightInd/>
        <w:snapToGrid/>
        <w:spacing w:before="100" w:after="100" w:line="560" w:lineRule="exact"/>
        <w:ind w:left="0" w:right="0" w:firstLine="640"/>
        <w:jc w:val="both"/>
        <w:textAlignment w:val="auto"/>
        <w:rPr>
          <w:rFonts w:hint="eastAsia" w:ascii="仿宋" w:hAnsi="仿宋" w:eastAsia="仿宋" w:cs="仿宋"/>
          <w:color w:val="auto"/>
          <w:spacing w:val="0"/>
          <w:kern w:val="0"/>
          <w:sz w:val="32"/>
          <w:szCs w:val="32"/>
          <w:highlight w:val="none"/>
        </w:rPr>
      </w:pPr>
      <w:r>
        <w:rPr>
          <w:rFonts w:hint="eastAsia" w:ascii="仿宋" w:hAnsi="仿宋" w:eastAsia="仿宋" w:cs="仿宋"/>
          <w:color w:val="auto"/>
          <w:spacing w:val="0"/>
          <w:kern w:val="0"/>
          <w:sz w:val="32"/>
          <w:szCs w:val="32"/>
          <w:highlight w:val="none"/>
          <w:lang w:eastAsia="zh-CN"/>
        </w:rPr>
        <w:t>（六）</w:t>
      </w:r>
      <w:r>
        <w:rPr>
          <w:rFonts w:hint="eastAsia" w:ascii="仿宋" w:hAnsi="仿宋" w:eastAsia="仿宋" w:cs="仿宋"/>
          <w:color w:val="auto"/>
          <w:spacing w:val="0"/>
          <w:kern w:val="0"/>
          <w:sz w:val="32"/>
          <w:szCs w:val="32"/>
          <w:highlight w:val="none"/>
        </w:rPr>
        <w:t>家校共育与社会合作</w:t>
      </w:r>
      <w:r>
        <w:rPr>
          <w:rFonts w:hint="eastAsia" w:ascii="仿宋" w:hAnsi="仿宋" w:eastAsia="仿宋" w:cs="仿宋"/>
          <w:color w:val="auto"/>
          <w:spacing w:val="0"/>
          <w:kern w:val="0"/>
          <w:sz w:val="32"/>
          <w:szCs w:val="32"/>
          <w:highlight w:val="none"/>
          <w:lang w:eastAsia="zh-CN"/>
        </w:rPr>
        <w:t>：</w:t>
      </w:r>
      <w:r>
        <w:rPr>
          <w:rFonts w:hint="eastAsia" w:ascii="仿宋" w:hAnsi="仿宋" w:eastAsia="仿宋" w:cs="仿宋"/>
          <w:color w:val="auto"/>
          <w:spacing w:val="0"/>
          <w:kern w:val="0"/>
          <w:sz w:val="32"/>
          <w:szCs w:val="32"/>
          <w:highlight w:val="none"/>
        </w:rPr>
        <w:t>加强家校沟通与合作，共同促进学生成长。拓展社会资源，提升学校社会影响力。</w:t>
      </w:r>
    </w:p>
    <w:p>
      <w:pPr>
        <w:pStyle w:val="4"/>
        <w:keepNext w:val="0"/>
        <w:keepLines w:val="0"/>
        <w:spacing w:before="100" w:after="100" w:line="240" w:lineRule="auto"/>
        <w:ind w:left="0" w:right="0" w:firstLine="0" w:firstLineChars="0"/>
        <w:jc w:val="center"/>
        <w:rPr>
          <w:rFonts w:ascii="黑体" w:hAnsi="黑体" w:eastAsia="黑体" w:cs="黑体"/>
          <w:b/>
          <w:spacing w:val="0"/>
          <w:sz w:val="36"/>
          <w:szCs w:val="36"/>
        </w:rPr>
      </w:pPr>
      <w:bookmarkStart w:id="21" w:name="_Toc256000098"/>
      <w:bookmarkStart w:id="22" w:name="_Toc256000067"/>
      <w:bookmarkStart w:id="23" w:name="_Toc256000036"/>
      <w:bookmarkStart w:id="24" w:name="_Toc256000005"/>
    </w:p>
    <w:p>
      <w:pPr>
        <w:pStyle w:val="4"/>
        <w:keepNext w:val="0"/>
        <w:keepLines w:val="0"/>
        <w:spacing w:before="100" w:after="100" w:line="240" w:lineRule="auto"/>
        <w:ind w:left="0" w:right="0" w:firstLine="0" w:firstLineChars="0"/>
        <w:jc w:val="center"/>
        <w:rPr>
          <w:rFonts w:ascii="黑体" w:hAnsi="黑体" w:eastAsia="黑体" w:cs="黑体"/>
          <w:b/>
          <w:spacing w:val="0"/>
          <w:sz w:val="36"/>
          <w:szCs w:val="36"/>
        </w:rPr>
      </w:pPr>
      <w:r>
        <w:rPr>
          <w:rFonts w:ascii="黑体" w:hAnsi="黑体" w:eastAsia="黑体" w:cs="黑体"/>
          <w:b/>
          <w:spacing w:val="0"/>
          <w:sz w:val="36"/>
          <w:szCs w:val="36"/>
        </w:rPr>
        <w:t>第二部分</w:t>
      </w:r>
      <w:bookmarkEnd w:id="21"/>
      <w:bookmarkEnd w:id="22"/>
      <w:bookmarkEnd w:id="23"/>
      <w:bookmarkEnd w:id="24"/>
      <w:r>
        <w:rPr>
          <w:rFonts w:ascii="宋体" w:hAnsi="宋体" w:eastAsia="宋体" w:cs="宋体"/>
          <w:b/>
          <w:spacing w:val="0"/>
          <w:sz w:val="36"/>
          <w:szCs w:val="36"/>
        </w:rPr>
        <w:t> </w:t>
      </w:r>
      <w:bookmarkStart w:id="25" w:name="_Toc256000006"/>
      <w:bookmarkStart w:id="26" w:name="_Toc256000099"/>
      <w:bookmarkStart w:id="27" w:name="_Toc256000037"/>
      <w:bookmarkStart w:id="28" w:name="_Toc256000068"/>
      <w:r>
        <w:rPr>
          <w:rFonts w:ascii="黑体" w:hAnsi="黑体" w:eastAsia="黑体" w:cs="黑体"/>
          <w:b/>
          <w:spacing w:val="0"/>
          <w:sz w:val="36"/>
          <w:szCs w:val="36"/>
        </w:rPr>
        <w:t>2024年度决算表</w:t>
      </w:r>
      <w:bookmarkEnd w:id="25"/>
      <w:bookmarkEnd w:id="26"/>
      <w:bookmarkEnd w:id="27"/>
      <w:bookmarkEnd w:id="28"/>
    </w:p>
    <w:p>
      <w:pPr>
        <w:pStyle w:val="5"/>
      </w:pPr>
    </w:p>
    <w:p>
      <w:pPr>
        <w:pStyle w:val="6"/>
        <w:keepNext w:val="0"/>
        <w:keepLines w:val="0"/>
        <w:numPr>
          <w:ilvl w:val="0"/>
          <w:numId w:val="0"/>
        </w:numPr>
        <w:spacing w:before="100" w:after="100" w:line="240" w:lineRule="auto"/>
        <w:ind w:right="0" w:rightChars="0" w:firstLine="321" w:firstLineChars="100"/>
        <w:rPr>
          <w:rFonts w:hint="eastAsia" w:ascii="黑体" w:hAnsi="黑体" w:eastAsia="黑体" w:cs="黑体"/>
          <w:b/>
          <w:spacing w:val="0"/>
          <w:lang w:eastAsia="zh-CN"/>
        </w:rPr>
      </w:pPr>
      <w:bookmarkStart w:id="29" w:name="_Toc256000100"/>
      <w:bookmarkStart w:id="30" w:name="_Toc256000038"/>
      <w:bookmarkStart w:id="31" w:name="_Toc256000069"/>
      <w:bookmarkStart w:id="32" w:name="_Toc256000007"/>
      <w:r>
        <w:rPr>
          <w:rFonts w:hint="eastAsia" w:ascii="黑体" w:hAnsi="黑体" w:eastAsia="黑体" w:cs="黑体"/>
          <w:b/>
          <w:spacing w:val="0"/>
          <w:lang w:eastAsia="zh-CN"/>
        </w:rPr>
        <w:t>一、</w:t>
      </w:r>
      <w:r>
        <w:rPr>
          <w:rFonts w:ascii="黑体" w:hAnsi="黑体" w:eastAsia="黑体" w:cs="黑体"/>
          <w:b/>
          <w:spacing w:val="0"/>
        </w:rPr>
        <w:t>收入支出决算总</w:t>
      </w:r>
      <w:r>
        <w:rPr>
          <w:rFonts w:hint="eastAsia" w:ascii="黑体" w:hAnsi="黑体" w:eastAsia="黑体" w:cs="黑体"/>
          <w:b/>
          <w:spacing w:val="0"/>
          <w:lang w:eastAsia="zh-CN"/>
        </w:rPr>
        <w:t>表</w:t>
      </w:r>
    </w:p>
    <w:bookmarkEnd w:id="29"/>
    <w:bookmarkEnd w:id="30"/>
    <w:bookmarkEnd w:id="31"/>
    <w:bookmarkEnd w:id="32"/>
    <w:p>
      <w:pPr>
        <w:pStyle w:val="6"/>
        <w:keepNext w:val="0"/>
        <w:keepLines w:val="0"/>
        <w:numPr>
          <w:ilvl w:val="0"/>
          <w:numId w:val="0"/>
        </w:numPr>
        <w:spacing w:before="100" w:after="100" w:line="240" w:lineRule="auto"/>
        <w:ind w:leftChars="0" w:right="0" w:rightChars="0"/>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horizontal layout</w:t>
      </w:r>
    </w:p>
    <w:tbl>
      <w:tblPr>
        <w:tblStyle w:val="25"/>
        <w:tblW w:w="9066" w:type="dxa"/>
        <w:jc w:val="center"/>
        <w:tblInd w:w="0" w:type="dxa"/>
        <w:tblLayout w:type="fixed"/>
        <w:tblCellMar>
          <w:top w:w="15" w:type="dxa"/>
          <w:left w:w="15" w:type="dxa"/>
          <w:bottom w:w="15" w:type="dxa"/>
          <w:right w:w="15" w:type="dxa"/>
        </w:tblCellMar>
      </w:tblPr>
      <w:tblGrid>
        <w:gridCol w:w="3351"/>
        <w:gridCol w:w="492"/>
        <w:gridCol w:w="690"/>
        <w:gridCol w:w="3102"/>
        <w:gridCol w:w="708"/>
        <w:gridCol w:w="723"/>
      </w:tblGrid>
      <w:tr>
        <w:tblPrEx>
          <w:tblLayout w:type="fixed"/>
          <w:tblCellMar>
            <w:top w:w="15" w:type="dxa"/>
            <w:left w:w="15" w:type="dxa"/>
            <w:bottom w:w="15" w:type="dxa"/>
            <w:right w:w="15" w:type="dxa"/>
          </w:tblCellMar>
        </w:tblPrEx>
        <w:trPr>
          <w:trHeight w:val="0" w:hRule="atLeast"/>
          <w:tblHeader/>
          <w:jc w:val="center"/>
        </w:trPr>
        <w:tc>
          <w:tcPr>
            <w:tcW w:w="9066" w:type="dxa"/>
            <w:gridSpan w:val="6"/>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32"/>
                <w:szCs w:val="32"/>
              </w:rPr>
              <w:t>收入支出决算总表</w:t>
            </w:r>
          </w:p>
        </w:tc>
      </w:tr>
      <w:tr>
        <w:tblPrEx>
          <w:tblLayout w:type="fixed"/>
          <w:tblCellMar>
            <w:top w:w="15" w:type="dxa"/>
            <w:left w:w="15" w:type="dxa"/>
            <w:bottom w:w="15" w:type="dxa"/>
            <w:right w:w="15" w:type="dxa"/>
          </w:tblCellMar>
        </w:tblPrEx>
        <w:trPr>
          <w:trHeight w:val="0" w:hRule="atLeast"/>
          <w:tblHeader/>
          <w:jc w:val="center"/>
        </w:trPr>
        <w:tc>
          <w:tcPr>
            <w:tcW w:w="3843"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90"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10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0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2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335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部门</w:t>
            </w:r>
            <w:r>
              <w:rPr>
                <w:rFonts w:ascii="Times New Roman" w:hAnsi="Times New Roman" w:eastAsia="Times New Roman" w:cs="Times New Roman"/>
                <w:b w:val="0"/>
                <w:bCs w:val="0"/>
                <w:i w:val="0"/>
                <w:iCs w:val="0"/>
                <w:smallCaps w:val="0"/>
                <w:color w:val="000000"/>
                <w:kern w:val="0"/>
                <w:sz w:val="18"/>
                <w:szCs w:val="18"/>
              </w:rPr>
              <w:t>/</w:t>
            </w:r>
            <w:r>
              <w:rPr>
                <w:rFonts w:ascii="宋体" w:hAnsi="宋体" w:eastAsia="宋体" w:cs="宋体"/>
                <w:b w:val="0"/>
                <w:bCs w:val="0"/>
                <w:i w:val="0"/>
                <w:iCs w:val="0"/>
                <w:smallCaps w:val="0"/>
                <w:color w:val="000000"/>
                <w:kern w:val="0"/>
                <w:sz w:val="18"/>
                <w:szCs w:val="18"/>
              </w:rPr>
              <w:t>单位：厦门市寨上小学</w:t>
            </w:r>
          </w:p>
        </w:tc>
        <w:tc>
          <w:tcPr>
            <w:tcW w:w="49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90"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10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2024</w:t>
            </w:r>
            <w:r>
              <w:rPr>
                <w:rFonts w:ascii="宋体" w:hAnsi="宋体" w:eastAsia="宋体" w:cs="宋体"/>
                <w:b w:val="0"/>
                <w:bCs w:val="0"/>
                <w:i w:val="0"/>
                <w:iCs w:val="0"/>
                <w:smallCaps w:val="0"/>
                <w:color w:val="000000"/>
                <w:kern w:val="0"/>
                <w:sz w:val="18"/>
                <w:szCs w:val="18"/>
              </w:rPr>
              <w:t>年度</w:t>
            </w:r>
          </w:p>
        </w:tc>
        <w:tc>
          <w:tcPr>
            <w:tcW w:w="1431"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r>
              <w:rPr>
                <w:rFonts w:ascii="宋体" w:hAnsi="宋体" w:eastAsia="宋体" w:cs="宋体"/>
                <w:b w:val="0"/>
                <w:bCs w:val="0"/>
                <w:i w:val="0"/>
                <w:iCs w:val="0"/>
                <w:smallCaps w:val="0"/>
                <w:color w:val="000000"/>
                <w:kern w:val="0"/>
                <w:sz w:val="18"/>
                <w:szCs w:val="18"/>
              </w:rPr>
              <w:t>金额单位：万元</w:t>
            </w:r>
          </w:p>
        </w:tc>
      </w:tr>
      <w:tr>
        <w:tblPrEx>
          <w:tblLayout w:type="fixed"/>
          <w:tblCellMar>
            <w:top w:w="15" w:type="dxa"/>
            <w:left w:w="15" w:type="dxa"/>
            <w:bottom w:w="15" w:type="dxa"/>
            <w:right w:w="15" w:type="dxa"/>
          </w:tblCellMar>
        </w:tblPrEx>
        <w:trPr>
          <w:trHeight w:val="0" w:hRule="atLeast"/>
          <w:jc w:val="center"/>
        </w:trPr>
        <w:tc>
          <w:tcPr>
            <w:tcW w:w="4533"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收入</w:t>
            </w:r>
          </w:p>
        </w:tc>
        <w:tc>
          <w:tcPr>
            <w:tcW w:w="4533"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支出</w:t>
            </w:r>
          </w:p>
        </w:tc>
      </w:tr>
      <w:tr>
        <w:tblPrEx>
          <w:tblLayout w:type="fixed"/>
          <w:tblCellMar>
            <w:top w:w="15" w:type="dxa"/>
            <w:left w:w="15" w:type="dxa"/>
            <w:bottom w:w="15" w:type="dxa"/>
            <w:right w:w="15" w:type="dxa"/>
          </w:tblCellMar>
        </w:tblPrEx>
        <w:trPr>
          <w:trHeight w:val="0" w:hRule="atLeast"/>
          <w:jc w:val="center"/>
        </w:trPr>
        <w:tc>
          <w:tcPr>
            <w:tcW w:w="33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w:t>
            </w:r>
          </w:p>
        </w:tc>
        <w:tc>
          <w:tcPr>
            <w:tcW w:w="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行次</w:t>
            </w:r>
          </w:p>
        </w:tc>
        <w:tc>
          <w:tcPr>
            <w:tcW w:w="69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w:t>
            </w:r>
          </w:p>
        </w:tc>
        <w:tc>
          <w:tcPr>
            <w:tcW w:w="31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行次</w:t>
            </w:r>
          </w:p>
        </w:tc>
        <w:tc>
          <w:tcPr>
            <w:tcW w:w="7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w:t>
            </w:r>
          </w:p>
        </w:tc>
      </w:tr>
      <w:tr>
        <w:tblPrEx>
          <w:tblLayout w:type="fixed"/>
          <w:tblCellMar>
            <w:top w:w="15" w:type="dxa"/>
            <w:left w:w="15" w:type="dxa"/>
            <w:bottom w:w="15" w:type="dxa"/>
            <w:right w:w="15" w:type="dxa"/>
          </w:tblCellMar>
        </w:tblPrEx>
        <w:trPr>
          <w:trHeight w:val="0" w:hRule="atLeast"/>
          <w:jc w:val="center"/>
        </w:trPr>
        <w:tc>
          <w:tcPr>
            <w:tcW w:w="33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栏次</w:t>
            </w:r>
          </w:p>
        </w:tc>
        <w:tc>
          <w:tcPr>
            <w:tcW w:w="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9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31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栏次</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r>
      <w:tr>
        <w:tblPrEx>
          <w:tblLayout w:type="fixed"/>
          <w:tblCellMar>
            <w:top w:w="15" w:type="dxa"/>
            <w:left w:w="15" w:type="dxa"/>
            <w:bottom w:w="15" w:type="dxa"/>
            <w:right w:w="15" w:type="dxa"/>
          </w:tblCellMar>
        </w:tblPrEx>
        <w:trPr>
          <w:trHeight w:val="0" w:hRule="atLeast"/>
          <w:jc w:val="center"/>
        </w:trPr>
        <w:tc>
          <w:tcPr>
            <w:tcW w:w="33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一、一般公共预算财政拨款收入</w:t>
            </w:r>
          </w:p>
        </w:tc>
        <w:tc>
          <w:tcPr>
            <w:tcW w:w="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69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3,051.62</w:t>
            </w:r>
          </w:p>
        </w:tc>
        <w:tc>
          <w:tcPr>
            <w:tcW w:w="31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一、一般公共服务支出</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32</w:t>
            </w:r>
          </w:p>
        </w:tc>
        <w:tc>
          <w:tcPr>
            <w:tcW w:w="7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33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二、政府性基金预算财政拨款收入</w:t>
            </w:r>
          </w:p>
        </w:tc>
        <w:tc>
          <w:tcPr>
            <w:tcW w:w="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69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w:t>
            </w:r>
          </w:p>
        </w:tc>
        <w:tc>
          <w:tcPr>
            <w:tcW w:w="31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二、外交支出</w:t>
            </w:r>
            <w:r>
              <w:rPr>
                <w:rFonts w:ascii="Times New Roman" w:hAnsi="Times New Roman" w:eastAsia="Times New Roman" w:cs="Times New Roman"/>
                <w:b w:val="0"/>
                <w:bCs w:val="0"/>
                <w:i w:val="0"/>
                <w:iCs w:val="0"/>
                <w:smallCaps w:val="0"/>
                <w:color w:val="000000"/>
                <w:kern w:val="0"/>
                <w:sz w:val="18"/>
                <w:szCs w:val="18"/>
              </w:rPr>
              <w:t xml:space="preserve"> </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33</w:t>
            </w:r>
          </w:p>
        </w:tc>
        <w:tc>
          <w:tcPr>
            <w:tcW w:w="7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33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三、国有资本经营预算财政拨款收入</w:t>
            </w:r>
          </w:p>
        </w:tc>
        <w:tc>
          <w:tcPr>
            <w:tcW w:w="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69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1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三、国防支出</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w:t>
            </w:r>
          </w:p>
        </w:tc>
        <w:tc>
          <w:tcPr>
            <w:tcW w:w="7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33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四、上级补助收入</w:t>
            </w:r>
          </w:p>
        </w:tc>
        <w:tc>
          <w:tcPr>
            <w:tcW w:w="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69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1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四、公共安全支出</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35</w:t>
            </w:r>
          </w:p>
        </w:tc>
        <w:tc>
          <w:tcPr>
            <w:tcW w:w="7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33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五、事业收入</w:t>
            </w:r>
          </w:p>
        </w:tc>
        <w:tc>
          <w:tcPr>
            <w:tcW w:w="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c>
          <w:tcPr>
            <w:tcW w:w="69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1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五、教育支出</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36</w:t>
            </w:r>
          </w:p>
        </w:tc>
        <w:tc>
          <w:tcPr>
            <w:tcW w:w="7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2,581.89</w:t>
            </w:r>
          </w:p>
        </w:tc>
      </w:tr>
      <w:tr>
        <w:tblPrEx>
          <w:tblLayout w:type="fixed"/>
          <w:tblCellMar>
            <w:top w:w="15" w:type="dxa"/>
            <w:left w:w="15" w:type="dxa"/>
            <w:bottom w:w="15" w:type="dxa"/>
            <w:right w:w="15" w:type="dxa"/>
          </w:tblCellMar>
        </w:tblPrEx>
        <w:trPr>
          <w:trHeight w:val="0" w:hRule="atLeast"/>
          <w:jc w:val="center"/>
        </w:trPr>
        <w:tc>
          <w:tcPr>
            <w:tcW w:w="33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六、经营收入</w:t>
            </w:r>
          </w:p>
        </w:tc>
        <w:tc>
          <w:tcPr>
            <w:tcW w:w="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w:t>
            </w:r>
          </w:p>
        </w:tc>
        <w:tc>
          <w:tcPr>
            <w:tcW w:w="69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1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六、科学技术支出</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37</w:t>
            </w:r>
          </w:p>
        </w:tc>
        <w:tc>
          <w:tcPr>
            <w:tcW w:w="7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33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七、附属单位上缴收入</w:t>
            </w:r>
          </w:p>
        </w:tc>
        <w:tc>
          <w:tcPr>
            <w:tcW w:w="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w:t>
            </w:r>
          </w:p>
        </w:tc>
        <w:tc>
          <w:tcPr>
            <w:tcW w:w="69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1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七、文化旅游体育与传媒支出</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38</w:t>
            </w:r>
          </w:p>
        </w:tc>
        <w:tc>
          <w:tcPr>
            <w:tcW w:w="7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33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八、其他收入</w:t>
            </w:r>
          </w:p>
        </w:tc>
        <w:tc>
          <w:tcPr>
            <w:tcW w:w="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w:t>
            </w:r>
          </w:p>
        </w:tc>
        <w:tc>
          <w:tcPr>
            <w:tcW w:w="69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1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八、社会保障和就业支出</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w:t>
            </w:r>
          </w:p>
        </w:tc>
        <w:tc>
          <w:tcPr>
            <w:tcW w:w="7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334.95</w:t>
            </w:r>
          </w:p>
        </w:tc>
      </w:tr>
      <w:tr>
        <w:tblPrEx>
          <w:tblLayout w:type="fixed"/>
          <w:tblCellMar>
            <w:top w:w="15" w:type="dxa"/>
            <w:left w:w="15" w:type="dxa"/>
            <w:bottom w:w="15" w:type="dxa"/>
            <w:right w:w="15" w:type="dxa"/>
          </w:tblCellMar>
        </w:tblPrEx>
        <w:trPr>
          <w:trHeight w:val="0" w:hRule="atLeast"/>
          <w:jc w:val="center"/>
        </w:trPr>
        <w:tc>
          <w:tcPr>
            <w:tcW w:w="33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w:t>
            </w:r>
          </w:p>
        </w:tc>
        <w:tc>
          <w:tcPr>
            <w:tcW w:w="69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1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九、卫生健康支出</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40</w:t>
            </w:r>
          </w:p>
        </w:tc>
        <w:tc>
          <w:tcPr>
            <w:tcW w:w="7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108.12</w:t>
            </w:r>
          </w:p>
        </w:tc>
      </w:tr>
      <w:tr>
        <w:tblPrEx>
          <w:tblLayout w:type="fixed"/>
          <w:tblCellMar>
            <w:top w:w="15" w:type="dxa"/>
            <w:left w:w="15" w:type="dxa"/>
            <w:bottom w:w="15" w:type="dxa"/>
            <w:right w:w="15" w:type="dxa"/>
          </w:tblCellMar>
        </w:tblPrEx>
        <w:trPr>
          <w:trHeight w:val="0" w:hRule="atLeast"/>
          <w:jc w:val="center"/>
        </w:trPr>
        <w:tc>
          <w:tcPr>
            <w:tcW w:w="33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w:t>
            </w:r>
          </w:p>
        </w:tc>
        <w:tc>
          <w:tcPr>
            <w:tcW w:w="69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1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十、节能环保支出</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41</w:t>
            </w:r>
          </w:p>
        </w:tc>
        <w:tc>
          <w:tcPr>
            <w:tcW w:w="7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33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11</w:t>
            </w:r>
          </w:p>
        </w:tc>
        <w:tc>
          <w:tcPr>
            <w:tcW w:w="69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1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十一、城乡社区支出</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42</w:t>
            </w:r>
          </w:p>
        </w:tc>
        <w:tc>
          <w:tcPr>
            <w:tcW w:w="7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33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w:t>
            </w:r>
          </w:p>
        </w:tc>
        <w:tc>
          <w:tcPr>
            <w:tcW w:w="69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1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十二、农林水支出</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43</w:t>
            </w:r>
          </w:p>
        </w:tc>
        <w:tc>
          <w:tcPr>
            <w:tcW w:w="7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33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13</w:t>
            </w:r>
          </w:p>
        </w:tc>
        <w:tc>
          <w:tcPr>
            <w:tcW w:w="69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1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十三、交通运输支出</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44</w:t>
            </w:r>
          </w:p>
        </w:tc>
        <w:tc>
          <w:tcPr>
            <w:tcW w:w="7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33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w:t>
            </w:r>
          </w:p>
        </w:tc>
        <w:tc>
          <w:tcPr>
            <w:tcW w:w="69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1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十四、资源勘探工业信息等支出</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45</w:t>
            </w:r>
          </w:p>
        </w:tc>
        <w:tc>
          <w:tcPr>
            <w:tcW w:w="7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33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w:t>
            </w:r>
          </w:p>
        </w:tc>
        <w:tc>
          <w:tcPr>
            <w:tcW w:w="69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1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十五、商业服务业等支出</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w:t>
            </w:r>
          </w:p>
        </w:tc>
        <w:tc>
          <w:tcPr>
            <w:tcW w:w="7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33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16</w:t>
            </w:r>
          </w:p>
        </w:tc>
        <w:tc>
          <w:tcPr>
            <w:tcW w:w="69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1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十六、金融支出</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47</w:t>
            </w:r>
          </w:p>
        </w:tc>
        <w:tc>
          <w:tcPr>
            <w:tcW w:w="7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33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17</w:t>
            </w:r>
          </w:p>
        </w:tc>
        <w:tc>
          <w:tcPr>
            <w:tcW w:w="69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1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十七、援助其他地区支出</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48</w:t>
            </w:r>
          </w:p>
        </w:tc>
        <w:tc>
          <w:tcPr>
            <w:tcW w:w="7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33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18</w:t>
            </w:r>
          </w:p>
        </w:tc>
        <w:tc>
          <w:tcPr>
            <w:tcW w:w="69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1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十八、自然资源海洋气象等支出</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49</w:t>
            </w:r>
          </w:p>
        </w:tc>
        <w:tc>
          <w:tcPr>
            <w:tcW w:w="7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33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w:t>
            </w:r>
          </w:p>
        </w:tc>
        <w:tc>
          <w:tcPr>
            <w:tcW w:w="69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1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十九、住房保障支出</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50</w:t>
            </w:r>
          </w:p>
        </w:tc>
        <w:tc>
          <w:tcPr>
            <w:tcW w:w="7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26.65</w:t>
            </w:r>
          </w:p>
        </w:tc>
      </w:tr>
      <w:tr>
        <w:tblPrEx>
          <w:tblLayout w:type="fixed"/>
          <w:tblCellMar>
            <w:top w:w="15" w:type="dxa"/>
            <w:left w:w="15" w:type="dxa"/>
            <w:bottom w:w="15" w:type="dxa"/>
            <w:right w:w="15" w:type="dxa"/>
          </w:tblCellMar>
        </w:tblPrEx>
        <w:trPr>
          <w:trHeight w:val="0" w:hRule="atLeast"/>
          <w:jc w:val="center"/>
        </w:trPr>
        <w:tc>
          <w:tcPr>
            <w:tcW w:w="33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w:t>
            </w:r>
          </w:p>
        </w:tc>
        <w:tc>
          <w:tcPr>
            <w:tcW w:w="69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1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二十、粮油物资储备支出</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51</w:t>
            </w:r>
          </w:p>
        </w:tc>
        <w:tc>
          <w:tcPr>
            <w:tcW w:w="7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33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w:t>
            </w:r>
          </w:p>
        </w:tc>
        <w:tc>
          <w:tcPr>
            <w:tcW w:w="69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1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二十一、国有资本经营预算支出</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52</w:t>
            </w:r>
          </w:p>
        </w:tc>
        <w:tc>
          <w:tcPr>
            <w:tcW w:w="7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33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w:t>
            </w:r>
          </w:p>
        </w:tc>
        <w:tc>
          <w:tcPr>
            <w:tcW w:w="69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1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二十二、灾害防治及应急管理支出</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53</w:t>
            </w:r>
          </w:p>
        </w:tc>
        <w:tc>
          <w:tcPr>
            <w:tcW w:w="7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33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w:t>
            </w:r>
          </w:p>
        </w:tc>
        <w:tc>
          <w:tcPr>
            <w:tcW w:w="69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1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二十三、其他支出</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54</w:t>
            </w:r>
          </w:p>
        </w:tc>
        <w:tc>
          <w:tcPr>
            <w:tcW w:w="7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w:t>
            </w:r>
          </w:p>
        </w:tc>
      </w:tr>
      <w:tr>
        <w:tblPrEx>
          <w:tblLayout w:type="fixed"/>
          <w:tblCellMar>
            <w:top w:w="15" w:type="dxa"/>
            <w:left w:w="15" w:type="dxa"/>
            <w:bottom w:w="15" w:type="dxa"/>
            <w:right w:w="15" w:type="dxa"/>
          </w:tblCellMar>
        </w:tblPrEx>
        <w:trPr>
          <w:trHeight w:val="0" w:hRule="atLeast"/>
          <w:jc w:val="center"/>
        </w:trPr>
        <w:tc>
          <w:tcPr>
            <w:tcW w:w="33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24</w:t>
            </w:r>
          </w:p>
        </w:tc>
        <w:tc>
          <w:tcPr>
            <w:tcW w:w="69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1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二十四、债务还本支出</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55</w:t>
            </w:r>
          </w:p>
        </w:tc>
        <w:tc>
          <w:tcPr>
            <w:tcW w:w="7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33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w:t>
            </w:r>
          </w:p>
        </w:tc>
        <w:tc>
          <w:tcPr>
            <w:tcW w:w="69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1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二十五、债务付息支出</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56</w:t>
            </w:r>
          </w:p>
        </w:tc>
        <w:tc>
          <w:tcPr>
            <w:tcW w:w="7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33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26</w:t>
            </w:r>
          </w:p>
        </w:tc>
        <w:tc>
          <w:tcPr>
            <w:tcW w:w="69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1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二十六、抗疫特别国债安排的支出</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57</w:t>
            </w:r>
          </w:p>
        </w:tc>
        <w:tc>
          <w:tcPr>
            <w:tcW w:w="7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33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本年收入合计</w:t>
            </w:r>
          </w:p>
        </w:tc>
        <w:tc>
          <w:tcPr>
            <w:tcW w:w="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w:t>
            </w:r>
          </w:p>
        </w:tc>
        <w:tc>
          <w:tcPr>
            <w:tcW w:w="69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3,055.52</w:t>
            </w:r>
          </w:p>
        </w:tc>
        <w:tc>
          <w:tcPr>
            <w:tcW w:w="31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本年支出合计</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58</w:t>
            </w:r>
          </w:p>
        </w:tc>
        <w:tc>
          <w:tcPr>
            <w:tcW w:w="7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3,055.52</w:t>
            </w:r>
          </w:p>
        </w:tc>
      </w:tr>
      <w:tr>
        <w:tblPrEx>
          <w:tblLayout w:type="fixed"/>
          <w:tblCellMar>
            <w:top w:w="15" w:type="dxa"/>
            <w:left w:w="15" w:type="dxa"/>
            <w:bottom w:w="15" w:type="dxa"/>
            <w:right w:w="15" w:type="dxa"/>
          </w:tblCellMar>
        </w:tblPrEx>
        <w:trPr>
          <w:trHeight w:val="0" w:hRule="atLeast"/>
          <w:jc w:val="center"/>
        </w:trPr>
        <w:tc>
          <w:tcPr>
            <w:tcW w:w="33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使用非财政拨款结余（含专用结余）</w:t>
            </w:r>
          </w:p>
        </w:tc>
        <w:tc>
          <w:tcPr>
            <w:tcW w:w="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28</w:t>
            </w:r>
          </w:p>
        </w:tc>
        <w:tc>
          <w:tcPr>
            <w:tcW w:w="69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1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结余分配</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59</w:t>
            </w:r>
          </w:p>
        </w:tc>
        <w:tc>
          <w:tcPr>
            <w:tcW w:w="7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33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年初结转和结余</w:t>
            </w:r>
            <w:r>
              <w:rPr>
                <w:rFonts w:ascii="Times New Roman" w:hAnsi="Times New Roman" w:eastAsia="Times New Roman" w:cs="Times New Roman"/>
                <w:b w:val="0"/>
                <w:bCs w:val="0"/>
                <w:i w:val="0"/>
                <w:iCs w:val="0"/>
                <w:smallCaps w:val="0"/>
                <w:color w:val="000000"/>
                <w:kern w:val="0"/>
                <w:sz w:val="18"/>
                <w:szCs w:val="18"/>
              </w:rPr>
              <w:t xml:space="preserve"> </w:t>
            </w:r>
          </w:p>
        </w:tc>
        <w:tc>
          <w:tcPr>
            <w:tcW w:w="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w:t>
            </w:r>
          </w:p>
        </w:tc>
        <w:tc>
          <w:tcPr>
            <w:tcW w:w="69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1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年末结转和结余</w:t>
            </w:r>
            <w:r>
              <w:rPr>
                <w:rFonts w:ascii="Times New Roman" w:hAnsi="Times New Roman" w:eastAsia="Times New Roman" w:cs="Times New Roman"/>
                <w:b w:val="0"/>
                <w:bCs w:val="0"/>
                <w:i w:val="0"/>
                <w:iCs w:val="0"/>
                <w:smallCaps w:val="0"/>
                <w:color w:val="000000"/>
                <w:kern w:val="0"/>
                <w:sz w:val="18"/>
                <w:szCs w:val="18"/>
              </w:rPr>
              <w:t xml:space="preserve"> </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60</w:t>
            </w:r>
          </w:p>
        </w:tc>
        <w:tc>
          <w:tcPr>
            <w:tcW w:w="7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33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w:t>
            </w:r>
          </w:p>
        </w:tc>
        <w:tc>
          <w:tcPr>
            <w:tcW w:w="69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1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61</w:t>
            </w:r>
          </w:p>
        </w:tc>
        <w:tc>
          <w:tcPr>
            <w:tcW w:w="7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33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总计</w:t>
            </w:r>
          </w:p>
        </w:tc>
        <w:tc>
          <w:tcPr>
            <w:tcW w:w="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w:t>
            </w:r>
          </w:p>
        </w:tc>
        <w:tc>
          <w:tcPr>
            <w:tcW w:w="69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3,055.52</w:t>
            </w:r>
          </w:p>
        </w:tc>
        <w:tc>
          <w:tcPr>
            <w:tcW w:w="31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总计</w:t>
            </w:r>
          </w:p>
        </w:tc>
        <w:tc>
          <w:tcPr>
            <w:tcW w:w="7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62</w:t>
            </w:r>
          </w:p>
        </w:tc>
        <w:tc>
          <w:tcPr>
            <w:tcW w:w="7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3,055.52</w:t>
            </w:r>
          </w:p>
        </w:tc>
      </w:tr>
      <w:tr>
        <w:tblPrEx>
          <w:tblLayout w:type="fixed"/>
          <w:tblCellMar>
            <w:top w:w="15" w:type="dxa"/>
            <w:left w:w="15" w:type="dxa"/>
            <w:bottom w:w="15" w:type="dxa"/>
            <w:right w:w="15" w:type="dxa"/>
          </w:tblCellMar>
        </w:tblPrEx>
        <w:trPr>
          <w:trHeight w:val="0" w:hRule="atLeast"/>
          <w:jc w:val="center"/>
        </w:trPr>
        <w:tc>
          <w:tcPr>
            <w:tcW w:w="9066" w:type="dxa"/>
            <w:gridSpan w:val="6"/>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注：</w:t>
            </w:r>
            <w:r>
              <w:rPr>
                <w:rFonts w:ascii="Times New Roman" w:hAnsi="Times New Roman" w:eastAsia="Times New Roman" w:cs="Times New Roman"/>
                <w:b w:val="0"/>
                <w:bCs w:val="0"/>
                <w:i w:val="0"/>
                <w:iCs w:val="0"/>
                <w:smallCaps w:val="0"/>
                <w:color w:val="000000"/>
                <w:kern w:val="0"/>
                <w:sz w:val="18"/>
                <w:szCs w:val="18"/>
              </w:rPr>
              <w:t>1.</w:t>
            </w:r>
            <w:r>
              <w:rPr>
                <w:rFonts w:ascii="宋体" w:hAnsi="宋体" w:eastAsia="宋体" w:cs="宋体"/>
                <w:b w:val="0"/>
                <w:bCs w:val="0"/>
                <w:i w:val="0"/>
                <w:iCs w:val="0"/>
                <w:smallCaps w:val="0"/>
                <w:color w:val="000000"/>
                <w:kern w:val="0"/>
                <w:sz w:val="18"/>
                <w:szCs w:val="18"/>
              </w:rPr>
              <w:t>本表反映部门本年度的总收支和年末结转结余情况。</w:t>
            </w:r>
          </w:p>
        </w:tc>
      </w:tr>
      <w:tr>
        <w:tblPrEx>
          <w:tblLayout w:type="fixed"/>
          <w:tblCellMar>
            <w:top w:w="15" w:type="dxa"/>
            <w:left w:w="15" w:type="dxa"/>
            <w:bottom w:w="15" w:type="dxa"/>
            <w:right w:w="15" w:type="dxa"/>
          </w:tblCellMar>
        </w:tblPrEx>
        <w:trPr>
          <w:trHeight w:val="0" w:hRule="atLeast"/>
          <w:jc w:val="center"/>
        </w:trPr>
        <w:tc>
          <w:tcPr>
            <w:tcW w:w="9066" w:type="dxa"/>
            <w:gridSpan w:val="6"/>
            <w:tcMar>
              <w:top w:w="20" w:type="dxa"/>
              <w:left w:w="485"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r>
              <w:rPr>
                <w:rFonts w:ascii="宋体" w:hAnsi="宋体" w:eastAsia="宋体" w:cs="宋体"/>
                <w:b w:val="0"/>
                <w:bCs w:val="0"/>
                <w:i w:val="0"/>
                <w:iCs w:val="0"/>
                <w:smallCaps w:val="0"/>
                <w:color w:val="000000"/>
                <w:kern w:val="0"/>
                <w:sz w:val="18"/>
                <w:szCs w:val="18"/>
              </w:rPr>
              <w:t>本套报表金额单位转换时可能存在尾数误差。</w:t>
            </w:r>
          </w:p>
        </w:tc>
      </w:tr>
    </w:tbl>
    <w:p>
      <w:pPr>
        <w:widowControl/>
        <w:jc w:val="left"/>
        <w:rPr>
          <w:rFonts w:ascii="Times New Roman" w:hAnsi="Times New Roman" w:eastAsia="Times New Roman" w:cs="Times New Roman"/>
          <w:kern w:val="0"/>
          <w:sz w:val="24"/>
        </w:rPr>
      </w:pPr>
      <w:r>
        <w:rPr>
          <w:rFonts w:ascii="Times New Roman" w:hAnsi="Times New Roman" w:eastAsia="Times New Roman" w:cs="Times New Roman"/>
          <w:kern w:val="0"/>
          <w:sz w:val="24"/>
        </w:rPr>
        <w:t> </w:t>
      </w:r>
    </w:p>
    <w:p>
      <w:pPr>
        <w:pStyle w:val="6"/>
        <w:keepNext w:val="0"/>
        <w:keepLines w:val="0"/>
        <w:spacing w:before="100" w:after="100" w:line="240" w:lineRule="auto"/>
        <w:ind w:left="720" w:right="0" w:hanging="720" w:firstLineChars="0"/>
        <w:rPr>
          <w:rFonts w:ascii="黑体" w:hAnsi="黑体" w:eastAsia="黑体" w:cs="黑体"/>
          <w:b/>
          <w:spacing w:val="0"/>
        </w:rPr>
      </w:pPr>
      <w:bookmarkStart w:id="33" w:name="_Toc256000101"/>
      <w:bookmarkStart w:id="34" w:name="_Toc256000008"/>
      <w:bookmarkStart w:id="35" w:name="_Toc256000070"/>
      <w:bookmarkStart w:id="36" w:name="_Toc256000039"/>
    </w:p>
    <w:p>
      <w:pPr>
        <w:pStyle w:val="6"/>
        <w:keepNext w:val="0"/>
        <w:keepLines w:val="0"/>
        <w:spacing w:before="100" w:after="100" w:line="240" w:lineRule="auto"/>
        <w:ind w:left="720" w:right="0" w:hanging="720" w:firstLineChars="0"/>
        <w:rPr>
          <w:rFonts w:ascii="黑体" w:hAnsi="黑体" w:eastAsia="黑体" w:cs="黑体"/>
          <w:b/>
          <w:spacing w:val="0"/>
        </w:rPr>
      </w:pPr>
    </w:p>
    <w:p>
      <w:pPr>
        <w:pStyle w:val="6"/>
        <w:keepNext w:val="0"/>
        <w:keepLines w:val="0"/>
        <w:spacing w:before="100" w:after="100" w:line="240" w:lineRule="auto"/>
        <w:ind w:left="847" w:leftChars="186" w:right="0" w:hanging="456" w:hangingChars="142"/>
        <w:rPr>
          <w:rFonts w:ascii="Times New Roman" w:hAnsi="Times New Roman" w:eastAsia="Times New Roman" w:cs="Times New Roman"/>
          <w:b/>
          <w:bCs/>
          <w:kern w:val="0"/>
          <w:sz w:val="28"/>
          <w:szCs w:val="28"/>
        </w:rPr>
      </w:pPr>
      <w:r>
        <w:rPr>
          <w:rFonts w:ascii="黑体" w:hAnsi="黑体" w:eastAsia="黑体" w:cs="黑体"/>
          <w:b/>
          <w:spacing w:val="0"/>
        </w:rPr>
        <w:t>二、收入决算表</w:t>
      </w:r>
      <w:bookmarkEnd w:id="33"/>
      <w:bookmarkEnd w:id="34"/>
      <w:bookmarkEnd w:id="35"/>
      <w:bookmarkEnd w:id="36"/>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horizontal layout</w:t>
      </w:r>
    </w:p>
    <w:tbl>
      <w:tblPr>
        <w:tblStyle w:val="25"/>
        <w:tblW w:w="9066" w:type="dxa"/>
        <w:jc w:val="center"/>
        <w:tblInd w:w="0" w:type="dxa"/>
        <w:tblLayout w:type="fixed"/>
        <w:tblCellMar>
          <w:top w:w="15" w:type="dxa"/>
          <w:left w:w="15" w:type="dxa"/>
          <w:bottom w:w="15" w:type="dxa"/>
          <w:right w:w="15" w:type="dxa"/>
        </w:tblCellMar>
      </w:tblPr>
      <w:tblGrid>
        <w:gridCol w:w="1007"/>
        <w:gridCol w:w="3064"/>
        <w:gridCol w:w="888"/>
        <w:gridCol w:w="888"/>
        <w:gridCol w:w="840"/>
        <w:gridCol w:w="540"/>
        <w:gridCol w:w="528"/>
        <w:gridCol w:w="768"/>
        <w:gridCol w:w="543"/>
      </w:tblGrid>
      <w:tr>
        <w:tblPrEx>
          <w:tblLayout w:type="fixed"/>
          <w:tblCellMar>
            <w:top w:w="15" w:type="dxa"/>
            <w:left w:w="15" w:type="dxa"/>
            <w:bottom w:w="15" w:type="dxa"/>
            <w:right w:w="15" w:type="dxa"/>
          </w:tblCellMar>
        </w:tblPrEx>
        <w:trPr>
          <w:trHeight w:val="0" w:hRule="atLeast"/>
          <w:tblHeader/>
          <w:jc w:val="center"/>
        </w:trPr>
        <w:tc>
          <w:tcPr>
            <w:tcW w:w="9066" w:type="dxa"/>
            <w:gridSpan w:val="9"/>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32"/>
                <w:szCs w:val="32"/>
              </w:rPr>
              <w:t>收入决算表</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06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8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8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40"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40"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2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6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4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5847" w:type="dxa"/>
            <w:gridSpan w:val="4"/>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部门</w:t>
            </w:r>
            <w:r>
              <w:rPr>
                <w:rFonts w:ascii="Times New Roman" w:hAnsi="Times New Roman" w:eastAsia="Times New Roman" w:cs="Times New Roman"/>
                <w:b w:val="0"/>
                <w:bCs w:val="0"/>
                <w:i w:val="0"/>
                <w:iCs w:val="0"/>
                <w:smallCaps w:val="0"/>
                <w:color w:val="000000"/>
                <w:kern w:val="0"/>
                <w:sz w:val="18"/>
                <w:szCs w:val="18"/>
              </w:rPr>
              <w:t>/</w:t>
            </w:r>
            <w:r>
              <w:rPr>
                <w:rFonts w:ascii="宋体" w:hAnsi="宋体" w:eastAsia="宋体" w:cs="宋体"/>
                <w:b w:val="0"/>
                <w:bCs w:val="0"/>
                <w:i w:val="0"/>
                <w:iCs w:val="0"/>
                <w:smallCaps w:val="0"/>
                <w:color w:val="000000"/>
                <w:kern w:val="0"/>
                <w:sz w:val="18"/>
                <w:szCs w:val="18"/>
              </w:rPr>
              <w:t>单位：厦门市寨上小学</w:t>
            </w:r>
          </w:p>
        </w:tc>
        <w:tc>
          <w:tcPr>
            <w:tcW w:w="840"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2024</w:t>
            </w:r>
            <w:r>
              <w:rPr>
                <w:rFonts w:ascii="宋体" w:hAnsi="宋体" w:eastAsia="宋体" w:cs="宋体"/>
                <w:b w:val="0"/>
                <w:bCs w:val="0"/>
                <w:i w:val="0"/>
                <w:iCs w:val="0"/>
                <w:smallCaps w:val="0"/>
                <w:color w:val="000000"/>
                <w:kern w:val="0"/>
                <w:sz w:val="18"/>
                <w:szCs w:val="18"/>
              </w:rPr>
              <w:t>年度</w:t>
            </w:r>
          </w:p>
        </w:tc>
        <w:tc>
          <w:tcPr>
            <w:tcW w:w="540"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2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11"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金额单位：万元</w:t>
            </w:r>
          </w:p>
        </w:tc>
      </w:tr>
      <w:tr>
        <w:tblPrEx>
          <w:tblLayout w:type="fixed"/>
          <w:tblCellMar>
            <w:top w:w="15" w:type="dxa"/>
            <w:left w:w="15" w:type="dxa"/>
            <w:bottom w:w="15" w:type="dxa"/>
            <w:right w:w="15" w:type="dxa"/>
          </w:tblCellMar>
        </w:tblPrEx>
        <w:trPr>
          <w:trHeight w:val="0" w:hRule="atLeast"/>
          <w:tblHeader/>
          <w:jc w:val="center"/>
        </w:trPr>
        <w:tc>
          <w:tcPr>
            <w:tcW w:w="4071"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w:t>
            </w:r>
          </w:p>
        </w:tc>
        <w:tc>
          <w:tcPr>
            <w:tcW w:w="888"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本年收入合计</w:t>
            </w:r>
          </w:p>
        </w:tc>
        <w:tc>
          <w:tcPr>
            <w:tcW w:w="888"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财政拨款收入</w:t>
            </w:r>
            <w:r>
              <w:rPr>
                <w:rFonts w:ascii="Times New Roman" w:hAnsi="Times New Roman" w:eastAsia="Times New Roman" w:cs="Times New Roman"/>
                <w:b w:val="0"/>
                <w:bCs w:val="0"/>
                <w:i w:val="0"/>
                <w:iCs w:val="0"/>
                <w:smallCaps w:val="0"/>
                <w:color w:val="000000"/>
                <w:kern w:val="0"/>
                <w:sz w:val="18"/>
                <w:szCs w:val="18"/>
              </w:rPr>
              <w:t xml:space="preserve"> </w:t>
            </w:r>
          </w:p>
        </w:tc>
        <w:tc>
          <w:tcPr>
            <w:tcW w:w="840"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上级补助收入</w:t>
            </w:r>
          </w:p>
        </w:tc>
        <w:tc>
          <w:tcPr>
            <w:tcW w:w="540"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事业收入</w:t>
            </w:r>
          </w:p>
        </w:tc>
        <w:tc>
          <w:tcPr>
            <w:tcW w:w="528"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经营收入</w:t>
            </w:r>
          </w:p>
        </w:tc>
        <w:tc>
          <w:tcPr>
            <w:tcW w:w="768"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附属单位上缴收入</w:t>
            </w:r>
          </w:p>
        </w:tc>
        <w:tc>
          <w:tcPr>
            <w:tcW w:w="543"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其他收入</w:t>
            </w:r>
          </w:p>
        </w:tc>
      </w:tr>
      <w:tr>
        <w:tblPrEx>
          <w:tblLayout w:type="fixed"/>
          <w:tblCellMar>
            <w:top w:w="15" w:type="dxa"/>
            <w:left w:w="15" w:type="dxa"/>
            <w:bottom w:w="15" w:type="dxa"/>
            <w:right w:w="15" w:type="dxa"/>
          </w:tblCellMar>
        </w:tblPrEx>
        <w:trPr>
          <w:trHeight w:val="312" w:hRule="atLeast"/>
          <w:tblHeader/>
          <w:jc w:val="center"/>
        </w:trPr>
        <w:tc>
          <w:tcPr>
            <w:tcW w:w="1007"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科目代码</w:t>
            </w:r>
          </w:p>
        </w:tc>
        <w:tc>
          <w:tcPr>
            <w:tcW w:w="3064"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科目名称</w:t>
            </w:r>
          </w:p>
        </w:tc>
        <w:tc>
          <w:tcPr>
            <w:tcW w:w="88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88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840"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540"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52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6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54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312" w:hRule="atLeast"/>
          <w:tblHeader/>
          <w:jc w:val="center"/>
        </w:trPr>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306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88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88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840"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540"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52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6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54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0" w:hRule="atLeast"/>
          <w:jc w:val="center"/>
        </w:trPr>
        <w:tc>
          <w:tcPr>
            <w:tcW w:w="4071"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栏次</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8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5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5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c>
          <w:tcPr>
            <w:tcW w:w="7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w:t>
            </w:r>
          </w:p>
        </w:tc>
        <w:tc>
          <w:tcPr>
            <w:tcW w:w="5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w:t>
            </w:r>
          </w:p>
        </w:tc>
      </w:tr>
      <w:tr>
        <w:tblPrEx>
          <w:tblLayout w:type="fixed"/>
          <w:tblCellMar>
            <w:top w:w="15" w:type="dxa"/>
            <w:left w:w="15" w:type="dxa"/>
            <w:bottom w:w="15" w:type="dxa"/>
            <w:right w:w="15" w:type="dxa"/>
          </w:tblCellMar>
        </w:tblPrEx>
        <w:trPr>
          <w:trHeight w:val="0" w:hRule="atLeast"/>
          <w:jc w:val="center"/>
        </w:trPr>
        <w:tc>
          <w:tcPr>
            <w:tcW w:w="4071"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合计</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3,055.52</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3,055.52</w:t>
            </w:r>
          </w:p>
        </w:tc>
        <w:tc>
          <w:tcPr>
            <w:tcW w:w="8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w:t>
            </w:r>
          </w:p>
        </w:tc>
        <w:tc>
          <w:tcPr>
            <w:tcW w:w="30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教育支出</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2,581.89</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2,581.89</w:t>
            </w:r>
          </w:p>
        </w:tc>
        <w:tc>
          <w:tcPr>
            <w:tcW w:w="8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w:t>
            </w:r>
          </w:p>
        </w:tc>
        <w:tc>
          <w:tcPr>
            <w:tcW w:w="30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普通教育</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2,217.7</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2,217.7</w:t>
            </w:r>
          </w:p>
        </w:tc>
        <w:tc>
          <w:tcPr>
            <w:tcW w:w="8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2050202</w:t>
            </w:r>
          </w:p>
        </w:tc>
        <w:tc>
          <w:tcPr>
            <w:tcW w:w="30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小学教育</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2,045.69</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2,045.69</w:t>
            </w:r>
          </w:p>
        </w:tc>
        <w:tc>
          <w:tcPr>
            <w:tcW w:w="8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2050299</w:t>
            </w:r>
          </w:p>
        </w:tc>
        <w:tc>
          <w:tcPr>
            <w:tcW w:w="30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其他普通教育支出</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172.01</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172.01</w:t>
            </w:r>
          </w:p>
        </w:tc>
        <w:tc>
          <w:tcPr>
            <w:tcW w:w="8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20509</w:t>
            </w:r>
          </w:p>
        </w:tc>
        <w:tc>
          <w:tcPr>
            <w:tcW w:w="30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教育费附加安排的支出</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364.19</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364.19</w:t>
            </w:r>
          </w:p>
        </w:tc>
        <w:tc>
          <w:tcPr>
            <w:tcW w:w="8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2050999</w:t>
            </w:r>
          </w:p>
        </w:tc>
        <w:tc>
          <w:tcPr>
            <w:tcW w:w="30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其他教育费附加安排的支出</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364.19</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364.19</w:t>
            </w:r>
          </w:p>
        </w:tc>
        <w:tc>
          <w:tcPr>
            <w:tcW w:w="8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w:t>
            </w:r>
          </w:p>
        </w:tc>
        <w:tc>
          <w:tcPr>
            <w:tcW w:w="30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社会保障和就业支出</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334.95</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334.95</w:t>
            </w:r>
          </w:p>
        </w:tc>
        <w:tc>
          <w:tcPr>
            <w:tcW w:w="8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w:t>
            </w:r>
          </w:p>
        </w:tc>
        <w:tc>
          <w:tcPr>
            <w:tcW w:w="30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行政事业单位养老支出</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334.95</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334.95</w:t>
            </w:r>
          </w:p>
        </w:tc>
        <w:tc>
          <w:tcPr>
            <w:tcW w:w="8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2080502</w:t>
            </w:r>
          </w:p>
        </w:tc>
        <w:tc>
          <w:tcPr>
            <w:tcW w:w="30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事业单位离退休</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74.58</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74.58</w:t>
            </w:r>
          </w:p>
        </w:tc>
        <w:tc>
          <w:tcPr>
            <w:tcW w:w="8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2080505</w:t>
            </w:r>
          </w:p>
        </w:tc>
        <w:tc>
          <w:tcPr>
            <w:tcW w:w="30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机关事业单位基本养老保险缴费支出</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167.15</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167.15</w:t>
            </w:r>
          </w:p>
        </w:tc>
        <w:tc>
          <w:tcPr>
            <w:tcW w:w="8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2080506</w:t>
            </w:r>
          </w:p>
        </w:tc>
        <w:tc>
          <w:tcPr>
            <w:tcW w:w="30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机关事业单位职业年金缴费支出</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93.22</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93.22</w:t>
            </w:r>
          </w:p>
        </w:tc>
        <w:tc>
          <w:tcPr>
            <w:tcW w:w="8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w:t>
            </w:r>
          </w:p>
        </w:tc>
        <w:tc>
          <w:tcPr>
            <w:tcW w:w="30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卫生健康支出</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108.12</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108.12</w:t>
            </w:r>
          </w:p>
        </w:tc>
        <w:tc>
          <w:tcPr>
            <w:tcW w:w="8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w:t>
            </w:r>
          </w:p>
        </w:tc>
        <w:tc>
          <w:tcPr>
            <w:tcW w:w="30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行政事业单位医疗</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108.12</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108.12</w:t>
            </w:r>
          </w:p>
        </w:tc>
        <w:tc>
          <w:tcPr>
            <w:tcW w:w="8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2101102</w:t>
            </w:r>
          </w:p>
        </w:tc>
        <w:tc>
          <w:tcPr>
            <w:tcW w:w="30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事业单位医疗</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71.56</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71.56</w:t>
            </w:r>
          </w:p>
        </w:tc>
        <w:tc>
          <w:tcPr>
            <w:tcW w:w="8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2101199</w:t>
            </w:r>
          </w:p>
        </w:tc>
        <w:tc>
          <w:tcPr>
            <w:tcW w:w="30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其他行政事业单位医疗支出</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36.56</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36.56</w:t>
            </w:r>
          </w:p>
        </w:tc>
        <w:tc>
          <w:tcPr>
            <w:tcW w:w="8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w:t>
            </w:r>
          </w:p>
        </w:tc>
        <w:tc>
          <w:tcPr>
            <w:tcW w:w="30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住房保障支出</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26.65</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26.65</w:t>
            </w:r>
          </w:p>
        </w:tc>
        <w:tc>
          <w:tcPr>
            <w:tcW w:w="8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22102</w:t>
            </w:r>
          </w:p>
        </w:tc>
        <w:tc>
          <w:tcPr>
            <w:tcW w:w="30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住房改革支出</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26.65</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26.65</w:t>
            </w:r>
          </w:p>
        </w:tc>
        <w:tc>
          <w:tcPr>
            <w:tcW w:w="8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2210203</w:t>
            </w:r>
          </w:p>
        </w:tc>
        <w:tc>
          <w:tcPr>
            <w:tcW w:w="30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购房补贴</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26.65</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26.65</w:t>
            </w:r>
          </w:p>
        </w:tc>
        <w:tc>
          <w:tcPr>
            <w:tcW w:w="8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w:t>
            </w:r>
          </w:p>
        </w:tc>
        <w:tc>
          <w:tcPr>
            <w:tcW w:w="30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其他支出</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w:t>
            </w:r>
          </w:p>
        </w:tc>
        <w:tc>
          <w:tcPr>
            <w:tcW w:w="8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22960</w:t>
            </w:r>
          </w:p>
        </w:tc>
        <w:tc>
          <w:tcPr>
            <w:tcW w:w="30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彩票公益金安排的支出</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w:t>
            </w:r>
          </w:p>
        </w:tc>
        <w:tc>
          <w:tcPr>
            <w:tcW w:w="8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2296003</w:t>
            </w:r>
          </w:p>
        </w:tc>
        <w:tc>
          <w:tcPr>
            <w:tcW w:w="30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用于体育事业的彩票公益金支出</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w:t>
            </w:r>
          </w:p>
        </w:tc>
        <w:tc>
          <w:tcPr>
            <w:tcW w:w="8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9066" w:type="dxa"/>
            <w:gridSpan w:val="9"/>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注：本表反映部门本年度取得的各项收入情况。</w:t>
            </w:r>
          </w:p>
        </w:tc>
      </w:tr>
    </w:tbl>
    <w:p>
      <w:pPr>
        <w:widowControl/>
        <w:jc w:val="left"/>
        <w:rPr>
          <w:rFonts w:ascii="Times New Roman" w:hAnsi="Times New Roman" w:eastAsia="Times New Roman" w:cs="Times New Roman"/>
          <w:kern w:val="0"/>
          <w:sz w:val="24"/>
        </w:rPr>
      </w:pPr>
    </w:p>
    <w:p>
      <w:pPr>
        <w:pStyle w:val="6"/>
        <w:keepNext w:val="0"/>
        <w:keepLines w:val="0"/>
        <w:numPr>
          <w:ilvl w:val="0"/>
          <w:numId w:val="0"/>
        </w:numPr>
        <w:spacing w:before="100" w:after="100" w:line="240" w:lineRule="auto"/>
        <w:ind w:leftChars="0" w:right="0" w:rightChars="0"/>
        <w:rPr>
          <w:rFonts w:hint="eastAsia" w:ascii="黑体" w:hAnsi="黑体" w:eastAsia="黑体" w:cs="黑体"/>
          <w:b/>
          <w:spacing w:val="0"/>
          <w:lang w:eastAsia="zh-CN"/>
        </w:rPr>
      </w:pPr>
      <w:bookmarkStart w:id="37" w:name="_Toc256000040"/>
      <w:bookmarkStart w:id="38" w:name="_Toc256000071"/>
      <w:bookmarkStart w:id="39" w:name="_Toc256000102"/>
      <w:bookmarkStart w:id="40" w:name="_Toc256000009"/>
    </w:p>
    <w:p>
      <w:pPr>
        <w:pStyle w:val="6"/>
        <w:keepNext w:val="0"/>
        <w:keepLines w:val="0"/>
        <w:numPr>
          <w:ilvl w:val="0"/>
          <w:numId w:val="0"/>
        </w:numPr>
        <w:spacing w:before="100" w:after="100" w:line="240" w:lineRule="auto"/>
        <w:ind w:leftChars="0" w:right="0" w:rightChars="0"/>
        <w:rPr>
          <w:rFonts w:hint="eastAsia" w:ascii="黑体" w:hAnsi="黑体" w:eastAsia="黑体" w:cs="黑体"/>
          <w:b/>
          <w:spacing w:val="0"/>
          <w:lang w:eastAsia="zh-CN"/>
        </w:rPr>
      </w:pPr>
    </w:p>
    <w:p>
      <w:pPr>
        <w:pStyle w:val="6"/>
        <w:keepNext w:val="0"/>
        <w:keepLines w:val="0"/>
        <w:numPr>
          <w:ilvl w:val="0"/>
          <w:numId w:val="0"/>
        </w:numPr>
        <w:spacing w:before="100" w:after="100" w:line="240" w:lineRule="auto"/>
        <w:ind w:leftChars="0" w:right="0" w:rightChars="0"/>
        <w:rPr>
          <w:rFonts w:hint="eastAsia" w:ascii="黑体" w:hAnsi="黑体" w:eastAsia="黑体" w:cs="黑体"/>
          <w:b/>
          <w:spacing w:val="0"/>
          <w:lang w:eastAsia="zh-CN"/>
        </w:rPr>
      </w:pPr>
    </w:p>
    <w:p>
      <w:pPr>
        <w:pStyle w:val="6"/>
        <w:keepNext w:val="0"/>
        <w:keepLines w:val="0"/>
        <w:numPr>
          <w:ilvl w:val="0"/>
          <w:numId w:val="0"/>
        </w:numPr>
        <w:spacing w:before="100" w:after="100" w:line="240" w:lineRule="auto"/>
        <w:ind w:leftChars="0" w:right="0" w:rightChars="0" w:firstLine="643" w:firstLineChars="200"/>
        <w:rPr>
          <w:rFonts w:ascii="黑体" w:hAnsi="黑体" w:eastAsia="黑体" w:cs="黑体"/>
          <w:b/>
          <w:spacing w:val="0"/>
        </w:rPr>
      </w:pPr>
      <w:r>
        <w:rPr>
          <w:rFonts w:hint="eastAsia" w:ascii="黑体" w:hAnsi="黑体" w:eastAsia="黑体" w:cs="黑体"/>
          <w:b/>
          <w:spacing w:val="0"/>
          <w:lang w:eastAsia="zh-CN"/>
        </w:rPr>
        <w:t>三、</w:t>
      </w:r>
      <w:r>
        <w:rPr>
          <w:rFonts w:ascii="黑体" w:hAnsi="黑体" w:eastAsia="黑体" w:cs="黑体"/>
          <w:b/>
          <w:spacing w:val="0"/>
        </w:rPr>
        <w:t>支出决算表</w:t>
      </w:r>
      <w:bookmarkEnd w:id="37"/>
      <w:bookmarkEnd w:id="38"/>
      <w:bookmarkEnd w:id="39"/>
      <w:bookmarkEnd w:id="40"/>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horizontal layout</w:t>
      </w:r>
    </w:p>
    <w:tbl>
      <w:tblPr>
        <w:tblStyle w:val="25"/>
        <w:tblW w:w="9066" w:type="dxa"/>
        <w:jc w:val="center"/>
        <w:tblInd w:w="0" w:type="dxa"/>
        <w:tblLayout w:type="fixed"/>
        <w:tblCellMar>
          <w:top w:w="15" w:type="dxa"/>
          <w:left w:w="15" w:type="dxa"/>
          <w:bottom w:w="15" w:type="dxa"/>
          <w:right w:w="15" w:type="dxa"/>
        </w:tblCellMar>
      </w:tblPr>
      <w:tblGrid>
        <w:gridCol w:w="922"/>
        <w:gridCol w:w="855"/>
        <w:gridCol w:w="482"/>
        <w:gridCol w:w="3120"/>
        <w:gridCol w:w="756"/>
        <w:gridCol w:w="720"/>
        <w:gridCol w:w="684"/>
        <w:gridCol w:w="468"/>
        <w:gridCol w:w="432"/>
        <w:gridCol w:w="627"/>
      </w:tblGrid>
      <w:tr>
        <w:tblPrEx>
          <w:tblLayout w:type="fixed"/>
          <w:tblCellMar>
            <w:top w:w="15" w:type="dxa"/>
            <w:left w:w="15" w:type="dxa"/>
            <w:bottom w:w="15" w:type="dxa"/>
            <w:right w:w="15" w:type="dxa"/>
          </w:tblCellMar>
        </w:tblPrEx>
        <w:trPr>
          <w:trHeight w:val="712" w:hRule="atLeast"/>
          <w:tblHeader/>
          <w:jc w:val="center"/>
        </w:trPr>
        <w:tc>
          <w:tcPr>
            <w:tcW w:w="9066" w:type="dxa"/>
            <w:gridSpan w:val="1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32"/>
                <w:szCs w:val="32"/>
              </w:rPr>
              <w:t>支出决算表</w:t>
            </w:r>
          </w:p>
        </w:tc>
      </w:tr>
      <w:tr>
        <w:tblPrEx>
          <w:tblLayout w:type="fixed"/>
          <w:tblCellMar>
            <w:top w:w="15" w:type="dxa"/>
            <w:left w:w="15" w:type="dxa"/>
            <w:bottom w:w="15" w:type="dxa"/>
            <w:right w:w="15" w:type="dxa"/>
          </w:tblCellMar>
        </w:tblPrEx>
        <w:trPr>
          <w:tblHeader/>
          <w:jc w:val="center"/>
        </w:trPr>
        <w:tc>
          <w:tcPr>
            <w:tcW w:w="92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5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8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120"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20"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8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6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3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2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6135" w:type="dxa"/>
            <w:gridSpan w:val="5"/>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部门</w:t>
            </w:r>
            <w:r>
              <w:rPr>
                <w:rFonts w:ascii="Times New Roman" w:hAnsi="Times New Roman" w:eastAsia="Times New Roman" w:cs="Times New Roman"/>
                <w:b w:val="0"/>
                <w:bCs w:val="0"/>
                <w:i w:val="0"/>
                <w:iCs w:val="0"/>
                <w:smallCaps w:val="0"/>
                <w:color w:val="000000"/>
                <w:kern w:val="0"/>
                <w:sz w:val="18"/>
                <w:szCs w:val="18"/>
              </w:rPr>
              <w:t>/</w:t>
            </w:r>
            <w:r>
              <w:rPr>
                <w:rFonts w:ascii="宋体" w:hAnsi="宋体" w:eastAsia="宋体" w:cs="宋体"/>
                <w:b w:val="0"/>
                <w:bCs w:val="0"/>
                <w:i w:val="0"/>
                <w:iCs w:val="0"/>
                <w:smallCaps w:val="0"/>
                <w:color w:val="000000"/>
                <w:kern w:val="0"/>
                <w:sz w:val="18"/>
                <w:szCs w:val="18"/>
              </w:rPr>
              <w:t>单位：厦门市寨上小学</w:t>
            </w:r>
          </w:p>
        </w:tc>
        <w:tc>
          <w:tcPr>
            <w:tcW w:w="1404"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2024</w:t>
            </w:r>
            <w:r>
              <w:rPr>
                <w:rFonts w:ascii="宋体" w:hAnsi="宋体" w:eastAsia="宋体" w:cs="宋体"/>
                <w:b w:val="0"/>
                <w:bCs w:val="0"/>
                <w:i w:val="0"/>
                <w:iCs w:val="0"/>
                <w:smallCaps w:val="0"/>
                <w:color w:val="000000"/>
                <w:kern w:val="0"/>
                <w:sz w:val="18"/>
                <w:szCs w:val="18"/>
              </w:rPr>
              <w:t>年度</w:t>
            </w:r>
          </w:p>
        </w:tc>
        <w:tc>
          <w:tcPr>
            <w:tcW w:w="1527" w:type="dxa"/>
            <w:gridSpan w:val="3"/>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金额单位：万元</w:t>
            </w:r>
          </w:p>
        </w:tc>
      </w:tr>
      <w:tr>
        <w:tblPrEx>
          <w:tblLayout w:type="fixed"/>
          <w:tblCellMar>
            <w:top w:w="15" w:type="dxa"/>
            <w:left w:w="15" w:type="dxa"/>
            <w:bottom w:w="15" w:type="dxa"/>
            <w:right w:w="15" w:type="dxa"/>
          </w:tblCellMar>
        </w:tblPrEx>
        <w:trPr>
          <w:tblHeader/>
          <w:jc w:val="center"/>
        </w:trPr>
        <w:tc>
          <w:tcPr>
            <w:tcW w:w="5379" w:type="dxa"/>
            <w:gridSpan w:val="4"/>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w:t>
            </w:r>
          </w:p>
        </w:tc>
        <w:tc>
          <w:tcPr>
            <w:tcW w:w="756"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本年支出合计</w:t>
            </w:r>
          </w:p>
        </w:tc>
        <w:tc>
          <w:tcPr>
            <w:tcW w:w="720"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基本支出</w:t>
            </w:r>
          </w:p>
        </w:tc>
        <w:tc>
          <w:tcPr>
            <w:tcW w:w="684"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项目支出</w:t>
            </w:r>
          </w:p>
        </w:tc>
        <w:tc>
          <w:tcPr>
            <w:tcW w:w="468"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上缴上级支出</w:t>
            </w:r>
          </w:p>
        </w:tc>
        <w:tc>
          <w:tcPr>
            <w:tcW w:w="432"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经营支出</w:t>
            </w:r>
          </w:p>
        </w:tc>
        <w:tc>
          <w:tcPr>
            <w:tcW w:w="627"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对附属单位补助支出</w:t>
            </w:r>
          </w:p>
        </w:tc>
      </w:tr>
      <w:tr>
        <w:tblPrEx>
          <w:tblLayout w:type="fixed"/>
          <w:tblCellMar>
            <w:top w:w="15" w:type="dxa"/>
            <w:left w:w="15" w:type="dxa"/>
            <w:bottom w:w="15" w:type="dxa"/>
            <w:right w:w="15" w:type="dxa"/>
          </w:tblCellMar>
        </w:tblPrEx>
        <w:trPr>
          <w:tblHeader/>
          <w:jc w:val="center"/>
        </w:trPr>
        <w:tc>
          <w:tcPr>
            <w:tcW w:w="2259" w:type="dxa"/>
            <w:gridSpan w:val="3"/>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科目代码</w:t>
            </w:r>
          </w:p>
        </w:tc>
        <w:tc>
          <w:tcPr>
            <w:tcW w:w="3120"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科目名称</w:t>
            </w:r>
          </w:p>
        </w:tc>
        <w:tc>
          <w:tcPr>
            <w:tcW w:w="756" w:type="dxa"/>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20" w:type="dxa"/>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684" w:type="dxa"/>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468" w:type="dxa"/>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432" w:type="dxa"/>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627" w:type="dxa"/>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blHeader/>
          <w:jc w:val="center"/>
        </w:trPr>
        <w:tc>
          <w:tcPr>
            <w:tcW w:w="2259" w:type="dxa"/>
            <w:gridSpan w:val="3"/>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3120"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6" w:type="dxa"/>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20" w:type="dxa"/>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684" w:type="dxa"/>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468" w:type="dxa"/>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432" w:type="dxa"/>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627" w:type="dxa"/>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jc w:val="center"/>
        </w:trPr>
        <w:tc>
          <w:tcPr>
            <w:tcW w:w="5379" w:type="dxa"/>
            <w:gridSpan w:val="4"/>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栏次</w:t>
            </w:r>
          </w:p>
        </w:tc>
        <w:tc>
          <w:tcPr>
            <w:tcW w:w="7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7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6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4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4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c>
          <w:tcPr>
            <w:tcW w:w="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w:t>
            </w:r>
          </w:p>
        </w:tc>
      </w:tr>
      <w:tr>
        <w:tblPrEx>
          <w:tblLayout w:type="fixed"/>
          <w:tblCellMar>
            <w:top w:w="15" w:type="dxa"/>
            <w:left w:w="15" w:type="dxa"/>
            <w:bottom w:w="15" w:type="dxa"/>
            <w:right w:w="15" w:type="dxa"/>
          </w:tblCellMar>
        </w:tblPrEx>
        <w:trPr>
          <w:jc w:val="center"/>
        </w:trPr>
        <w:tc>
          <w:tcPr>
            <w:tcW w:w="5379" w:type="dxa"/>
            <w:gridSpan w:val="4"/>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合计</w:t>
            </w:r>
          </w:p>
        </w:tc>
        <w:tc>
          <w:tcPr>
            <w:tcW w:w="7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3,055.52</w:t>
            </w:r>
          </w:p>
        </w:tc>
        <w:tc>
          <w:tcPr>
            <w:tcW w:w="7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2,567.05</w:t>
            </w:r>
          </w:p>
        </w:tc>
        <w:tc>
          <w:tcPr>
            <w:tcW w:w="6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488.47</w:t>
            </w:r>
          </w:p>
        </w:tc>
        <w:tc>
          <w:tcPr>
            <w:tcW w:w="4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2259"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w:t>
            </w:r>
          </w:p>
        </w:tc>
        <w:tc>
          <w:tcPr>
            <w:tcW w:w="31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教育支出</w:t>
            </w:r>
          </w:p>
        </w:tc>
        <w:tc>
          <w:tcPr>
            <w:tcW w:w="7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2,581.89</w:t>
            </w:r>
          </w:p>
        </w:tc>
        <w:tc>
          <w:tcPr>
            <w:tcW w:w="7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2,097.32</w:t>
            </w:r>
          </w:p>
        </w:tc>
        <w:tc>
          <w:tcPr>
            <w:tcW w:w="6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484.57</w:t>
            </w:r>
          </w:p>
        </w:tc>
        <w:tc>
          <w:tcPr>
            <w:tcW w:w="4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2259"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w:t>
            </w:r>
          </w:p>
        </w:tc>
        <w:tc>
          <w:tcPr>
            <w:tcW w:w="31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普通教育</w:t>
            </w:r>
          </w:p>
        </w:tc>
        <w:tc>
          <w:tcPr>
            <w:tcW w:w="7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2,217.7</w:t>
            </w:r>
          </w:p>
        </w:tc>
        <w:tc>
          <w:tcPr>
            <w:tcW w:w="7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2,097.32</w:t>
            </w:r>
          </w:p>
        </w:tc>
        <w:tc>
          <w:tcPr>
            <w:tcW w:w="6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120.37</w:t>
            </w:r>
          </w:p>
        </w:tc>
        <w:tc>
          <w:tcPr>
            <w:tcW w:w="4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2259"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2050202</w:t>
            </w:r>
          </w:p>
        </w:tc>
        <w:tc>
          <w:tcPr>
            <w:tcW w:w="31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小学教育</w:t>
            </w:r>
          </w:p>
        </w:tc>
        <w:tc>
          <w:tcPr>
            <w:tcW w:w="7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2,045.69</w:t>
            </w:r>
          </w:p>
        </w:tc>
        <w:tc>
          <w:tcPr>
            <w:tcW w:w="7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2,045.69</w:t>
            </w:r>
          </w:p>
        </w:tc>
        <w:tc>
          <w:tcPr>
            <w:tcW w:w="6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2259"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2050299</w:t>
            </w:r>
          </w:p>
        </w:tc>
        <w:tc>
          <w:tcPr>
            <w:tcW w:w="31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其他普通教育支出</w:t>
            </w:r>
          </w:p>
        </w:tc>
        <w:tc>
          <w:tcPr>
            <w:tcW w:w="7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172.01</w:t>
            </w:r>
          </w:p>
        </w:tc>
        <w:tc>
          <w:tcPr>
            <w:tcW w:w="7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51.64</w:t>
            </w:r>
          </w:p>
        </w:tc>
        <w:tc>
          <w:tcPr>
            <w:tcW w:w="6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120.37</w:t>
            </w:r>
          </w:p>
        </w:tc>
        <w:tc>
          <w:tcPr>
            <w:tcW w:w="4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2259"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20509</w:t>
            </w:r>
          </w:p>
        </w:tc>
        <w:tc>
          <w:tcPr>
            <w:tcW w:w="31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教育费附加安排的支出</w:t>
            </w:r>
          </w:p>
        </w:tc>
        <w:tc>
          <w:tcPr>
            <w:tcW w:w="7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364.19</w:t>
            </w:r>
          </w:p>
        </w:tc>
        <w:tc>
          <w:tcPr>
            <w:tcW w:w="7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364.19</w:t>
            </w:r>
          </w:p>
        </w:tc>
        <w:tc>
          <w:tcPr>
            <w:tcW w:w="4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2259"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2050999</w:t>
            </w:r>
          </w:p>
        </w:tc>
        <w:tc>
          <w:tcPr>
            <w:tcW w:w="31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其他教育费附加安排的支出</w:t>
            </w:r>
          </w:p>
        </w:tc>
        <w:tc>
          <w:tcPr>
            <w:tcW w:w="7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364.19</w:t>
            </w:r>
          </w:p>
        </w:tc>
        <w:tc>
          <w:tcPr>
            <w:tcW w:w="7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364.19</w:t>
            </w:r>
          </w:p>
        </w:tc>
        <w:tc>
          <w:tcPr>
            <w:tcW w:w="4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2259"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w:t>
            </w:r>
          </w:p>
        </w:tc>
        <w:tc>
          <w:tcPr>
            <w:tcW w:w="31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社会保障和就业支出</w:t>
            </w:r>
          </w:p>
        </w:tc>
        <w:tc>
          <w:tcPr>
            <w:tcW w:w="7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334.95</w:t>
            </w:r>
          </w:p>
        </w:tc>
        <w:tc>
          <w:tcPr>
            <w:tcW w:w="7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334.95</w:t>
            </w:r>
          </w:p>
        </w:tc>
        <w:tc>
          <w:tcPr>
            <w:tcW w:w="6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2259"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w:t>
            </w:r>
          </w:p>
        </w:tc>
        <w:tc>
          <w:tcPr>
            <w:tcW w:w="31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行政事业单位养老支出</w:t>
            </w:r>
          </w:p>
        </w:tc>
        <w:tc>
          <w:tcPr>
            <w:tcW w:w="7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334.95</w:t>
            </w:r>
          </w:p>
        </w:tc>
        <w:tc>
          <w:tcPr>
            <w:tcW w:w="7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334.95</w:t>
            </w:r>
          </w:p>
        </w:tc>
        <w:tc>
          <w:tcPr>
            <w:tcW w:w="6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2259"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2080502</w:t>
            </w:r>
          </w:p>
        </w:tc>
        <w:tc>
          <w:tcPr>
            <w:tcW w:w="31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事业单位离退休</w:t>
            </w:r>
          </w:p>
        </w:tc>
        <w:tc>
          <w:tcPr>
            <w:tcW w:w="7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74.58</w:t>
            </w:r>
          </w:p>
        </w:tc>
        <w:tc>
          <w:tcPr>
            <w:tcW w:w="7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74.58</w:t>
            </w:r>
          </w:p>
        </w:tc>
        <w:tc>
          <w:tcPr>
            <w:tcW w:w="6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2259"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2080505</w:t>
            </w:r>
          </w:p>
        </w:tc>
        <w:tc>
          <w:tcPr>
            <w:tcW w:w="31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机关事业单位基本养老保险缴费支出</w:t>
            </w:r>
          </w:p>
        </w:tc>
        <w:tc>
          <w:tcPr>
            <w:tcW w:w="7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167.15</w:t>
            </w:r>
          </w:p>
        </w:tc>
        <w:tc>
          <w:tcPr>
            <w:tcW w:w="7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167.15</w:t>
            </w:r>
          </w:p>
        </w:tc>
        <w:tc>
          <w:tcPr>
            <w:tcW w:w="6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2259"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2080506</w:t>
            </w:r>
          </w:p>
        </w:tc>
        <w:tc>
          <w:tcPr>
            <w:tcW w:w="31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机关事业单位职业年金缴费支出</w:t>
            </w:r>
          </w:p>
        </w:tc>
        <w:tc>
          <w:tcPr>
            <w:tcW w:w="7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93.22</w:t>
            </w:r>
          </w:p>
        </w:tc>
        <w:tc>
          <w:tcPr>
            <w:tcW w:w="7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93.22</w:t>
            </w:r>
          </w:p>
        </w:tc>
        <w:tc>
          <w:tcPr>
            <w:tcW w:w="6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2259"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w:t>
            </w:r>
          </w:p>
        </w:tc>
        <w:tc>
          <w:tcPr>
            <w:tcW w:w="31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卫生健康支出</w:t>
            </w:r>
          </w:p>
        </w:tc>
        <w:tc>
          <w:tcPr>
            <w:tcW w:w="7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108.12</w:t>
            </w:r>
          </w:p>
        </w:tc>
        <w:tc>
          <w:tcPr>
            <w:tcW w:w="7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108.12</w:t>
            </w:r>
          </w:p>
        </w:tc>
        <w:tc>
          <w:tcPr>
            <w:tcW w:w="6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2259"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w:t>
            </w:r>
          </w:p>
        </w:tc>
        <w:tc>
          <w:tcPr>
            <w:tcW w:w="31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行政事业单位医疗</w:t>
            </w:r>
          </w:p>
        </w:tc>
        <w:tc>
          <w:tcPr>
            <w:tcW w:w="7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108.12</w:t>
            </w:r>
          </w:p>
        </w:tc>
        <w:tc>
          <w:tcPr>
            <w:tcW w:w="7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108.12</w:t>
            </w:r>
          </w:p>
        </w:tc>
        <w:tc>
          <w:tcPr>
            <w:tcW w:w="6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2259"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2101102</w:t>
            </w:r>
          </w:p>
        </w:tc>
        <w:tc>
          <w:tcPr>
            <w:tcW w:w="31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事业单位医疗</w:t>
            </w:r>
          </w:p>
        </w:tc>
        <w:tc>
          <w:tcPr>
            <w:tcW w:w="7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71.56</w:t>
            </w:r>
          </w:p>
        </w:tc>
        <w:tc>
          <w:tcPr>
            <w:tcW w:w="7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71.56</w:t>
            </w:r>
          </w:p>
        </w:tc>
        <w:tc>
          <w:tcPr>
            <w:tcW w:w="6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2259"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2101199</w:t>
            </w:r>
          </w:p>
        </w:tc>
        <w:tc>
          <w:tcPr>
            <w:tcW w:w="31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其他行政事业单位医疗支出</w:t>
            </w:r>
          </w:p>
        </w:tc>
        <w:tc>
          <w:tcPr>
            <w:tcW w:w="7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36.56</w:t>
            </w:r>
          </w:p>
        </w:tc>
        <w:tc>
          <w:tcPr>
            <w:tcW w:w="7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36.56</w:t>
            </w:r>
          </w:p>
        </w:tc>
        <w:tc>
          <w:tcPr>
            <w:tcW w:w="6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2259"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w:t>
            </w:r>
          </w:p>
        </w:tc>
        <w:tc>
          <w:tcPr>
            <w:tcW w:w="31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住房保障支出</w:t>
            </w:r>
          </w:p>
        </w:tc>
        <w:tc>
          <w:tcPr>
            <w:tcW w:w="7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26.65</w:t>
            </w:r>
          </w:p>
        </w:tc>
        <w:tc>
          <w:tcPr>
            <w:tcW w:w="7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26.65</w:t>
            </w:r>
          </w:p>
        </w:tc>
        <w:tc>
          <w:tcPr>
            <w:tcW w:w="6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2259"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22102</w:t>
            </w:r>
          </w:p>
        </w:tc>
        <w:tc>
          <w:tcPr>
            <w:tcW w:w="31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住房改革支出</w:t>
            </w:r>
          </w:p>
        </w:tc>
        <w:tc>
          <w:tcPr>
            <w:tcW w:w="7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26.65</w:t>
            </w:r>
          </w:p>
        </w:tc>
        <w:tc>
          <w:tcPr>
            <w:tcW w:w="7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26.65</w:t>
            </w:r>
          </w:p>
        </w:tc>
        <w:tc>
          <w:tcPr>
            <w:tcW w:w="6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2259"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2210203</w:t>
            </w:r>
          </w:p>
        </w:tc>
        <w:tc>
          <w:tcPr>
            <w:tcW w:w="31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购房补贴</w:t>
            </w:r>
          </w:p>
        </w:tc>
        <w:tc>
          <w:tcPr>
            <w:tcW w:w="7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26.65</w:t>
            </w:r>
          </w:p>
        </w:tc>
        <w:tc>
          <w:tcPr>
            <w:tcW w:w="7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26.65</w:t>
            </w:r>
          </w:p>
        </w:tc>
        <w:tc>
          <w:tcPr>
            <w:tcW w:w="6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2259"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w:t>
            </w:r>
          </w:p>
        </w:tc>
        <w:tc>
          <w:tcPr>
            <w:tcW w:w="31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其他支出</w:t>
            </w:r>
          </w:p>
        </w:tc>
        <w:tc>
          <w:tcPr>
            <w:tcW w:w="7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w:t>
            </w:r>
          </w:p>
        </w:tc>
        <w:tc>
          <w:tcPr>
            <w:tcW w:w="7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w:t>
            </w:r>
          </w:p>
        </w:tc>
        <w:tc>
          <w:tcPr>
            <w:tcW w:w="4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2259"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22960</w:t>
            </w:r>
          </w:p>
        </w:tc>
        <w:tc>
          <w:tcPr>
            <w:tcW w:w="31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彩票公益金安排的支出</w:t>
            </w:r>
          </w:p>
        </w:tc>
        <w:tc>
          <w:tcPr>
            <w:tcW w:w="7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w:t>
            </w:r>
          </w:p>
        </w:tc>
        <w:tc>
          <w:tcPr>
            <w:tcW w:w="7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w:t>
            </w:r>
          </w:p>
        </w:tc>
        <w:tc>
          <w:tcPr>
            <w:tcW w:w="4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2259"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2296003</w:t>
            </w:r>
          </w:p>
        </w:tc>
        <w:tc>
          <w:tcPr>
            <w:tcW w:w="31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用于体育事业的彩票公益金支出</w:t>
            </w:r>
          </w:p>
        </w:tc>
        <w:tc>
          <w:tcPr>
            <w:tcW w:w="7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w:t>
            </w:r>
          </w:p>
        </w:tc>
        <w:tc>
          <w:tcPr>
            <w:tcW w:w="7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w:t>
            </w:r>
          </w:p>
        </w:tc>
        <w:tc>
          <w:tcPr>
            <w:tcW w:w="4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9066" w:type="dxa"/>
            <w:gridSpan w:val="10"/>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注：本表反映部门本年度各项支出情况。</w:t>
            </w:r>
          </w:p>
        </w:tc>
      </w:tr>
    </w:tbl>
    <w:p>
      <w:pPr>
        <w:widowControl/>
        <w:jc w:val="left"/>
        <w:rPr>
          <w:rFonts w:ascii="Times New Roman" w:hAnsi="Times New Roman" w:eastAsia="Times New Roman" w:cs="Times New Roman"/>
          <w:kern w:val="0"/>
          <w:sz w:val="24"/>
        </w:rPr>
      </w:pPr>
    </w:p>
    <w:p>
      <w:pPr>
        <w:widowControl/>
        <w:jc w:val="left"/>
        <w:rPr>
          <w:rFonts w:ascii="Times New Roman" w:hAnsi="Times New Roman" w:eastAsia="Times New Roman" w:cs="Times New Roman"/>
          <w:kern w:val="0"/>
          <w:sz w:val="24"/>
        </w:rPr>
      </w:pPr>
    </w:p>
    <w:p>
      <w:pPr>
        <w:widowControl/>
        <w:jc w:val="left"/>
        <w:rPr>
          <w:rFonts w:ascii="Times New Roman" w:hAnsi="Times New Roman" w:eastAsia="Times New Roman" w:cs="Times New Roman"/>
          <w:kern w:val="0"/>
          <w:sz w:val="24"/>
        </w:rPr>
      </w:pPr>
    </w:p>
    <w:p>
      <w:pPr>
        <w:widowControl/>
        <w:jc w:val="left"/>
        <w:rPr>
          <w:rFonts w:ascii="Times New Roman" w:hAnsi="Times New Roman" w:eastAsia="Times New Roman" w:cs="Times New Roman"/>
          <w:kern w:val="0"/>
          <w:sz w:val="24"/>
        </w:rPr>
      </w:pPr>
    </w:p>
    <w:p>
      <w:pPr>
        <w:widowControl/>
        <w:jc w:val="left"/>
        <w:rPr>
          <w:rFonts w:ascii="Times New Roman" w:hAnsi="Times New Roman" w:eastAsia="Times New Roman" w:cs="Times New Roman"/>
          <w:kern w:val="0"/>
          <w:sz w:val="24"/>
        </w:rPr>
      </w:pPr>
    </w:p>
    <w:p>
      <w:pPr>
        <w:widowControl/>
        <w:jc w:val="left"/>
        <w:rPr>
          <w:rFonts w:ascii="Times New Roman" w:hAnsi="Times New Roman" w:eastAsia="Times New Roman" w:cs="Times New Roman"/>
          <w:kern w:val="0"/>
          <w:sz w:val="24"/>
        </w:rPr>
      </w:pPr>
    </w:p>
    <w:p>
      <w:pPr>
        <w:widowControl/>
        <w:jc w:val="left"/>
        <w:rPr>
          <w:rFonts w:ascii="Times New Roman" w:hAnsi="Times New Roman" w:eastAsia="Times New Roman" w:cs="Times New Roman"/>
          <w:b/>
          <w:bCs/>
          <w:kern w:val="0"/>
          <w:sz w:val="32"/>
          <w:szCs w:val="32"/>
        </w:rPr>
      </w:pPr>
      <w:r>
        <w:rPr>
          <w:rFonts w:ascii="Times New Roman" w:hAnsi="Times New Roman" w:eastAsia="Times New Roman" w:cs="Times New Roman"/>
          <w:kern w:val="0"/>
          <w:sz w:val="24"/>
        </w:rPr>
        <w:t> </w:t>
      </w:r>
      <w:r>
        <w:rPr>
          <w:rFonts w:ascii="Times New Roman" w:hAnsi="Times New Roman" w:eastAsia="Times New Roman" w:cs="Times New Roman"/>
          <w:spacing w:val="0"/>
          <w:kern w:val="0"/>
          <w:sz w:val="32"/>
          <w:szCs w:val="32"/>
        </w:rPr>
        <w:t> </w:t>
      </w:r>
      <w:bookmarkStart w:id="41" w:name="_Toc256000072"/>
      <w:bookmarkStart w:id="42" w:name="_Toc256000103"/>
      <w:bookmarkStart w:id="43" w:name="_Toc256000041"/>
      <w:bookmarkStart w:id="44" w:name="_Toc256000010"/>
      <w:r>
        <w:rPr>
          <w:rFonts w:hint="eastAsia" w:eastAsia="宋体" w:cs="Times New Roman"/>
          <w:spacing w:val="0"/>
          <w:kern w:val="0"/>
          <w:sz w:val="32"/>
          <w:szCs w:val="32"/>
          <w:lang w:val="en-US" w:eastAsia="zh-CN"/>
        </w:rPr>
        <w:t xml:space="preserve">  </w:t>
      </w:r>
      <w:r>
        <w:rPr>
          <w:rFonts w:ascii="黑体" w:hAnsi="黑体" w:eastAsia="黑体" w:cs="黑体"/>
          <w:b/>
          <w:spacing w:val="0"/>
          <w:sz w:val="32"/>
          <w:szCs w:val="32"/>
        </w:rPr>
        <w:t>四、财政拨款收入支出决算总表</w:t>
      </w:r>
      <w:bookmarkEnd w:id="41"/>
      <w:bookmarkEnd w:id="42"/>
      <w:bookmarkEnd w:id="43"/>
      <w:bookmarkEnd w:id="44"/>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horizontal layout</w:t>
      </w:r>
    </w:p>
    <w:tbl>
      <w:tblPr>
        <w:tblStyle w:val="25"/>
        <w:tblW w:w="9066" w:type="dxa"/>
        <w:jc w:val="center"/>
        <w:tblInd w:w="0" w:type="dxa"/>
        <w:tblLayout w:type="fixed"/>
        <w:tblCellMar>
          <w:top w:w="15" w:type="dxa"/>
          <w:left w:w="15" w:type="dxa"/>
          <w:bottom w:w="15" w:type="dxa"/>
          <w:right w:w="15" w:type="dxa"/>
        </w:tblCellMar>
      </w:tblPr>
      <w:tblGrid>
        <w:gridCol w:w="1707"/>
        <w:gridCol w:w="444"/>
        <w:gridCol w:w="744"/>
        <w:gridCol w:w="2677"/>
        <w:gridCol w:w="527"/>
        <w:gridCol w:w="756"/>
        <w:gridCol w:w="756"/>
        <w:gridCol w:w="697"/>
        <w:gridCol w:w="758"/>
      </w:tblGrid>
      <w:tr>
        <w:tblPrEx>
          <w:tblLayout w:type="fixed"/>
          <w:tblCellMar>
            <w:top w:w="15" w:type="dxa"/>
            <w:left w:w="15" w:type="dxa"/>
            <w:bottom w:w="15" w:type="dxa"/>
            <w:right w:w="15" w:type="dxa"/>
          </w:tblCellMar>
        </w:tblPrEx>
        <w:trPr>
          <w:trHeight w:val="0" w:hRule="atLeast"/>
          <w:tblHeader/>
          <w:jc w:val="center"/>
        </w:trPr>
        <w:tc>
          <w:tcPr>
            <w:tcW w:w="9066" w:type="dxa"/>
            <w:gridSpan w:val="9"/>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32"/>
                <w:szCs w:val="32"/>
              </w:rPr>
              <w:t>财政拨款收入支出决算总表</w:t>
            </w:r>
          </w:p>
        </w:tc>
      </w:tr>
      <w:tr>
        <w:tblPrEx>
          <w:tblLayout w:type="fixed"/>
          <w:tblCellMar>
            <w:top w:w="15" w:type="dxa"/>
            <w:left w:w="15" w:type="dxa"/>
            <w:bottom w:w="15" w:type="dxa"/>
            <w:right w:w="15" w:type="dxa"/>
          </w:tblCellMar>
        </w:tblPrEx>
        <w:trPr>
          <w:trHeight w:val="0" w:hRule="atLeast"/>
          <w:tblHeader/>
          <w:jc w:val="center"/>
        </w:trPr>
        <w:tc>
          <w:tcPr>
            <w:tcW w:w="2151"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4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67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2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9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2895" w:type="dxa"/>
            <w:gridSpan w:val="3"/>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部门</w:t>
            </w:r>
            <w:r>
              <w:rPr>
                <w:rFonts w:ascii="Times New Roman" w:hAnsi="Times New Roman" w:eastAsia="Times New Roman" w:cs="Times New Roman"/>
                <w:b w:val="0"/>
                <w:bCs w:val="0"/>
                <w:i w:val="0"/>
                <w:iCs w:val="0"/>
                <w:smallCaps w:val="0"/>
                <w:color w:val="000000"/>
                <w:kern w:val="0"/>
                <w:sz w:val="18"/>
                <w:szCs w:val="18"/>
              </w:rPr>
              <w:t>/</w:t>
            </w:r>
            <w:r>
              <w:rPr>
                <w:rFonts w:ascii="宋体" w:hAnsi="宋体" w:eastAsia="宋体" w:cs="宋体"/>
                <w:b w:val="0"/>
                <w:bCs w:val="0"/>
                <w:i w:val="0"/>
                <w:iCs w:val="0"/>
                <w:smallCaps w:val="0"/>
                <w:color w:val="000000"/>
                <w:kern w:val="0"/>
                <w:sz w:val="18"/>
                <w:szCs w:val="18"/>
              </w:rPr>
              <w:t>单位：厦门市寨上小学</w:t>
            </w:r>
          </w:p>
        </w:tc>
        <w:tc>
          <w:tcPr>
            <w:tcW w:w="267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83"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2024</w:t>
            </w:r>
            <w:r>
              <w:rPr>
                <w:rFonts w:ascii="宋体" w:hAnsi="宋体" w:eastAsia="宋体" w:cs="宋体"/>
                <w:b w:val="0"/>
                <w:bCs w:val="0"/>
                <w:i w:val="0"/>
                <w:iCs w:val="0"/>
                <w:smallCaps w:val="0"/>
                <w:color w:val="000000"/>
                <w:kern w:val="0"/>
                <w:sz w:val="18"/>
                <w:szCs w:val="18"/>
              </w:rPr>
              <w:t>年度</w:t>
            </w:r>
            <w:r>
              <w:rPr>
                <w:rFonts w:ascii="Times New Roman" w:hAnsi="Times New Roman" w:eastAsia="Times New Roman" w:cs="Times New Roman"/>
                <w:b w:val="0"/>
                <w:bCs w:val="0"/>
                <w:i w:val="0"/>
                <w:iCs w:val="0"/>
                <w:smallCaps w:val="0"/>
                <w:color w:val="000000"/>
                <w:kern w:val="0"/>
                <w:sz w:val="18"/>
                <w:szCs w:val="18"/>
              </w:rPr>
              <w:t> </w:t>
            </w:r>
          </w:p>
        </w:tc>
        <w:tc>
          <w:tcPr>
            <w:tcW w:w="75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455"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金额单位：万元</w:t>
            </w:r>
          </w:p>
        </w:tc>
      </w:tr>
      <w:tr>
        <w:tblPrEx>
          <w:tblLayout w:type="fixed"/>
          <w:tblCellMar>
            <w:top w:w="15" w:type="dxa"/>
            <w:left w:w="15" w:type="dxa"/>
            <w:bottom w:w="15" w:type="dxa"/>
            <w:right w:w="15" w:type="dxa"/>
          </w:tblCellMar>
        </w:tblPrEx>
        <w:trPr>
          <w:trHeight w:val="0" w:hRule="atLeast"/>
          <w:jc w:val="center"/>
        </w:trPr>
        <w:tc>
          <w:tcPr>
            <w:tcW w:w="289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收入</w:t>
            </w:r>
          </w:p>
        </w:tc>
        <w:tc>
          <w:tcPr>
            <w:tcW w:w="6171" w:type="dxa"/>
            <w:gridSpan w:val="6"/>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支出</w:t>
            </w:r>
          </w:p>
        </w:tc>
      </w:tr>
      <w:tr>
        <w:tblPrEx>
          <w:tblLayout w:type="fixed"/>
          <w:tblCellMar>
            <w:top w:w="15" w:type="dxa"/>
            <w:left w:w="15" w:type="dxa"/>
            <w:bottom w:w="15" w:type="dxa"/>
            <w:right w:w="15" w:type="dxa"/>
          </w:tblCellMar>
        </w:tblPrEx>
        <w:trPr>
          <w:trHeight w:val="0" w:hRule="atLeast"/>
          <w:jc w:val="center"/>
        </w:trPr>
        <w:tc>
          <w:tcPr>
            <w:tcW w:w="17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w:t>
            </w:r>
            <w:r>
              <w:rPr>
                <w:rFonts w:ascii="Times New Roman" w:hAnsi="Times New Roman" w:eastAsia="Times New Roman" w:cs="Times New Roman"/>
                <w:b w:val="0"/>
                <w:bCs w:val="0"/>
                <w:i w:val="0"/>
                <w:iCs w:val="0"/>
                <w:smallCaps w:val="0"/>
                <w:color w:val="000000"/>
                <w:kern w:val="0"/>
                <w:sz w:val="18"/>
                <w:szCs w:val="18"/>
              </w:rPr>
              <w:t xml:space="preserve"> </w:t>
            </w:r>
          </w:p>
        </w:tc>
        <w:tc>
          <w:tcPr>
            <w:tcW w:w="4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行次</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w:t>
            </w:r>
          </w:p>
        </w:tc>
        <w:tc>
          <w:tcPr>
            <w:tcW w:w="26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w:t>
            </w:r>
          </w:p>
        </w:tc>
        <w:tc>
          <w:tcPr>
            <w:tcW w:w="5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行次</w:t>
            </w:r>
          </w:p>
        </w:tc>
        <w:tc>
          <w:tcPr>
            <w:tcW w:w="7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合计</w:t>
            </w:r>
          </w:p>
        </w:tc>
        <w:tc>
          <w:tcPr>
            <w:tcW w:w="7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一般公共预算财政拨款</w:t>
            </w:r>
          </w:p>
        </w:tc>
        <w:tc>
          <w:tcPr>
            <w:tcW w:w="6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政府性基金预算财政拨款</w:t>
            </w:r>
          </w:p>
        </w:tc>
        <w:tc>
          <w:tcPr>
            <w:tcW w:w="7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国有资本经营预算财政拨款</w:t>
            </w:r>
          </w:p>
        </w:tc>
      </w:tr>
      <w:tr>
        <w:tblPrEx>
          <w:tblLayout w:type="fixed"/>
          <w:tblCellMar>
            <w:top w:w="15" w:type="dxa"/>
            <w:left w:w="15" w:type="dxa"/>
            <w:bottom w:w="15" w:type="dxa"/>
            <w:right w:w="15" w:type="dxa"/>
          </w:tblCellMar>
        </w:tblPrEx>
        <w:trPr>
          <w:trHeight w:val="0" w:hRule="atLeast"/>
          <w:jc w:val="center"/>
        </w:trPr>
        <w:tc>
          <w:tcPr>
            <w:tcW w:w="17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栏次</w:t>
            </w:r>
          </w:p>
        </w:tc>
        <w:tc>
          <w:tcPr>
            <w:tcW w:w="4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26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栏次</w:t>
            </w:r>
          </w:p>
        </w:tc>
        <w:tc>
          <w:tcPr>
            <w:tcW w:w="5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7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6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7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r>
      <w:tr>
        <w:tblPrEx>
          <w:tblLayout w:type="fixed"/>
          <w:tblCellMar>
            <w:top w:w="15" w:type="dxa"/>
            <w:left w:w="15" w:type="dxa"/>
            <w:bottom w:w="15" w:type="dxa"/>
            <w:right w:w="15" w:type="dxa"/>
          </w:tblCellMar>
        </w:tblPrEx>
        <w:trPr>
          <w:trHeight w:val="0" w:hRule="atLeast"/>
          <w:jc w:val="center"/>
        </w:trPr>
        <w:tc>
          <w:tcPr>
            <w:tcW w:w="17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一、一般公共预算财政拨款</w:t>
            </w:r>
            <w:r>
              <w:rPr>
                <w:rFonts w:ascii="Times New Roman" w:hAnsi="Times New Roman" w:eastAsia="Times New Roman" w:cs="Times New Roman"/>
                <w:b w:val="0"/>
                <w:bCs w:val="0"/>
                <w:i w:val="0"/>
                <w:iCs w:val="0"/>
                <w:smallCaps w:val="0"/>
                <w:color w:val="000000"/>
                <w:kern w:val="0"/>
                <w:sz w:val="18"/>
                <w:szCs w:val="18"/>
              </w:rPr>
              <w:t xml:space="preserve"> </w:t>
            </w:r>
          </w:p>
        </w:tc>
        <w:tc>
          <w:tcPr>
            <w:tcW w:w="4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3,051.62</w:t>
            </w:r>
          </w:p>
        </w:tc>
        <w:tc>
          <w:tcPr>
            <w:tcW w:w="26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一、一般公共服务支出</w:t>
            </w:r>
          </w:p>
        </w:tc>
        <w:tc>
          <w:tcPr>
            <w:tcW w:w="5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33</w:t>
            </w:r>
          </w:p>
        </w:tc>
        <w:tc>
          <w:tcPr>
            <w:tcW w:w="7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7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二、政府性基金预算财政拨款</w:t>
            </w:r>
          </w:p>
        </w:tc>
        <w:tc>
          <w:tcPr>
            <w:tcW w:w="4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w:t>
            </w:r>
          </w:p>
        </w:tc>
        <w:tc>
          <w:tcPr>
            <w:tcW w:w="26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二、外交支出</w:t>
            </w:r>
          </w:p>
        </w:tc>
        <w:tc>
          <w:tcPr>
            <w:tcW w:w="5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w:t>
            </w:r>
          </w:p>
        </w:tc>
        <w:tc>
          <w:tcPr>
            <w:tcW w:w="7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7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三、国有资本经营预算财政拨款</w:t>
            </w:r>
          </w:p>
        </w:tc>
        <w:tc>
          <w:tcPr>
            <w:tcW w:w="4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6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三、国防支出</w:t>
            </w:r>
          </w:p>
        </w:tc>
        <w:tc>
          <w:tcPr>
            <w:tcW w:w="5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35</w:t>
            </w:r>
          </w:p>
        </w:tc>
        <w:tc>
          <w:tcPr>
            <w:tcW w:w="7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7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6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四、公共安全支出</w:t>
            </w:r>
          </w:p>
        </w:tc>
        <w:tc>
          <w:tcPr>
            <w:tcW w:w="5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36</w:t>
            </w:r>
          </w:p>
        </w:tc>
        <w:tc>
          <w:tcPr>
            <w:tcW w:w="7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7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6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五、教育支出</w:t>
            </w:r>
          </w:p>
        </w:tc>
        <w:tc>
          <w:tcPr>
            <w:tcW w:w="5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37</w:t>
            </w:r>
          </w:p>
        </w:tc>
        <w:tc>
          <w:tcPr>
            <w:tcW w:w="7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2,581.89</w:t>
            </w:r>
          </w:p>
        </w:tc>
        <w:tc>
          <w:tcPr>
            <w:tcW w:w="7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2,581.89</w:t>
            </w:r>
          </w:p>
        </w:tc>
        <w:tc>
          <w:tcPr>
            <w:tcW w:w="6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7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6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六、科学技术支出</w:t>
            </w:r>
          </w:p>
        </w:tc>
        <w:tc>
          <w:tcPr>
            <w:tcW w:w="5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38</w:t>
            </w:r>
          </w:p>
        </w:tc>
        <w:tc>
          <w:tcPr>
            <w:tcW w:w="7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7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6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七、文化旅游体育与传媒支出</w:t>
            </w:r>
          </w:p>
        </w:tc>
        <w:tc>
          <w:tcPr>
            <w:tcW w:w="5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w:t>
            </w:r>
          </w:p>
        </w:tc>
        <w:tc>
          <w:tcPr>
            <w:tcW w:w="7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7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6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八、社会保障和就业支出</w:t>
            </w:r>
          </w:p>
        </w:tc>
        <w:tc>
          <w:tcPr>
            <w:tcW w:w="5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40</w:t>
            </w:r>
          </w:p>
        </w:tc>
        <w:tc>
          <w:tcPr>
            <w:tcW w:w="7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334.95</w:t>
            </w:r>
          </w:p>
        </w:tc>
        <w:tc>
          <w:tcPr>
            <w:tcW w:w="7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334.95</w:t>
            </w:r>
          </w:p>
        </w:tc>
        <w:tc>
          <w:tcPr>
            <w:tcW w:w="6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7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6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九、卫生健康支出</w:t>
            </w:r>
          </w:p>
        </w:tc>
        <w:tc>
          <w:tcPr>
            <w:tcW w:w="5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41</w:t>
            </w:r>
          </w:p>
        </w:tc>
        <w:tc>
          <w:tcPr>
            <w:tcW w:w="7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108.12</w:t>
            </w:r>
          </w:p>
        </w:tc>
        <w:tc>
          <w:tcPr>
            <w:tcW w:w="7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108.12</w:t>
            </w:r>
          </w:p>
        </w:tc>
        <w:tc>
          <w:tcPr>
            <w:tcW w:w="6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7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6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十、节能环保支出</w:t>
            </w:r>
          </w:p>
        </w:tc>
        <w:tc>
          <w:tcPr>
            <w:tcW w:w="5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42</w:t>
            </w:r>
          </w:p>
        </w:tc>
        <w:tc>
          <w:tcPr>
            <w:tcW w:w="7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7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11</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6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十一、城乡社区支出</w:t>
            </w:r>
          </w:p>
        </w:tc>
        <w:tc>
          <w:tcPr>
            <w:tcW w:w="5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43</w:t>
            </w:r>
          </w:p>
        </w:tc>
        <w:tc>
          <w:tcPr>
            <w:tcW w:w="7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7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6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十二、农林水支出</w:t>
            </w:r>
          </w:p>
        </w:tc>
        <w:tc>
          <w:tcPr>
            <w:tcW w:w="5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44</w:t>
            </w:r>
          </w:p>
        </w:tc>
        <w:tc>
          <w:tcPr>
            <w:tcW w:w="7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7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13</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6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十三、交通运输支出</w:t>
            </w:r>
          </w:p>
        </w:tc>
        <w:tc>
          <w:tcPr>
            <w:tcW w:w="5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45</w:t>
            </w:r>
          </w:p>
        </w:tc>
        <w:tc>
          <w:tcPr>
            <w:tcW w:w="7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7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6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十四、资源勘探工业信息等支出</w:t>
            </w:r>
          </w:p>
        </w:tc>
        <w:tc>
          <w:tcPr>
            <w:tcW w:w="5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w:t>
            </w:r>
          </w:p>
        </w:tc>
        <w:tc>
          <w:tcPr>
            <w:tcW w:w="7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7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6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十五、商业服务业等支出</w:t>
            </w:r>
          </w:p>
        </w:tc>
        <w:tc>
          <w:tcPr>
            <w:tcW w:w="5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47</w:t>
            </w:r>
          </w:p>
        </w:tc>
        <w:tc>
          <w:tcPr>
            <w:tcW w:w="7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7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16</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6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十六、金融支出</w:t>
            </w:r>
          </w:p>
        </w:tc>
        <w:tc>
          <w:tcPr>
            <w:tcW w:w="5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48</w:t>
            </w:r>
          </w:p>
        </w:tc>
        <w:tc>
          <w:tcPr>
            <w:tcW w:w="7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7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17</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6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十七、援助其他地区支出</w:t>
            </w:r>
          </w:p>
        </w:tc>
        <w:tc>
          <w:tcPr>
            <w:tcW w:w="5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49</w:t>
            </w:r>
          </w:p>
        </w:tc>
        <w:tc>
          <w:tcPr>
            <w:tcW w:w="7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7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18</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6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十八、自然资源海洋气象等支出</w:t>
            </w:r>
          </w:p>
        </w:tc>
        <w:tc>
          <w:tcPr>
            <w:tcW w:w="5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50</w:t>
            </w:r>
          </w:p>
        </w:tc>
        <w:tc>
          <w:tcPr>
            <w:tcW w:w="7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7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6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十九、住房保障支出</w:t>
            </w:r>
          </w:p>
        </w:tc>
        <w:tc>
          <w:tcPr>
            <w:tcW w:w="5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51</w:t>
            </w:r>
          </w:p>
        </w:tc>
        <w:tc>
          <w:tcPr>
            <w:tcW w:w="7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26.65</w:t>
            </w:r>
          </w:p>
        </w:tc>
        <w:tc>
          <w:tcPr>
            <w:tcW w:w="7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26.65</w:t>
            </w:r>
          </w:p>
        </w:tc>
        <w:tc>
          <w:tcPr>
            <w:tcW w:w="6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7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6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二十、粮油物资储备支出</w:t>
            </w:r>
          </w:p>
        </w:tc>
        <w:tc>
          <w:tcPr>
            <w:tcW w:w="5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52</w:t>
            </w:r>
          </w:p>
        </w:tc>
        <w:tc>
          <w:tcPr>
            <w:tcW w:w="7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7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6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二十一、国有资本经营预算支出</w:t>
            </w:r>
          </w:p>
        </w:tc>
        <w:tc>
          <w:tcPr>
            <w:tcW w:w="5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53</w:t>
            </w:r>
          </w:p>
        </w:tc>
        <w:tc>
          <w:tcPr>
            <w:tcW w:w="7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7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6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二十二、灾害防治及应急管理支出</w:t>
            </w:r>
          </w:p>
        </w:tc>
        <w:tc>
          <w:tcPr>
            <w:tcW w:w="5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54</w:t>
            </w:r>
          </w:p>
        </w:tc>
        <w:tc>
          <w:tcPr>
            <w:tcW w:w="7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7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6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二十三、其他支出</w:t>
            </w:r>
          </w:p>
        </w:tc>
        <w:tc>
          <w:tcPr>
            <w:tcW w:w="5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55</w:t>
            </w:r>
          </w:p>
        </w:tc>
        <w:tc>
          <w:tcPr>
            <w:tcW w:w="7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w:t>
            </w:r>
          </w:p>
        </w:tc>
        <w:tc>
          <w:tcPr>
            <w:tcW w:w="7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w:t>
            </w:r>
          </w:p>
        </w:tc>
        <w:tc>
          <w:tcPr>
            <w:tcW w:w="7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7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24</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6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二十四、债务还本支出</w:t>
            </w:r>
          </w:p>
        </w:tc>
        <w:tc>
          <w:tcPr>
            <w:tcW w:w="5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56</w:t>
            </w:r>
          </w:p>
        </w:tc>
        <w:tc>
          <w:tcPr>
            <w:tcW w:w="7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7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6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二十五、债务付息支出</w:t>
            </w:r>
          </w:p>
        </w:tc>
        <w:tc>
          <w:tcPr>
            <w:tcW w:w="5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57</w:t>
            </w:r>
          </w:p>
        </w:tc>
        <w:tc>
          <w:tcPr>
            <w:tcW w:w="7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7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26</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6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二十六、抗疫特别国债安排的支出</w:t>
            </w:r>
          </w:p>
        </w:tc>
        <w:tc>
          <w:tcPr>
            <w:tcW w:w="5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58</w:t>
            </w:r>
          </w:p>
        </w:tc>
        <w:tc>
          <w:tcPr>
            <w:tcW w:w="7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7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本年收入合计</w:t>
            </w:r>
          </w:p>
        </w:tc>
        <w:tc>
          <w:tcPr>
            <w:tcW w:w="4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3,055.52</w:t>
            </w:r>
          </w:p>
        </w:tc>
        <w:tc>
          <w:tcPr>
            <w:tcW w:w="26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本年支出合计</w:t>
            </w:r>
          </w:p>
        </w:tc>
        <w:tc>
          <w:tcPr>
            <w:tcW w:w="5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59</w:t>
            </w:r>
          </w:p>
        </w:tc>
        <w:tc>
          <w:tcPr>
            <w:tcW w:w="7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3,055.52</w:t>
            </w:r>
          </w:p>
        </w:tc>
        <w:tc>
          <w:tcPr>
            <w:tcW w:w="7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3,051.62</w:t>
            </w:r>
          </w:p>
        </w:tc>
        <w:tc>
          <w:tcPr>
            <w:tcW w:w="6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w:t>
            </w:r>
          </w:p>
        </w:tc>
        <w:tc>
          <w:tcPr>
            <w:tcW w:w="7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7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年初财政拨款结转和结余</w:t>
            </w:r>
            <w:r>
              <w:rPr>
                <w:rFonts w:ascii="Times New Roman" w:hAnsi="Times New Roman" w:eastAsia="Times New Roman" w:cs="Times New Roman"/>
                <w:b w:val="0"/>
                <w:bCs w:val="0"/>
                <w:i w:val="0"/>
                <w:iCs w:val="0"/>
                <w:smallCaps w:val="0"/>
                <w:color w:val="000000"/>
                <w:kern w:val="0"/>
                <w:sz w:val="18"/>
                <w:szCs w:val="18"/>
              </w:rPr>
              <w:t xml:space="preserve"> </w:t>
            </w:r>
          </w:p>
        </w:tc>
        <w:tc>
          <w:tcPr>
            <w:tcW w:w="4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28</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6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年末财政拨款结转和结余</w:t>
            </w:r>
            <w:r>
              <w:rPr>
                <w:rFonts w:ascii="Times New Roman" w:hAnsi="Times New Roman" w:eastAsia="Times New Roman" w:cs="Times New Roman"/>
                <w:b w:val="0"/>
                <w:bCs w:val="0"/>
                <w:i w:val="0"/>
                <w:iCs w:val="0"/>
                <w:smallCaps w:val="0"/>
                <w:color w:val="000000"/>
                <w:kern w:val="0"/>
                <w:sz w:val="18"/>
                <w:szCs w:val="18"/>
              </w:rPr>
              <w:t xml:space="preserve"> </w:t>
            </w:r>
          </w:p>
        </w:tc>
        <w:tc>
          <w:tcPr>
            <w:tcW w:w="5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60</w:t>
            </w:r>
          </w:p>
        </w:tc>
        <w:tc>
          <w:tcPr>
            <w:tcW w:w="7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7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一、一般公共预算财政拨款</w:t>
            </w:r>
          </w:p>
        </w:tc>
        <w:tc>
          <w:tcPr>
            <w:tcW w:w="4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6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61</w:t>
            </w:r>
          </w:p>
        </w:tc>
        <w:tc>
          <w:tcPr>
            <w:tcW w:w="7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7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二、政府性基金预算财政拨款</w:t>
            </w:r>
          </w:p>
        </w:tc>
        <w:tc>
          <w:tcPr>
            <w:tcW w:w="4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6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62</w:t>
            </w:r>
          </w:p>
        </w:tc>
        <w:tc>
          <w:tcPr>
            <w:tcW w:w="7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7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三、国有资本经营预算财政拨款</w:t>
            </w:r>
          </w:p>
        </w:tc>
        <w:tc>
          <w:tcPr>
            <w:tcW w:w="4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6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63</w:t>
            </w:r>
          </w:p>
        </w:tc>
        <w:tc>
          <w:tcPr>
            <w:tcW w:w="7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7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总计</w:t>
            </w:r>
            <w:r>
              <w:rPr>
                <w:rFonts w:ascii="Times New Roman" w:hAnsi="Times New Roman" w:eastAsia="Times New Roman" w:cs="Times New Roman"/>
                <w:b w:val="0"/>
                <w:bCs w:val="0"/>
                <w:i w:val="0"/>
                <w:iCs w:val="0"/>
                <w:smallCaps w:val="0"/>
                <w:color w:val="000000"/>
                <w:kern w:val="0"/>
                <w:sz w:val="18"/>
                <w:szCs w:val="18"/>
              </w:rPr>
              <w:t xml:space="preserve"> </w:t>
            </w:r>
          </w:p>
        </w:tc>
        <w:tc>
          <w:tcPr>
            <w:tcW w:w="4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32</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3,055.52</w:t>
            </w:r>
          </w:p>
        </w:tc>
        <w:tc>
          <w:tcPr>
            <w:tcW w:w="267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总计</w:t>
            </w:r>
            <w:r>
              <w:rPr>
                <w:rFonts w:ascii="Times New Roman" w:hAnsi="Times New Roman" w:eastAsia="Times New Roman" w:cs="Times New Roman"/>
                <w:b w:val="0"/>
                <w:bCs w:val="0"/>
                <w:i w:val="0"/>
                <w:iCs w:val="0"/>
                <w:smallCaps w:val="0"/>
                <w:color w:val="000000"/>
                <w:kern w:val="0"/>
                <w:sz w:val="18"/>
                <w:szCs w:val="18"/>
              </w:rPr>
              <w:t xml:space="preserve"> </w:t>
            </w:r>
          </w:p>
        </w:tc>
        <w:tc>
          <w:tcPr>
            <w:tcW w:w="5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64</w:t>
            </w:r>
          </w:p>
        </w:tc>
        <w:tc>
          <w:tcPr>
            <w:tcW w:w="7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3,055.52</w:t>
            </w:r>
          </w:p>
        </w:tc>
        <w:tc>
          <w:tcPr>
            <w:tcW w:w="7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3,051.62</w:t>
            </w:r>
          </w:p>
        </w:tc>
        <w:tc>
          <w:tcPr>
            <w:tcW w:w="6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w:t>
            </w:r>
          </w:p>
        </w:tc>
        <w:tc>
          <w:tcPr>
            <w:tcW w:w="7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9066" w:type="dxa"/>
            <w:gridSpan w:val="9"/>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注：本表反映部门本年度一般公共预算财政拨款、政府性基金预算财政拨款和国有资本经营预算财政拨款的总收支和年末结转结余情况。</w:t>
            </w:r>
          </w:p>
        </w:tc>
      </w:tr>
    </w:tbl>
    <w:p>
      <w:pPr>
        <w:widowControl/>
        <w:jc w:val="left"/>
        <w:rPr>
          <w:rFonts w:ascii="Times New Roman" w:hAnsi="Times New Roman" w:eastAsia="Times New Roman" w:cs="Times New Roman"/>
          <w:spacing w:val="0"/>
          <w:kern w:val="0"/>
          <w:sz w:val="32"/>
          <w:szCs w:val="32"/>
        </w:rPr>
      </w:pPr>
      <w:r>
        <w:rPr>
          <w:rFonts w:ascii="Times New Roman" w:hAnsi="Times New Roman" w:eastAsia="Times New Roman" w:cs="Times New Roman"/>
          <w:kern w:val="0"/>
          <w:sz w:val="32"/>
          <w:szCs w:val="32"/>
        </w:rPr>
        <w:t> </w:t>
      </w:r>
      <w:r>
        <w:rPr>
          <w:rFonts w:ascii="Times New Roman" w:hAnsi="Times New Roman" w:eastAsia="Times New Roman" w:cs="Times New Roman"/>
          <w:spacing w:val="0"/>
          <w:kern w:val="0"/>
          <w:sz w:val="32"/>
          <w:szCs w:val="32"/>
        </w:rPr>
        <w:t> </w:t>
      </w:r>
      <w:bookmarkStart w:id="45" w:name="_Toc256000073"/>
      <w:bookmarkStart w:id="46" w:name="_Toc256000042"/>
      <w:bookmarkStart w:id="47" w:name="_Toc256000104"/>
      <w:bookmarkStart w:id="48" w:name="_Toc256000011"/>
    </w:p>
    <w:p>
      <w:pPr>
        <w:widowControl/>
        <w:ind w:firstLine="321" w:firstLineChars="100"/>
        <w:jc w:val="left"/>
        <w:rPr>
          <w:rFonts w:ascii="Times New Roman" w:hAnsi="Times New Roman" w:eastAsia="Times New Roman" w:cs="Times New Roman"/>
          <w:b/>
          <w:bCs/>
          <w:kern w:val="0"/>
          <w:sz w:val="32"/>
          <w:szCs w:val="32"/>
        </w:rPr>
      </w:pPr>
      <w:r>
        <w:rPr>
          <w:rFonts w:ascii="黑体" w:hAnsi="黑体" w:eastAsia="黑体" w:cs="黑体"/>
          <w:b/>
          <w:spacing w:val="0"/>
          <w:sz w:val="32"/>
          <w:szCs w:val="32"/>
        </w:rPr>
        <w:t>五、一般公共预算财政拨款支出决算表</w:t>
      </w:r>
      <w:bookmarkEnd w:id="45"/>
      <w:bookmarkEnd w:id="46"/>
      <w:bookmarkEnd w:id="47"/>
      <w:bookmarkEnd w:id="48"/>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horizontal layout</w:t>
      </w:r>
    </w:p>
    <w:tbl>
      <w:tblPr>
        <w:tblStyle w:val="25"/>
        <w:tblW w:w="9066" w:type="dxa"/>
        <w:jc w:val="center"/>
        <w:tblInd w:w="0" w:type="dxa"/>
        <w:tblLayout w:type="fixed"/>
        <w:tblCellMar>
          <w:top w:w="15" w:type="dxa"/>
          <w:left w:w="15" w:type="dxa"/>
          <w:bottom w:w="15" w:type="dxa"/>
          <w:right w:w="15" w:type="dxa"/>
        </w:tblCellMar>
      </w:tblPr>
      <w:tblGrid>
        <w:gridCol w:w="1839"/>
        <w:gridCol w:w="3180"/>
        <w:gridCol w:w="1500"/>
        <w:gridCol w:w="1365"/>
        <w:gridCol w:w="1182"/>
      </w:tblGrid>
      <w:tr>
        <w:tblPrEx>
          <w:tblLayout w:type="fixed"/>
          <w:tblCellMar>
            <w:top w:w="15" w:type="dxa"/>
            <w:left w:w="15" w:type="dxa"/>
            <w:bottom w:w="15" w:type="dxa"/>
            <w:right w:w="15" w:type="dxa"/>
          </w:tblCellMar>
        </w:tblPrEx>
        <w:trPr>
          <w:trHeight w:val="0" w:hRule="atLeast"/>
          <w:tblHeader/>
          <w:jc w:val="center"/>
        </w:trPr>
        <w:tc>
          <w:tcPr>
            <w:tcW w:w="9066" w:type="dxa"/>
            <w:gridSpan w:val="5"/>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32"/>
                <w:szCs w:val="32"/>
              </w:rPr>
              <w:t>一般公共预算财政拨款支出决算表</w:t>
            </w:r>
          </w:p>
        </w:tc>
      </w:tr>
      <w:tr>
        <w:tblPrEx>
          <w:tblLayout w:type="fixed"/>
          <w:tblCellMar>
            <w:top w:w="15" w:type="dxa"/>
            <w:left w:w="15" w:type="dxa"/>
            <w:bottom w:w="15" w:type="dxa"/>
            <w:right w:w="15" w:type="dxa"/>
          </w:tblCellMar>
        </w:tblPrEx>
        <w:trPr>
          <w:trHeight w:val="0" w:hRule="atLeast"/>
          <w:jc w:val="center"/>
        </w:trPr>
        <w:tc>
          <w:tcPr>
            <w:tcW w:w="6519" w:type="dxa"/>
            <w:gridSpan w:val="3"/>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部门</w:t>
            </w:r>
            <w:r>
              <w:rPr>
                <w:rFonts w:ascii="Times New Roman" w:hAnsi="Times New Roman" w:eastAsia="Times New Roman" w:cs="Times New Roman"/>
                <w:b w:val="0"/>
                <w:bCs w:val="0"/>
                <w:i w:val="0"/>
                <w:iCs w:val="0"/>
                <w:smallCaps w:val="0"/>
                <w:color w:val="000000"/>
                <w:kern w:val="0"/>
                <w:sz w:val="18"/>
                <w:szCs w:val="18"/>
              </w:rPr>
              <w:t>/</w:t>
            </w:r>
            <w:r>
              <w:rPr>
                <w:rFonts w:ascii="宋体" w:hAnsi="宋体" w:eastAsia="宋体" w:cs="宋体"/>
                <w:b w:val="0"/>
                <w:bCs w:val="0"/>
                <w:i w:val="0"/>
                <w:iCs w:val="0"/>
                <w:smallCaps w:val="0"/>
                <w:color w:val="000000"/>
                <w:kern w:val="0"/>
                <w:sz w:val="18"/>
                <w:szCs w:val="18"/>
              </w:rPr>
              <w:t>单位：厦门市寨上小学</w:t>
            </w:r>
            <w:r>
              <w:rPr>
                <w:rFonts w:hint="eastAsia" w:ascii="宋体" w:hAnsi="宋体" w:cs="宋体"/>
                <w:b w:val="0"/>
                <w:bCs w:val="0"/>
                <w:i w:val="0"/>
                <w:iCs w:val="0"/>
                <w:smallCaps w:val="0"/>
                <w:color w:val="000000"/>
                <w:kern w:val="0"/>
                <w:sz w:val="18"/>
                <w:szCs w:val="18"/>
                <w:lang w:val="en-US" w:eastAsia="zh-CN"/>
              </w:rPr>
              <w:t xml:space="preserve">                      </w:t>
            </w:r>
            <w:r>
              <w:rPr>
                <w:rFonts w:ascii="Times New Roman" w:hAnsi="Times New Roman" w:eastAsia="Times New Roman" w:cs="Times New Roman"/>
                <w:b w:val="0"/>
                <w:bCs w:val="0"/>
                <w:i w:val="0"/>
                <w:iCs w:val="0"/>
                <w:smallCaps w:val="0"/>
                <w:color w:val="000000"/>
                <w:kern w:val="0"/>
                <w:sz w:val="18"/>
                <w:szCs w:val="18"/>
              </w:rPr>
              <w:t>2024</w:t>
            </w:r>
            <w:r>
              <w:rPr>
                <w:rFonts w:ascii="宋体" w:hAnsi="宋体" w:eastAsia="宋体" w:cs="宋体"/>
                <w:b w:val="0"/>
                <w:bCs w:val="0"/>
                <w:i w:val="0"/>
                <w:iCs w:val="0"/>
                <w:smallCaps w:val="0"/>
                <w:color w:val="000000"/>
                <w:kern w:val="0"/>
                <w:sz w:val="18"/>
                <w:szCs w:val="18"/>
              </w:rPr>
              <w:t>年度</w:t>
            </w:r>
          </w:p>
        </w:tc>
        <w:tc>
          <w:tcPr>
            <w:tcW w:w="2547"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金额单位：万元</w:t>
            </w:r>
          </w:p>
        </w:tc>
      </w:tr>
      <w:tr>
        <w:tblPrEx>
          <w:tblLayout w:type="fixed"/>
          <w:tblCellMar>
            <w:top w:w="15" w:type="dxa"/>
            <w:left w:w="15" w:type="dxa"/>
            <w:bottom w:w="15" w:type="dxa"/>
            <w:right w:w="15" w:type="dxa"/>
          </w:tblCellMar>
        </w:tblPrEx>
        <w:trPr>
          <w:trHeight w:val="0" w:hRule="atLeast"/>
          <w:jc w:val="center"/>
        </w:trPr>
        <w:tc>
          <w:tcPr>
            <w:tcW w:w="5019"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w:t>
            </w:r>
          </w:p>
        </w:tc>
        <w:tc>
          <w:tcPr>
            <w:tcW w:w="4047"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本年支出</w:t>
            </w:r>
          </w:p>
        </w:tc>
      </w:tr>
      <w:tr>
        <w:tblPrEx>
          <w:tblLayout w:type="fixed"/>
          <w:tblCellMar>
            <w:top w:w="15" w:type="dxa"/>
            <w:left w:w="15" w:type="dxa"/>
            <w:bottom w:w="15" w:type="dxa"/>
            <w:right w:w="15" w:type="dxa"/>
          </w:tblCellMar>
        </w:tblPrEx>
        <w:trPr>
          <w:trHeight w:val="312" w:hRule="atLeast"/>
          <w:tblHeader/>
          <w:jc w:val="center"/>
        </w:trPr>
        <w:tc>
          <w:tcPr>
            <w:tcW w:w="1839"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科目代码</w:t>
            </w:r>
          </w:p>
        </w:tc>
        <w:tc>
          <w:tcPr>
            <w:tcW w:w="3180"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科目名称</w:t>
            </w:r>
          </w:p>
        </w:tc>
        <w:tc>
          <w:tcPr>
            <w:tcW w:w="1500"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小计</w:t>
            </w:r>
          </w:p>
        </w:tc>
        <w:tc>
          <w:tcPr>
            <w:tcW w:w="136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基本支出</w:t>
            </w:r>
          </w:p>
        </w:tc>
        <w:tc>
          <w:tcPr>
            <w:tcW w:w="1182"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项目支出</w:t>
            </w:r>
          </w:p>
        </w:tc>
      </w:tr>
      <w:tr>
        <w:tblPrEx>
          <w:tblLayout w:type="fixed"/>
          <w:tblCellMar>
            <w:top w:w="15" w:type="dxa"/>
            <w:left w:w="15" w:type="dxa"/>
            <w:bottom w:w="15" w:type="dxa"/>
            <w:right w:w="15" w:type="dxa"/>
          </w:tblCellMar>
        </w:tblPrEx>
        <w:trPr>
          <w:trHeight w:val="312" w:hRule="atLeast"/>
          <w:tblHeader/>
          <w:jc w:val="center"/>
        </w:trPr>
        <w:tc>
          <w:tcPr>
            <w:tcW w:w="1839"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3180"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500"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36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8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0" w:hRule="atLeast"/>
          <w:tblHeader/>
          <w:jc w:val="center"/>
        </w:trPr>
        <w:tc>
          <w:tcPr>
            <w:tcW w:w="1839"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3180"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5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13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11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r>
      <w:tr>
        <w:tblPrEx>
          <w:tblLayout w:type="fixed"/>
          <w:tblCellMar>
            <w:top w:w="15" w:type="dxa"/>
            <w:left w:w="15" w:type="dxa"/>
            <w:bottom w:w="15" w:type="dxa"/>
            <w:right w:w="15" w:type="dxa"/>
          </w:tblCellMar>
        </w:tblPrEx>
        <w:trPr>
          <w:trHeight w:val="0" w:hRule="atLeast"/>
          <w:jc w:val="center"/>
        </w:trPr>
        <w:tc>
          <w:tcPr>
            <w:tcW w:w="5019"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合计</w:t>
            </w:r>
          </w:p>
        </w:tc>
        <w:tc>
          <w:tcPr>
            <w:tcW w:w="15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3,051.62</w:t>
            </w:r>
          </w:p>
        </w:tc>
        <w:tc>
          <w:tcPr>
            <w:tcW w:w="13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2,567.05</w:t>
            </w:r>
          </w:p>
        </w:tc>
        <w:tc>
          <w:tcPr>
            <w:tcW w:w="11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484.57</w:t>
            </w:r>
          </w:p>
        </w:tc>
      </w:tr>
      <w:tr>
        <w:tblPrEx>
          <w:tblLayout w:type="fixed"/>
          <w:tblCellMar>
            <w:top w:w="15" w:type="dxa"/>
            <w:left w:w="15" w:type="dxa"/>
            <w:bottom w:w="15" w:type="dxa"/>
            <w:right w:w="15" w:type="dxa"/>
          </w:tblCellMar>
        </w:tblPrEx>
        <w:trPr>
          <w:trHeight w:val="0" w:hRule="atLeast"/>
          <w:jc w:val="center"/>
        </w:trPr>
        <w:tc>
          <w:tcPr>
            <w:tcW w:w="183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w:t>
            </w:r>
          </w:p>
        </w:tc>
        <w:tc>
          <w:tcPr>
            <w:tcW w:w="31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教育支出</w:t>
            </w:r>
          </w:p>
        </w:tc>
        <w:tc>
          <w:tcPr>
            <w:tcW w:w="15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2,581.89</w:t>
            </w:r>
          </w:p>
        </w:tc>
        <w:tc>
          <w:tcPr>
            <w:tcW w:w="13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2,097.32</w:t>
            </w:r>
          </w:p>
        </w:tc>
        <w:tc>
          <w:tcPr>
            <w:tcW w:w="11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484.57</w:t>
            </w:r>
          </w:p>
        </w:tc>
      </w:tr>
      <w:tr>
        <w:tblPrEx>
          <w:tblLayout w:type="fixed"/>
          <w:tblCellMar>
            <w:top w:w="15" w:type="dxa"/>
            <w:left w:w="15" w:type="dxa"/>
            <w:bottom w:w="15" w:type="dxa"/>
            <w:right w:w="15" w:type="dxa"/>
          </w:tblCellMar>
        </w:tblPrEx>
        <w:trPr>
          <w:trHeight w:val="0" w:hRule="atLeast"/>
          <w:jc w:val="center"/>
        </w:trPr>
        <w:tc>
          <w:tcPr>
            <w:tcW w:w="183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w:t>
            </w:r>
          </w:p>
        </w:tc>
        <w:tc>
          <w:tcPr>
            <w:tcW w:w="31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普通教育</w:t>
            </w:r>
          </w:p>
        </w:tc>
        <w:tc>
          <w:tcPr>
            <w:tcW w:w="15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2,217.7</w:t>
            </w:r>
          </w:p>
        </w:tc>
        <w:tc>
          <w:tcPr>
            <w:tcW w:w="13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2,097.32</w:t>
            </w:r>
          </w:p>
        </w:tc>
        <w:tc>
          <w:tcPr>
            <w:tcW w:w="11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120.37</w:t>
            </w:r>
          </w:p>
        </w:tc>
      </w:tr>
      <w:tr>
        <w:tblPrEx>
          <w:tblLayout w:type="fixed"/>
          <w:tblCellMar>
            <w:top w:w="15" w:type="dxa"/>
            <w:left w:w="15" w:type="dxa"/>
            <w:bottom w:w="15" w:type="dxa"/>
            <w:right w:w="15" w:type="dxa"/>
          </w:tblCellMar>
        </w:tblPrEx>
        <w:trPr>
          <w:trHeight w:val="0" w:hRule="atLeast"/>
          <w:jc w:val="center"/>
        </w:trPr>
        <w:tc>
          <w:tcPr>
            <w:tcW w:w="183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2050202</w:t>
            </w:r>
          </w:p>
        </w:tc>
        <w:tc>
          <w:tcPr>
            <w:tcW w:w="31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小学教育</w:t>
            </w:r>
          </w:p>
        </w:tc>
        <w:tc>
          <w:tcPr>
            <w:tcW w:w="15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2,045.69</w:t>
            </w:r>
          </w:p>
        </w:tc>
        <w:tc>
          <w:tcPr>
            <w:tcW w:w="13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2,045.69</w:t>
            </w:r>
          </w:p>
        </w:tc>
        <w:tc>
          <w:tcPr>
            <w:tcW w:w="11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83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2050299</w:t>
            </w:r>
          </w:p>
        </w:tc>
        <w:tc>
          <w:tcPr>
            <w:tcW w:w="31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其他普通教育支出</w:t>
            </w:r>
          </w:p>
        </w:tc>
        <w:tc>
          <w:tcPr>
            <w:tcW w:w="15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172.01</w:t>
            </w:r>
          </w:p>
        </w:tc>
        <w:tc>
          <w:tcPr>
            <w:tcW w:w="13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51.64</w:t>
            </w:r>
          </w:p>
        </w:tc>
        <w:tc>
          <w:tcPr>
            <w:tcW w:w="11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120.37</w:t>
            </w:r>
          </w:p>
        </w:tc>
      </w:tr>
      <w:tr>
        <w:tblPrEx>
          <w:tblLayout w:type="fixed"/>
          <w:tblCellMar>
            <w:top w:w="15" w:type="dxa"/>
            <w:left w:w="15" w:type="dxa"/>
            <w:bottom w:w="15" w:type="dxa"/>
            <w:right w:w="15" w:type="dxa"/>
          </w:tblCellMar>
        </w:tblPrEx>
        <w:trPr>
          <w:trHeight w:val="0" w:hRule="atLeast"/>
          <w:jc w:val="center"/>
        </w:trPr>
        <w:tc>
          <w:tcPr>
            <w:tcW w:w="183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20509</w:t>
            </w:r>
          </w:p>
        </w:tc>
        <w:tc>
          <w:tcPr>
            <w:tcW w:w="31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教育费附加安排的支出</w:t>
            </w:r>
          </w:p>
        </w:tc>
        <w:tc>
          <w:tcPr>
            <w:tcW w:w="15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364.19</w:t>
            </w:r>
          </w:p>
        </w:tc>
        <w:tc>
          <w:tcPr>
            <w:tcW w:w="13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364.19</w:t>
            </w:r>
          </w:p>
        </w:tc>
      </w:tr>
      <w:tr>
        <w:tblPrEx>
          <w:tblLayout w:type="fixed"/>
          <w:tblCellMar>
            <w:top w:w="15" w:type="dxa"/>
            <w:left w:w="15" w:type="dxa"/>
            <w:bottom w:w="15" w:type="dxa"/>
            <w:right w:w="15" w:type="dxa"/>
          </w:tblCellMar>
        </w:tblPrEx>
        <w:trPr>
          <w:trHeight w:val="0" w:hRule="atLeast"/>
          <w:jc w:val="center"/>
        </w:trPr>
        <w:tc>
          <w:tcPr>
            <w:tcW w:w="183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2050999</w:t>
            </w:r>
          </w:p>
        </w:tc>
        <w:tc>
          <w:tcPr>
            <w:tcW w:w="31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其他教育费附加安排的支出</w:t>
            </w:r>
          </w:p>
        </w:tc>
        <w:tc>
          <w:tcPr>
            <w:tcW w:w="15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364.19</w:t>
            </w:r>
          </w:p>
        </w:tc>
        <w:tc>
          <w:tcPr>
            <w:tcW w:w="13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364.19</w:t>
            </w:r>
          </w:p>
        </w:tc>
      </w:tr>
      <w:tr>
        <w:tblPrEx>
          <w:tblLayout w:type="fixed"/>
          <w:tblCellMar>
            <w:top w:w="15" w:type="dxa"/>
            <w:left w:w="15" w:type="dxa"/>
            <w:bottom w:w="15" w:type="dxa"/>
            <w:right w:w="15" w:type="dxa"/>
          </w:tblCellMar>
        </w:tblPrEx>
        <w:trPr>
          <w:trHeight w:val="0" w:hRule="atLeast"/>
          <w:jc w:val="center"/>
        </w:trPr>
        <w:tc>
          <w:tcPr>
            <w:tcW w:w="183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w:t>
            </w:r>
          </w:p>
        </w:tc>
        <w:tc>
          <w:tcPr>
            <w:tcW w:w="31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社会保障和就业支出</w:t>
            </w:r>
          </w:p>
        </w:tc>
        <w:tc>
          <w:tcPr>
            <w:tcW w:w="15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334.95</w:t>
            </w:r>
          </w:p>
        </w:tc>
        <w:tc>
          <w:tcPr>
            <w:tcW w:w="13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334.95</w:t>
            </w:r>
          </w:p>
        </w:tc>
        <w:tc>
          <w:tcPr>
            <w:tcW w:w="11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83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w:t>
            </w:r>
          </w:p>
        </w:tc>
        <w:tc>
          <w:tcPr>
            <w:tcW w:w="31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行政事业单位养老支出</w:t>
            </w:r>
          </w:p>
        </w:tc>
        <w:tc>
          <w:tcPr>
            <w:tcW w:w="15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334.95</w:t>
            </w:r>
          </w:p>
        </w:tc>
        <w:tc>
          <w:tcPr>
            <w:tcW w:w="13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334.95</w:t>
            </w:r>
          </w:p>
        </w:tc>
        <w:tc>
          <w:tcPr>
            <w:tcW w:w="11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83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2080502</w:t>
            </w:r>
          </w:p>
        </w:tc>
        <w:tc>
          <w:tcPr>
            <w:tcW w:w="31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事业单位离退休</w:t>
            </w:r>
          </w:p>
        </w:tc>
        <w:tc>
          <w:tcPr>
            <w:tcW w:w="15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74.58</w:t>
            </w:r>
          </w:p>
        </w:tc>
        <w:tc>
          <w:tcPr>
            <w:tcW w:w="13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74.58</w:t>
            </w:r>
          </w:p>
        </w:tc>
        <w:tc>
          <w:tcPr>
            <w:tcW w:w="11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83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2080505</w:t>
            </w:r>
          </w:p>
        </w:tc>
        <w:tc>
          <w:tcPr>
            <w:tcW w:w="31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机关事业单位基本养老保险缴费支出</w:t>
            </w:r>
          </w:p>
        </w:tc>
        <w:tc>
          <w:tcPr>
            <w:tcW w:w="15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167.15</w:t>
            </w:r>
          </w:p>
        </w:tc>
        <w:tc>
          <w:tcPr>
            <w:tcW w:w="13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167.15</w:t>
            </w:r>
          </w:p>
        </w:tc>
        <w:tc>
          <w:tcPr>
            <w:tcW w:w="11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83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2080506</w:t>
            </w:r>
          </w:p>
        </w:tc>
        <w:tc>
          <w:tcPr>
            <w:tcW w:w="31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机关事业单位职业年金缴费支出</w:t>
            </w:r>
          </w:p>
        </w:tc>
        <w:tc>
          <w:tcPr>
            <w:tcW w:w="15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93.22</w:t>
            </w:r>
          </w:p>
        </w:tc>
        <w:tc>
          <w:tcPr>
            <w:tcW w:w="13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93.22</w:t>
            </w:r>
          </w:p>
        </w:tc>
        <w:tc>
          <w:tcPr>
            <w:tcW w:w="11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83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w:t>
            </w:r>
          </w:p>
        </w:tc>
        <w:tc>
          <w:tcPr>
            <w:tcW w:w="31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卫生健康支出</w:t>
            </w:r>
          </w:p>
        </w:tc>
        <w:tc>
          <w:tcPr>
            <w:tcW w:w="15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108.12</w:t>
            </w:r>
          </w:p>
        </w:tc>
        <w:tc>
          <w:tcPr>
            <w:tcW w:w="13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108.12</w:t>
            </w:r>
          </w:p>
        </w:tc>
        <w:tc>
          <w:tcPr>
            <w:tcW w:w="11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83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w:t>
            </w:r>
          </w:p>
        </w:tc>
        <w:tc>
          <w:tcPr>
            <w:tcW w:w="31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行政事业单位医疗</w:t>
            </w:r>
          </w:p>
        </w:tc>
        <w:tc>
          <w:tcPr>
            <w:tcW w:w="15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108.12</w:t>
            </w:r>
          </w:p>
        </w:tc>
        <w:tc>
          <w:tcPr>
            <w:tcW w:w="13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108.12</w:t>
            </w:r>
          </w:p>
        </w:tc>
        <w:tc>
          <w:tcPr>
            <w:tcW w:w="11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83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2101102</w:t>
            </w:r>
          </w:p>
        </w:tc>
        <w:tc>
          <w:tcPr>
            <w:tcW w:w="31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事业单位医疗</w:t>
            </w:r>
          </w:p>
        </w:tc>
        <w:tc>
          <w:tcPr>
            <w:tcW w:w="15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71.56</w:t>
            </w:r>
          </w:p>
        </w:tc>
        <w:tc>
          <w:tcPr>
            <w:tcW w:w="13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71.56</w:t>
            </w:r>
          </w:p>
        </w:tc>
        <w:tc>
          <w:tcPr>
            <w:tcW w:w="11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83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2101199</w:t>
            </w:r>
          </w:p>
        </w:tc>
        <w:tc>
          <w:tcPr>
            <w:tcW w:w="31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其他行政事业单位医疗支出</w:t>
            </w:r>
          </w:p>
        </w:tc>
        <w:tc>
          <w:tcPr>
            <w:tcW w:w="15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36.56</w:t>
            </w:r>
          </w:p>
        </w:tc>
        <w:tc>
          <w:tcPr>
            <w:tcW w:w="13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36.56</w:t>
            </w:r>
          </w:p>
        </w:tc>
        <w:tc>
          <w:tcPr>
            <w:tcW w:w="11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83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w:t>
            </w:r>
          </w:p>
        </w:tc>
        <w:tc>
          <w:tcPr>
            <w:tcW w:w="31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住房保障支出</w:t>
            </w:r>
          </w:p>
        </w:tc>
        <w:tc>
          <w:tcPr>
            <w:tcW w:w="15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26.65</w:t>
            </w:r>
          </w:p>
        </w:tc>
        <w:tc>
          <w:tcPr>
            <w:tcW w:w="13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26.65</w:t>
            </w:r>
          </w:p>
        </w:tc>
        <w:tc>
          <w:tcPr>
            <w:tcW w:w="11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83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22102</w:t>
            </w:r>
          </w:p>
        </w:tc>
        <w:tc>
          <w:tcPr>
            <w:tcW w:w="31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住房改革支出</w:t>
            </w:r>
          </w:p>
        </w:tc>
        <w:tc>
          <w:tcPr>
            <w:tcW w:w="15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26.65</w:t>
            </w:r>
          </w:p>
        </w:tc>
        <w:tc>
          <w:tcPr>
            <w:tcW w:w="13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26.65</w:t>
            </w:r>
          </w:p>
        </w:tc>
        <w:tc>
          <w:tcPr>
            <w:tcW w:w="11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83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2210203</w:t>
            </w:r>
          </w:p>
        </w:tc>
        <w:tc>
          <w:tcPr>
            <w:tcW w:w="31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购房补贴</w:t>
            </w:r>
          </w:p>
        </w:tc>
        <w:tc>
          <w:tcPr>
            <w:tcW w:w="15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26.65</w:t>
            </w:r>
          </w:p>
        </w:tc>
        <w:tc>
          <w:tcPr>
            <w:tcW w:w="13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26.65</w:t>
            </w:r>
          </w:p>
        </w:tc>
        <w:tc>
          <w:tcPr>
            <w:tcW w:w="11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9066" w:type="dxa"/>
            <w:gridSpan w:val="5"/>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注：本表反映部门本年度一般公共预算财政拨款支出情况。</w:t>
            </w:r>
          </w:p>
        </w:tc>
      </w:tr>
    </w:tbl>
    <w:p>
      <w:pPr>
        <w:widowControl/>
        <w:jc w:val="left"/>
        <w:rPr>
          <w:rFonts w:ascii="Times New Roman" w:hAnsi="Times New Roman" w:eastAsia="Times New Roman" w:cs="Times New Roman"/>
          <w:kern w:val="0"/>
          <w:sz w:val="24"/>
        </w:rPr>
      </w:pPr>
    </w:p>
    <w:p>
      <w:pPr>
        <w:widowControl/>
        <w:ind w:firstLine="240" w:firstLineChars="100"/>
        <w:jc w:val="left"/>
        <w:rPr>
          <w:rFonts w:ascii="Times New Roman" w:hAnsi="Times New Roman" w:eastAsia="Times New Roman" w:cs="Times New Roman"/>
          <w:b/>
          <w:bCs/>
          <w:kern w:val="0"/>
          <w:sz w:val="32"/>
          <w:szCs w:val="32"/>
        </w:rPr>
      </w:pPr>
      <w:r>
        <w:rPr>
          <w:rFonts w:ascii="Times New Roman" w:hAnsi="Times New Roman" w:eastAsia="Times New Roman" w:cs="Times New Roman"/>
          <w:kern w:val="0"/>
          <w:sz w:val="24"/>
        </w:rPr>
        <w:t> </w:t>
      </w:r>
      <w:bookmarkStart w:id="49" w:name="_Toc256000043"/>
      <w:bookmarkStart w:id="50" w:name="_Toc256000105"/>
      <w:bookmarkStart w:id="51" w:name="_Toc256000074"/>
      <w:bookmarkStart w:id="52" w:name="_Toc256000012"/>
      <w:r>
        <w:rPr>
          <w:rFonts w:ascii="黑体" w:hAnsi="黑体" w:eastAsia="黑体" w:cs="黑体"/>
          <w:b/>
          <w:spacing w:val="0"/>
          <w:sz w:val="32"/>
          <w:szCs w:val="32"/>
        </w:rPr>
        <w:t>六、一般公共预算财政拨款基本支出决算表</w:t>
      </w:r>
      <w:bookmarkEnd w:id="49"/>
      <w:bookmarkEnd w:id="50"/>
      <w:bookmarkEnd w:id="51"/>
      <w:bookmarkEnd w:id="52"/>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horizontal layout</w:t>
      </w:r>
    </w:p>
    <w:tbl>
      <w:tblPr>
        <w:tblStyle w:val="25"/>
        <w:tblW w:w="9066" w:type="dxa"/>
        <w:jc w:val="center"/>
        <w:tblInd w:w="0" w:type="dxa"/>
        <w:tblLayout w:type="fixed"/>
        <w:tblCellMar>
          <w:top w:w="15" w:type="dxa"/>
          <w:left w:w="15" w:type="dxa"/>
          <w:bottom w:w="15" w:type="dxa"/>
          <w:right w:w="15" w:type="dxa"/>
        </w:tblCellMar>
      </w:tblPr>
      <w:tblGrid>
        <w:gridCol w:w="591"/>
        <w:gridCol w:w="1920"/>
        <w:gridCol w:w="732"/>
        <w:gridCol w:w="648"/>
        <w:gridCol w:w="1668"/>
        <w:gridCol w:w="600"/>
        <w:gridCol w:w="588"/>
        <w:gridCol w:w="1860"/>
        <w:gridCol w:w="459"/>
      </w:tblGrid>
      <w:tr>
        <w:tblPrEx>
          <w:tblLayout w:type="fixed"/>
          <w:tblCellMar>
            <w:top w:w="15" w:type="dxa"/>
            <w:left w:w="15" w:type="dxa"/>
            <w:bottom w:w="15" w:type="dxa"/>
            <w:right w:w="15" w:type="dxa"/>
          </w:tblCellMar>
        </w:tblPrEx>
        <w:trPr>
          <w:trHeight w:val="0" w:hRule="atLeast"/>
          <w:tblHeader/>
          <w:jc w:val="center"/>
        </w:trPr>
        <w:tc>
          <w:tcPr>
            <w:tcW w:w="9066" w:type="dxa"/>
            <w:gridSpan w:val="9"/>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32"/>
                <w:szCs w:val="32"/>
              </w:rPr>
              <w:t>一般公共预算财政拨款基本支出决算表</w:t>
            </w:r>
          </w:p>
        </w:tc>
      </w:tr>
      <w:tr>
        <w:tblPrEx>
          <w:tblLayout w:type="fixed"/>
          <w:tblCellMar>
            <w:top w:w="15" w:type="dxa"/>
            <w:left w:w="15" w:type="dxa"/>
            <w:bottom w:w="15" w:type="dxa"/>
            <w:right w:w="15" w:type="dxa"/>
          </w:tblCellMar>
        </w:tblPrEx>
        <w:trPr>
          <w:trHeight w:val="0" w:hRule="atLeast"/>
          <w:tblHeader/>
          <w:jc w:val="center"/>
        </w:trPr>
        <w:tc>
          <w:tcPr>
            <w:tcW w:w="59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920"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3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4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66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00"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8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60"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59"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0" w:hRule="atLeast"/>
          <w:tblHeader/>
          <w:jc w:val="center"/>
        </w:trPr>
        <w:tc>
          <w:tcPr>
            <w:tcW w:w="3891" w:type="dxa"/>
            <w:gridSpan w:val="4"/>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部门</w:t>
            </w:r>
            <w:r>
              <w:rPr>
                <w:rFonts w:ascii="Times New Roman" w:hAnsi="Times New Roman" w:eastAsia="Times New Roman" w:cs="Times New Roman"/>
                <w:b w:val="0"/>
                <w:bCs w:val="0"/>
                <w:i w:val="0"/>
                <w:iCs w:val="0"/>
                <w:smallCaps w:val="0"/>
                <w:color w:val="000000"/>
                <w:kern w:val="0"/>
                <w:sz w:val="18"/>
                <w:szCs w:val="18"/>
              </w:rPr>
              <w:t>/</w:t>
            </w:r>
            <w:r>
              <w:rPr>
                <w:rFonts w:ascii="宋体" w:hAnsi="宋体" w:eastAsia="宋体" w:cs="宋体"/>
                <w:b w:val="0"/>
                <w:bCs w:val="0"/>
                <w:i w:val="0"/>
                <w:iCs w:val="0"/>
                <w:smallCaps w:val="0"/>
                <w:color w:val="000000"/>
                <w:kern w:val="0"/>
                <w:sz w:val="18"/>
                <w:szCs w:val="18"/>
              </w:rPr>
              <w:t>单位：厦门市寨上小学</w:t>
            </w:r>
          </w:p>
        </w:tc>
        <w:tc>
          <w:tcPr>
            <w:tcW w:w="166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2024</w:t>
            </w:r>
            <w:r>
              <w:rPr>
                <w:rFonts w:ascii="宋体" w:hAnsi="宋体" w:eastAsia="宋体" w:cs="宋体"/>
                <w:b w:val="0"/>
                <w:bCs w:val="0"/>
                <w:i w:val="0"/>
                <w:iCs w:val="0"/>
                <w:smallCaps w:val="0"/>
                <w:color w:val="000000"/>
                <w:kern w:val="0"/>
                <w:sz w:val="18"/>
                <w:szCs w:val="18"/>
              </w:rPr>
              <w:t>年度</w:t>
            </w:r>
          </w:p>
        </w:tc>
        <w:tc>
          <w:tcPr>
            <w:tcW w:w="600"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8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319"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r>
              <w:rPr>
                <w:rFonts w:ascii="宋体" w:hAnsi="宋体" w:eastAsia="宋体" w:cs="宋体"/>
                <w:b w:val="0"/>
                <w:bCs w:val="0"/>
                <w:i w:val="0"/>
                <w:iCs w:val="0"/>
                <w:smallCaps w:val="0"/>
                <w:color w:val="000000"/>
                <w:kern w:val="0"/>
                <w:sz w:val="18"/>
                <w:szCs w:val="18"/>
              </w:rPr>
              <w:t>金额单位：万元</w:t>
            </w:r>
          </w:p>
        </w:tc>
      </w:tr>
      <w:tr>
        <w:tblPrEx>
          <w:tblLayout w:type="fixed"/>
          <w:tblCellMar>
            <w:top w:w="15" w:type="dxa"/>
            <w:left w:w="15" w:type="dxa"/>
            <w:bottom w:w="15" w:type="dxa"/>
            <w:right w:w="15" w:type="dxa"/>
          </w:tblCellMar>
        </w:tblPrEx>
        <w:trPr>
          <w:trHeight w:val="312" w:hRule="atLeast"/>
          <w:tblHeader/>
          <w:jc w:val="center"/>
        </w:trPr>
        <w:tc>
          <w:tcPr>
            <w:tcW w:w="591"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经济分类科目编码</w:t>
            </w:r>
          </w:p>
        </w:tc>
        <w:tc>
          <w:tcPr>
            <w:tcW w:w="1920"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科目名称</w:t>
            </w:r>
          </w:p>
        </w:tc>
        <w:tc>
          <w:tcPr>
            <w:tcW w:w="732"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w:t>
            </w:r>
          </w:p>
        </w:tc>
        <w:tc>
          <w:tcPr>
            <w:tcW w:w="648"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经济分类科目编码</w:t>
            </w:r>
          </w:p>
        </w:tc>
        <w:tc>
          <w:tcPr>
            <w:tcW w:w="1668"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科目名称</w:t>
            </w:r>
          </w:p>
        </w:tc>
        <w:tc>
          <w:tcPr>
            <w:tcW w:w="600"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w:t>
            </w:r>
          </w:p>
        </w:tc>
        <w:tc>
          <w:tcPr>
            <w:tcW w:w="588"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经济分类科目编码</w:t>
            </w:r>
          </w:p>
        </w:tc>
        <w:tc>
          <w:tcPr>
            <w:tcW w:w="1860"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科目名称</w:t>
            </w:r>
          </w:p>
        </w:tc>
        <w:tc>
          <w:tcPr>
            <w:tcW w:w="459"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w:t>
            </w:r>
          </w:p>
        </w:tc>
      </w:tr>
      <w:tr>
        <w:tblPrEx>
          <w:tblLayout w:type="fixed"/>
          <w:tblCellMar>
            <w:top w:w="15" w:type="dxa"/>
            <w:left w:w="15" w:type="dxa"/>
            <w:bottom w:w="15" w:type="dxa"/>
            <w:right w:w="15" w:type="dxa"/>
          </w:tblCellMar>
        </w:tblPrEx>
        <w:trPr>
          <w:trHeight w:val="312" w:hRule="atLeast"/>
          <w:tblHeader/>
          <w:jc w:val="center"/>
        </w:trPr>
        <w:tc>
          <w:tcPr>
            <w:tcW w:w="591"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920"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3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64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66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600"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58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860"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459"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0" w:hRule="atLeast"/>
          <w:tblHeader/>
          <w:jc w:val="center"/>
        </w:trPr>
        <w:tc>
          <w:tcPr>
            <w:tcW w:w="59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w:t>
            </w:r>
          </w:p>
        </w:tc>
        <w:tc>
          <w:tcPr>
            <w:tcW w:w="19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工资福利支出</w:t>
            </w:r>
          </w:p>
        </w:tc>
        <w:tc>
          <w:tcPr>
            <w:tcW w:w="7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2,242.67</w:t>
            </w:r>
          </w:p>
        </w:tc>
        <w:tc>
          <w:tcPr>
            <w:tcW w:w="6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w:t>
            </w:r>
          </w:p>
        </w:tc>
        <w:tc>
          <w:tcPr>
            <w:tcW w:w="16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商品和服务支出</w:t>
            </w:r>
          </w:p>
        </w:tc>
        <w:tc>
          <w:tcPr>
            <w:tcW w:w="6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201.41</w:t>
            </w:r>
          </w:p>
        </w:tc>
        <w:tc>
          <w:tcPr>
            <w:tcW w:w="5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30703</w:t>
            </w:r>
          </w:p>
        </w:tc>
        <w:tc>
          <w:tcPr>
            <w:tcW w:w="18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国内债务发行费用</w:t>
            </w:r>
          </w:p>
        </w:tc>
        <w:tc>
          <w:tcPr>
            <w:tcW w:w="4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59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30101</w:t>
            </w:r>
          </w:p>
        </w:tc>
        <w:tc>
          <w:tcPr>
            <w:tcW w:w="19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基本工资</w:t>
            </w:r>
          </w:p>
        </w:tc>
        <w:tc>
          <w:tcPr>
            <w:tcW w:w="7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301.59</w:t>
            </w:r>
          </w:p>
        </w:tc>
        <w:tc>
          <w:tcPr>
            <w:tcW w:w="6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30201</w:t>
            </w:r>
          </w:p>
        </w:tc>
        <w:tc>
          <w:tcPr>
            <w:tcW w:w="16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办公费</w:t>
            </w:r>
          </w:p>
        </w:tc>
        <w:tc>
          <w:tcPr>
            <w:tcW w:w="6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74.08</w:t>
            </w:r>
          </w:p>
        </w:tc>
        <w:tc>
          <w:tcPr>
            <w:tcW w:w="5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30704</w:t>
            </w:r>
          </w:p>
        </w:tc>
        <w:tc>
          <w:tcPr>
            <w:tcW w:w="18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国外债务发行费用</w:t>
            </w:r>
          </w:p>
        </w:tc>
        <w:tc>
          <w:tcPr>
            <w:tcW w:w="4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59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30102</w:t>
            </w:r>
          </w:p>
        </w:tc>
        <w:tc>
          <w:tcPr>
            <w:tcW w:w="19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津贴补贴</w:t>
            </w:r>
          </w:p>
        </w:tc>
        <w:tc>
          <w:tcPr>
            <w:tcW w:w="7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438.69</w:t>
            </w:r>
          </w:p>
        </w:tc>
        <w:tc>
          <w:tcPr>
            <w:tcW w:w="6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30202</w:t>
            </w:r>
          </w:p>
        </w:tc>
        <w:tc>
          <w:tcPr>
            <w:tcW w:w="16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印刷费</w:t>
            </w:r>
          </w:p>
        </w:tc>
        <w:tc>
          <w:tcPr>
            <w:tcW w:w="6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w:t>
            </w:r>
          </w:p>
        </w:tc>
        <w:tc>
          <w:tcPr>
            <w:tcW w:w="18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资本性支出</w:t>
            </w:r>
          </w:p>
        </w:tc>
        <w:tc>
          <w:tcPr>
            <w:tcW w:w="4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34.82</w:t>
            </w:r>
          </w:p>
        </w:tc>
      </w:tr>
      <w:tr>
        <w:tblPrEx>
          <w:tblLayout w:type="fixed"/>
          <w:tblCellMar>
            <w:top w:w="15" w:type="dxa"/>
            <w:left w:w="15" w:type="dxa"/>
            <w:bottom w:w="15" w:type="dxa"/>
            <w:right w:w="15" w:type="dxa"/>
          </w:tblCellMar>
        </w:tblPrEx>
        <w:trPr>
          <w:trHeight w:val="0" w:hRule="atLeast"/>
          <w:tblHeader/>
          <w:jc w:val="center"/>
        </w:trPr>
        <w:tc>
          <w:tcPr>
            <w:tcW w:w="59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30103</w:t>
            </w:r>
          </w:p>
        </w:tc>
        <w:tc>
          <w:tcPr>
            <w:tcW w:w="19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奖金</w:t>
            </w:r>
          </w:p>
        </w:tc>
        <w:tc>
          <w:tcPr>
            <w:tcW w:w="7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692.65</w:t>
            </w:r>
          </w:p>
        </w:tc>
        <w:tc>
          <w:tcPr>
            <w:tcW w:w="6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30203</w:t>
            </w:r>
          </w:p>
        </w:tc>
        <w:tc>
          <w:tcPr>
            <w:tcW w:w="16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咨询费</w:t>
            </w:r>
          </w:p>
        </w:tc>
        <w:tc>
          <w:tcPr>
            <w:tcW w:w="6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31001</w:t>
            </w:r>
          </w:p>
        </w:tc>
        <w:tc>
          <w:tcPr>
            <w:tcW w:w="18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房屋建筑物购建</w:t>
            </w:r>
          </w:p>
        </w:tc>
        <w:tc>
          <w:tcPr>
            <w:tcW w:w="4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59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30106</w:t>
            </w:r>
          </w:p>
        </w:tc>
        <w:tc>
          <w:tcPr>
            <w:tcW w:w="19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伙食补助费</w:t>
            </w:r>
          </w:p>
        </w:tc>
        <w:tc>
          <w:tcPr>
            <w:tcW w:w="7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30204</w:t>
            </w:r>
          </w:p>
        </w:tc>
        <w:tc>
          <w:tcPr>
            <w:tcW w:w="16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手续费</w:t>
            </w:r>
          </w:p>
        </w:tc>
        <w:tc>
          <w:tcPr>
            <w:tcW w:w="6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31002</w:t>
            </w:r>
          </w:p>
        </w:tc>
        <w:tc>
          <w:tcPr>
            <w:tcW w:w="18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办公设备购置</w:t>
            </w:r>
          </w:p>
        </w:tc>
        <w:tc>
          <w:tcPr>
            <w:tcW w:w="4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34.82</w:t>
            </w:r>
          </w:p>
        </w:tc>
      </w:tr>
      <w:tr>
        <w:tblPrEx>
          <w:tblLayout w:type="fixed"/>
          <w:tblCellMar>
            <w:top w:w="15" w:type="dxa"/>
            <w:left w:w="15" w:type="dxa"/>
            <w:bottom w:w="15" w:type="dxa"/>
            <w:right w:w="15" w:type="dxa"/>
          </w:tblCellMar>
        </w:tblPrEx>
        <w:trPr>
          <w:trHeight w:val="0" w:hRule="atLeast"/>
          <w:tblHeader/>
          <w:jc w:val="center"/>
        </w:trPr>
        <w:tc>
          <w:tcPr>
            <w:tcW w:w="59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30107</w:t>
            </w:r>
          </w:p>
        </w:tc>
        <w:tc>
          <w:tcPr>
            <w:tcW w:w="19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绩效工资</w:t>
            </w:r>
          </w:p>
        </w:tc>
        <w:tc>
          <w:tcPr>
            <w:tcW w:w="7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127.93</w:t>
            </w:r>
          </w:p>
        </w:tc>
        <w:tc>
          <w:tcPr>
            <w:tcW w:w="6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30205</w:t>
            </w:r>
          </w:p>
        </w:tc>
        <w:tc>
          <w:tcPr>
            <w:tcW w:w="16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水费</w:t>
            </w:r>
          </w:p>
        </w:tc>
        <w:tc>
          <w:tcPr>
            <w:tcW w:w="6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2.69</w:t>
            </w:r>
          </w:p>
        </w:tc>
        <w:tc>
          <w:tcPr>
            <w:tcW w:w="5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31003</w:t>
            </w:r>
          </w:p>
        </w:tc>
        <w:tc>
          <w:tcPr>
            <w:tcW w:w="18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专用设备购置</w:t>
            </w:r>
          </w:p>
        </w:tc>
        <w:tc>
          <w:tcPr>
            <w:tcW w:w="4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59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30108</w:t>
            </w:r>
          </w:p>
        </w:tc>
        <w:tc>
          <w:tcPr>
            <w:tcW w:w="19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机关事业单位基本养老保险缴费</w:t>
            </w:r>
          </w:p>
        </w:tc>
        <w:tc>
          <w:tcPr>
            <w:tcW w:w="7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167.15</w:t>
            </w:r>
          </w:p>
        </w:tc>
        <w:tc>
          <w:tcPr>
            <w:tcW w:w="6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30206</w:t>
            </w:r>
          </w:p>
        </w:tc>
        <w:tc>
          <w:tcPr>
            <w:tcW w:w="16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电费</w:t>
            </w:r>
          </w:p>
        </w:tc>
        <w:tc>
          <w:tcPr>
            <w:tcW w:w="6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17.6</w:t>
            </w:r>
          </w:p>
        </w:tc>
        <w:tc>
          <w:tcPr>
            <w:tcW w:w="5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31005</w:t>
            </w:r>
          </w:p>
        </w:tc>
        <w:tc>
          <w:tcPr>
            <w:tcW w:w="18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基础设施建设</w:t>
            </w:r>
          </w:p>
        </w:tc>
        <w:tc>
          <w:tcPr>
            <w:tcW w:w="4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59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30109</w:t>
            </w:r>
          </w:p>
        </w:tc>
        <w:tc>
          <w:tcPr>
            <w:tcW w:w="19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职业年金缴费</w:t>
            </w:r>
          </w:p>
        </w:tc>
        <w:tc>
          <w:tcPr>
            <w:tcW w:w="7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93.22</w:t>
            </w:r>
          </w:p>
        </w:tc>
        <w:tc>
          <w:tcPr>
            <w:tcW w:w="6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30207</w:t>
            </w:r>
          </w:p>
        </w:tc>
        <w:tc>
          <w:tcPr>
            <w:tcW w:w="16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邮电费</w:t>
            </w:r>
          </w:p>
        </w:tc>
        <w:tc>
          <w:tcPr>
            <w:tcW w:w="6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0.24</w:t>
            </w:r>
          </w:p>
        </w:tc>
        <w:tc>
          <w:tcPr>
            <w:tcW w:w="5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31006</w:t>
            </w:r>
          </w:p>
        </w:tc>
        <w:tc>
          <w:tcPr>
            <w:tcW w:w="18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大型修缮</w:t>
            </w:r>
          </w:p>
        </w:tc>
        <w:tc>
          <w:tcPr>
            <w:tcW w:w="4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59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30110</w:t>
            </w:r>
          </w:p>
        </w:tc>
        <w:tc>
          <w:tcPr>
            <w:tcW w:w="19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职工基本医疗保险缴费</w:t>
            </w:r>
          </w:p>
        </w:tc>
        <w:tc>
          <w:tcPr>
            <w:tcW w:w="7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71.56</w:t>
            </w:r>
          </w:p>
        </w:tc>
        <w:tc>
          <w:tcPr>
            <w:tcW w:w="6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30208</w:t>
            </w:r>
          </w:p>
        </w:tc>
        <w:tc>
          <w:tcPr>
            <w:tcW w:w="16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取暖费</w:t>
            </w:r>
          </w:p>
        </w:tc>
        <w:tc>
          <w:tcPr>
            <w:tcW w:w="6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31007</w:t>
            </w:r>
          </w:p>
        </w:tc>
        <w:tc>
          <w:tcPr>
            <w:tcW w:w="18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信息网络及软件购置更新</w:t>
            </w:r>
          </w:p>
        </w:tc>
        <w:tc>
          <w:tcPr>
            <w:tcW w:w="4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59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30111</w:t>
            </w:r>
          </w:p>
        </w:tc>
        <w:tc>
          <w:tcPr>
            <w:tcW w:w="19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公务员医疗补助缴费</w:t>
            </w:r>
          </w:p>
        </w:tc>
        <w:tc>
          <w:tcPr>
            <w:tcW w:w="7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30209</w:t>
            </w:r>
          </w:p>
        </w:tc>
        <w:tc>
          <w:tcPr>
            <w:tcW w:w="16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物业管理费</w:t>
            </w:r>
          </w:p>
        </w:tc>
        <w:tc>
          <w:tcPr>
            <w:tcW w:w="6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31008</w:t>
            </w:r>
          </w:p>
        </w:tc>
        <w:tc>
          <w:tcPr>
            <w:tcW w:w="18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物资储备</w:t>
            </w:r>
          </w:p>
        </w:tc>
        <w:tc>
          <w:tcPr>
            <w:tcW w:w="4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59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30112</w:t>
            </w:r>
          </w:p>
        </w:tc>
        <w:tc>
          <w:tcPr>
            <w:tcW w:w="19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其他社会保障缴费</w:t>
            </w:r>
          </w:p>
        </w:tc>
        <w:tc>
          <w:tcPr>
            <w:tcW w:w="7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49.21</w:t>
            </w:r>
          </w:p>
        </w:tc>
        <w:tc>
          <w:tcPr>
            <w:tcW w:w="6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30211</w:t>
            </w:r>
          </w:p>
        </w:tc>
        <w:tc>
          <w:tcPr>
            <w:tcW w:w="16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差旅费</w:t>
            </w:r>
          </w:p>
        </w:tc>
        <w:tc>
          <w:tcPr>
            <w:tcW w:w="6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31009</w:t>
            </w:r>
          </w:p>
        </w:tc>
        <w:tc>
          <w:tcPr>
            <w:tcW w:w="18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土地补偿</w:t>
            </w:r>
          </w:p>
        </w:tc>
        <w:tc>
          <w:tcPr>
            <w:tcW w:w="4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59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30113</w:t>
            </w:r>
          </w:p>
        </w:tc>
        <w:tc>
          <w:tcPr>
            <w:tcW w:w="19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住房公积金</w:t>
            </w:r>
          </w:p>
        </w:tc>
        <w:tc>
          <w:tcPr>
            <w:tcW w:w="7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181.12</w:t>
            </w:r>
          </w:p>
        </w:tc>
        <w:tc>
          <w:tcPr>
            <w:tcW w:w="6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30212</w:t>
            </w:r>
          </w:p>
        </w:tc>
        <w:tc>
          <w:tcPr>
            <w:tcW w:w="16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因公出国（境）费用</w:t>
            </w:r>
          </w:p>
        </w:tc>
        <w:tc>
          <w:tcPr>
            <w:tcW w:w="6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31010</w:t>
            </w:r>
          </w:p>
        </w:tc>
        <w:tc>
          <w:tcPr>
            <w:tcW w:w="18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安置补助</w:t>
            </w:r>
          </w:p>
        </w:tc>
        <w:tc>
          <w:tcPr>
            <w:tcW w:w="4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59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30114</w:t>
            </w:r>
          </w:p>
        </w:tc>
        <w:tc>
          <w:tcPr>
            <w:tcW w:w="19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医疗费</w:t>
            </w:r>
          </w:p>
        </w:tc>
        <w:tc>
          <w:tcPr>
            <w:tcW w:w="7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30213</w:t>
            </w:r>
          </w:p>
        </w:tc>
        <w:tc>
          <w:tcPr>
            <w:tcW w:w="16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维修（护）费</w:t>
            </w:r>
          </w:p>
        </w:tc>
        <w:tc>
          <w:tcPr>
            <w:tcW w:w="6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22.25</w:t>
            </w:r>
          </w:p>
        </w:tc>
        <w:tc>
          <w:tcPr>
            <w:tcW w:w="5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31011</w:t>
            </w:r>
          </w:p>
        </w:tc>
        <w:tc>
          <w:tcPr>
            <w:tcW w:w="18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地上附着物和青苗补偿</w:t>
            </w:r>
          </w:p>
        </w:tc>
        <w:tc>
          <w:tcPr>
            <w:tcW w:w="4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59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30199</w:t>
            </w:r>
          </w:p>
        </w:tc>
        <w:tc>
          <w:tcPr>
            <w:tcW w:w="19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其他工资福利支出</w:t>
            </w:r>
          </w:p>
        </w:tc>
        <w:tc>
          <w:tcPr>
            <w:tcW w:w="7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119.57</w:t>
            </w:r>
          </w:p>
        </w:tc>
        <w:tc>
          <w:tcPr>
            <w:tcW w:w="6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30214</w:t>
            </w:r>
          </w:p>
        </w:tc>
        <w:tc>
          <w:tcPr>
            <w:tcW w:w="16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租赁费</w:t>
            </w:r>
          </w:p>
        </w:tc>
        <w:tc>
          <w:tcPr>
            <w:tcW w:w="6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31012</w:t>
            </w:r>
          </w:p>
        </w:tc>
        <w:tc>
          <w:tcPr>
            <w:tcW w:w="18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拆迁补偿</w:t>
            </w:r>
          </w:p>
        </w:tc>
        <w:tc>
          <w:tcPr>
            <w:tcW w:w="4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59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w:t>
            </w:r>
          </w:p>
        </w:tc>
        <w:tc>
          <w:tcPr>
            <w:tcW w:w="19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对个人和家庭的补助</w:t>
            </w:r>
          </w:p>
        </w:tc>
        <w:tc>
          <w:tcPr>
            <w:tcW w:w="7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88.15</w:t>
            </w:r>
          </w:p>
        </w:tc>
        <w:tc>
          <w:tcPr>
            <w:tcW w:w="6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30215</w:t>
            </w:r>
          </w:p>
        </w:tc>
        <w:tc>
          <w:tcPr>
            <w:tcW w:w="16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会议费</w:t>
            </w:r>
          </w:p>
        </w:tc>
        <w:tc>
          <w:tcPr>
            <w:tcW w:w="6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31013</w:t>
            </w:r>
          </w:p>
        </w:tc>
        <w:tc>
          <w:tcPr>
            <w:tcW w:w="18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公务用车购置</w:t>
            </w:r>
          </w:p>
        </w:tc>
        <w:tc>
          <w:tcPr>
            <w:tcW w:w="4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59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30301</w:t>
            </w:r>
          </w:p>
        </w:tc>
        <w:tc>
          <w:tcPr>
            <w:tcW w:w="19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离休费</w:t>
            </w:r>
          </w:p>
        </w:tc>
        <w:tc>
          <w:tcPr>
            <w:tcW w:w="7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30216</w:t>
            </w:r>
          </w:p>
        </w:tc>
        <w:tc>
          <w:tcPr>
            <w:tcW w:w="16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培训费</w:t>
            </w:r>
          </w:p>
        </w:tc>
        <w:tc>
          <w:tcPr>
            <w:tcW w:w="6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11.75</w:t>
            </w:r>
          </w:p>
        </w:tc>
        <w:tc>
          <w:tcPr>
            <w:tcW w:w="5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31019</w:t>
            </w:r>
          </w:p>
        </w:tc>
        <w:tc>
          <w:tcPr>
            <w:tcW w:w="18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其他交通工具购置</w:t>
            </w:r>
          </w:p>
        </w:tc>
        <w:tc>
          <w:tcPr>
            <w:tcW w:w="4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59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30302</w:t>
            </w:r>
          </w:p>
        </w:tc>
        <w:tc>
          <w:tcPr>
            <w:tcW w:w="19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退休费</w:t>
            </w:r>
          </w:p>
        </w:tc>
        <w:tc>
          <w:tcPr>
            <w:tcW w:w="7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30217</w:t>
            </w:r>
          </w:p>
        </w:tc>
        <w:tc>
          <w:tcPr>
            <w:tcW w:w="16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公务接待费</w:t>
            </w:r>
          </w:p>
        </w:tc>
        <w:tc>
          <w:tcPr>
            <w:tcW w:w="6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31021</w:t>
            </w:r>
          </w:p>
        </w:tc>
        <w:tc>
          <w:tcPr>
            <w:tcW w:w="18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文物和陈列品购置</w:t>
            </w:r>
          </w:p>
        </w:tc>
        <w:tc>
          <w:tcPr>
            <w:tcW w:w="4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59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30303</w:t>
            </w:r>
          </w:p>
        </w:tc>
        <w:tc>
          <w:tcPr>
            <w:tcW w:w="19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退职（役）费</w:t>
            </w:r>
          </w:p>
        </w:tc>
        <w:tc>
          <w:tcPr>
            <w:tcW w:w="7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30218</w:t>
            </w:r>
          </w:p>
        </w:tc>
        <w:tc>
          <w:tcPr>
            <w:tcW w:w="16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专用材料费</w:t>
            </w:r>
          </w:p>
        </w:tc>
        <w:tc>
          <w:tcPr>
            <w:tcW w:w="6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1.57</w:t>
            </w:r>
          </w:p>
        </w:tc>
        <w:tc>
          <w:tcPr>
            <w:tcW w:w="5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31022</w:t>
            </w:r>
          </w:p>
        </w:tc>
        <w:tc>
          <w:tcPr>
            <w:tcW w:w="18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无形资产购置</w:t>
            </w:r>
          </w:p>
        </w:tc>
        <w:tc>
          <w:tcPr>
            <w:tcW w:w="4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59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30304</w:t>
            </w:r>
          </w:p>
        </w:tc>
        <w:tc>
          <w:tcPr>
            <w:tcW w:w="19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抚恤金</w:t>
            </w:r>
          </w:p>
        </w:tc>
        <w:tc>
          <w:tcPr>
            <w:tcW w:w="7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30224</w:t>
            </w:r>
          </w:p>
        </w:tc>
        <w:tc>
          <w:tcPr>
            <w:tcW w:w="16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被装购置费</w:t>
            </w:r>
          </w:p>
        </w:tc>
        <w:tc>
          <w:tcPr>
            <w:tcW w:w="6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31099</w:t>
            </w:r>
          </w:p>
        </w:tc>
        <w:tc>
          <w:tcPr>
            <w:tcW w:w="18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其他资本性支出</w:t>
            </w:r>
          </w:p>
        </w:tc>
        <w:tc>
          <w:tcPr>
            <w:tcW w:w="4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59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30305</w:t>
            </w:r>
          </w:p>
        </w:tc>
        <w:tc>
          <w:tcPr>
            <w:tcW w:w="19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生活补助</w:t>
            </w:r>
          </w:p>
        </w:tc>
        <w:tc>
          <w:tcPr>
            <w:tcW w:w="7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8.79</w:t>
            </w:r>
          </w:p>
        </w:tc>
        <w:tc>
          <w:tcPr>
            <w:tcW w:w="6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30225</w:t>
            </w:r>
          </w:p>
        </w:tc>
        <w:tc>
          <w:tcPr>
            <w:tcW w:w="16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专用燃料费</w:t>
            </w:r>
          </w:p>
        </w:tc>
        <w:tc>
          <w:tcPr>
            <w:tcW w:w="6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312</w:t>
            </w:r>
          </w:p>
        </w:tc>
        <w:tc>
          <w:tcPr>
            <w:tcW w:w="18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对企业补助</w:t>
            </w:r>
          </w:p>
        </w:tc>
        <w:tc>
          <w:tcPr>
            <w:tcW w:w="4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59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30306</w:t>
            </w:r>
          </w:p>
        </w:tc>
        <w:tc>
          <w:tcPr>
            <w:tcW w:w="19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救济费</w:t>
            </w:r>
          </w:p>
        </w:tc>
        <w:tc>
          <w:tcPr>
            <w:tcW w:w="7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30226</w:t>
            </w:r>
          </w:p>
        </w:tc>
        <w:tc>
          <w:tcPr>
            <w:tcW w:w="16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劳务费</w:t>
            </w:r>
          </w:p>
        </w:tc>
        <w:tc>
          <w:tcPr>
            <w:tcW w:w="6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7.49</w:t>
            </w:r>
          </w:p>
        </w:tc>
        <w:tc>
          <w:tcPr>
            <w:tcW w:w="5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31201</w:t>
            </w:r>
          </w:p>
        </w:tc>
        <w:tc>
          <w:tcPr>
            <w:tcW w:w="18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资本金注入</w:t>
            </w:r>
          </w:p>
        </w:tc>
        <w:tc>
          <w:tcPr>
            <w:tcW w:w="4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59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30307</w:t>
            </w:r>
          </w:p>
        </w:tc>
        <w:tc>
          <w:tcPr>
            <w:tcW w:w="19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医疗费补助</w:t>
            </w:r>
          </w:p>
        </w:tc>
        <w:tc>
          <w:tcPr>
            <w:tcW w:w="7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30227</w:t>
            </w:r>
          </w:p>
        </w:tc>
        <w:tc>
          <w:tcPr>
            <w:tcW w:w="16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委托业务费</w:t>
            </w:r>
          </w:p>
        </w:tc>
        <w:tc>
          <w:tcPr>
            <w:tcW w:w="6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31203</w:t>
            </w:r>
          </w:p>
        </w:tc>
        <w:tc>
          <w:tcPr>
            <w:tcW w:w="18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政府投资基金股权投资</w:t>
            </w:r>
          </w:p>
        </w:tc>
        <w:tc>
          <w:tcPr>
            <w:tcW w:w="4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59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30308</w:t>
            </w:r>
          </w:p>
        </w:tc>
        <w:tc>
          <w:tcPr>
            <w:tcW w:w="19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助学金</w:t>
            </w:r>
          </w:p>
        </w:tc>
        <w:tc>
          <w:tcPr>
            <w:tcW w:w="7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30228</w:t>
            </w:r>
          </w:p>
        </w:tc>
        <w:tc>
          <w:tcPr>
            <w:tcW w:w="16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工会经费</w:t>
            </w:r>
          </w:p>
        </w:tc>
        <w:tc>
          <w:tcPr>
            <w:tcW w:w="6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40.83</w:t>
            </w:r>
          </w:p>
        </w:tc>
        <w:tc>
          <w:tcPr>
            <w:tcW w:w="5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31204</w:t>
            </w:r>
          </w:p>
        </w:tc>
        <w:tc>
          <w:tcPr>
            <w:tcW w:w="18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费用补贴</w:t>
            </w:r>
          </w:p>
        </w:tc>
        <w:tc>
          <w:tcPr>
            <w:tcW w:w="4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59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30309</w:t>
            </w:r>
          </w:p>
        </w:tc>
        <w:tc>
          <w:tcPr>
            <w:tcW w:w="19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奖励金</w:t>
            </w:r>
          </w:p>
        </w:tc>
        <w:tc>
          <w:tcPr>
            <w:tcW w:w="7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4.78</w:t>
            </w:r>
          </w:p>
        </w:tc>
        <w:tc>
          <w:tcPr>
            <w:tcW w:w="6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30229</w:t>
            </w:r>
          </w:p>
        </w:tc>
        <w:tc>
          <w:tcPr>
            <w:tcW w:w="16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福利费</w:t>
            </w:r>
          </w:p>
        </w:tc>
        <w:tc>
          <w:tcPr>
            <w:tcW w:w="6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2.69</w:t>
            </w:r>
          </w:p>
        </w:tc>
        <w:tc>
          <w:tcPr>
            <w:tcW w:w="5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31205</w:t>
            </w:r>
          </w:p>
        </w:tc>
        <w:tc>
          <w:tcPr>
            <w:tcW w:w="18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利息补贴</w:t>
            </w:r>
          </w:p>
        </w:tc>
        <w:tc>
          <w:tcPr>
            <w:tcW w:w="4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59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30310</w:t>
            </w:r>
          </w:p>
        </w:tc>
        <w:tc>
          <w:tcPr>
            <w:tcW w:w="19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个人农业生产补贴</w:t>
            </w:r>
          </w:p>
        </w:tc>
        <w:tc>
          <w:tcPr>
            <w:tcW w:w="7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30231</w:t>
            </w:r>
          </w:p>
        </w:tc>
        <w:tc>
          <w:tcPr>
            <w:tcW w:w="16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公务用车运行维护费</w:t>
            </w:r>
          </w:p>
        </w:tc>
        <w:tc>
          <w:tcPr>
            <w:tcW w:w="6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31206</w:t>
            </w:r>
          </w:p>
        </w:tc>
        <w:tc>
          <w:tcPr>
            <w:tcW w:w="18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其他资本性补助</w:t>
            </w:r>
          </w:p>
        </w:tc>
        <w:tc>
          <w:tcPr>
            <w:tcW w:w="4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59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30311</w:t>
            </w:r>
          </w:p>
        </w:tc>
        <w:tc>
          <w:tcPr>
            <w:tcW w:w="19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代缴社会保险费</w:t>
            </w:r>
          </w:p>
        </w:tc>
        <w:tc>
          <w:tcPr>
            <w:tcW w:w="7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30239</w:t>
            </w:r>
          </w:p>
        </w:tc>
        <w:tc>
          <w:tcPr>
            <w:tcW w:w="16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其他交通费用</w:t>
            </w:r>
          </w:p>
        </w:tc>
        <w:tc>
          <w:tcPr>
            <w:tcW w:w="6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2.07</w:t>
            </w:r>
          </w:p>
        </w:tc>
        <w:tc>
          <w:tcPr>
            <w:tcW w:w="5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31299</w:t>
            </w:r>
          </w:p>
        </w:tc>
        <w:tc>
          <w:tcPr>
            <w:tcW w:w="18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其他对企业补助</w:t>
            </w:r>
          </w:p>
        </w:tc>
        <w:tc>
          <w:tcPr>
            <w:tcW w:w="4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59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30399</w:t>
            </w:r>
          </w:p>
        </w:tc>
        <w:tc>
          <w:tcPr>
            <w:tcW w:w="19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其他对个人和家庭的补助</w:t>
            </w:r>
          </w:p>
        </w:tc>
        <w:tc>
          <w:tcPr>
            <w:tcW w:w="7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74.58</w:t>
            </w:r>
          </w:p>
        </w:tc>
        <w:tc>
          <w:tcPr>
            <w:tcW w:w="6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30240</w:t>
            </w:r>
          </w:p>
        </w:tc>
        <w:tc>
          <w:tcPr>
            <w:tcW w:w="16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税金及附加费用</w:t>
            </w:r>
          </w:p>
        </w:tc>
        <w:tc>
          <w:tcPr>
            <w:tcW w:w="6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399</w:t>
            </w:r>
          </w:p>
        </w:tc>
        <w:tc>
          <w:tcPr>
            <w:tcW w:w="18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其他支出</w:t>
            </w:r>
          </w:p>
        </w:tc>
        <w:tc>
          <w:tcPr>
            <w:tcW w:w="4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59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9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30299</w:t>
            </w:r>
          </w:p>
        </w:tc>
        <w:tc>
          <w:tcPr>
            <w:tcW w:w="16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其他商品和服务支出</w:t>
            </w:r>
          </w:p>
        </w:tc>
        <w:tc>
          <w:tcPr>
            <w:tcW w:w="6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18.15</w:t>
            </w:r>
          </w:p>
        </w:tc>
        <w:tc>
          <w:tcPr>
            <w:tcW w:w="5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39907</w:t>
            </w:r>
          </w:p>
        </w:tc>
        <w:tc>
          <w:tcPr>
            <w:tcW w:w="18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国家赔偿费用支出</w:t>
            </w:r>
          </w:p>
        </w:tc>
        <w:tc>
          <w:tcPr>
            <w:tcW w:w="4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59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9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307</w:t>
            </w:r>
          </w:p>
        </w:tc>
        <w:tc>
          <w:tcPr>
            <w:tcW w:w="16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债务利息及费用支出</w:t>
            </w:r>
          </w:p>
        </w:tc>
        <w:tc>
          <w:tcPr>
            <w:tcW w:w="6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39908</w:t>
            </w:r>
          </w:p>
        </w:tc>
        <w:tc>
          <w:tcPr>
            <w:tcW w:w="18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对民间非营利组织和群众性自治组织补贴</w:t>
            </w:r>
          </w:p>
        </w:tc>
        <w:tc>
          <w:tcPr>
            <w:tcW w:w="4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59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9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30701</w:t>
            </w:r>
          </w:p>
        </w:tc>
        <w:tc>
          <w:tcPr>
            <w:tcW w:w="16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国内债务付息</w:t>
            </w:r>
          </w:p>
        </w:tc>
        <w:tc>
          <w:tcPr>
            <w:tcW w:w="6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39909</w:t>
            </w:r>
          </w:p>
        </w:tc>
        <w:tc>
          <w:tcPr>
            <w:tcW w:w="18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经常性赠与</w:t>
            </w:r>
          </w:p>
        </w:tc>
        <w:tc>
          <w:tcPr>
            <w:tcW w:w="4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59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9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30702</w:t>
            </w:r>
          </w:p>
        </w:tc>
        <w:tc>
          <w:tcPr>
            <w:tcW w:w="16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国外债务付息</w:t>
            </w:r>
          </w:p>
        </w:tc>
        <w:tc>
          <w:tcPr>
            <w:tcW w:w="6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39910</w:t>
            </w:r>
          </w:p>
        </w:tc>
        <w:tc>
          <w:tcPr>
            <w:tcW w:w="18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资本性赠与</w:t>
            </w:r>
          </w:p>
        </w:tc>
        <w:tc>
          <w:tcPr>
            <w:tcW w:w="4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59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92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6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39999</w:t>
            </w:r>
          </w:p>
        </w:tc>
        <w:tc>
          <w:tcPr>
            <w:tcW w:w="18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其他支出</w:t>
            </w:r>
          </w:p>
        </w:tc>
        <w:tc>
          <w:tcPr>
            <w:tcW w:w="4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2511"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人员经费合计</w:t>
            </w:r>
            <w:r>
              <w:rPr>
                <w:rFonts w:ascii="Times New Roman" w:hAnsi="Times New Roman" w:eastAsia="Times New Roman" w:cs="Times New Roman"/>
                <w:b w:val="0"/>
                <w:bCs w:val="0"/>
                <w:i w:val="0"/>
                <w:iCs w:val="0"/>
                <w:smallCaps w:val="0"/>
                <w:color w:val="000000"/>
                <w:kern w:val="0"/>
                <w:sz w:val="18"/>
                <w:szCs w:val="18"/>
              </w:rPr>
              <w:t xml:space="preserve"> </w:t>
            </w:r>
          </w:p>
        </w:tc>
        <w:tc>
          <w:tcPr>
            <w:tcW w:w="7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2,330.82</w:t>
            </w:r>
          </w:p>
        </w:tc>
        <w:tc>
          <w:tcPr>
            <w:tcW w:w="3504" w:type="dxa"/>
            <w:gridSpan w:val="4"/>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公用经费合计</w:t>
            </w:r>
          </w:p>
        </w:tc>
        <w:tc>
          <w:tcPr>
            <w:tcW w:w="2319"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236.23</w:t>
            </w:r>
          </w:p>
        </w:tc>
      </w:tr>
      <w:tr>
        <w:tblPrEx>
          <w:tblLayout w:type="fixed"/>
          <w:tblCellMar>
            <w:top w:w="15" w:type="dxa"/>
            <w:left w:w="15" w:type="dxa"/>
            <w:bottom w:w="15" w:type="dxa"/>
            <w:right w:w="15" w:type="dxa"/>
          </w:tblCellMar>
        </w:tblPrEx>
        <w:trPr>
          <w:trHeight w:val="0" w:hRule="atLeast"/>
          <w:tblHeader/>
          <w:jc w:val="center"/>
        </w:trPr>
        <w:tc>
          <w:tcPr>
            <w:tcW w:w="9066" w:type="dxa"/>
            <w:gridSpan w:val="9"/>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注：本表反映部门本年度一般公共预算财政拨款基本支出明细情况。</w:t>
            </w:r>
          </w:p>
        </w:tc>
      </w:tr>
    </w:tbl>
    <w:p>
      <w:pPr>
        <w:widowControl/>
        <w:jc w:val="left"/>
        <w:rPr>
          <w:rFonts w:ascii="Times New Roman" w:hAnsi="Times New Roman" w:eastAsia="Times New Roman" w:cs="Times New Roman"/>
          <w:kern w:val="0"/>
          <w:sz w:val="32"/>
          <w:szCs w:val="32"/>
        </w:rPr>
      </w:pPr>
      <w:r>
        <w:rPr>
          <w:rFonts w:ascii="Times New Roman" w:hAnsi="Times New Roman" w:eastAsia="Times New Roman" w:cs="Times New Roman"/>
          <w:kern w:val="0"/>
          <w:sz w:val="32"/>
          <w:szCs w:val="32"/>
        </w:rPr>
        <w:t> </w:t>
      </w:r>
      <w:bookmarkStart w:id="53" w:name="_Toc256000044"/>
      <w:bookmarkStart w:id="54" w:name="_Toc256000075"/>
      <w:bookmarkStart w:id="55" w:name="_Toc256000106"/>
      <w:bookmarkStart w:id="56" w:name="_Toc256000013"/>
    </w:p>
    <w:p>
      <w:pPr>
        <w:widowControl/>
        <w:ind w:firstLine="321" w:firstLineChars="100"/>
        <w:jc w:val="left"/>
        <w:rPr>
          <w:rFonts w:ascii="Times New Roman" w:hAnsi="Times New Roman" w:eastAsia="Times New Roman" w:cs="Times New Roman"/>
          <w:b/>
          <w:bCs/>
          <w:kern w:val="0"/>
          <w:sz w:val="32"/>
          <w:szCs w:val="32"/>
        </w:rPr>
      </w:pPr>
      <w:r>
        <w:rPr>
          <w:rFonts w:ascii="黑体" w:hAnsi="黑体" w:eastAsia="黑体" w:cs="黑体"/>
          <w:b/>
          <w:spacing w:val="0"/>
          <w:sz w:val="32"/>
          <w:szCs w:val="32"/>
        </w:rPr>
        <w:t>七、一般公共预算财政拨款“三公”经费支出决算表</w:t>
      </w:r>
      <w:bookmarkEnd w:id="53"/>
      <w:bookmarkEnd w:id="54"/>
      <w:bookmarkEnd w:id="55"/>
      <w:bookmarkEnd w:id="56"/>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horizontal layout</w:t>
      </w:r>
    </w:p>
    <w:tbl>
      <w:tblPr>
        <w:tblStyle w:val="25"/>
        <w:tblW w:w="9066" w:type="dxa"/>
        <w:jc w:val="center"/>
        <w:tblInd w:w="0" w:type="dxa"/>
        <w:tblLayout w:type="fixed"/>
        <w:tblCellMar>
          <w:top w:w="15" w:type="dxa"/>
          <w:left w:w="15" w:type="dxa"/>
          <w:bottom w:w="15" w:type="dxa"/>
          <w:right w:w="15" w:type="dxa"/>
        </w:tblCellMar>
      </w:tblPr>
      <w:tblGrid>
        <w:gridCol w:w="755"/>
        <w:gridCol w:w="755"/>
        <w:gridCol w:w="755"/>
        <w:gridCol w:w="755"/>
        <w:gridCol w:w="1"/>
        <w:gridCol w:w="755"/>
        <w:gridCol w:w="755"/>
        <w:gridCol w:w="755"/>
        <w:gridCol w:w="1"/>
        <w:gridCol w:w="755"/>
        <w:gridCol w:w="1"/>
        <w:gridCol w:w="755"/>
        <w:gridCol w:w="1"/>
        <w:gridCol w:w="755"/>
        <w:gridCol w:w="755"/>
        <w:gridCol w:w="1"/>
        <w:gridCol w:w="756"/>
      </w:tblGrid>
      <w:tr>
        <w:tblPrEx>
          <w:tblLayout w:type="fixed"/>
          <w:tblCellMar>
            <w:top w:w="15" w:type="dxa"/>
            <w:left w:w="15" w:type="dxa"/>
            <w:bottom w:w="15" w:type="dxa"/>
            <w:right w:w="15" w:type="dxa"/>
          </w:tblCellMar>
        </w:tblPrEx>
        <w:trPr>
          <w:trHeight w:val="0" w:hRule="atLeast"/>
          <w:tblHeader/>
          <w:jc w:val="center"/>
        </w:trPr>
        <w:tc>
          <w:tcPr>
            <w:tcW w:w="9066" w:type="dxa"/>
            <w:gridSpan w:val="17"/>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32"/>
                <w:szCs w:val="32"/>
              </w:rPr>
              <w:t>一般公共预算财政拨款</w:t>
            </w:r>
            <w:r>
              <w:rPr>
                <w:rFonts w:ascii="Times New Roman" w:hAnsi="Times New Roman" w:eastAsia="Times New Roman" w:cs="Times New Roman"/>
                <w:b w:val="0"/>
                <w:bCs w:val="0"/>
                <w:i w:val="0"/>
                <w:iCs w:val="0"/>
                <w:smallCaps w:val="0"/>
                <w:color w:val="000000"/>
                <w:kern w:val="0"/>
                <w:sz w:val="32"/>
                <w:szCs w:val="32"/>
              </w:rPr>
              <w:t>“</w:t>
            </w:r>
            <w:r>
              <w:rPr>
                <w:rFonts w:ascii="宋体" w:hAnsi="宋体" w:eastAsia="宋体" w:cs="宋体"/>
                <w:b w:val="0"/>
                <w:bCs w:val="0"/>
                <w:i w:val="0"/>
                <w:iCs w:val="0"/>
                <w:smallCaps w:val="0"/>
                <w:color w:val="000000"/>
                <w:kern w:val="0"/>
                <w:sz w:val="32"/>
                <w:szCs w:val="32"/>
              </w:rPr>
              <w:t>三公</w:t>
            </w:r>
            <w:r>
              <w:rPr>
                <w:rFonts w:ascii="Times New Roman" w:hAnsi="Times New Roman" w:eastAsia="Times New Roman" w:cs="Times New Roman"/>
                <w:b w:val="0"/>
                <w:bCs w:val="0"/>
                <w:i w:val="0"/>
                <w:iCs w:val="0"/>
                <w:smallCaps w:val="0"/>
                <w:color w:val="000000"/>
                <w:kern w:val="0"/>
                <w:sz w:val="32"/>
                <w:szCs w:val="32"/>
              </w:rPr>
              <w:t>”</w:t>
            </w:r>
            <w:r>
              <w:rPr>
                <w:rFonts w:ascii="宋体" w:hAnsi="宋体" w:eastAsia="宋体" w:cs="宋体"/>
                <w:b w:val="0"/>
                <w:bCs w:val="0"/>
                <w:i w:val="0"/>
                <w:iCs w:val="0"/>
                <w:smallCaps w:val="0"/>
                <w:color w:val="000000"/>
                <w:kern w:val="0"/>
                <w:sz w:val="32"/>
                <w:szCs w:val="32"/>
              </w:rPr>
              <w:t>经费支出决算</w:t>
            </w:r>
          </w:p>
        </w:tc>
      </w:tr>
      <w:tr>
        <w:tblPrEx>
          <w:tblLayout w:type="fixed"/>
          <w:tblCellMar>
            <w:top w:w="15" w:type="dxa"/>
            <w:left w:w="15" w:type="dxa"/>
            <w:bottom w:w="15" w:type="dxa"/>
            <w:right w:w="15" w:type="dxa"/>
          </w:tblCellMar>
        </w:tblPrEx>
        <w:trPr>
          <w:trHeight w:val="0" w:hRule="atLeast"/>
          <w:tblHeader/>
          <w:jc w:val="center"/>
        </w:trPr>
        <w:tc>
          <w:tcPr>
            <w:tcW w:w="75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4531" w:type="dxa"/>
            <w:gridSpan w:val="7"/>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部门</w:t>
            </w:r>
            <w:r>
              <w:rPr>
                <w:rFonts w:ascii="Times New Roman" w:hAnsi="Times New Roman" w:eastAsia="Times New Roman" w:cs="Times New Roman"/>
                <w:b w:val="0"/>
                <w:bCs w:val="0"/>
                <w:i w:val="0"/>
                <w:iCs w:val="0"/>
                <w:smallCaps w:val="0"/>
                <w:color w:val="000000"/>
                <w:kern w:val="0"/>
                <w:sz w:val="18"/>
                <w:szCs w:val="18"/>
              </w:rPr>
              <w:t>/</w:t>
            </w:r>
            <w:r>
              <w:rPr>
                <w:rFonts w:ascii="宋体" w:hAnsi="宋体" w:eastAsia="宋体" w:cs="宋体"/>
                <w:b w:val="0"/>
                <w:bCs w:val="0"/>
                <w:i w:val="0"/>
                <w:iCs w:val="0"/>
                <w:smallCaps w:val="0"/>
                <w:color w:val="000000"/>
                <w:kern w:val="0"/>
                <w:sz w:val="18"/>
                <w:szCs w:val="18"/>
              </w:rPr>
              <w:t>单位：厦门市寨上小学</w:t>
            </w:r>
          </w:p>
        </w:tc>
        <w:tc>
          <w:tcPr>
            <w:tcW w:w="1512" w:type="dxa"/>
            <w:gridSpan w:val="4"/>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2024</w:t>
            </w:r>
            <w:r>
              <w:rPr>
                <w:rFonts w:ascii="宋体" w:hAnsi="宋体" w:eastAsia="宋体" w:cs="宋体"/>
                <w:b w:val="0"/>
                <w:bCs w:val="0"/>
                <w:i w:val="0"/>
                <w:iCs w:val="0"/>
                <w:smallCaps w:val="0"/>
                <w:color w:val="000000"/>
                <w:kern w:val="0"/>
                <w:sz w:val="18"/>
                <w:szCs w:val="18"/>
              </w:rPr>
              <w:t>年度</w:t>
            </w:r>
            <w:r>
              <w:rPr>
                <w:rFonts w:ascii="Times New Roman" w:hAnsi="Times New Roman" w:eastAsia="Times New Roman" w:cs="Times New Roman"/>
                <w:b w:val="0"/>
                <w:bCs w:val="0"/>
                <w:i w:val="0"/>
                <w:iCs w:val="0"/>
                <w:smallCaps w:val="0"/>
                <w:color w:val="000000"/>
                <w:kern w:val="0"/>
                <w:sz w:val="18"/>
                <w:szCs w:val="18"/>
              </w:rPr>
              <w:t> </w:t>
            </w:r>
          </w:p>
        </w:tc>
        <w:tc>
          <w:tcPr>
            <w:tcW w:w="756"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2" w:type="dxa"/>
            <w:gridSpan w:val="3"/>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金额单位：万元</w:t>
            </w:r>
          </w:p>
        </w:tc>
      </w:tr>
      <w:tr>
        <w:tblPrEx>
          <w:tblLayout w:type="fixed"/>
          <w:tblCellMar>
            <w:top w:w="15" w:type="dxa"/>
            <w:left w:w="15" w:type="dxa"/>
            <w:bottom w:w="15" w:type="dxa"/>
            <w:right w:w="15" w:type="dxa"/>
          </w:tblCellMar>
        </w:tblPrEx>
        <w:trPr>
          <w:trHeight w:val="0" w:hRule="atLeast"/>
          <w:jc w:val="center"/>
        </w:trPr>
        <w:tc>
          <w:tcPr>
            <w:tcW w:w="4531" w:type="dxa"/>
            <w:gridSpan w:val="7"/>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预算数</w:t>
            </w:r>
          </w:p>
        </w:tc>
        <w:tc>
          <w:tcPr>
            <w:tcW w:w="4535" w:type="dxa"/>
            <w:gridSpan w:val="10"/>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决算数</w:t>
            </w:r>
          </w:p>
        </w:tc>
      </w:tr>
      <w:tr>
        <w:tblPrEx>
          <w:tblLayout w:type="fixed"/>
          <w:tblCellMar>
            <w:top w:w="15" w:type="dxa"/>
            <w:left w:w="15" w:type="dxa"/>
            <w:bottom w:w="15" w:type="dxa"/>
            <w:right w:w="15" w:type="dxa"/>
          </w:tblCellMar>
        </w:tblPrEx>
        <w:trPr>
          <w:trHeight w:val="0" w:hRule="atLeast"/>
          <w:tblHeader/>
          <w:jc w:val="center"/>
        </w:trPr>
        <w:tc>
          <w:tcPr>
            <w:tcW w:w="75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合计</w:t>
            </w:r>
          </w:p>
        </w:tc>
        <w:tc>
          <w:tcPr>
            <w:tcW w:w="75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因公出国</w:t>
            </w:r>
            <w:r>
              <w:rPr>
                <w:rFonts w:ascii="Times New Roman" w:hAnsi="Times New Roman" w:eastAsia="Times New Roman" w:cs="Times New Roman"/>
                <w:b w:val="0"/>
                <w:bCs w:val="0"/>
                <w:i w:val="0"/>
                <w:iCs w:val="0"/>
                <w:smallCaps w:val="0"/>
                <w:color w:val="000000"/>
                <w:kern w:val="0"/>
                <w:sz w:val="18"/>
                <w:szCs w:val="18"/>
              </w:rPr>
              <w:t xml:space="preserve"> </w:t>
            </w:r>
            <w:r>
              <w:rPr>
                <w:rFonts w:ascii="宋体" w:hAnsi="宋体" w:eastAsia="宋体" w:cs="宋体"/>
                <w:b w:val="0"/>
                <w:bCs w:val="0"/>
                <w:i w:val="0"/>
                <w:iCs w:val="0"/>
                <w:smallCaps w:val="0"/>
                <w:color w:val="000000"/>
                <w:kern w:val="0"/>
                <w:sz w:val="18"/>
                <w:szCs w:val="18"/>
              </w:rPr>
              <w:t>（境）费</w:t>
            </w:r>
          </w:p>
        </w:tc>
        <w:tc>
          <w:tcPr>
            <w:tcW w:w="2266" w:type="dxa"/>
            <w:gridSpan w:val="4"/>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公务用车购置及运行维护费</w:t>
            </w:r>
          </w:p>
        </w:tc>
        <w:tc>
          <w:tcPr>
            <w:tcW w:w="75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公务接待费</w:t>
            </w:r>
          </w:p>
        </w:tc>
        <w:tc>
          <w:tcPr>
            <w:tcW w:w="75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合计</w:t>
            </w:r>
          </w:p>
        </w:tc>
        <w:tc>
          <w:tcPr>
            <w:tcW w:w="756" w:type="dxa"/>
            <w:gridSpan w:val="2"/>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因公出国</w:t>
            </w:r>
            <w:r>
              <w:rPr>
                <w:rFonts w:ascii="Times New Roman" w:hAnsi="Times New Roman" w:eastAsia="Times New Roman" w:cs="Times New Roman"/>
                <w:b w:val="0"/>
                <w:bCs w:val="0"/>
                <w:i w:val="0"/>
                <w:iCs w:val="0"/>
                <w:smallCaps w:val="0"/>
                <w:color w:val="000000"/>
                <w:kern w:val="0"/>
                <w:sz w:val="18"/>
                <w:szCs w:val="18"/>
              </w:rPr>
              <w:t xml:space="preserve"> </w:t>
            </w:r>
            <w:r>
              <w:rPr>
                <w:rFonts w:ascii="宋体" w:hAnsi="宋体" w:eastAsia="宋体" w:cs="宋体"/>
                <w:b w:val="0"/>
                <w:bCs w:val="0"/>
                <w:i w:val="0"/>
                <w:iCs w:val="0"/>
                <w:smallCaps w:val="0"/>
                <w:color w:val="000000"/>
                <w:kern w:val="0"/>
                <w:sz w:val="18"/>
                <w:szCs w:val="18"/>
              </w:rPr>
              <w:t>（境）费</w:t>
            </w:r>
          </w:p>
        </w:tc>
        <w:tc>
          <w:tcPr>
            <w:tcW w:w="2267" w:type="dxa"/>
            <w:gridSpan w:val="5"/>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公务用车购置及运行维护费</w:t>
            </w:r>
          </w:p>
        </w:tc>
        <w:tc>
          <w:tcPr>
            <w:tcW w:w="757" w:type="dxa"/>
            <w:gridSpan w:val="2"/>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公务接待费</w:t>
            </w:r>
          </w:p>
        </w:tc>
      </w:tr>
      <w:tr>
        <w:tblPrEx>
          <w:tblLayout w:type="fixed"/>
          <w:tblCellMar>
            <w:top w:w="15" w:type="dxa"/>
            <w:left w:w="15" w:type="dxa"/>
            <w:bottom w:w="15" w:type="dxa"/>
            <w:right w:w="15" w:type="dxa"/>
          </w:tblCellMar>
        </w:tblPrEx>
        <w:trPr>
          <w:trHeight w:val="312" w:hRule="atLeast"/>
          <w:tblHeader/>
          <w:jc w:val="center"/>
        </w:trPr>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小计</w:t>
            </w:r>
            <w:r>
              <w:rPr>
                <w:rFonts w:ascii="Times New Roman" w:hAnsi="Times New Roman" w:eastAsia="Times New Roman" w:cs="Times New Roman"/>
                <w:b w:val="0"/>
                <w:bCs w:val="0"/>
                <w:i w:val="0"/>
                <w:iCs w:val="0"/>
                <w:smallCaps w:val="0"/>
                <w:color w:val="000000"/>
                <w:kern w:val="0"/>
                <w:sz w:val="18"/>
                <w:szCs w:val="18"/>
              </w:rPr>
              <w:t xml:space="preserve"> </w:t>
            </w:r>
          </w:p>
        </w:tc>
        <w:tc>
          <w:tcPr>
            <w:tcW w:w="75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公务用车购置费</w:t>
            </w:r>
          </w:p>
        </w:tc>
        <w:tc>
          <w:tcPr>
            <w:tcW w:w="756" w:type="dxa"/>
            <w:gridSpan w:val="2"/>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公务用车运行维护费</w:t>
            </w: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6" w:type="dxa"/>
            <w:gridSpan w:val="2"/>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6" w:type="dxa"/>
            <w:gridSpan w:val="2"/>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小计</w:t>
            </w:r>
            <w:r>
              <w:rPr>
                <w:rFonts w:ascii="Times New Roman" w:hAnsi="Times New Roman" w:eastAsia="Times New Roman" w:cs="Times New Roman"/>
                <w:b w:val="0"/>
                <w:bCs w:val="0"/>
                <w:i w:val="0"/>
                <w:iCs w:val="0"/>
                <w:smallCaps w:val="0"/>
                <w:color w:val="000000"/>
                <w:kern w:val="0"/>
                <w:sz w:val="18"/>
                <w:szCs w:val="18"/>
              </w:rPr>
              <w:t xml:space="preserve"> </w:t>
            </w:r>
          </w:p>
        </w:tc>
        <w:tc>
          <w:tcPr>
            <w:tcW w:w="756" w:type="dxa"/>
            <w:gridSpan w:val="2"/>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公务用车购置费</w:t>
            </w:r>
          </w:p>
        </w:tc>
        <w:tc>
          <w:tcPr>
            <w:tcW w:w="75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公务用车运行维护费</w:t>
            </w:r>
          </w:p>
        </w:tc>
        <w:tc>
          <w:tcPr>
            <w:tcW w:w="757" w:type="dxa"/>
            <w:gridSpan w:val="2"/>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312" w:hRule="atLeast"/>
          <w:tblHeader/>
          <w:jc w:val="center"/>
        </w:trPr>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6" w:type="dxa"/>
            <w:gridSpan w:val="2"/>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6" w:type="dxa"/>
            <w:gridSpan w:val="2"/>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6" w:type="dxa"/>
            <w:gridSpan w:val="2"/>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6" w:type="dxa"/>
            <w:gridSpan w:val="2"/>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7" w:type="dxa"/>
            <w:gridSpan w:val="2"/>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0" w:hRule="atLeast"/>
          <w:jc w:val="center"/>
        </w:trPr>
        <w:tc>
          <w:tcPr>
            <w:tcW w:w="7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7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7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7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756"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c>
          <w:tcPr>
            <w:tcW w:w="7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w:t>
            </w:r>
          </w:p>
        </w:tc>
        <w:tc>
          <w:tcPr>
            <w:tcW w:w="7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w:t>
            </w:r>
          </w:p>
        </w:tc>
        <w:tc>
          <w:tcPr>
            <w:tcW w:w="756"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w:t>
            </w:r>
          </w:p>
        </w:tc>
        <w:tc>
          <w:tcPr>
            <w:tcW w:w="756"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w:t>
            </w:r>
          </w:p>
        </w:tc>
        <w:tc>
          <w:tcPr>
            <w:tcW w:w="756"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w:t>
            </w:r>
          </w:p>
        </w:tc>
        <w:tc>
          <w:tcPr>
            <w:tcW w:w="7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11</w:t>
            </w:r>
          </w:p>
        </w:tc>
        <w:tc>
          <w:tcPr>
            <w:tcW w:w="757"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w:t>
            </w:r>
          </w:p>
        </w:tc>
      </w:tr>
      <w:tr>
        <w:tblPrEx>
          <w:tblLayout w:type="fixed"/>
          <w:tblCellMar>
            <w:top w:w="15" w:type="dxa"/>
            <w:left w:w="15" w:type="dxa"/>
            <w:bottom w:w="15" w:type="dxa"/>
            <w:right w:w="15" w:type="dxa"/>
          </w:tblCellMar>
        </w:tblPrEx>
        <w:trPr>
          <w:trHeight w:val="0" w:hRule="atLeast"/>
          <w:jc w:val="center"/>
        </w:trPr>
        <w:tc>
          <w:tcPr>
            <w:tcW w:w="7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bookmarkStart w:id="125" w:name="_GoBack" w:colFirst="1" w:colLast="11"/>
            <w:r>
              <w:rPr>
                <w:rFonts w:hint="eastAsia" w:eastAsia="宋体" w:cs="Times New Roman"/>
                <w:b w:val="0"/>
                <w:bCs w:val="0"/>
                <w:i w:val="0"/>
                <w:iCs w:val="0"/>
                <w:smallCaps w:val="0"/>
                <w:color w:val="000000"/>
                <w:kern w:val="0"/>
                <w:sz w:val="18"/>
                <w:szCs w:val="18"/>
                <w:lang w:val="en-US" w:eastAsia="zh-CN"/>
              </w:rPr>
              <w:t>0</w:t>
            </w:r>
            <w:r>
              <w:rPr>
                <w:rFonts w:ascii="Times New Roman" w:hAnsi="Times New Roman" w:eastAsia="Times New Roman" w:cs="Times New Roman"/>
                <w:b w:val="0"/>
                <w:bCs w:val="0"/>
                <w:i w:val="0"/>
                <w:iCs w:val="0"/>
                <w:smallCaps w:val="0"/>
                <w:color w:val="000000"/>
                <w:kern w:val="0"/>
                <w:sz w:val="18"/>
                <w:szCs w:val="18"/>
              </w:rPr>
              <w:t> </w:t>
            </w:r>
          </w:p>
        </w:tc>
        <w:tc>
          <w:tcPr>
            <w:tcW w:w="7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7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7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756"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7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7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756"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756"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756"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7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757"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r>
      <w:bookmarkEnd w:id="125"/>
      <w:tr>
        <w:tblPrEx>
          <w:tblLayout w:type="fixed"/>
          <w:tblCellMar>
            <w:top w:w="15" w:type="dxa"/>
            <w:left w:w="15" w:type="dxa"/>
            <w:bottom w:w="15" w:type="dxa"/>
            <w:right w:w="15" w:type="dxa"/>
          </w:tblCellMar>
        </w:tblPrEx>
        <w:trPr>
          <w:trHeight w:val="0" w:hRule="atLeast"/>
          <w:jc w:val="center"/>
        </w:trPr>
        <w:tc>
          <w:tcPr>
            <w:tcW w:w="9066" w:type="dxa"/>
            <w:gridSpan w:val="17"/>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注：本表反映部门本年度财政拨款</w:t>
            </w:r>
            <w:r>
              <w:rPr>
                <w:rFonts w:ascii="Times New Roman" w:hAnsi="Times New Roman" w:eastAsia="Times New Roman" w:cs="Times New Roman"/>
                <w:b w:val="0"/>
                <w:bCs w:val="0"/>
                <w:i w:val="0"/>
                <w:iCs w:val="0"/>
                <w:smallCaps w:val="0"/>
                <w:color w:val="000000"/>
                <w:kern w:val="0"/>
                <w:sz w:val="18"/>
                <w:szCs w:val="18"/>
              </w:rPr>
              <w:t>“</w:t>
            </w:r>
            <w:r>
              <w:rPr>
                <w:rFonts w:ascii="宋体" w:hAnsi="宋体" w:eastAsia="宋体" w:cs="宋体"/>
                <w:b w:val="0"/>
                <w:bCs w:val="0"/>
                <w:i w:val="0"/>
                <w:iCs w:val="0"/>
                <w:smallCaps w:val="0"/>
                <w:color w:val="000000"/>
                <w:kern w:val="0"/>
                <w:sz w:val="18"/>
                <w:szCs w:val="18"/>
              </w:rPr>
              <w:t>三公</w:t>
            </w:r>
            <w:r>
              <w:rPr>
                <w:rFonts w:ascii="Times New Roman" w:hAnsi="Times New Roman" w:eastAsia="Times New Roman" w:cs="Times New Roman"/>
                <w:b w:val="0"/>
                <w:bCs w:val="0"/>
                <w:i w:val="0"/>
                <w:iCs w:val="0"/>
                <w:smallCaps w:val="0"/>
                <w:color w:val="000000"/>
                <w:kern w:val="0"/>
                <w:sz w:val="18"/>
                <w:szCs w:val="18"/>
              </w:rPr>
              <w:t>”</w:t>
            </w:r>
            <w:r>
              <w:rPr>
                <w:rFonts w:ascii="宋体" w:hAnsi="宋体" w:eastAsia="宋体" w:cs="宋体"/>
                <w:b w:val="0"/>
                <w:bCs w:val="0"/>
                <w:i w:val="0"/>
                <w:iCs w:val="0"/>
                <w:smallCaps w:val="0"/>
                <w:color w:val="000000"/>
                <w:kern w:val="0"/>
                <w:sz w:val="18"/>
                <w:szCs w:val="18"/>
              </w:rPr>
              <w:t>经费支出预决算情况。其中，预算数为</w:t>
            </w:r>
            <w:r>
              <w:rPr>
                <w:rFonts w:ascii="Times New Roman" w:hAnsi="Times New Roman" w:eastAsia="Times New Roman" w:cs="Times New Roman"/>
                <w:b w:val="0"/>
                <w:bCs w:val="0"/>
                <w:i w:val="0"/>
                <w:iCs w:val="0"/>
                <w:smallCaps w:val="0"/>
                <w:color w:val="000000"/>
                <w:kern w:val="0"/>
                <w:sz w:val="18"/>
                <w:szCs w:val="18"/>
              </w:rPr>
              <w:t>“</w:t>
            </w:r>
            <w:r>
              <w:rPr>
                <w:rFonts w:ascii="宋体" w:hAnsi="宋体" w:eastAsia="宋体" w:cs="宋体"/>
                <w:b w:val="0"/>
                <w:bCs w:val="0"/>
                <w:i w:val="0"/>
                <w:iCs w:val="0"/>
                <w:smallCaps w:val="0"/>
                <w:color w:val="000000"/>
                <w:kern w:val="0"/>
                <w:sz w:val="18"/>
                <w:szCs w:val="18"/>
              </w:rPr>
              <w:t>三公</w:t>
            </w:r>
            <w:r>
              <w:rPr>
                <w:rFonts w:ascii="Times New Roman" w:hAnsi="Times New Roman" w:eastAsia="Times New Roman" w:cs="Times New Roman"/>
                <w:b w:val="0"/>
                <w:bCs w:val="0"/>
                <w:i w:val="0"/>
                <w:iCs w:val="0"/>
                <w:smallCaps w:val="0"/>
                <w:color w:val="000000"/>
                <w:kern w:val="0"/>
                <w:sz w:val="18"/>
                <w:szCs w:val="18"/>
              </w:rPr>
              <w:t>”</w:t>
            </w:r>
            <w:r>
              <w:rPr>
                <w:rFonts w:ascii="宋体" w:hAnsi="宋体" w:eastAsia="宋体" w:cs="宋体"/>
                <w:b w:val="0"/>
                <w:bCs w:val="0"/>
                <w:i w:val="0"/>
                <w:iCs w:val="0"/>
                <w:smallCaps w:val="0"/>
                <w:color w:val="000000"/>
                <w:kern w:val="0"/>
                <w:sz w:val="18"/>
                <w:szCs w:val="18"/>
              </w:rPr>
              <w:t>经费全年预算数，反映按规定程序调整后的预算数；决算数是包括当年财政拨款和以前年度结转资金安排的实际支出。</w:t>
            </w:r>
          </w:p>
        </w:tc>
      </w:tr>
    </w:tbl>
    <w:p>
      <w:pPr>
        <w:widowControl/>
        <w:jc w:val="left"/>
        <w:rPr>
          <w:rFonts w:ascii="Times New Roman" w:hAnsi="Times New Roman" w:eastAsia="Times New Roman" w:cs="Times New Roman"/>
          <w:kern w:val="0"/>
          <w:sz w:val="24"/>
        </w:rPr>
      </w:pPr>
      <w:r>
        <w:rPr>
          <w:rFonts w:ascii="Times New Roman" w:hAnsi="Times New Roman" w:eastAsia="Times New Roman" w:cs="Times New Roman"/>
          <w:kern w:val="0"/>
          <w:sz w:val="24"/>
        </w:rPr>
        <w:t> </w:t>
      </w:r>
      <w:r>
        <w:rPr>
          <w:rFonts w:hint="eastAsia" w:eastAsia="宋体" w:cs="Times New Roman"/>
          <w:kern w:val="0"/>
          <w:sz w:val="24"/>
          <w:lang w:val="en-US" w:eastAsia="zh-CN"/>
        </w:rPr>
        <w:t xml:space="preserve">        </w:t>
      </w:r>
      <w:r>
        <w:rPr>
          <w:rFonts w:ascii="仿宋" w:hAnsi="仿宋" w:eastAsia="仿宋" w:cs="仿宋"/>
          <w:kern w:val="0"/>
          <w:sz w:val="32"/>
          <w:szCs w:val="32"/>
        </w:rPr>
        <w:t>本</w:t>
      </w:r>
      <w:r>
        <w:rPr>
          <w:rFonts w:hint="eastAsia" w:ascii="仿宋" w:hAnsi="仿宋" w:eastAsia="仿宋" w:cs="仿宋"/>
          <w:kern w:val="0"/>
          <w:sz w:val="32"/>
          <w:szCs w:val="32"/>
          <w:lang w:eastAsia="zh-CN"/>
        </w:rPr>
        <w:t>单位</w:t>
      </w:r>
      <w:r>
        <w:rPr>
          <w:rFonts w:ascii="仿宋" w:hAnsi="仿宋" w:eastAsia="仿宋" w:cs="仿宋"/>
          <w:kern w:val="0"/>
          <w:sz w:val="32"/>
          <w:szCs w:val="32"/>
        </w:rPr>
        <w:t>202</w:t>
      </w:r>
      <w:r>
        <w:rPr>
          <w:rFonts w:hint="eastAsia" w:ascii="仿宋" w:hAnsi="仿宋" w:eastAsia="仿宋" w:cs="仿宋"/>
          <w:kern w:val="0"/>
          <w:sz w:val="32"/>
          <w:szCs w:val="32"/>
          <w:lang w:val="en-US" w:eastAsia="zh-CN"/>
        </w:rPr>
        <w:t>4</w:t>
      </w:r>
      <w:r>
        <w:rPr>
          <w:rFonts w:ascii="仿宋" w:hAnsi="仿宋" w:eastAsia="仿宋" w:cs="仿宋"/>
          <w:kern w:val="0"/>
          <w:sz w:val="32"/>
          <w:szCs w:val="32"/>
        </w:rPr>
        <w:t>年度没有使用一般公共预算财政拨款安排的“三公”经费支出。</w:t>
      </w:r>
      <w:r>
        <w:rPr>
          <w:rFonts w:ascii="宋体" w:hAnsi="宋体" w:cs="宋体"/>
          <w:spacing w:val="0"/>
          <w:kern w:val="0"/>
          <w:sz w:val="32"/>
          <w:szCs w:val="32"/>
        </w:rPr>
        <w:t> </w:t>
      </w:r>
    </w:p>
    <w:p>
      <w:pPr>
        <w:pStyle w:val="6"/>
        <w:keepNext w:val="0"/>
        <w:keepLines w:val="0"/>
        <w:spacing w:before="100" w:after="100" w:line="240" w:lineRule="auto"/>
        <w:ind w:left="0" w:right="0" w:firstLine="0" w:firstLineChars="0"/>
        <w:rPr>
          <w:rFonts w:ascii="黑体" w:hAnsi="黑体" w:eastAsia="黑体" w:cs="黑体"/>
          <w:b/>
          <w:spacing w:val="0"/>
        </w:rPr>
      </w:pPr>
      <w:bookmarkStart w:id="57" w:name="_Toc256000076"/>
      <w:bookmarkStart w:id="58" w:name="_Toc256000014"/>
      <w:bookmarkStart w:id="59" w:name="_Toc256000045"/>
      <w:bookmarkStart w:id="60" w:name="_Toc256000107"/>
    </w:p>
    <w:p>
      <w:pPr>
        <w:pStyle w:val="6"/>
        <w:keepNext w:val="0"/>
        <w:keepLines w:val="0"/>
        <w:spacing w:before="100" w:after="100" w:line="240" w:lineRule="auto"/>
        <w:ind w:left="0" w:right="0" w:firstLine="0" w:firstLineChars="0"/>
        <w:rPr>
          <w:rFonts w:ascii="黑体" w:hAnsi="黑体" w:eastAsia="黑体" w:cs="黑体"/>
          <w:b/>
          <w:spacing w:val="0"/>
        </w:rPr>
      </w:pPr>
    </w:p>
    <w:p>
      <w:pPr>
        <w:pStyle w:val="6"/>
        <w:keepNext w:val="0"/>
        <w:keepLines w:val="0"/>
        <w:spacing w:before="100" w:after="100" w:line="240" w:lineRule="auto"/>
        <w:ind w:left="0" w:right="0" w:firstLine="321" w:firstLineChars="100"/>
        <w:rPr>
          <w:rFonts w:ascii="Times New Roman" w:hAnsi="Times New Roman" w:eastAsia="Times New Roman" w:cs="Times New Roman"/>
          <w:b/>
          <w:bCs/>
          <w:kern w:val="0"/>
          <w:sz w:val="28"/>
          <w:szCs w:val="28"/>
        </w:rPr>
      </w:pPr>
      <w:r>
        <w:rPr>
          <w:rFonts w:ascii="黑体" w:hAnsi="黑体" w:eastAsia="黑体" w:cs="黑体"/>
          <w:b/>
          <w:spacing w:val="0"/>
        </w:rPr>
        <w:t>八、政府性基金预算财政拨款收入支出决算表</w:t>
      </w:r>
      <w:bookmarkEnd w:id="57"/>
      <w:bookmarkEnd w:id="58"/>
      <w:bookmarkEnd w:id="59"/>
      <w:bookmarkEnd w:id="60"/>
    </w:p>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horizontal layout</w:t>
      </w:r>
    </w:p>
    <w:tbl>
      <w:tblPr>
        <w:tblStyle w:val="25"/>
        <w:tblW w:w="9066" w:type="dxa"/>
        <w:jc w:val="center"/>
        <w:tblInd w:w="0" w:type="dxa"/>
        <w:tblLayout w:type="fixed"/>
        <w:tblCellMar>
          <w:top w:w="15" w:type="dxa"/>
          <w:left w:w="15" w:type="dxa"/>
          <w:bottom w:w="15" w:type="dxa"/>
          <w:right w:w="15" w:type="dxa"/>
        </w:tblCellMar>
      </w:tblPr>
      <w:tblGrid>
        <w:gridCol w:w="1133"/>
        <w:gridCol w:w="3358"/>
        <w:gridCol w:w="996"/>
        <w:gridCol w:w="804"/>
        <w:gridCol w:w="468"/>
        <w:gridCol w:w="864"/>
        <w:gridCol w:w="792"/>
        <w:gridCol w:w="651"/>
      </w:tblGrid>
      <w:tr>
        <w:tblPrEx>
          <w:tblLayout w:type="fixed"/>
          <w:tblCellMar>
            <w:top w:w="15" w:type="dxa"/>
            <w:left w:w="15" w:type="dxa"/>
            <w:bottom w:w="15" w:type="dxa"/>
            <w:right w:w="15" w:type="dxa"/>
          </w:tblCellMar>
        </w:tblPrEx>
        <w:trPr>
          <w:trHeight w:val="0" w:hRule="atLeast"/>
          <w:tblHeader/>
          <w:jc w:val="center"/>
        </w:trPr>
        <w:tc>
          <w:tcPr>
            <w:tcW w:w="9066" w:type="dxa"/>
            <w:gridSpan w:val="8"/>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32"/>
                <w:szCs w:val="32"/>
              </w:rPr>
              <w:t>政府性基金预算财政拨款收入支出决算表</w:t>
            </w:r>
          </w:p>
        </w:tc>
      </w:tr>
      <w:tr>
        <w:tblPrEx>
          <w:tblLayout w:type="fixed"/>
          <w:tblCellMar>
            <w:top w:w="15" w:type="dxa"/>
            <w:left w:w="15" w:type="dxa"/>
            <w:bottom w:w="15" w:type="dxa"/>
            <w:right w:w="15" w:type="dxa"/>
          </w:tblCellMar>
        </w:tblPrEx>
        <w:trPr>
          <w:trHeight w:val="0" w:hRule="atLeast"/>
          <w:tblHeader/>
          <w:jc w:val="center"/>
        </w:trPr>
        <w:tc>
          <w:tcPr>
            <w:tcW w:w="113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35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9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0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6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6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9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5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6291" w:type="dxa"/>
            <w:gridSpan w:val="4"/>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部门</w:t>
            </w:r>
            <w:r>
              <w:rPr>
                <w:rFonts w:ascii="Times New Roman" w:hAnsi="Times New Roman" w:eastAsia="Times New Roman" w:cs="Times New Roman"/>
                <w:b w:val="0"/>
                <w:bCs w:val="0"/>
                <w:i w:val="0"/>
                <w:iCs w:val="0"/>
                <w:smallCaps w:val="0"/>
                <w:color w:val="000000"/>
                <w:kern w:val="0"/>
                <w:sz w:val="18"/>
                <w:szCs w:val="18"/>
              </w:rPr>
              <w:t>/</w:t>
            </w:r>
            <w:r>
              <w:rPr>
                <w:rFonts w:ascii="宋体" w:hAnsi="宋体" w:eastAsia="宋体" w:cs="宋体"/>
                <w:b w:val="0"/>
                <w:bCs w:val="0"/>
                <w:i w:val="0"/>
                <w:iCs w:val="0"/>
                <w:smallCaps w:val="0"/>
                <w:color w:val="000000"/>
                <w:kern w:val="0"/>
                <w:sz w:val="18"/>
                <w:szCs w:val="18"/>
              </w:rPr>
              <w:t>单位：厦门市寨上小学</w:t>
            </w:r>
          </w:p>
        </w:tc>
        <w:tc>
          <w:tcPr>
            <w:tcW w:w="1332"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2024</w:t>
            </w:r>
            <w:r>
              <w:rPr>
                <w:rFonts w:ascii="宋体" w:hAnsi="宋体" w:eastAsia="宋体" w:cs="宋体"/>
                <w:b w:val="0"/>
                <w:bCs w:val="0"/>
                <w:i w:val="0"/>
                <w:iCs w:val="0"/>
                <w:smallCaps w:val="0"/>
                <w:color w:val="000000"/>
                <w:kern w:val="0"/>
                <w:sz w:val="18"/>
                <w:szCs w:val="18"/>
              </w:rPr>
              <w:t>年度</w:t>
            </w:r>
            <w:r>
              <w:rPr>
                <w:rFonts w:ascii="Times New Roman" w:hAnsi="Times New Roman" w:eastAsia="Times New Roman" w:cs="Times New Roman"/>
                <w:b w:val="0"/>
                <w:bCs w:val="0"/>
                <w:i w:val="0"/>
                <w:iCs w:val="0"/>
                <w:smallCaps w:val="0"/>
                <w:color w:val="000000"/>
                <w:kern w:val="0"/>
                <w:sz w:val="18"/>
                <w:szCs w:val="18"/>
              </w:rPr>
              <w:t> </w:t>
            </w:r>
          </w:p>
        </w:tc>
        <w:tc>
          <w:tcPr>
            <w:tcW w:w="1443"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r>
              <w:rPr>
                <w:rFonts w:ascii="宋体" w:hAnsi="宋体" w:eastAsia="宋体" w:cs="宋体"/>
                <w:b w:val="0"/>
                <w:bCs w:val="0"/>
                <w:i w:val="0"/>
                <w:iCs w:val="0"/>
                <w:smallCaps w:val="0"/>
                <w:color w:val="000000"/>
                <w:kern w:val="0"/>
                <w:sz w:val="18"/>
                <w:szCs w:val="18"/>
              </w:rPr>
              <w:t>金额单位：万元</w:t>
            </w:r>
          </w:p>
        </w:tc>
      </w:tr>
      <w:tr>
        <w:tblPrEx>
          <w:tblLayout w:type="fixed"/>
          <w:tblCellMar>
            <w:top w:w="15" w:type="dxa"/>
            <w:left w:w="15" w:type="dxa"/>
            <w:bottom w:w="15" w:type="dxa"/>
            <w:right w:w="15" w:type="dxa"/>
          </w:tblCellMar>
        </w:tblPrEx>
        <w:trPr>
          <w:trHeight w:val="0" w:hRule="atLeast"/>
          <w:tblHeader/>
          <w:jc w:val="center"/>
        </w:trPr>
        <w:tc>
          <w:tcPr>
            <w:tcW w:w="4491"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w:t>
            </w:r>
          </w:p>
        </w:tc>
        <w:tc>
          <w:tcPr>
            <w:tcW w:w="996"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年初结转和结余</w:t>
            </w:r>
            <w:r>
              <w:rPr>
                <w:rFonts w:ascii="Times New Roman" w:hAnsi="Times New Roman" w:eastAsia="Times New Roman" w:cs="Times New Roman"/>
                <w:b w:val="0"/>
                <w:bCs w:val="0"/>
                <w:i w:val="0"/>
                <w:iCs w:val="0"/>
                <w:smallCaps w:val="0"/>
                <w:color w:val="000000"/>
                <w:kern w:val="0"/>
                <w:sz w:val="18"/>
                <w:szCs w:val="18"/>
              </w:rPr>
              <w:t xml:space="preserve"> </w:t>
            </w:r>
          </w:p>
        </w:tc>
        <w:tc>
          <w:tcPr>
            <w:tcW w:w="804"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本年收入</w:t>
            </w:r>
          </w:p>
        </w:tc>
        <w:tc>
          <w:tcPr>
            <w:tcW w:w="2124"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本年支出</w:t>
            </w:r>
          </w:p>
        </w:tc>
        <w:tc>
          <w:tcPr>
            <w:tcW w:w="651"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年末结转和结余</w:t>
            </w:r>
          </w:p>
        </w:tc>
      </w:tr>
      <w:tr>
        <w:tblPrEx>
          <w:tblLayout w:type="fixed"/>
          <w:tblCellMar>
            <w:top w:w="15" w:type="dxa"/>
            <w:left w:w="15" w:type="dxa"/>
            <w:bottom w:w="15" w:type="dxa"/>
            <w:right w:w="15" w:type="dxa"/>
          </w:tblCellMar>
        </w:tblPrEx>
        <w:trPr>
          <w:trHeight w:val="0" w:hRule="atLeast"/>
          <w:tblHeader/>
          <w:jc w:val="center"/>
        </w:trPr>
        <w:tc>
          <w:tcPr>
            <w:tcW w:w="1133"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支出功能分类科目编码</w:t>
            </w:r>
          </w:p>
        </w:tc>
        <w:tc>
          <w:tcPr>
            <w:tcW w:w="3358"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科目名称</w:t>
            </w:r>
          </w:p>
        </w:tc>
        <w:tc>
          <w:tcPr>
            <w:tcW w:w="996"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80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468"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小计</w:t>
            </w:r>
          </w:p>
        </w:tc>
        <w:tc>
          <w:tcPr>
            <w:tcW w:w="864"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基本支出</w:t>
            </w:r>
            <w:r>
              <w:rPr>
                <w:rFonts w:ascii="Times New Roman" w:hAnsi="Times New Roman" w:eastAsia="Times New Roman" w:cs="Times New Roman"/>
                <w:b w:val="0"/>
                <w:bCs w:val="0"/>
                <w:i w:val="0"/>
                <w:iCs w:val="0"/>
                <w:smallCaps w:val="0"/>
                <w:color w:val="000000"/>
                <w:kern w:val="0"/>
                <w:sz w:val="18"/>
                <w:szCs w:val="18"/>
              </w:rPr>
              <w:t xml:space="preserve"> </w:t>
            </w:r>
          </w:p>
        </w:tc>
        <w:tc>
          <w:tcPr>
            <w:tcW w:w="792"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项目支出</w:t>
            </w:r>
          </w:p>
        </w:tc>
        <w:tc>
          <w:tcPr>
            <w:tcW w:w="651" w:type="dxa"/>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0" w:hRule="atLeast"/>
          <w:tblHeader/>
          <w:jc w:val="center"/>
        </w:trPr>
        <w:tc>
          <w:tcPr>
            <w:tcW w:w="113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335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96"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80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46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86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9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651" w:type="dxa"/>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0" w:hRule="atLeast"/>
          <w:jc w:val="center"/>
        </w:trPr>
        <w:tc>
          <w:tcPr>
            <w:tcW w:w="4491"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栏次</w:t>
            </w:r>
          </w:p>
        </w:tc>
        <w:tc>
          <w:tcPr>
            <w:tcW w:w="9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8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4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8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7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c>
          <w:tcPr>
            <w:tcW w:w="6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w:t>
            </w:r>
          </w:p>
        </w:tc>
      </w:tr>
      <w:tr>
        <w:tblPrEx>
          <w:tblLayout w:type="fixed"/>
          <w:tblCellMar>
            <w:top w:w="15" w:type="dxa"/>
            <w:left w:w="15" w:type="dxa"/>
            <w:bottom w:w="15" w:type="dxa"/>
            <w:right w:w="15" w:type="dxa"/>
          </w:tblCellMar>
        </w:tblPrEx>
        <w:trPr>
          <w:trHeight w:val="0" w:hRule="atLeast"/>
          <w:jc w:val="center"/>
        </w:trPr>
        <w:tc>
          <w:tcPr>
            <w:tcW w:w="4491"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合计</w:t>
            </w:r>
          </w:p>
        </w:tc>
        <w:tc>
          <w:tcPr>
            <w:tcW w:w="9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w:t>
            </w:r>
          </w:p>
        </w:tc>
        <w:tc>
          <w:tcPr>
            <w:tcW w:w="4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w:t>
            </w:r>
          </w:p>
        </w:tc>
        <w:tc>
          <w:tcPr>
            <w:tcW w:w="8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w:t>
            </w:r>
          </w:p>
        </w:tc>
        <w:tc>
          <w:tcPr>
            <w:tcW w:w="6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1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w:t>
            </w:r>
          </w:p>
        </w:tc>
        <w:tc>
          <w:tcPr>
            <w:tcW w:w="33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其他支出</w:t>
            </w:r>
          </w:p>
        </w:tc>
        <w:tc>
          <w:tcPr>
            <w:tcW w:w="9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w:t>
            </w:r>
          </w:p>
        </w:tc>
        <w:tc>
          <w:tcPr>
            <w:tcW w:w="4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w:t>
            </w:r>
          </w:p>
        </w:tc>
        <w:tc>
          <w:tcPr>
            <w:tcW w:w="8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w:t>
            </w:r>
          </w:p>
        </w:tc>
        <w:tc>
          <w:tcPr>
            <w:tcW w:w="6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1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22960</w:t>
            </w:r>
          </w:p>
        </w:tc>
        <w:tc>
          <w:tcPr>
            <w:tcW w:w="33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彩票公益金安排的支出</w:t>
            </w:r>
          </w:p>
        </w:tc>
        <w:tc>
          <w:tcPr>
            <w:tcW w:w="9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w:t>
            </w:r>
          </w:p>
        </w:tc>
        <w:tc>
          <w:tcPr>
            <w:tcW w:w="4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w:t>
            </w:r>
          </w:p>
        </w:tc>
        <w:tc>
          <w:tcPr>
            <w:tcW w:w="8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w:t>
            </w:r>
          </w:p>
        </w:tc>
        <w:tc>
          <w:tcPr>
            <w:tcW w:w="6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1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2296003</w:t>
            </w:r>
          </w:p>
        </w:tc>
        <w:tc>
          <w:tcPr>
            <w:tcW w:w="33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用于体育事业的彩票公益金支出</w:t>
            </w:r>
          </w:p>
        </w:tc>
        <w:tc>
          <w:tcPr>
            <w:tcW w:w="9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w:t>
            </w:r>
          </w:p>
        </w:tc>
        <w:tc>
          <w:tcPr>
            <w:tcW w:w="4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w:t>
            </w:r>
          </w:p>
        </w:tc>
        <w:tc>
          <w:tcPr>
            <w:tcW w:w="8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w:t>
            </w:r>
          </w:p>
        </w:tc>
        <w:tc>
          <w:tcPr>
            <w:tcW w:w="6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9066" w:type="dxa"/>
            <w:gridSpan w:val="8"/>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注：本表反映部门本年度政府性基金预算财政拨款收入、支出及结转和结余情况。</w:t>
            </w:r>
          </w:p>
        </w:tc>
      </w:tr>
    </w:tbl>
    <w:p>
      <w:pPr>
        <w:widowControl/>
        <w:jc w:val="left"/>
        <w:rPr>
          <w:rFonts w:ascii="Times New Roman" w:hAnsi="Times New Roman" w:eastAsia="Times New Roman" w:cs="Times New Roman"/>
          <w:kern w:val="0"/>
          <w:sz w:val="24"/>
        </w:rPr>
      </w:pPr>
      <w:r>
        <w:rPr>
          <w:rFonts w:ascii="Times New Roman" w:hAnsi="Times New Roman" w:eastAsia="Times New Roman" w:cs="Times New Roman"/>
          <w:kern w:val="0"/>
          <w:sz w:val="24"/>
        </w:rPr>
        <w:t> </w:t>
      </w:r>
      <w:r>
        <w:rPr>
          <w:rFonts w:ascii="Times New Roman" w:hAnsi="Times New Roman" w:eastAsia="Times New Roman" w:cs="Times New Roman"/>
          <w:spacing w:val="0"/>
          <w:kern w:val="0"/>
          <w:sz w:val="27"/>
          <w:szCs w:val="27"/>
        </w:rPr>
        <w:t> </w:t>
      </w:r>
    </w:p>
    <w:p>
      <w:pPr>
        <w:pStyle w:val="6"/>
        <w:keepNext w:val="0"/>
        <w:keepLines w:val="0"/>
        <w:spacing w:before="100" w:after="100" w:line="240" w:lineRule="auto"/>
        <w:ind w:left="0" w:right="0" w:firstLine="0" w:firstLineChars="0"/>
        <w:rPr>
          <w:rFonts w:ascii="Times New Roman" w:hAnsi="Times New Roman" w:eastAsia="Times New Roman" w:cs="Times New Roman"/>
          <w:b/>
          <w:bCs/>
          <w:kern w:val="0"/>
          <w:sz w:val="28"/>
          <w:szCs w:val="28"/>
        </w:rPr>
      </w:pPr>
      <w:bookmarkStart w:id="61" w:name="_Toc256000077"/>
      <w:bookmarkStart w:id="62" w:name="_Toc256000046"/>
      <w:bookmarkStart w:id="63" w:name="_Toc256000108"/>
      <w:bookmarkStart w:id="64" w:name="_Toc256000015"/>
      <w:r>
        <w:rPr>
          <w:rFonts w:ascii="黑体" w:hAnsi="黑体" w:eastAsia="黑体" w:cs="黑体"/>
          <w:b/>
          <w:spacing w:val="0"/>
        </w:rPr>
        <w:t>九、国有资本经营预算财政拨款支出决算表</w:t>
      </w:r>
      <w:bookmarkEnd w:id="61"/>
      <w:bookmarkEnd w:id="62"/>
      <w:bookmarkEnd w:id="63"/>
      <w:bookmarkEnd w:id="64"/>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horizontal layout</w:t>
      </w:r>
    </w:p>
    <w:tbl>
      <w:tblPr>
        <w:tblStyle w:val="25"/>
        <w:tblW w:w="9320" w:type="dxa"/>
        <w:jc w:val="center"/>
        <w:tblInd w:w="0" w:type="dxa"/>
        <w:tblLayout w:type="fixed"/>
        <w:tblCellMar>
          <w:top w:w="15" w:type="dxa"/>
          <w:left w:w="15" w:type="dxa"/>
          <w:bottom w:w="15" w:type="dxa"/>
          <w:right w:w="15" w:type="dxa"/>
        </w:tblCellMar>
      </w:tblPr>
      <w:tblGrid>
        <w:gridCol w:w="1864"/>
        <w:gridCol w:w="1864"/>
        <w:gridCol w:w="1863"/>
        <w:gridCol w:w="1"/>
        <w:gridCol w:w="1864"/>
        <w:gridCol w:w="1864"/>
      </w:tblGrid>
      <w:tr>
        <w:tblPrEx>
          <w:tblLayout w:type="fixed"/>
          <w:tblCellMar>
            <w:top w:w="15" w:type="dxa"/>
            <w:left w:w="15" w:type="dxa"/>
            <w:bottom w:w="15" w:type="dxa"/>
            <w:right w:w="15" w:type="dxa"/>
          </w:tblCellMar>
        </w:tblPrEx>
        <w:trPr>
          <w:trHeight w:val="926" w:hRule="atLeast"/>
          <w:tblHeader/>
          <w:jc w:val="center"/>
        </w:trPr>
        <w:tc>
          <w:tcPr>
            <w:tcW w:w="9320" w:type="dxa"/>
            <w:gridSpan w:val="6"/>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32"/>
                <w:szCs w:val="32"/>
              </w:rPr>
              <w:t>国有资本经营预算财政拨款支出决算表</w:t>
            </w:r>
          </w:p>
        </w:tc>
      </w:tr>
      <w:tr>
        <w:tblPrEx>
          <w:tblLayout w:type="fixed"/>
          <w:tblCellMar>
            <w:top w:w="15" w:type="dxa"/>
            <w:left w:w="15" w:type="dxa"/>
            <w:bottom w:w="15" w:type="dxa"/>
            <w:right w:w="15" w:type="dxa"/>
          </w:tblCellMar>
        </w:tblPrEx>
        <w:trPr>
          <w:trHeight w:val="158" w:hRule="atLeast"/>
          <w:tblHeader/>
          <w:jc w:val="center"/>
        </w:trPr>
        <w:tc>
          <w:tcPr>
            <w:tcW w:w="186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6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6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65"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6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288" w:hRule="atLeast"/>
          <w:jc w:val="center"/>
        </w:trPr>
        <w:tc>
          <w:tcPr>
            <w:tcW w:w="3728"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部门</w:t>
            </w:r>
            <w:r>
              <w:rPr>
                <w:rFonts w:ascii="Times New Roman" w:hAnsi="Times New Roman" w:eastAsia="Times New Roman" w:cs="Times New Roman"/>
                <w:b w:val="0"/>
                <w:bCs w:val="0"/>
                <w:i w:val="0"/>
                <w:iCs w:val="0"/>
                <w:smallCaps w:val="0"/>
                <w:color w:val="000000"/>
                <w:kern w:val="0"/>
                <w:sz w:val="18"/>
                <w:szCs w:val="18"/>
              </w:rPr>
              <w:t>/</w:t>
            </w:r>
            <w:r>
              <w:rPr>
                <w:rFonts w:ascii="宋体" w:hAnsi="宋体" w:eastAsia="宋体" w:cs="宋体"/>
                <w:b w:val="0"/>
                <w:bCs w:val="0"/>
                <w:i w:val="0"/>
                <w:iCs w:val="0"/>
                <w:smallCaps w:val="0"/>
                <w:color w:val="000000"/>
                <w:kern w:val="0"/>
                <w:sz w:val="18"/>
                <w:szCs w:val="18"/>
              </w:rPr>
              <w:t>单位：厦门市寨上小学</w:t>
            </w:r>
          </w:p>
        </w:tc>
        <w:tc>
          <w:tcPr>
            <w:tcW w:w="186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2024</w:t>
            </w:r>
            <w:r>
              <w:rPr>
                <w:rFonts w:ascii="宋体" w:hAnsi="宋体" w:eastAsia="宋体" w:cs="宋体"/>
                <w:b w:val="0"/>
                <w:bCs w:val="0"/>
                <w:i w:val="0"/>
                <w:iCs w:val="0"/>
                <w:smallCaps w:val="0"/>
                <w:color w:val="000000"/>
                <w:kern w:val="0"/>
                <w:sz w:val="18"/>
                <w:szCs w:val="18"/>
              </w:rPr>
              <w:t>年度</w:t>
            </w:r>
          </w:p>
        </w:tc>
        <w:tc>
          <w:tcPr>
            <w:tcW w:w="1865"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6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金额单位：万元</w:t>
            </w:r>
          </w:p>
        </w:tc>
      </w:tr>
      <w:tr>
        <w:tblPrEx>
          <w:tblLayout w:type="fixed"/>
          <w:tblCellMar>
            <w:top w:w="15" w:type="dxa"/>
            <w:left w:w="15" w:type="dxa"/>
            <w:bottom w:w="15" w:type="dxa"/>
            <w:right w:w="15" w:type="dxa"/>
          </w:tblCellMar>
        </w:tblPrEx>
        <w:trPr>
          <w:trHeight w:val="197" w:hRule="atLeast"/>
          <w:jc w:val="center"/>
        </w:trPr>
        <w:tc>
          <w:tcPr>
            <w:tcW w:w="372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w:t>
            </w:r>
          </w:p>
        </w:tc>
        <w:tc>
          <w:tcPr>
            <w:tcW w:w="5592" w:type="dxa"/>
            <w:gridSpan w:val="4"/>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本年支出</w:t>
            </w:r>
          </w:p>
        </w:tc>
      </w:tr>
      <w:tr>
        <w:tblPrEx>
          <w:tblLayout w:type="fixed"/>
          <w:tblCellMar>
            <w:top w:w="15" w:type="dxa"/>
            <w:left w:w="15" w:type="dxa"/>
            <w:bottom w:w="15" w:type="dxa"/>
            <w:right w:w="15" w:type="dxa"/>
          </w:tblCellMar>
        </w:tblPrEx>
        <w:trPr>
          <w:trHeight w:val="312" w:hRule="atLeast"/>
          <w:tblHeader/>
          <w:jc w:val="center"/>
        </w:trPr>
        <w:tc>
          <w:tcPr>
            <w:tcW w:w="1864"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科目代码</w:t>
            </w:r>
          </w:p>
        </w:tc>
        <w:tc>
          <w:tcPr>
            <w:tcW w:w="1864"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科目名称</w:t>
            </w:r>
          </w:p>
        </w:tc>
        <w:tc>
          <w:tcPr>
            <w:tcW w:w="1864" w:type="dxa"/>
            <w:gridSpan w:val="2"/>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合计</w:t>
            </w:r>
          </w:p>
        </w:tc>
        <w:tc>
          <w:tcPr>
            <w:tcW w:w="1864"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基本支出</w:t>
            </w:r>
          </w:p>
        </w:tc>
        <w:tc>
          <w:tcPr>
            <w:tcW w:w="1864"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项目支出</w:t>
            </w:r>
          </w:p>
        </w:tc>
      </w:tr>
      <w:tr>
        <w:tblPrEx>
          <w:tblLayout w:type="fixed"/>
          <w:tblCellMar>
            <w:top w:w="15" w:type="dxa"/>
            <w:left w:w="15" w:type="dxa"/>
            <w:bottom w:w="15" w:type="dxa"/>
            <w:right w:w="15" w:type="dxa"/>
          </w:tblCellMar>
        </w:tblPrEx>
        <w:trPr>
          <w:trHeight w:val="357" w:hRule="atLeast"/>
          <w:tblHeader/>
          <w:jc w:val="center"/>
        </w:trPr>
        <w:tc>
          <w:tcPr>
            <w:tcW w:w="186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86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864" w:type="dxa"/>
            <w:gridSpan w:val="2"/>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86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86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312" w:hRule="atLeast"/>
          <w:tblHeader/>
          <w:jc w:val="center"/>
        </w:trPr>
        <w:tc>
          <w:tcPr>
            <w:tcW w:w="186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86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864" w:type="dxa"/>
            <w:gridSpan w:val="2"/>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86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86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233" w:hRule="atLeast"/>
          <w:jc w:val="center"/>
        </w:trPr>
        <w:tc>
          <w:tcPr>
            <w:tcW w:w="372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栏次</w:t>
            </w:r>
          </w:p>
        </w:tc>
        <w:tc>
          <w:tcPr>
            <w:tcW w:w="1864"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18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18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r>
      <w:tr>
        <w:tblPrEx>
          <w:tblLayout w:type="fixed"/>
          <w:tblCellMar>
            <w:top w:w="15" w:type="dxa"/>
            <w:left w:w="15" w:type="dxa"/>
            <w:bottom w:w="15" w:type="dxa"/>
            <w:right w:w="15" w:type="dxa"/>
          </w:tblCellMar>
        </w:tblPrEx>
        <w:trPr>
          <w:trHeight w:val="257" w:hRule="atLeast"/>
          <w:jc w:val="center"/>
        </w:trPr>
        <w:tc>
          <w:tcPr>
            <w:tcW w:w="372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合计</w:t>
            </w:r>
          </w:p>
        </w:tc>
        <w:tc>
          <w:tcPr>
            <w:tcW w:w="1864"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218" w:hRule="atLeast"/>
          <w:jc w:val="center"/>
        </w:trPr>
        <w:tc>
          <w:tcPr>
            <w:tcW w:w="18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64"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424" w:hRule="atLeast"/>
          <w:jc w:val="center"/>
        </w:trPr>
        <w:tc>
          <w:tcPr>
            <w:tcW w:w="9320" w:type="dxa"/>
            <w:gridSpan w:val="6"/>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注：本表反映部门本年度国有资本经营预算财政拨款支出情况。</w:t>
            </w:r>
          </w:p>
        </w:tc>
      </w:tr>
    </w:tbl>
    <w:p>
      <w:pPr>
        <w:keepNext w:val="0"/>
        <w:keepLines w:val="0"/>
        <w:pageBreakBefore w:val="0"/>
        <w:widowControl/>
        <w:kinsoku/>
        <w:wordWrap/>
        <w:overflowPunct/>
        <w:topLinePunct w:val="0"/>
        <w:autoSpaceDE/>
        <w:autoSpaceDN/>
        <w:bidi w:val="0"/>
        <w:adjustRightInd/>
        <w:snapToGrid/>
        <w:spacing w:before="313" w:beforeLines="100" w:after="313" w:afterLines="100" w:line="600" w:lineRule="atLeast"/>
        <w:ind w:firstLine="640" w:firstLineChars="200"/>
        <w:jc w:val="left"/>
        <w:textAlignment w:val="auto"/>
        <w:outlineLvl w:val="9"/>
      </w:pPr>
      <w:r>
        <w:rPr>
          <w:rFonts w:ascii="仿宋" w:hAnsi="仿宋" w:eastAsia="仿宋" w:cs="仿宋"/>
          <w:kern w:val="0"/>
          <w:sz w:val="32"/>
          <w:szCs w:val="32"/>
        </w:rPr>
        <w:t>本</w:t>
      </w:r>
      <w:r>
        <w:rPr>
          <w:rFonts w:hint="eastAsia" w:ascii="仿宋" w:hAnsi="仿宋" w:eastAsia="仿宋" w:cs="仿宋"/>
          <w:kern w:val="0"/>
          <w:sz w:val="32"/>
          <w:szCs w:val="32"/>
          <w:lang w:eastAsia="zh-CN"/>
        </w:rPr>
        <w:t>单位</w:t>
      </w:r>
      <w:r>
        <w:rPr>
          <w:rFonts w:ascii="仿宋" w:hAnsi="仿宋" w:eastAsia="仿宋" w:cs="仿宋"/>
          <w:kern w:val="0"/>
          <w:sz w:val="32"/>
          <w:szCs w:val="32"/>
        </w:rPr>
        <w:t>202</w:t>
      </w:r>
      <w:r>
        <w:rPr>
          <w:rFonts w:hint="eastAsia" w:ascii="仿宋" w:hAnsi="仿宋" w:eastAsia="仿宋" w:cs="仿宋"/>
          <w:kern w:val="0"/>
          <w:sz w:val="32"/>
          <w:szCs w:val="32"/>
          <w:lang w:val="en-US" w:eastAsia="zh-CN"/>
        </w:rPr>
        <w:t>4</w:t>
      </w:r>
      <w:r>
        <w:rPr>
          <w:rFonts w:ascii="仿宋" w:hAnsi="仿宋" w:eastAsia="仿宋" w:cs="仿宋"/>
          <w:kern w:val="0"/>
          <w:sz w:val="32"/>
          <w:szCs w:val="32"/>
        </w:rPr>
        <w:t>年度没有使用国有资本经营预算财政拨款安排的收支</w:t>
      </w:r>
      <w:r>
        <w:rPr>
          <w:rFonts w:hint="eastAsia" w:ascii="仿宋" w:hAnsi="仿宋" w:eastAsia="仿宋" w:cs="仿宋"/>
          <w:kern w:val="0"/>
          <w:sz w:val="32"/>
          <w:szCs w:val="32"/>
          <w:lang w:eastAsia="zh-CN"/>
        </w:rPr>
        <w:t>。</w:t>
      </w:r>
      <w:r>
        <w:rPr>
          <w:rFonts w:ascii="Times New Roman" w:hAnsi="Times New Roman" w:eastAsia="Times New Roman" w:cs="Times New Roman"/>
          <w:kern w:val="0"/>
          <w:sz w:val="32"/>
          <w:szCs w:val="32"/>
        </w:rPr>
        <w:t> </w:t>
      </w:r>
    </w:p>
    <w:p>
      <w:pPr>
        <w:pStyle w:val="4"/>
        <w:keepNext w:val="0"/>
        <w:keepLines w:val="0"/>
        <w:spacing w:before="100" w:after="100" w:line="240" w:lineRule="auto"/>
        <w:ind w:left="0" w:right="0" w:firstLine="0" w:firstLineChars="0"/>
        <w:jc w:val="center"/>
        <w:rPr>
          <w:rFonts w:ascii="Times New Roman" w:hAnsi="Times New Roman" w:eastAsia="Times New Roman" w:cs="Times New Roman"/>
          <w:b/>
          <w:bCs/>
          <w:kern w:val="0"/>
          <w:sz w:val="36"/>
          <w:szCs w:val="36"/>
        </w:rPr>
      </w:pPr>
      <w:bookmarkStart w:id="65" w:name="_Toc256000047"/>
      <w:bookmarkStart w:id="66" w:name="_Toc256000078"/>
      <w:bookmarkStart w:id="67" w:name="_Toc256000109"/>
      <w:bookmarkStart w:id="68" w:name="_Toc256000016"/>
      <w:r>
        <w:rPr>
          <w:rFonts w:ascii="黑体" w:hAnsi="黑体" w:eastAsia="黑体" w:cs="黑体"/>
          <w:b/>
          <w:spacing w:val="0"/>
          <w:sz w:val="36"/>
          <w:szCs w:val="36"/>
        </w:rPr>
        <w:t>第三部分</w:t>
      </w:r>
      <w:bookmarkEnd w:id="65"/>
      <w:bookmarkEnd w:id="66"/>
      <w:bookmarkEnd w:id="67"/>
      <w:bookmarkEnd w:id="68"/>
      <w:r>
        <w:rPr>
          <w:rFonts w:ascii="宋体" w:hAnsi="宋体" w:eastAsia="宋体" w:cs="宋体"/>
          <w:b/>
          <w:spacing w:val="0"/>
          <w:sz w:val="36"/>
          <w:szCs w:val="36"/>
        </w:rPr>
        <w:t> </w:t>
      </w:r>
      <w:bookmarkStart w:id="69" w:name="_Toc256000079"/>
      <w:bookmarkStart w:id="70" w:name="_Toc256000110"/>
      <w:bookmarkStart w:id="71" w:name="_Toc256000048"/>
      <w:bookmarkStart w:id="72" w:name="_Toc256000017"/>
      <w:r>
        <w:rPr>
          <w:rFonts w:ascii="黑体" w:hAnsi="黑体" w:eastAsia="黑体" w:cs="黑体"/>
          <w:b/>
          <w:spacing w:val="0"/>
          <w:sz w:val="36"/>
          <w:szCs w:val="36"/>
        </w:rPr>
        <w:t>2024年度决算情况说明</w:t>
      </w:r>
      <w:bookmarkEnd w:id="69"/>
      <w:bookmarkEnd w:id="70"/>
      <w:bookmarkEnd w:id="71"/>
      <w:bookmarkEnd w:id="72"/>
    </w:p>
    <w:p>
      <w:pPr>
        <w:pStyle w:val="6"/>
        <w:keepNext w:val="0"/>
        <w:keepLines w:val="0"/>
        <w:pageBreakBefore w:val="0"/>
        <w:widowControl/>
        <w:kinsoku/>
        <w:wordWrap/>
        <w:overflowPunct/>
        <w:topLinePunct w:val="0"/>
        <w:autoSpaceDE/>
        <w:autoSpaceDN/>
        <w:bidi w:val="0"/>
        <w:adjustRightInd/>
        <w:snapToGrid/>
        <w:spacing w:before="100" w:after="100" w:line="560" w:lineRule="exact"/>
        <w:ind w:left="0" w:right="0" w:firstLine="640" w:firstLineChars="0"/>
        <w:textAlignment w:val="auto"/>
        <w:rPr>
          <w:rFonts w:ascii="黑体" w:hAnsi="黑体" w:eastAsia="黑体" w:cs="黑体"/>
          <w:b/>
          <w:spacing w:val="0"/>
        </w:rPr>
      </w:pPr>
      <w:bookmarkStart w:id="73" w:name="_Toc256000111"/>
      <w:bookmarkStart w:id="74" w:name="_Toc256000080"/>
      <w:bookmarkStart w:id="75" w:name="_Toc256000049"/>
      <w:bookmarkStart w:id="76" w:name="_Toc256000018"/>
    </w:p>
    <w:p>
      <w:pPr>
        <w:pStyle w:val="6"/>
        <w:keepNext w:val="0"/>
        <w:keepLines w:val="0"/>
        <w:pageBreakBefore w:val="0"/>
        <w:widowControl/>
        <w:kinsoku/>
        <w:wordWrap/>
        <w:overflowPunct/>
        <w:topLinePunct w:val="0"/>
        <w:autoSpaceDE/>
        <w:autoSpaceDN/>
        <w:bidi w:val="0"/>
        <w:adjustRightInd/>
        <w:snapToGrid/>
        <w:spacing w:before="100" w:after="100" w:line="600" w:lineRule="atLeast"/>
        <w:ind w:left="0" w:right="0" w:firstLine="640" w:firstLineChars="0"/>
        <w:textAlignment w:val="auto"/>
        <w:rPr>
          <w:rFonts w:ascii="Times New Roman" w:hAnsi="Times New Roman" w:eastAsia="Times New Roman" w:cs="Times New Roman"/>
          <w:b/>
          <w:bCs/>
          <w:kern w:val="0"/>
          <w:sz w:val="28"/>
          <w:szCs w:val="28"/>
        </w:rPr>
      </w:pPr>
      <w:r>
        <w:rPr>
          <w:rFonts w:ascii="黑体" w:hAnsi="黑体" w:eastAsia="黑体" w:cs="黑体"/>
          <w:b/>
          <w:spacing w:val="0"/>
        </w:rPr>
        <w:t>一、收入支出决算总体情况说明</w:t>
      </w:r>
      <w:bookmarkEnd w:id="73"/>
      <w:bookmarkEnd w:id="74"/>
      <w:bookmarkEnd w:id="75"/>
      <w:bookmarkEnd w:id="76"/>
    </w:p>
    <w:p>
      <w:pPr>
        <w:pStyle w:val="31"/>
        <w:keepNext w:val="0"/>
        <w:keepLines w:val="0"/>
        <w:pageBreakBefore w:val="0"/>
        <w:widowControl/>
        <w:kinsoku/>
        <w:wordWrap/>
        <w:overflowPunct/>
        <w:topLinePunct w:val="0"/>
        <w:autoSpaceDE/>
        <w:autoSpaceDN/>
        <w:bidi w:val="0"/>
        <w:adjustRightInd/>
        <w:snapToGrid/>
        <w:spacing w:before="100" w:after="100" w:line="600" w:lineRule="atLeast"/>
        <w:ind w:left="0" w:right="0" w:firstLine="640"/>
        <w:jc w:val="both"/>
        <w:textAlignment w:val="auto"/>
        <w:rPr>
          <w:rFonts w:ascii="Times New Roman" w:hAnsi="Times New Roman" w:eastAsia="Times New Roman" w:cs="Times New Roman"/>
          <w:kern w:val="0"/>
          <w:sz w:val="24"/>
        </w:rPr>
      </w:pPr>
      <w:r>
        <w:rPr>
          <w:rFonts w:ascii="楷体_GB2312" w:hAnsi="楷体_GB2312" w:eastAsia="楷体_GB2312" w:cs="楷体_GB2312"/>
          <w:spacing w:val="0"/>
          <w:kern w:val="0"/>
          <w:sz w:val="32"/>
          <w:szCs w:val="32"/>
        </w:rPr>
        <w:t>（一）收入支出决算总体情况说明</w:t>
      </w:r>
    </w:p>
    <w:p>
      <w:pPr>
        <w:pStyle w:val="31"/>
        <w:keepNext w:val="0"/>
        <w:keepLines w:val="0"/>
        <w:pageBreakBefore w:val="0"/>
        <w:widowControl/>
        <w:kinsoku/>
        <w:wordWrap/>
        <w:overflowPunct/>
        <w:topLinePunct w:val="0"/>
        <w:autoSpaceDE/>
        <w:autoSpaceDN/>
        <w:bidi w:val="0"/>
        <w:adjustRightInd/>
        <w:snapToGrid/>
        <w:spacing w:before="100" w:after="100" w:line="600" w:lineRule="atLeast"/>
        <w:ind w:left="0" w:right="0" w:firstLine="640"/>
        <w:jc w:val="both"/>
        <w:textAlignment w:val="auto"/>
        <w:rPr>
          <w:rFonts w:hint="eastAsia" w:ascii="Times New Roman" w:hAnsi="Times New Roman" w:eastAsia="仿宋" w:cs="Times New Roman"/>
          <w:kern w:val="0"/>
          <w:sz w:val="24"/>
          <w:highlight w:val="yellow"/>
          <w:lang w:eastAsia="zh-CN"/>
        </w:rPr>
      </w:pPr>
      <w:r>
        <w:rPr>
          <w:rFonts w:ascii="仿宋" w:hAnsi="仿宋" w:eastAsia="仿宋" w:cs="仿宋"/>
          <w:spacing w:val="0"/>
          <w:kern w:val="0"/>
          <w:sz w:val="32"/>
          <w:szCs w:val="32"/>
        </w:rPr>
        <w:t>2024年度本单位收入总计3055.52万元，支出总计3055.52万元，与上年决算数相比，各增加264.11万元，各增长9.46%。</w:t>
      </w:r>
      <w:r>
        <w:rPr>
          <w:rFonts w:ascii="仿宋" w:hAnsi="仿宋" w:eastAsia="仿宋" w:cs="仿宋"/>
          <w:spacing w:val="0"/>
          <w:kern w:val="0"/>
          <w:sz w:val="32"/>
          <w:szCs w:val="32"/>
          <w:highlight w:val="none"/>
        </w:rPr>
        <w:t>主要是</w:t>
      </w:r>
      <w:r>
        <w:rPr>
          <w:rFonts w:hint="eastAsia" w:ascii="仿宋" w:hAnsi="仿宋" w:eastAsia="仿宋" w:cs="仿宋"/>
          <w:kern w:val="0"/>
          <w:sz w:val="32"/>
          <w:szCs w:val="32"/>
          <w:highlight w:val="none"/>
          <w:shd w:val="clear" w:color="auto" w:fill="FFFFFF"/>
        </w:rPr>
        <w:t>教育设备及校园建设项目增加</w:t>
      </w:r>
      <w:r>
        <w:rPr>
          <w:rFonts w:hint="eastAsia" w:ascii="仿宋" w:hAnsi="仿宋" w:eastAsia="仿宋" w:cs="仿宋"/>
          <w:kern w:val="0"/>
          <w:sz w:val="32"/>
          <w:szCs w:val="32"/>
          <w:highlight w:val="none"/>
          <w:shd w:val="clear" w:color="auto" w:fill="FFFFFF"/>
          <w:lang w:eastAsia="zh-CN"/>
        </w:rPr>
        <w:t>。</w:t>
      </w:r>
    </w:p>
    <w:p>
      <w:pPr>
        <w:pStyle w:val="31"/>
        <w:keepNext w:val="0"/>
        <w:keepLines w:val="0"/>
        <w:pageBreakBefore w:val="0"/>
        <w:widowControl/>
        <w:kinsoku/>
        <w:wordWrap/>
        <w:overflowPunct/>
        <w:topLinePunct w:val="0"/>
        <w:autoSpaceDE/>
        <w:autoSpaceDN/>
        <w:bidi w:val="0"/>
        <w:adjustRightInd/>
        <w:snapToGrid/>
        <w:spacing w:before="100" w:after="100" w:line="600" w:lineRule="atLeast"/>
        <w:ind w:left="0" w:right="0" w:firstLine="640"/>
        <w:jc w:val="both"/>
        <w:textAlignment w:val="auto"/>
        <w:rPr>
          <w:rFonts w:ascii="Times New Roman" w:hAnsi="Times New Roman" w:eastAsia="Times New Roman" w:cs="Times New Roman"/>
          <w:kern w:val="0"/>
          <w:sz w:val="24"/>
        </w:rPr>
      </w:pPr>
      <w:r>
        <w:rPr>
          <w:rFonts w:ascii="楷体_GB2312" w:hAnsi="楷体_GB2312" w:eastAsia="楷体_GB2312" w:cs="楷体_GB2312"/>
          <w:spacing w:val="0"/>
          <w:kern w:val="0"/>
          <w:sz w:val="32"/>
          <w:szCs w:val="32"/>
        </w:rPr>
        <w:t>（二）收入决算情况说明</w:t>
      </w:r>
    </w:p>
    <w:p>
      <w:pPr>
        <w:pStyle w:val="31"/>
        <w:keepNext w:val="0"/>
        <w:keepLines w:val="0"/>
        <w:pageBreakBefore w:val="0"/>
        <w:widowControl/>
        <w:kinsoku/>
        <w:wordWrap/>
        <w:overflowPunct/>
        <w:topLinePunct w:val="0"/>
        <w:autoSpaceDE/>
        <w:autoSpaceDN/>
        <w:bidi w:val="0"/>
        <w:adjustRightInd/>
        <w:snapToGrid/>
        <w:spacing w:before="100" w:after="100" w:line="600" w:lineRule="atLeast"/>
        <w:ind w:left="0" w:right="0" w:firstLine="64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2024年度收入3055.52万元，比上年决算数</w:t>
      </w:r>
      <w:r>
        <w:rPr>
          <w:rFonts w:ascii="仿宋" w:hAnsi="仿宋" w:eastAsia="仿宋" w:cs="仿宋"/>
          <w:kern w:val="0"/>
          <w:sz w:val="32"/>
          <w:szCs w:val="32"/>
        </w:rPr>
        <w:t>增加</w:t>
      </w:r>
      <w:r>
        <w:rPr>
          <w:rFonts w:ascii="仿宋" w:hAnsi="仿宋" w:eastAsia="仿宋" w:cs="仿宋"/>
          <w:spacing w:val="0"/>
          <w:kern w:val="0"/>
          <w:sz w:val="32"/>
          <w:szCs w:val="32"/>
        </w:rPr>
        <w:t>264.11万元，</w:t>
      </w:r>
      <w:r>
        <w:rPr>
          <w:rFonts w:ascii="仿宋" w:hAnsi="仿宋" w:eastAsia="仿宋" w:cs="仿宋"/>
          <w:kern w:val="0"/>
          <w:sz w:val="32"/>
          <w:szCs w:val="32"/>
        </w:rPr>
        <w:t>增长</w:t>
      </w:r>
      <w:r>
        <w:rPr>
          <w:rFonts w:ascii="仿宋" w:hAnsi="仿宋" w:eastAsia="仿宋" w:cs="仿宋"/>
          <w:spacing w:val="0"/>
          <w:kern w:val="0"/>
          <w:sz w:val="32"/>
          <w:szCs w:val="32"/>
        </w:rPr>
        <w:t>9.46%，具体情况如下：</w:t>
      </w:r>
    </w:p>
    <w:p>
      <w:pPr>
        <w:pStyle w:val="31"/>
        <w:keepNext w:val="0"/>
        <w:keepLines w:val="0"/>
        <w:pageBreakBefore w:val="0"/>
        <w:widowControl/>
        <w:kinsoku/>
        <w:wordWrap/>
        <w:overflowPunct/>
        <w:topLinePunct w:val="0"/>
        <w:autoSpaceDE/>
        <w:autoSpaceDN/>
        <w:bidi w:val="0"/>
        <w:adjustRightInd/>
        <w:snapToGrid/>
        <w:spacing w:before="100" w:after="100" w:line="600" w:lineRule="atLeast"/>
        <w:ind w:left="160" w:right="0" w:firstLine="48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1.一般公共预算财政拨款收入3051.62万元。</w:t>
      </w:r>
    </w:p>
    <w:p>
      <w:pPr>
        <w:pStyle w:val="31"/>
        <w:keepNext w:val="0"/>
        <w:keepLines w:val="0"/>
        <w:pageBreakBefore w:val="0"/>
        <w:widowControl/>
        <w:kinsoku/>
        <w:wordWrap/>
        <w:overflowPunct/>
        <w:topLinePunct w:val="0"/>
        <w:autoSpaceDE/>
        <w:autoSpaceDN/>
        <w:bidi w:val="0"/>
        <w:adjustRightInd/>
        <w:snapToGrid/>
        <w:spacing w:before="100" w:after="100" w:line="600" w:lineRule="atLeast"/>
        <w:ind w:left="160" w:right="0" w:firstLine="48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2.政府性基金预算财政拨款收入3.90万元。</w:t>
      </w:r>
    </w:p>
    <w:p>
      <w:pPr>
        <w:pStyle w:val="31"/>
        <w:keepNext w:val="0"/>
        <w:keepLines w:val="0"/>
        <w:pageBreakBefore w:val="0"/>
        <w:widowControl/>
        <w:kinsoku/>
        <w:wordWrap/>
        <w:overflowPunct/>
        <w:topLinePunct w:val="0"/>
        <w:autoSpaceDE/>
        <w:autoSpaceDN/>
        <w:bidi w:val="0"/>
        <w:adjustRightInd/>
        <w:snapToGrid/>
        <w:spacing w:before="100" w:after="100" w:line="600" w:lineRule="atLeast"/>
        <w:ind w:left="160" w:right="0" w:firstLine="48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3.国有资本经营预算财政拨款收入0万元。</w:t>
      </w:r>
    </w:p>
    <w:p>
      <w:pPr>
        <w:pStyle w:val="31"/>
        <w:keepNext w:val="0"/>
        <w:keepLines w:val="0"/>
        <w:pageBreakBefore w:val="0"/>
        <w:widowControl/>
        <w:kinsoku/>
        <w:wordWrap/>
        <w:overflowPunct/>
        <w:topLinePunct w:val="0"/>
        <w:autoSpaceDE/>
        <w:autoSpaceDN/>
        <w:bidi w:val="0"/>
        <w:adjustRightInd/>
        <w:snapToGrid/>
        <w:spacing w:before="100" w:after="100" w:line="600" w:lineRule="atLeast"/>
        <w:ind w:left="0" w:right="0" w:firstLine="64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4.上级补助收入0万元。</w:t>
      </w:r>
    </w:p>
    <w:p>
      <w:pPr>
        <w:pStyle w:val="31"/>
        <w:keepNext w:val="0"/>
        <w:keepLines w:val="0"/>
        <w:pageBreakBefore w:val="0"/>
        <w:widowControl/>
        <w:kinsoku/>
        <w:wordWrap/>
        <w:overflowPunct/>
        <w:topLinePunct w:val="0"/>
        <w:autoSpaceDE/>
        <w:autoSpaceDN/>
        <w:bidi w:val="0"/>
        <w:adjustRightInd/>
        <w:snapToGrid/>
        <w:spacing w:before="100" w:after="100" w:line="600" w:lineRule="atLeast"/>
        <w:ind w:left="0" w:right="0" w:firstLine="64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5.事业收入0万元。</w:t>
      </w:r>
    </w:p>
    <w:p>
      <w:pPr>
        <w:pStyle w:val="31"/>
        <w:keepNext w:val="0"/>
        <w:keepLines w:val="0"/>
        <w:pageBreakBefore w:val="0"/>
        <w:widowControl/>
        <w:kinsoku/>
        <w:wordWrap/>
        <w:overflowPunct/>
        <w:topLinePunct w:val="0"/>
        <w:autoSpaceDE/>
        <w:autoSpaceDN/>
        <w:bidi w:val="0"/>
        <w:adjustRightInd/>
        <w:snapToGrid/>
        <w:spacing w:before="100" w:after="100" w:line="600" w:lineRule="atLeast"/>
        <w:ind w:left="0" w:right="0" w:firstLine="64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6.经营收入0万元。</w:t>
      </w:r>
    </w:p>
    <w:p>
      <w:pPr>
        <w:pStyle w:val="31"/>
        <w:keepNext w:val="0"/>
        <w:keepLines w:val="0"/>
        <w:pageBreakBefore w:val="0"/>
        <w:widowControl/>
        <w:kinsoku/>
        <w:wordWrap/>
        <w:overflowPunct/>
        <w:topLinePunct w:val="0"/>
        <w:autoSpaceDE/>
        <w:autoSpaceDN/>
        <w:bidi w:val="0"/>
        <w:adjustRightInd/>
        <w:snapToGrid/>
        <w:spacing w:before="100" w:after="100" w:line="600" w:lineRule="atLeast"/>
        <w:ind w:left="0" w:right="0" w:firstLine="64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7.附属单位上缴收入0万元。</w:t>
      </w:r>
    </w:p>
    <w:p>
      <w:pPr>
        <w:pStyle w:val="31"/>
        <w:keepNext w:val="0"/>
        <w:keepLines w:val="0"/>
        <w:pageBreakBefore w:val="0"/>
        <w:widowControl/>
        <w:kinsoku/>
        <w:wordWrap/>
        <w:overflowPunct/>
        <w:topLinePunct w:val="0"/>
        <w:autoSpaceDE/>
        <w:autoSpaceDN/>
        <w:bidi w:val="0"/>
        <w:adjustRightInd/>
        <w:snapToGrid/>
        <w:spacing w:before="100" w:after="100" w:line="600" w:lineRule="atLeast"/>
        <w:ind w:left="0" w:right="0" w:firstLine="64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8.其他收入0万元。</w:t>
      </w:r>
    </w:p>
    <w:p>
      <w:pPr>
        <w:pStyle w:val="31"/>
        <w:keepNext w:val="0"/>
        <w:keepLines w:val="0"/>
        <w:pageBreakBefore w:val="0"/>
        <w:widowControl/>
        <w:kinsoku/>
        <w:wordWrap/>
        <w:overflowPunct/>
        <w:topLinePunct w:val="0"/>
        <w:autoSpaceDE/>
        <w:autoSpaceDN/>
        <w:bidi w:val="0"/>
        <w:adjustRightInd/>
        <w:snapToGrid/>
        <w:spacing w:before="100" w:after="100" w:line="600" w:lineRule="atLeast"/>
        <w:ind w:left="0" w:right="0" w:firstLine="640"/>
        <w:jc w:val="both"/>
        <w:textAlignment w:val="auto"/>
        <w:rPr>
          <w:rFonts w:ascii="Times New Roman" w:hAnsi="Times New Roman" w:eastAsia="Times New Roman" w:cs="Times New Roman"/>
          <w:kern w:val="0"/>
          <w:sz w:val="24"/>
        </w:rPr>
      </w:pPr>
      <w:r>
        <w:rPr>
          <w:rFonts w:ascii="楷体_GB2312" w:hAnsi="楷体_GB2312" w:eastAsia="楷体_GB2312" w:cs="楷体_GB2312"/>
          <w:spacing w:val="0"/>
          <w:kern w:val="0"/>
          <w:sz w:val="32"/>
          <w:szCs w:val="32"/>
        </w:rPr>
        <w:t>（三）支出决算情况说明</w:t>
      </w:r>
    </w:p>
    <w:p>
      <w:pPr>
        <w:pStyle w:val="31"/>
        <w:keepNext w:val="0"/>
        <w:keepLines w:val="0"/>
        <w:pageBreakBefore w:val="0"/>
        <w:widowControl/>
        <w:kinsoku/>
        <w:wordWrap/>
        <w:overflowPunct/>
        <w:topLinePunct w:val="0"/>
        <w:autoSpaceDE/>
        <w:autoSpaceDN/>
        <w:bidi w:val="0"/>
        <w:adjustRightInd/>
        <w:snapToGrid/>
        <w:spacing w:before="100" w:after="100" w:line="600" w:lineRule="atLeast"/>
        <w:ind w:left="0" w:right="0" w:firstLine="64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2024年度支出3055.52万元，比上年决算数增加264.11万元，增长9.46%，具体情况如下：</w:t>
      </w:r>
    </w:p>
    <w:p>
      <w:pPr>
        <w:pStyle w:val="31"/>
        <w:keepNext w:val="0"/>
        <w:keepLines w:val="0"/>
        <w:pageBreakBefore w:val="0"/>
        <w:widowControl/>
        <w:kinsoku/>
        <w:wordWrap/>
        <w:overflowPunct/>
        <w:topLinePunct w:val="0"/>
        <w:autoSpaceDE/>
        <w:autoSpaceDN/>
        <w:bidi w:val="0"/>
        <w:adjustRightInd/>
        <w:snapToGrid/>
        <w:spacing w:before="100" w:after="100" w:line="600" w:lineRule="atLeast"/>
        <w:ind w:left="0" w:right="0" w:firstLine="640"/>
        <w:jc w:val="both"/>
        <w:textAlignment w:val="auto"/>
        <w:rPr>
          <w:rFonts w:ascii="仿宋" w:hAnsi="仿宋" w:eastAsia="仿宋" w:cs="仿宋"/>
          <w:spacing w:val="0"/>
          <w:kern w:val="0"/>
          <w:sz w:val="32"/>
          <w:szCs w:val="32"/>
        </w:rPr>
      </w:pPr>
      <w:r>
        <w:rPr>
          <w:rFonts w:ascii="仿宋" w:hAnsi="仿宋" w:eastAsia="仿宋" w:cs="仿宋"/>
          <w:spacing w:val="0"/>
          <w:kern w:val="0"/>
          <w:sz w:val="32"/>
          <w:szCs w:val="32"/>
        </w:rPr>
        <w:t>1.基本支出2567.05万元。其中，人员支出2330.82万元，公用支出236.23万元。</w:t>
      </w:r>
    </w:p>
    <w:p>
      <w:pPr>
        <w:pStyle w:val="31"/>
        <w:keepNext w:val="0"/>
        <w:keepLines w:val="0"/>
        <w:pageBreakBefore w:val="0"/>
        <w:widowControl/>
        <w:kinsoku/>
        <w:wordWrap/>
        <w:overflowPunct/>
        <w:topLinePunct w:val="0"/>
        <w:autoSpaceDE/>
        <w:autoSpaceDN/>
        <w:bidi w:val="0"/>
        <w:adjustRightInd/>
        <w:snapToGrid/>
        <w:spacing w:before="100" w:after="100" w:line="600" w:lineRule="atLeast"/>
        <w:ind w:left="0" w:right="0" w:firstLine="640"/>
        <w:jc w:val="both"/>
        <w:textAlignment w:val="auto"/>
        <w:rPr>
          <w:rFonts w:ascii="仿宋" w:hAnsi="仿宋" w:eastAsia="仿宋" w:cs="仿宋"/>
          <w:spacing w:val="0"/>
          <w:kern w:val="0"/>
          <w:sz w:val="32"/>
          <w:szCs w:val="32"/>
        </w:rPr>
      </w:pPr>
      <w:r>
        <w:rPr>
          <w:rFonts w:ascii="仿宋" w:hAnsi="仿宋" w:eastAsia="仿宋" w:cs="仿宋"/>
          <w:spacing w:val="0"/>
          <w:kern w:val="0"/>
          <w:sz w:val="32"/>
          <w:szCs w:val="32"/>
        </w:rPr>
        <w:t>2.项目支出488.47万元。</w:t>
      </w:r>
    </w:p>
    <w:p>
      <w:pPr>
        <w:pStyle w:val="31"/>
        <w:keepNext w:val="0"/>
        <w:keepLines w:val="0"/>
        <w:pageBreakBefore w:val="0"/>
        <w:widowControl/>
        <w:kinsoku/>
        <w:wordWrap/>
        <w:overflowPunct/>
        <w:topLinePunct w:val="0"/>
        <w:autoSpaceDE/>
        <w:autoSpaceDN/>
        <w:bidi w:val="0"/>
        <w:adjustRightInd/>
        <w:snapToGrid/>
        <w:spacing w:before="100" w:after="100" w:line="600" w:lineRule="atLeast"/>
        <w:ind w:left="0" w:right="0" w:firstLine="640"/>
        <w:jc w:val="both"/>
        <w:textAlignment w:val="auto"/>
        <w:rPr>
          <w:rFonts w:ascii="仿宋" w:hAnsi="仿宋" w:eastAsia="仿宋" w:cs="仿宋"/>
          <w:spacing w:val="0"/>
          <w:kern w:val="0"/>
          <w:sz w:val="32"/>
          <w:szCs w:val="32"/>
        </w:rPr>
      </w:pPr>
      <w:r>
        <w:rPr>
          <w:rFonts w:ascii="仿宋" w:hAnsi="仿宋" w:eastAsia="仿宋" w:cs="仿宋"/>
          <w:spacing w:val="0"/>
          <w:kern w:val="0"/>
          <w:sz w:val="32"/>
          <w:szCs w:val="32"/>
        </w:rPr>
        <w:t>3.上缴上级支出0万元。</w:t>
      </w:r>
    </w:p>
    <w:p>
      <w:pPr>
        <w:pStyle w:val="31"/>
        <w:keepNext w:val="0"/>
        <w:keepLines w:val="0"/>
        <w:pageBreakBefore w:val="0"/>
        <w:widowControl/>
        <w:kinsoku/>
        <w:wordWrap/>
        <w:overflowPunct/>
        <w:topLinePunct w:val="0"/>
        <w:autoSpaceDE/>
        <w:autoSpaceDN/>
        <w:bidi w:val="0"/>
        <w:adjustRightInd/>
        <w:snapToGrid/>
        <w:spacing w:before="100" w:after="100" w:line="600" w:lineRule="atLeast"/>
        <w:ind w:left="0" w:right="0" w:firstLine="640"/>
        <w:jc w:val="both"/>
        <w:textAlignment w:val="auto"/>
        <w:rPr>
          <w:rFonts w:ascii="仿宋" w:hAnsi="仿宋" w:eastAsia="仿宋" w:cs="仿宋"/>
          <w:spacing w:val="0"/>
          <w:kern w:val="0"/>
          <w:sz w:val="32"/>
          <w:szCs w:val="32"/>
        </w:rPr>
      </w:pPr>
      <w:r>
        <w:rPr>
          <w:rFonts w:ascii="仿宋" w:hAnsi="仿宋" w:eastAsia="仿宋" w:cs="仿宋"/>
          <w:spacing w:val="0"/>
          <w:kern w:val="0"/>
          <w:sz w:val="32"/>
          <w:szCs w:val="32"/>
        </w:rPr>
        <w:t>4.经营支出0万元。</w:t>
      </w:r>
    </w:p>
    <w:p>
      <w:pPr>
        <w:pStyle w:val="31"/>
        <w:keepNext w:val="0"/>
        <w:keepLines w:val="0"/>
        <w:pageBreakBefore w:val="0"/>
        <w:widowControl/>
        <w:kinsoku/>
        <w:wordWrap/>
        <w:overflowPunct/>
        <w:topLinePunct w:val="0"/>
        <w:autoSpaceDE/>
        <w:autoSpaceDN/>
        <w:bidi w:val="0"/>
        <w:adjustRightInd/>
        <w:snapToGrid/>
        <w:spacing w:before="100" w:after="100" w:line="600" w:lineRule="atLeast"/>
        <w:ind w:left="0" w:right="0" w:firstLine="640"/>
        <w:jc w:val="both"/>
        <w:textAlignment w:val="auto"/>
        <w:rPr>
          <w:rFonts w:ascii="仿宋" w:hAnsi="仿宋" w:eastAsia="仿宋" w:cs="仿宋"/>
          <w:spacing w:val="0"/>
          <w:kern w:val="0"/>
          <w:sz w:val="32"/>
          <w:szCs w:val="32"/>
        </w:rPr>
      </w:pPr>
      <w:r>
        <w:rPr>
          <w:rFonts w:ascii="仿宋" w:hAnsi="仿宋" w:eastAsia="仿宋" w:cs="仿宋"/>
          <w:spacing w:val="0"/>
          <w:kern w:val="0"/>
          <w:sz w:val="32"/>
          <w:szCs w:val="32"/>
        </w:rPr>
        <w:t>5.对附属单位补助支出0万元。</w:t>
      </w:r>
    </w:p>
    <w:p>
      <w:pPr>
        <w:pStyle w:val="6"/>
        <w:keepNext w:val="0"/>
        <w:keepLines w:val="0"/>
        <w:pageBreakBefore w:val="0"/>
        <w:widowControl/>
        <w:kinsoku/>
        <w:wordWrap/>
        <w:overflowPunct/>
        <w:topLinePunct w:val="0"/>
        <w:autoSpaceDE/>
        <w:autoSpaceDN/>
        <w:bidi w:val="0"/>
        <w:adjustRightInd/>
        <w:snapToGrid w:val="0"/>
        <w:spacing w:before="100" w:after="100" w:line="600" w:lineRule="atLeast"/>
        <w:ind w:left="0" w:right="0" w:firstLine="480" w:firstLineChars="0"/>
        <w:jc w:val="both"/>
        <w:textAlignment w:val="auto"/>
        <w:rPr>
          <w:rFonts w:ascii="Times New Roman" w:hAnsi="Times New Roman" w:eastAsia="Times New Roman" w:cs="Times New Roman"/>
          <w:b/>
          <w:bCs/>
          <w:kern w:val="0"/>
          <w:sz w:val="28"/>
          <w:szCs w:val="28"/>
        </w:rPr>
      </w:pPr>
      <w:bookmarkStart w:id="77" w:name="_Toc256000019"/>
      <w:bookmarkStart w:id="78" w:name="_Toc256000112"/>
      <w:bookmarkStart w:id="79" w:name="_Toc256000081"/>
      <w:bookmarkStart w:id="80" w:name="_Toc256000050"/>
      <w:r>
        <w:rPr>
          <w:rFonts w:ascii="黑体" w:hAnsi="黑体" w:eastAsia="黑体" w:cs="黑体"/>
          <w:b/>
          <w:spacing w:val="0"/>
        </w:rPr>
        <w:t>二、财政拨款收入支出决算总体情况说明</w:t>
      </w:r>
      <w:bookmarkEnd w:id="77"/>
      <w:bookmarkEnd w:id="78"/>
      <w:bookmarkEnd w:id="79"/>
      <w:bookmarkEnd w:id="80"/>
    </w:p>
    <w:p>
      <w:pPr>
        <w:pStyle w:val="31"/>
        <w:keepNext w:val="0"/>
        <w:keepLines w:val="0"/>
        <w:pageBreakBefore w:val="0"/>
        <w:widowControl/>
        <w:kinsoku/>
        <w:wordWrap/>
        <w:overflowPunct/>
        <w:topLinePunct w:val="0"/>
        <w:autoSpaceDE/>
        <w:autoSpaceDN/>
        <w:bidi w:val="0"/>
        <w:adjustRightInd/>
        <w:snapToGrid w:val="0"/>
        <w:spacing w:before="100" w:after="100" w:line="600" w:lineRule="atLeast"/>
        <w:ind w:left="0" w:right="0" w:firstLine="641"/>
        <w:jc w:val="both"/>
        <w:textAlignment w:val="auto"/>
        <w:outlineLvl w:val="9"/>
        <w:rPr>
          <w:rFonts w:hint="eastAsia" w:ascii="仿宋" w:hAnsi="仿宋" w:eastAsia="仿宋" w:cs="仿宋"/>
          <w:spacing w:val="0"/>
          <w:kern w:val="0"/>
          <w:sz w:val="32"/>
          <w:szCs w:val="32"/>
          <w:lang w:eastAsia="zh-CN"/>
        </w:rPr>
      </w:pPr>
      <w:r>
        <w:rPr>
          <w:rFonts w:ascii="仿宋" w:hAnsi="仿宋" w:eastAsia="仿宋" w:cs="仿宋"/>
          <w:spacing w:val="0"/>
          <w:kern w:val="0"/>
          <w:sz w:val="32"/>
          <w:szCs w:val="32"/>
        </w:rPr>
        <w:t>2024年度财政拨款收入总计3055.52万元，支出总计3055.52万元，与上年决算数相比，各增加264.11万元，增长9.46%，主要是：</w:t>
      </w:r>
      <w:r>
        <w:rPr>
          <w:rFonts w:hint="eastAsia" w:ascii="仿宋" w:hAnsi="仿宋" w:eastAsia="仿宋" w:cs="仿宋"/>
          <w:spacing w:val="0"/>
          <w:kern w:val="0"/>
          <w:sz w:val="32"/>
          <w:szCs w:val="32"/>
        </w:rPr>
        <w:t>教育设备及校园建设项目增加</w:t>
      </w:r>
      <w:r>
        <w:rPr>
          <w:rFonts w:hint="eastAsia" w:ascii="仿宋" w:hAnsi="仿宋" w:eastAsia="仿宋" w:cs="仿宋"/>
          <w:spacing w:val="0"/>
          <w:kern w:val="0"/>
          <w:sz w:val="32"/>
          <w:szCs w:val="32"/>
          <w:lang w:eastAsia="zh-CN"/>
        </w:rPr>
        <w:t>。</w:t>
      </w:r>
    </w:p>
    <w:p>
      <w:pPr>
        <w:pStyle w:val="6"/>
        <w:keepNext w:val="0"/>
        <w:keepLines w:val="0"/>
        <w:pageBreakBefore w:val="0"/>
        <w:widowControl/>
        <w:kinsoku/>
        <w:wordWrap/>
        <w:overflowPunct/>
        <w:topLinePunct w:val="0"/>
        <w:autoSpaceDE/>
        <w:autoSpaceDN/>
        <w:bidi w:val="0"/>
        <w:adjustRightInd/>
        <w:snapToGrid/>
        <w:spacing w:before="100" w:after="100" w:line="600" w:lineRule="atLeast"/>
        <w:ind w:left="0" w:right="0" w:firstLine="640" w:firstLineChars="0"/>
        <w:jc w:val="both"/>
        <w:textAlignment w:val="auto"/>
        <w:rPr>
          <w:rFonts w:ascii="Times New Roman" w:hAnsi="Times New Roman" w:eastAsia="Times New Roman" w:cs="Times New Roman"/>
          <w:b/>
          <w:bCs/>
          <w:kern w:val="0"/>
          <w:sz w:val="28"/>
          <w:szCs w:val="28"/>
        </w:rPr>
      </w:pPr>
      <w:bookmarkStart w:id="81" w:name="_Toc256000051"/>
      <w:bookmarkStart w:id="82" w:name="_Toc256000020"/>
      <w:bookmarkStart w:id="83" w:name="_Toc256000082"/>
      <w:bookmarkStart w:id="84" w:name="_Toc256000113"/>
      <w:r>
        <w:rPr>
          <w:rFonts w:ascii="黑体" w:hAnsi="黑体" w:eastAsia="黑体" w:cs="黑体"/>
          <w:b/>
          <w:spacing w:val="0"/>
        </w:rPr>
        <w:t>三、一般公共预算拨款支出决算情况说明</w:t>
      </w:r>
      <w:bookmarkEnd w:id="81"/>
      <w:bookmarkEnd w:id="82"/>
      <w:bookmarkEnd w:id="83"/>
      <w:bookmarkEnd w:id="84"/>
    </w:p>
    <w:p>
      <w:pPr>
        <w:pStyle w:val="31"/>
        <w:keepNext w:val="0"/>
        <w:keepLines w:val="0"/>
        <w:pageBreakBefore w:val="0"/>
        <w:widowControl/>
        <w:kinsoku/>
        <w:wordWrap/>
        <w:overflowPunct/>
        <w:topLinePunct w:val="0"/>
        <w:autoSpaceDE/>
        <w:autoSpaceDN/>
        <w:bidi w:val="0"/>
        <w:adjustRightInd/>
        <w:snapToGrid/>
        <w:spacing w:before="100" w:after="100" w:line="600" w:lineRule="atLeast"/>
        <w:ind w:left="0" w:right="0" w:firstLine="640"/>
        <w:jc w:val="both"/>
        <w:textAlignment w:val="auto"/>
        <w:rPr>
          <w:rFonts w:ascii="仿宋" w:hAnsi="仿宋" w:eastAsia="仿宋" w:cs="仿宋"/>
          <w:spacing w:val="0"/>
          <w:kern w:val="0"/>
          <w:sz w:val="32"/>
          <w:szCs w:val="32"/>
        </w:rPr>
      </w:pPr>
      <w:r>
        <w:rPr>
          <w:rFonts w:ascii="仿宋" w:hAnsi="仿宋" w:eastAsia="仿宋" w:cs="仿宋"/>
          <w:spacing w:val="0"/>
          <w:kern w:val="0"/>
          <w:sz w:val="32"/>
          <w:szCs w:val="32"/>
        </w:rPr>
        <w:t>2024年一般公共预算支出3051.62万元，比上年决算数增加275.51万元，增长9.92%，具体情况如下(按项级科目分类统计)：</w:t>
      </w:r>
    </w:p>
    <w:p>
      <w:pPr>
        <w:pStyle w:val="31"/>
        <w:keepNext w:val="0"/>
        <w:keepLines w:val="0"/>
        <w:pageBreakBefore w:val="0"/>
        <w:widowControl/>
        <w:kinsoku/>
        <w:wordWrap/>
        <w:overflowPunct/>
        <w:topLinePunct w:val="0"/>
        <w:autoSpaceDE/>
        <w:autoSpaceDN/>
        <w:bidi w:val="0"/>
        <w:adjustRightInd/>
        <w:snapToGrid/>
        <w:spacing w:before="100" w:after="100" w:line="600" w:lineRule="atLeast"/>
        <w:ind w:left="0" w:right="0" w:firstLine="640"/>
        <w:jc w:val="both"/>
        <w:textAlignment w:val="auto"/>
        <w:rPr>
          <w:rFonts w:hint="eastAsia" w:ascii="仿宋" w:hAnsi="仿宋" w:eastAsia="仿宋" w:cs="仿宋"/>
          <w:spacing w:val="0"/>
          <w:kern w:val="0"/>
          <w:sz w:val="32"/>
          <w:szCs w:val="32"/>
          <w:lang w:val="en-US" w:eastAsia="zh-CN"/>
        </w:rPr>
      </w:pPr>
      <w:r>
        <w:rPr>
          <w:rFonts w:ascii="仿宋" w:hAnsi="仿宋" w:eastAsia="仿宋" w:cs="仿宋"/>
          <w:spacing w:val="0"/>
          <w:kern w:val="0"/>
          <w:sz w:val="32"/>
          <w:szCs w:val="32"/>
        </w:rPr>
        <w:t>（一）2050202 小学教育2,045.69万元，较上年决算数减少9.77万元，下降0.48%。主要原因是</w:t>
      </w:r>
      <w:r>
        <w:rPr>
          <w:rFonts w:hint="eastAsia" w:ascii="仿宋" w:hAnsi="仿宋" w:eastAsia="仿宋" w:cs="仿宋"/>
          <w:spacing w:val="0"/>
          <w:kern w:val="0"/>
          <w:sz w:val="32"/>
          <w:szCs w:val="32"/>
        </w:rPr>
        <w:t>学生人数</w:t>
      </w:r>
      <w:r>
        <w:rPr>
          <w:rFonts w:hint="eastAsia" w:ascii="仿宋" w:hAnsi="仿宋" w:eastAsia="仿宋" w:cs="仿宋"/>
          <w:spacing w:val="0"/>
          <w:kern w:val="0"/>
          <w:sz w:val="32"/>
          <w:szCs w:val="32"/>
          <w:lang w:val="en-US" w:eastAsia="zh-CN"/>
        </w:rPr>
        <w:t>减少。</w:t>
      </w:r>
    </w:p>
    <w:p>
      <w:pPr>
        <w:pStyle w:val="31"/>
        <w:keepNext w:val="0"/>
        <w:keepLines w:val="0"/>
        <w:pageBreakBefore w:val="0"/>
        <w:widowControl/>
        <w:kinsoku/>
        <w:wordWrap/>
        <w:overflowPunct/>
        <w:topLinePunct w:val="0"/>
        <w:autoSpaceDE/>
        <w:autoSpaceDN/>
        <w:bidi w:val="0"/>
        <w:adjustRightInd/>
        <w:snapToGrid/>
        <w:spacing w:before="100" w:after="100" w:line="600" w:lineRule="atLeast"/>
        <w:ind w:left="0" w:right="0" w:firstLine="640"/>
        <w:jc w:val="both"/>
        <w:textAlignment w:val="auto"/>
        <w:rPr>
          <w:rFonts w:hint="eastAsia" w:ascii="仿宋" w:hAnsi="仿宋" w:eastAsia="仿宋" w:cs="仿宋"/>
          <w:spacing w:val="0"/>
          <w:kern w:val="0"/>
          <w:sz w:val="32"/>
          <w:szCs w:val="32"/>
          <w:lang w:val="en-US" w:eastAsia="zh-CN"/>
        </w:rPr>
      </w:pPr>
      <w:r>
        <w:rPr>
          <w:rFonts w:ascii="仿宋" w:hAnsi="仿宋" w:eastAsia="仿宋" w:cs="仿宋"/>
          <w:spacing w:val="0"/>
          <w:kern w:val="0"/>
          <w:sz w:val="32"/>
          <w:szCs w:val="32"/>
        </w:rPr>
        <w:t>（二）2050299 其他普通教育支出172.01万元，较上年决算数增加24.87万元，增长16.91%。主要原因是</w:t>
      </w:r>
      <w:r>
        <w:rPr>
          <w:rFonts w:hint="eastAsia" w:ascii="仿宋" w:hAnsi="仿宋" w:eastAsia="仿宋" w:cs="仿宋"/>
          <w:spacing w:val="0"/>
          <w:kern w:val="0"/>
          <w:sz w:val="32"/>
          <w:szCs w:val="32"/>
        </w:rPr>
        <w:t>教育设备设施支出</w:t>
      </w:r>
      <w:r>
        <w:rPr>
          <w:rFonts w:hint="eastAsia" w:ascii="仿宋" w:hAnsi="仿宋" w:eastAsia="仿宋" w:cs="仿宋"/>
          <w:spacing w:val="0"/>
          <w:kern w:val="0"/>
          <w:sz w:val="32"/>
          <w:szCs w:val="32"/>
          <w:lang w:val="en-US" w:eastAsia="zh-CN"/>
        </w:rPr>
        <w:t>增加。</w:t>
      </w:r>
    </w:p>
    <w:p>
      <w:pPr>
        <w:pStyle w:val="31"/>
        <w:keepNext w:val="0"/>
        <w:keepLines w:val="0"/>
        <w:pageBreakBefore w:val="0"/>
        <w:widowControl/>
        <w:kinsoku/>
        <w:wordWrap/>
        <w:overflowPunct/>
        <w:topLinePunct w:val="0"/>
        <w:autoSpaceDE/>
        <w:autoSpaceDN/>
        <w:bidi w:val="0"/>
        <w:adjustRightInd/>
        <w:snapToGrid/>
        <w:spacing w:before="100" w:after="100" w:line="600" w:lineRule="atLeast"/>
        <w:ind w:left="0" w:right="0" w:firstLine="640"/>
        <w:jc w:val="both"/>
        <w:textAlignment w:val="auto"/>
        <w:rPr>
          <w:rFonts w:hint="eastAsia" w:ascii="仿宋" w:hAnsi="仿宋" w:eastAsia="仿宋" w:cs="仿宋"/>
          <w:spacing w:val="0"/>
          <w:kern w:val="0"/>
          <w:sz w:val="32"/>
          <w:szCs w:val="32"/>
          <w:lang w:val="en-US" w:eastAsia="zh-CN"/>
        </w:rPr>
      </w:pPr>
      <w:r>
        <w:rPr>
          <w:rFonts w:ascii="仿宋" w:hAnsi="仿宋" w:eastAsia="仿宋" w:cs="仿宋"/>
          <w:spacing w:val="0"/>
          <w:kern w:val="0"/>
          <w:sz w:val="32"/>
          <w:szCs w:val="32"/>
        </w:rPr>
        <w:t>（三）2050999 其他教育费附加安排的支出364.19万元，较上年决算数增加243.12万元，增长200.79%。主要原因是</w:t>
      </w:r>
      <w:r>
        <w:rPr>
          <w:rFonts w:hint="eastAsia" w:ascii="仿宋" w:hAnsi="仿宋" w:eastAsia="仿宋" w:cs="仿宋"/>
          <w:spacing w:val="0"/>
          <w:kern w:val="0"/>
          <w:sz w:val="32"/>
          <w:szCs w:val="32"/>
        </w:rPr>
        <w:t>教育设备设施支出</w:t>
      </w:r>
      <w:r>
        <w:rPr>
          <w:rFonts w:hint="eastAsia" w:ascii="仿宋" w:hAnsi="仿宋" w:eastAsia="仿宋" w:cs="仿宋"/>
          <w:spacing w:val="0"/>
          <w:kern w:val="0"/>
          <w:sz w:val="32"/>
          <w:szCs w:val="32"/>
          <w:lang w:val="en-US" w:eastAsia="zh-CN"/>
        </w:rPr>
        <w:t>增加。</w:t>
      </w:r>
    </w:p>
    <w:p>
      <w:pPr>
        <w:pStyle w:val="31"/>
        <w:keepNext w:val="0"/>
        <w:keepLines w:val="0"/>
        <w:pageBreakBefore w:val="0"/>
        <w:widowControl/>
        <w:kinsoku/>
        <w:wordWrap/>
        <w:overflowPunct/>
        <w:topLinePunct w:val="0"/>
        <w:autoSpaceDE/>
        <w:autoSpaceDN/>
        <w:bidi w:val="0"/>
        <w:adjustRightInd/>
        <w:snapToGrid/>
        <w:spacing w:before="100" w:after="100" w:line="600" w:lineRule="atLeast"/>
        <w:ind w:left="0" w:right="0" w:firstLine="640"/>
        <w:jc w:val="both"/>
        <w:textAlignment w:val="auto"/>
        <w:rPr>
          <w:rFonts w:hint="eastAsia" w:ascii="仿宋" w:hAnsi="仿宋" w:eastAsia="仿宋" w:cs="仿宋"/>
          <w:spacing w:val="0"/>
          <w:kern w:val="0"/>
          <w:sz w:val="32"/>
          <w:szCs w:val="32"/>
          <w:lang w:eastAsia="zh-CN"/>
        </w:rPr>
      </w:pPr>
      <w:r>
        <w:rPr>
          <w:rFonts w:ascii="仿宋" w:hAnsi="仿宋" w:eastAsia="仿宋" w:cs="仿宋"/>
          <w:spacing w:val="0"/>
          <w:kern w:val="0"/>
          <w:sz w:val="32"/>
          <w:szCs w:val="32"/>
        </w:rPr>
        <w:t>（四）2080502 事业单位离退休74.58万元，较上年决算数减少3.73万元，下降4.77%。主要原因是</w:t>
      </w:r>
      <w:r>
        <w:rPr>
          <w:rFonts w:hint="eastAsia" w:ascii="仿宋" w:hAnsi="仿宋" w:eastAsia="仿宋" w:cs="仿宋"/>
          <w:spacing w:val="0"/>
          <w:kern w:val="0"/>
          <w:sz w:val="32"/>
          <w:szCs w:val="32"/>
          <w:lang w:eastAsia="zh-CN"/>
        </w:rPr>
        <w:t>退休人员一次性支出减少。</w:t>
      </w:r>
    </w:p>
    <w:p>
      <w:pPr>
        <w:pStyle w:val="31"/>
        <w:keepNext w:val="0"/>
        <w:keepLines w:val="0"/>
        <w:pageBreakBefore w:val="0"/>
        <w:widowControl/>
        <w:kinsoku/>
        <w:wordWrap/>
        <w:overflowPunct/>
        <w:topLinePunct w:val="0"/>
        <w:autoSpaceDE/>
        <w:autoSpaceDN/>
        <w:bidi w:val="0"/>
        <w:adjustRightInd/>
        <w:snapToGrid/>
        <w:spacing w:before="100" w:after="100" w:line="600" w:lineRule="atLeast"/>
        <w:ind w:left="0" w:right="0" w:firstLine="640"/>
        <w:jc w:val="both"/>
        <w:textAlignment w:val="auto"/>
        <w:rPr>
          <w:rFonts w:hint="eastAsia" w:ascii="仿宋" w:hAnsi="仿宋" w:eastAsia="仿宋" w:cs="仿宋"/>
          <w:spacing w:val="0"/>
          <w:kern w:val="0"/>
          <w:sz w:val="32"/>
          <w:szCs w:val="32"/>
          <w:lang w:eastAsia="zh-CN"/>
        </w:rPr>
      </w:pPr>
      <w:r>
        <w:rPr>
          <w:rFonts w:ascii="仿宋" w:hAnsi="仿宋" w:eastAsia="仿宋" w:cs="仿宋"/>
          <w:spacing w:val="0"/>
          <w:kern w:val="0"/>
          <w:sz w:val="32"/>
          <w:szCs w:val="32"/>
        </w:rPr>
        <w:t>（五）2080505 机关事业单位基本养老保险缴费支出167.15万元，较上年决算数增加1.11万元，增长0.67%。主要原因是</w:t>
      </w:r>
      <w:r>
        <w:rPr>
          <w:rFonts w:hint="eastAsia" w:ascii="仿宋" w:hAnsi="仿宋" w:eastAsia="仿宋" w:cs="仿宋"/>
          <w:spacing w:val="0"/>
          <w:kern w:val="0"/>
          <w:sz w:val="32"/>
          <w:szCs w:val="32"/>
        </w:rPr>
        <w:t>缴费基数调整</w:t>
      </w:r>
      <w:r>
        <w:rPr>
          <w:rFonts w:hint="eastAsia" w:ascii="仿宋" w:hAnsi="仿宋" w:eastAsia="仿宋" w:cs="仿宋"/>
          <w:spacing w:val="0"/>
          <w:kern w:val="0"/>
          <w:sz w:val="32"/>
          <w:szCs w:val="32"/>
          <w:lang w:eastAsia="zh-CN"/>
        </w:rPr>
        <w:t>。</w:t>
      </w:r>
    </w:p>
    <w:p>
      <w:pPr>
        <w:pStyle w:val="31"/>
        <w:keepNext w:val="0"/>
        <w:keepLines w:val="0"/>
        <w:pageBreakBefore w:val="0"/>
        <w:widowControl/>
        <w:kinsoku/>
        <w:wordWrap/>
        <w:overflowPunct/>
        <w:topLinePunct w:val="0"/>
        <w:autoSpaceDE/>
        <w:autoSpaceDN/>
        <w:bidi w:val="0"/>
        <w:adjustRightInd/>
        <w:snapToGrid/>
        <w:spacing w:before="100" w:after="100" w:line="600" w:lineRule="atLeast"/>
        <w:ind w:left="0" w:right="0" w:firstLine="640"/>
        <w:jc w:val="both"/>
        <w:textAlignment w:val="auto"/>
        <w:rPr>
          <w:rFonts w:hint="eastAsia" w:ascii="仿宋" w:hAnsi="仿宋" w:eastAsia="仿宋" w:cs="仿宋"/>
          <w:spacing w:val="0"/>
          <w:kern w:val="0"/>
          <w:sz w:val="32"/>
          <w:szCs w:val="32"/>
          <w:lang w:eastAsia="zh-CN"/>
        </w:rPr>
      </w:pPr>
      <w:r>
        <w:rPr>
          <w:rFonts w:ascii="仿宋" w:hAnsi="仿宋" w:eastAsia="仿宋" w:cs="仿宋"/>
          <w:spacing w:val="0"/>
          <w:kern w:val="0"/>
          <w:sz w:val="32"/>
          <w:szCs w:val="32"/>
        </w:rPr>
        <w:t>（六）2080506 机关事业单位职业年金缴费支出93.22万元，较上年决算数减少7.26万元，下降7.22%。主要原因是</w:t>
      </w:r>
      <w:r>
        <w:rPr>
          <w:rFonts w:hint="eastAsia" w:ascii="仿宋" w:hAnsi="仿宋" w:eastAsia="仿宋" w:cs="仿宋"/>
          <w:spacing w:val="0"/>
          <w:kern w:val="0"/>
          <w:sz w:val="32"/>
          <w:szCs w:val="32"/>
          <w:lang w:eastAsia="zh-CN"/>
        </w:rPr>
        <w:t>退休人员职业年金记实支出减少。</w:t>
      </w:r>
    </w:p>
    <w:p>
      <w:pPr>
        <w:pStyle w:val="31"/>
        <w:keepNext w:val="0"/>
        <w:keepLines w:val="0"/>
        <w:pageBreakBefore w:val="0"/>
        <w:widowControl/>
        <w:kinsoku/>
        <w:wordWrap/>
        <w:overflowPunct/>
        <w:topLinePunct w:val="0"/>
        <w:autoSpaceDE/>
        <w:autoSpaceDN/>
        <w:bidi w:val="0"/>
        <w:adjustRightInd/>
        <w:snapToGrid/>
        <w:spacing w:before="100" w:after="100" w:line="600" w:lineRule="atLeast"/>
        <w:ind w:left="0" w:right="0" w:firstLine="640"/>
        <w:jc w:val="both"/>
        <w:textAlignment w:val="auto"/>
        <w:rPr>
          <w:rFonts w:hint="eastAsia" w:ascii="仿宋" w:hAnsi="仿宋" w:eastAsia="仿宋" w:cs="仿宋"/>
          <w:spacing w:val="0"/>
          <w:kern w:val="0"/>
          <w:sz w:val="32"/>
          <w:szCs w:val="32"/>
          <w:lang w:eastAsia="zh-CN"/>
        </w:rPr>
      </w:pPr>
      <w:r>
        <w:rPr>
          <w:rFonts w:ascii="仿宋" w:hAnsi="仿宋" w:eastAsia="仿宋" w:cs="仿宋"/>
          <w:spacing w:val="0"/>
          <w:kern w:val="0"/>
          <w:sz w:val="32"/>
          <w:szCs w:val="32"/>
        </w:rPr>
        <w:t>（七）2101102 事业单位医疗71.56万元，较上年决算数增加0.48万元，增长0.67%。主要原因是</w:t>
      </w:r>
      <w:r>
        <w:rPr>
          <w:rFonts w:hint="eastAsia" w:ascii="仿宋" w:hAnsi="仿宋" w:eastAsia="仿宋" w:cs="仿宋"/>
          <w:spacing w:val="0"/>
          <w:kern w:val="0"/>
          <w:sz w:val="32"/>
          <w:szCs w:val="32"/>
        </w:rPr>
        <w:t>缴费基数调整</w:t>
      </w:r>
      <w:r>
        <w:rPr>
          <w:rFonts w:hint="eastAsia" w:ascii="仿宋" w:hAnsi="仿宋" w:eastAsia="仿宋" w:cs="仿宋"/>
          <w:spacing w:val="0"/>
          <w:kern w:val="0"/>
          <w:sz w:val="32"/>
          <w:szCs w:val="32"/>
          <w:lang w:eastAsia="zh-CN"/>
        </w:rPr>
        <w:t>。</w:t>
      </w:r>
    </w:p>
    <w:p>
      <w:pPr>
        <w:pStyle w:val="31"/>
        <w:keepNext w:val="0"/>
        <w:keepLines w:val="0"/>
        <w:pageBreakBefore w:val="0"/>
        <w:widowControl/>
        <w:kinsoku/>
        <w:wordWrap/>
        <w:overflowPunct/>
        <w:topLinePunct w:val="0"/>
        <w:autoSpaceDE/>
        <w:autoSpaceDN/>
        <w:bidi w:val="0"/>
        <w:adjustRightInd/>
        <w:snapToGrid/>
        <w:spacing w:before="100" w:after="100" w:line="600" w:lineRule="atLeast"/>
        <w:ind w:left="0" w:right="0" w:firstLine="640"/>
        <w:jc w:val="both"/>
        <w:textAlignment w:val="auto"/>
        <w:rPr>
          <w:rFonts w:hint="eastAsia" w:ascii="仿宋" w:hAnsi="仿宋" w:eastAsia="仿宋" w:cs="仿宋"/>
          <w:spacing w:val="0"/>
          <w:kern w:val="0"/>
          <w:sz w:val="32"/>
          <w:szCs w:val="32"/>
          <w:lang w:eastAsia="zh-CN"/>
        </w:rPr>
      </w:pPr>
      <w:r>
        <w:rPr>
          <w:rFonts w:ascii="仿宋" w:hAnsi="仿宋" w:eastAsia="仿宋" w:cs="仿宋"/>
          <w:spacing w:val="0"/>
          <w:kern w:val="0"/>
          <w:sz w:val="32"/>
          <w:szCs w:val="32"/>
        </w:rPr>
        <w:t>（八）2101199 其他行政事业单位医疗支出36.56万元，较上年决算数增加0.24万元，增长0.67%。主要原因是</w:t>
      </w:r>
      <w:r>
        <w:rPr>
          <w:rFonts w:hint="eastAsia" w:ascii="仿宋" w:hAnsi="仿宋" w:eastAsia="仿宋" w:cs="仿宋"/>
          <w:spacing w:val="0"/>
          <w:kern w:val="0"/>
          <w:sz w:val="32"/>
          <w:szCs w:val="32"/>
        </w:rPr>
        <w:t>缴费基数调整</w:t>
      </w:r>
      <w:r>
        <w:rPr>
          <w:rFonts w:hint="eastAsia" w:ascii="仿宋" w:hAnsi="仿宋" w:eastAsia="仿宋" w:cs="仿宋"/>
          <w:spacing w:val="0"/>
          <w:kern w:val="0"/>
          <w:sz w:val="32"/>
          <w:szCs w:val="32"/>
          <w:lang w:eastAsia="zh-CN"/>
        </w:rPr>
        <w:t>。</w:t>
      </w:r>
    </w:p>
    <w:p>
      <w:pPr>
        <w:pStyle w:val="31"/>
        <w:keepNext w:val="0"/>
        <w:keepLines w:val="0"/>
        <w:pageBreakBefore w:val="0"/>
        <w:widowControl/>
        <w:kinsoku/>
        <w:wordWrap/>
        <w:overflowPunct/>
        <w:topLinePunct w:val="0"/>
        <w:autoSpaceDE/>
        <w:autoSpaceDN/>
        <w:bidi w:val="0"/>
        <w:adjustRightInd/>
        <w:snapToGrid/>
        <w:spacing w:before="100" w:after="100" w:line="600" w:lineRule="atLeast"/>
        <w:ind w:left="0" w:right="0" w:firstLine="640"/>
        <w:jc w:val="both"/>
        <w:textAlignment w:val="auto"/>
        <w:rPr>
          <w:rFonts w:hint="default" w:ascii="仿宋" w:hAnsi="仿宋" w:eastAsia="仿宋" w:cs="仿宋"/>
          <w:spacing w:val="0"/>
          <w:kern w:val="0"/>
          <w:sz w:val="32"/>
          <w:szCs w:val="32"/>
          <w:lang w:val="en-US" w:eastAsia="zh-CN"/>
        </w:rPr>
      </w:pPr>
      <w:r>
        <w:rPr>
          <w:rFonts w:ascii="仿宋" w:hAnsi="仿宋" w:eastAsia="仿宋" w:cs="仿宋"/>
          <w:spacing w:val="0"/>
          <w:kern w:val="0"/>
          <w:sz w:val="32"/>
          <w:szCs w:val="32"/>
        </w:rPr>
        <w:t>（九）2210203 购房补贴26.65万元，较上年决算数增加26.65万元，增长100%。主要原因是</w:t>
      </w:r>
      <w:r>
        <w:rPr>
          <w:rFonts w:hint="eastAsia" w:ascii="仿宋" w:hAnsi="仿宋" w:eastAsia="仿宋" w:cs="仿宋"/>
          <w:spacing w:val="0"/>
          <w:kern w:val="0"/>
          <w:sz w:val="32"/>
          <w:szCs w:val="32"/>
          <w:lang w:eastAsia="zh-CN"/>
        </w:rPr>
        <w:t>符合</w:t>
      </w:r>
      <w:r>
        <w:rPr>
          <w:rFonts w:hint="eastAsia" w:ascii="仿宋" w:hAnsi="仿宋" w:eastAsia="仿宋" w:cs="仿宋"/>
          <w:spacing w:val="0"/>
          <w:kern w:val="0"/>
          <w:sz w:val="32"/>
          <w:szCs w:val="32"/>
          <w:lang w:val="en-US" w:eastAsia="zh-CN"/>
        </w:rPr>
        <w:t>购房补贴支出人数增加。</w:t>
      </w:r>
    </w:p>
    <w:p>
      <w:pPr>
        <w:pStyle w:val="6"/>
        <w:keepNext w:val="0"/>
        <w:keepLines w:val="0"/>
        <w:pageBreakBefore w:val="0"/>
        <w:widowControl/>
        <w:kinsoku/>
        <w:wordWrap/>
        <w:overflowPunct/>
        <w:topLinePunct w:val="0"/>
        <w:autoSpaceDE/>
        <w:autoSpaceDN/>
        <w:bidi w:val="0"/>
        <w:adjustRightInd/>
        <w:snapToGrid/>
        <w:spacing w:before="100" w:after="100" w:line="600" w:lineRule="atLeast"/>
        <w:ind w:left="0" w:right="0" w:firstLine="640" w:firstLineChars="0"/>
        <w:jc w:val="both"/>
        <w:textAlignment w:val="auto"/>
        <w:rPr>
          <w:rFonts w:ascii="Times New Roman" w:hAnsi="Times New Roman" w:eastAsia="Times New Roman" w:cs="Times New Roman"/>
          <w:b/>
          <w:bCs/>
          <w:kern w:val="0"/>
          <w:sz w:val="28"/>
          <w:szCs w:val="28"/>
        </w:rPr>
      </w:pPr>
      <w:bookmarkStart w:id="85" w:name="_Toc256000052"/>
      <w:bookmarkStart w:id="86" w:name="_Toc256000083"/>
      <w:bookmarkStart w:id="87" w:name="_Toc256000021"/>
      <w:bookmarkStart w:id="88" w:name="_Toc256000114"/>
      <w:r>
        <w:rPr>
          <w:rFonts w:ascii="黑体" w:hAnsi="黑体" w:eastAsia="黑体" w:cs="黑体"/>
          <w:b/>
          <w:spacing w:val="0"/>
        </w:rPr>
        <w:t>四、政府性基金预算财政拨款支出决算情况说明</w:t>
      </w:r>
      <w:bookmarkEnd w:id="85"/>
      <w:bookmarkEnd w:id="86"/>
      <w:bookmarkEnd w:id="87"/>
      <w:bookmarkEnd w:id="88"/>
    </w:p>
    <w:p>
      <w:pPr>
        <w:pStyle w:val="31"/>
        <w:keepNext w:val="0"/>
        <w:keepLines w:val="0"/>
        <w:pageBreakBefore w:val="0"/>
        <w:widowControl/>
        <w:kinsoku/>
        <w:wordWrap/>
        <w:overflowPunct/>
        <w:topLinePunct w:val="0"/>
        <w:autoSpaceDE/>
        <w:autoSpaceDN/>
        <w:bidi w:val="0"/>
        <w:adjustRightInd/>
        <w:snapToGrid/>
        <w:spacing w:before="100" w:after="100" w:line="600" w:lineRule="atLeast"/>
        <w:ind w:left="0" w:right="0" w:firstLine="704"/>
        <w:jc w:val="both"/>
        <w:textAlignment w:val="auto"/>
        <w:rPr>
          <w:rFonts w:ascii="仿宋" w:hAnsi="仿宋" w:eastAsia="仿宋" w:cs="仿宋"/>
          <w:spacing w:val="0"/>
          <w:kern w:val="0"/>
          <w:sz w:val="32"/>
          <w:szCs w:val="32"/>
        </w:rPr>
      </w:pPr>
      <w:r>
        <w:rPr>
          <w:rFonts w:ascii="仿宋" w:hAnsi="仿宋" w:eastAsia="仿宋" w:cs="仿宋"/>
          <w:spacing w:val="0"/>
          <w:kern w:val="0"/>
          <w:sz w:val="32"/>
          <w:szCs w:val="32"/>
        </w:rPr>
        <w:t>2024年度政府性基金支出3.90万元，比上年决算数</w:t>
      </w:r>
      <w:r>
        <w:rPr>
          <w:rFonts w:hint="eastAsia" w:ascii="仿宋" w:hAnsi="仿宋" w:eastAsia="仿宋" w:cs="仿宋"/>
          <w:spacing w:val="0"/>
          <w:kern w:val="0"/>
          <w:sz w:val="32"/>
          <w:szCs w:val="32"/>
          <w:lang w:eastAsia="zh-CN"/>
        </w:rPr>
        <w:t>减少</w:t>
      </w:r>
      <w:r>
        <w:rPr>
          <w:rFonts w:ascii="仿宋" w:hAnsi="仿宋" w:eastAsia="仿宋" w:cs="仿宋"/>
          <w:spacing w:val="0"/>
          <w:kern w:val="0"/>
          <w:sz w:val="32"/>
          <w:szCs w:val="32"/>
        </w:rPr>
        <w:t>11.40万元，</w:t>
      </w:r>
      <w:r>
        <w:rPr>
          <w:rFonts w:hint="eastAsia" w:ascii="仿宋" w:hAnsi="仿宋" w:eastAsia="仿宋" w:cs="仿宋"/>
          <w:spacing w:val="0"/>
          <w:kern w:val="0"/>
          <w:sz w:val="32"/>
          <w:szCs w:val="32"/>
          <w:lang w:eastAsia="zh-CN"/>
        </w:rPr>
        <w:t>下降</w:t>
      </w:r>
      <w:r>
        <w:rPr>
          <w:rFonts w:ascii="仿宋" w:hAnsi="仿宋" w:eastAsia="仿宋" w:cs="仿宋"/>
          <w:spacing w:val="0"/>
          <w:kern w:val="0"/>
          <w:sz w:val="32"/>
          <w:szCs w:val="32"/>
        </w:rPr>
        <w:t>74.50%，具体情况如下(按项级科目统计)：</w:t>
      </w:r>
    </w:p>
    <w:p>
      <w:pPr>
        <w:pStyle w:val="31"/>
        <w:keepNext w:val="0"/>
        <w:keepLines w:val="0"/>
        <w:pageBreakBefore w:val="0"/>
        <w:widowControl/>
        <w:kinsoku/>
        <w:wordWrap/>
        <w:overflowPunct/>
        <w:topLinePunct w:val="0"/>
        <w:autoSpaceDE/>
        <w:autoSpaceDN/>
        <w:bidi w:val="0"/>
        <w:adjustRightInd/>
        <w:snapToGrid/>
        <w:spacing w:before="100" w:after="100" w:line="600" w:lineRule="atLeast"/>
        <w:ind w:left="0" w:right="0" w:firstLine="704"/>
        <w:jc w:val="both"/>
        <w:textAlignment w:val="auto"/>
        <w:rPr>
          <w:rFonts w:hint="default" w:ascii="Times New Roman" w:hAnsi="Times New Roman" w:eastAsia="仿宋" w:cs="Times New Roman"/>
          <w:kern w:val="0"/>
          <w:sz w:val="24"/>
          <w:highlight w:val="none"/>
          <w:lang w:val="en-US" w:eastAsia="zh-CN"/>
        </w:rPr>
      </w:pPr>
      <w:r>
        <w:rPr>
          <w:rFonts w:ascii="仿宋" w:hAnsi="仿宋" w:eastAsia="仿宋" w:cs="仿宋"/>
          <w:spacing w:val="0"/>
          <w:kern w:val="0"/>
          <w:sz w:val="32"/>
          <w:szCs w:val="32"/>
        </w:rPr>
        <w:t>2296003 用于体育事业的彩票公益金支出3.90万元，较上年决算数减少11.40万元，下降74.50%。</w:t>
      </w:r>
      <w:r>
        <w:rPr>
          <w:rFonts w:ascii="仿宋" w:hAnsi="仿宋" w:eastAsia="仿宋" w:cs="仿宋"/>
          <w:spacing w:val="0"/>
          <w:kern w:val="0"/>
          <w:sz w:val="32"/>
          <w:szCs w:val="32"/>
          <w:highlight w:val="none"/>
          <w:shd w:val="clear" w:color="auto" w:fill="auto"/>
        </w:rPr>
        <w:t>主要原因是</w:t>
      </w:r>
      <w:r>
        <w:rPr>
          <w:rFonts w:hint="eastAsia" w:ascii="仿宋" w:hAnsi="仿宋" w:eastAsia="仿宋" w:cs="仿宋"/>
          <w:spacing w:val="0"/>
          <w:kern w:val="0"/>
          <w:sz w:val="32"/>
          <w:szCs w:val="32"/>
          <w:highlight w:val="none"/>
          <w:lang w:eastAsia="zh-CN"/>
        </w:rPr>
        <w:t>学校体育</w:t>
      </w:r>
      <w:r>
        <w:rPr>
          <w:rFonts w:hint="eastAsia" w:ascii="仿宋" w:hAnsi="仿宋" w:eastAsia="仿宋" w:cs="仿宋"/>
          <w:spacing w:val="0"/>
          <w:kern w:val="0"/>
          <w:sz w:val="32"/>
          <w:szCs w:val="32"/>
          <w:highlight w:val="none"/>
          <w:shd w:val="clear" w:color="auto" w:fill="auto"/>
          <w:lang w:val="en-US" w:eastAsia="zh-CN"/>
        </w:rPr>
        <w:t>场地对外开放支出核算科目调整。</w:t>
      </w:r>
    </w:p>
    <w:p>
      <w:pPr>
        <w:pStyle w:val="6"/>
        <w:keepNext w:val="0"/>
        <w:keepLines w:val="0"/>
        <w:pageBreakBefore w:val="0"/>
        <w:widowControl/>
        <w:kinsoku/>
        <w:wordWrap/>
        <w:overflowPunct/>
        <w:topLinePunct w:val="0"/>
        <w:autoSpaceDE/>
        <w:autoSpaceDN/>
        <w:bidi w:val="0"/>
        <w:adjustRightInd/>
        <w:snapToGrid/>
        <w:spacing w:before="100" w:after="100" w:line="600" w:lineRule="atLeast"/>
        <w:ind w:left="0" w:right="0" w:firstLine="640" w:firstLineChars="0"/>
        <w:jc w:val="both"/>
        <w:textAlignment w:val="auto"/>
        <w:rPr>
          <w:rFonts w:ascii="Times New Roman" w:hAnsi="Times New Roman" w:eastAsia="Times New Roman" w:cs="Times New Roman"/>
          <w:b/>
          <w:bCs/>
          <w:kern w:val="0"/>
          <w:sz w:val="28"/>
          <w:szCs w:val="28"/>
        </w:rPr>
      </w:pPr>
      <w:bookmarkStart w:id="89" w:name="_Toc256000053"/>
      <w:bookmarkStart w:id="90" w:name="_Toc256000022"/>
      <w:bookmarkStart w:id="91" w:name="_Toc256000084"/>
      <w:bookmarkStart w:id="92" w:name="_Toc256000115"/>
      <w:r>
        <w:rPr>
          <w:rFonts w:ascii="黑体" w:hAnsi="黑体" w:eastAsia="黑体" w:cs="黑体"/>
          <w:b/>
          <w:spacing w:val="0"/>
        </w:rPr>
        <w:t>五、国有资本经营预算财政拨款支出决算情况说明</w:t>
      </w:r>
      <w:bookmarkEnd w:id="89"/>
      <w:bookmarkEnd w:id="90"/>
      <w:bookmarkEnd w:id="91"/>
      <w:bookmarkEnd w:id="92"/>
    </w:p>
    <w:p>
      <w:pPr>
        <w:pStyle w:val="31"/>
        <w:keepNext w:val="0"/>
        <w:keepLines w:val="0"/>
        <w:pageBreakBefore w:val="0"/>
        <w:widowControl/>
        <w:kinsoku/>
        <w:wordWrap/>
        <w:overflowPunct/>
        <w:topLinePunct w:val="0"/>
        <w:autoSpaceDE/>
        <w:autoSpaceDN/>
        <w:bidi w:val="0"/>
        <w:adjustRightInd/>
        <w:snapToGrid/>
        <w:spacing w:before="100" w:after="100" w:line="600" w:lineRule="atLeast"/>
        <w:ind w:left="0" w:right="0" w:firstLine="640"/>
        <w:jc w:val="both"/>
        <w:textAlignment w:val="auto"/>
        <w:rPr>
          <w:rFonts w:ascii="仿宋" w:hAnsi="仿宋" w:eastAsia="仿宋" w:cs="仿宋"/>
          <w:spacing w:val="0"/>
          <w:kern w:val="0"/>
          <w:sz w:val="32"/>
          <w:szCs w:val="32"/>
          <w:highlight w:val="none"/>
        </w:rPr>
      </w:pPr>
      <w:bookmarkStart w:id="93" w:name="_Toc256000085"/>
      <w:bookmarkStart w:id="94" w:name="_Toc256000116"/>
      <w:bookmarkStart w:id="95" w:name="_Toc256000023"/>
      <w:bookmarkStart w:id="96" w:name="_Toc256000054"/>
      <w:r>
        <w:rPr>
          <w:rFonts w:ascii="仿宋" w:hAnsi="仿宋" w:eastAsia="仿宋" w:cs="仿宋"/>
          <w:spacing w:val="0"/>
          <w:kern w:val="0"/>
          <w:sz w:val="32"/>
          <w:szCs w:val="32"/>
          <w:highlight w:val="none"/>
        </w:rPr>
        <w:t>2024年度国有资本经营预算支出0万元，比上年决算数增加0万元，增长0%，具体情况如下(按项级科目统计)：</w:t>
      </w:r>
    </w:p>
    <w:p>
      <w:pPr>
        <w:pStyle w:val="31"/>
        <w:keepNext w:val="0"/>
        <w:keepLines w:val="0"/>
        <w:pageBreakBefore w:val="0"/>
        <w:widowControl/>
        <w:kinsoku/>
        <w:wordWrap/>
        <w:overflowPunct/>
        <w:topLinePunct w:val="0"/>
        <w:autoSpaceDE/>
        <w:autoSpaceDN/>
        <w:bidi w:val="0"/>
        <w:adjustRightInd/>
        <w:snapToGrid/>
        <w:spacing w:before="100" w:after="100" w:line="600" w:lineRule="atLeast"/>
        <w:ind w:left="0" w:right="0" w:firstLine="640"/>
        <w:jc w:val="both"/>
        <w:textAlignment w:val="auto"/>
        <w:rPr>
          <w:rFonts w:hint="eastAsia" w:ascii="仿宋" w:hAnsi="仿宋" w:eastAsia="楷体" w:cs="仿宋"/>
          <w:spacing w:val="0"/>
          <w:kern w:val="0"/>
          <w:sz w:val="32"/>
          <w:szCs w:val="32"/>
          <w:highlight w:val="yellow"/>
          <w:lang w:eastAsia="zh-CN"/>
        </w:rPr>
      </w:pPr>
      <w:r>
        <w:rPr>
          <w:rFonts w:ascii="仿宋" w:hAnsi="仿宋" w:eastAsia="仿宋" w:cs="仿宋"/>
          <w:spacing w:val="0"/>
          <w:kern w:val="0"/>
          <w:sz w:val="32"/>
          <w:szCs w:val="32"/>
        </w:rPr>
        <w:t>本单位2024年度没有使用国有资本经营预算财政拨款安排的支出</w:t>
      </w:r>
      <w:r>
        <w:rPr>
          <w:rFonts w:hint="eastAsia" w:ascii="仿宋" w:hAnsi="仿宋" w:eastAsia="仿宋" w:cs="仿宋"/>
          <w:spacing w:val="0"/>
          <w:kern w:val="0"/>
          <w:sz w:val="32"/>
          <w:szCs w:val="32"/>
          <w:lang w:eastAsia="zh-CN"/>
        </w:rPr>
        <w:t>。</w:t>
      </w:r>
    </w:p>
    <w:p>
      <w:pPr>
        <w:pStyle w:val="6"/>
        <w:keepNext w:val="0"/>
        <w:keepLines w:val="0"/>
        <w:pageBreakBefore w:val="0"/>
        <w:widowControl/>
        <w:kinsoku/>
        <w:wordWrap/>
        <w:overflowPunct/>
        <w:topLinePunct w:val="0"/>
        <w:autoSpaceDE/>
        <w:autoSpaceDN/>
        <w:bidi w:val="0"/>
        <w:adjustRightInd/>
        <w:snapToGrid/>
        <w:spacing w:before="100" w:after="100" w:line="600" w:lineRule="atLeast"/>
        <w:ind w:left="0" w:right="0" w:firstLine="640" w:firstLineChars="0"/>
        <w:jc w:val="both"/>
        <w:textAlignment w:val="auto"/>
        <w:rPr>
          <w:rFonts w:ascii="Times New Roman" w:hAnsi="Times New Roman" w:eastAsia="Times New Roman" w:cs="Times New Roman"/>
          <w:b/>
          <w:bCs/>
          <w:kern w:val="0"/>
          <w:sz w:val="28"/>
          <w:szCs w:val="28"/>
        </w:rPr>
      </w:pPr>
      <w:r>
        <w:rPr>
          <w:rFonts w:ascii="黑体" w:hAnsi="黑体" w:eastAsia="黑体" w:cs="黑体"/>
          <w:b/>
          <w:spacing w:val="0"/>
        </w:rPr>
        <w:t>六、一般公共预算财政拨款基本支出决算情况说明</w:t>
      </w:r>
      <w:bookmarkEnd w:id="93"/>
      <w:bookmarkEnd w:id="94"/>
      <w:bookmarkEnd w:id="95"/>
      <w:bookmarkEnd w:id="96"/>
    </w:p>
    <w:p>
      <w:pPr>
        <w:pStyle w:val="31"/>
        <w:keepNext w:val="0"/>
        <w:keepLines w:val="0"/>
        <w:pageBreakBefore w:val="0"/>
        <w:widowControl/>
        <w:kinsoku/>
        <w:wordWrap/>
        <w:overflowPunct/>
        <w:topLinePunct w:val="0"/>
        <w:autoSpaceDE/>
        <w:autoSpaceDN/>
        <w:bidi w:val="0"/>
        <w:adjustRightInd/>
        <w:snapToGrid/>
        <w:spacing w:before="100" w:after="100" w:line="600" w:lineRule="atLeast"/>
        <w:ind w:left="0" w:right="0" w:firstLine="64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2024年度一般公共预算财政拨款基本支出2567.05万元，其中：</w:t>
      </w:r>
    </w:p>
    <w:p>
      <w:pPr>
        <w:pStyle w:val="31"/>
        <w:keepNext w:val="0"/>
        <w:keepLines w:val="0"/>
        <w:pageBreakBefore w:val="0"/>
        <w:widowControl/>
        <w:kinsoku/>
        <w:wordWrap/>
        <w:overflowPunct/>
        <w:topLinePunct w:val="0"/>
        <w:autoSpaceDE/>
        <w:autoSpaceDN/>
        <w:bidi w:val="0"/>
        <w:adjustRightInd/>
        <w:snapToGrid/>
        <w:spacing w:before="100" w:after="100" w:line="600" w:lineRule="atLeast"/>
        <w:ind w:left="0" w:right="0" w:firstLine="64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一）人员经费2330.82万元，主要包括：基本工资、津贴补贴、奖金、绩效工资、机关事业单位基本养老保险缴费、职业年金缴费、职工基本医疗保险缴费、公务员医疗补助缴费、其他社会保障缴费、住房公积金、医疗费、其他工资福利支出、离休费、退休费、抚恤金、生活补助、医疗费补助、奖励金、其他对个人和家庭的补助。</w:t>
      </w:r>
    </w:p>
    <w:p>
      <w:pPr>
        <w:pStyle w:val="31"/>
        <w:keepNext w:val="0"/>
        <w:keepLines w:val="0"/>
        <w:pageBreakBefore w:val="0"/>
        <w:widowControl/>
        <w:kinsoku/>
        <w:wordWrap/>
        <w:overflowPunct/>
        <w:topLinePunct w:val="0"/>
        <w:autoSpaceDE/>
        <w:autoSpaceDN/>
        <w:bidi w:val="0"/>
        <w:adjustRightInd/>
        <w:snapToGrid/>
        <w:spacing w:before="100" w:after="100" w:line="600" w:lineRule="atLeast"/>
        <w:ind w:left="0" w:right="0" w:firstLine="64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二）公用经费236.23万元，主要包括：办公费、印刷费、咨询费、手续费、水费、电费、邮电费、取暖费、物业管理费、差旅费、维修（护）费、租赁费、会议费、培训费、公务接待费、专用材料费、劳务费、委托业务费、工会经费、福利费、公务用车运行维护费、其他交通费用、税金及附加费用、其他商品和服务支出、办公设备购置、专用设备购置、信息网络及软件购置更新、公务用车购置、其他交通工具购置、文物和陈列品购置、无形资产购置、其他资本性支出、赠与。</w:t>
      </w:r>
    </w:p>
    <w:p>
      <w:pPr>
        <w:pStyle w:val="6"/>
        <w:keepNext w:val="0"/>
        <w:keepLines w:val="0"/>
        <w:pageBreakBefore w:val="0"/>
        <w:widowControl/>
        <w:kinsoku/>
        <w:wordWrap/>
        <w:overflowPunct/>
        <w:topLinePunct w:val="0"/>
        <w:autoSpaceDE/>
        <w:autoSpaceDN/>
        <w:bidi w:val="0"/>
        <w:adjustRightInd/>
        <w:snapToGrid/>
        <w:spacing w:before="100" w:after="100" w:line="600" w:lineRule="atLeast"/>
        <w:ind w:left="0" w:right="0" w:firstLine="640" w:firstLineChars="0"/>
        <w:jc w:val="both"/>
        <w:textAlignment w:val="auto"/>
        <w:rPr>
          <w:rFonts w:ascii="Times New Roman" w:hAnsi="Times New Roman" w:eastAsia="Times New Roman" w:cs="Times New Roman"/>
          <w:b/>
          <w:bCs/>
          <w:kern w:val="0"/>
          <w:sz w:val="28"/>
          <w:szCs w:val="28"/>
        </w:rPr>
      </w:pPr>
      <w:bookmarkStart w:id="97" w:name="_Toc256000024"/>
      <w:bookmarkStart w:id="98" w:name="_Toc256000086"/>
      <w:bookmarkStart w:id="99" w:name="_Toc256000055"/>
      <w:bookmarkStart w:id="100" w:name="_Toc256000117"/>
      <w:r>
        <w:rPr>
          <w:rFonts w:ascii="黑体" w:hAnsi="黑体" w:eastAsia="黑体" w:cs="黑体"/>
          <w:b/>
          <w:spacing w:val="0"/>
        </w:rPr>
        <w:t>七、一般公共预算拨款“三公”经费支出决算情况说明</w:t>
      </w:r>
      <w:bookmarkEnd w:id="97"/>
      <w:bookmarkEnd w:id="98"/>
      <w:bookmarkEnd w:id="99"/>
      <w:bookmarkEnd w:id="100"/>
    </w:p>
    <w:p>
      <w:pPr>
        <w:pStyle w:val="31"/>
        <w:keepNext w:val="0"/>
        <w:keepLines w:val="0"/>
        <w:pageBreakBefore w:val="0"/>
        <w:widowControl/>
        <w:kinsoku/>
        <w:wordWrap/>
        <w:overflowPunct/>
        <w:topLinePunct w:val="0"/>
        <w:autoSpaceDE/>
        <w:autoSpaceDN/>
        <w:bidi w:val="0"/>
        <w:adjustRightInd/>
        <w:snapToGrid/>
        <w:spacing w:before="100" w:after="100" w:line="600" w:lineRule="atLeast"/>
        <w:ind w:left="0" w:right="0" w:firstLine="641"/>
        <w:jc w:val="both"/>
        <w:textAlignment w:val="auto"/>
        <w:outlineLvl w:val="9"/>
        <w:rPr>
          <w:rFonts w:hint="eastAsia" w:ascii="仿宋" w:hAnsi="仿宋" w:eastAsia="仿宋" w:cs="仿宋"/>
          <w:spacing w:val="0"/>
          <w:kern w:val="0"/>
          <w:sz w:val="32"/>
          <w:szCs w:val="32"/>
        </w:rPr>
      </w:pPr>
      <w:bookmarkStart w:id="101" w:name="_Toc256000118"/>
      <w:bookmarkStart w:id="102" w:name="_Toc256000087"/>
      <w:bookmarkStart w:id="103" w:name="_Toc256000056"/>
      <w:bookmarkStart w:id="104" w:name="_Toc256000025"/>
      <w:r>
        <w:rPr>
          <w:rFonts w:ascii="仿宋" w:hAnsi="仿宋" w:eastAsia="仿宋" w:cs="仿宋"/>
          <w:spacing w:val="0"/>
          <w:kern w:val="0"/>
          <w:sz w:val="32"/>
          <w:szCs w:val="32"/>
        </w:rPr>
        <w:t>2024年度</w:t>
      </w:r>
      <w:r>
        <w:rPr>
          <w:rFonts w:hint="eastAsia" w:ascii="仿宋" w:hAnsi="仿宋" w:eastAsia="仿宋" w:cs="仿宋"/>
          <w:spacing w:val="0"/>
          <w:kern w:val="0"/>
          <w:sz w:val="32"/>
          <w:szCs w:val="32"/>
        </w:rPr>
        <w:t>一般公共预算拨款“三公”经费支出 0.00万元，</w:t>
      </w:r>
      <w:r>
        <w:rPr>
          <w:rFonts w:hint="eastAsia" w:ascii="仿宋" w:hAnsi="仿宋" w:eastAsia="仿宋" w:cs="仿宋"/>
          <w:spacing w:val="0"/>
          <w:kern w:val="0"/>
          <w:sz w:val="32"/>
          <w:szCs w:val="32"/>
          <w:lang w:eastAsia="zh-CN"/>
        </w:rPr>
        <w:t>与</w:t>
      </w:r>
      <w:r>
        <w:rPr>
          <w:rFonts w:hint="eastAsia" w:ascii="仿宋" w:hAnsi="仿宋" w:eastAsia="仿宋" w:cs="仿宋"/>
          <w:spacing w:val="0"/>
          <w:kern w:val="0"/>
          <w:sz w:val="32"/>
          <w:szCs w:val="32"/>
        </w:rPr>
        <w:t>全年预算</w:t>
      </w:r>
      <w:r>
        <w:rPr>
          <w:rFonts w:hint="eastAsia" w:ascii="仿宋" w:hAnsi="仿宋" w:eastAsia="仿宋" w:cs="仿宋"/>
          <w:spacing w:val="0"/>
          <w:kern w:val="0"/>
          <w:sz w:val="32"/>
          <w:szCs w:val="32"/>
          <w:lang w:val="en-US" w:eastAsia="zh-CN"/>
        </w:rPr>
        <w:t>0.00万元持平，</w:t>
      </w:r>
      <w:r>
        <w:rPr>
          <w:rFonts w:hint="eastAsia" w:ascii="仿宋" w:hAnsi="仿宋" w:eastAsia="仿宋" w:cs="仿宋"/>
          <w:spacing w:val="0"/>
          <w:kern w:val="0"/>
          <w:sz w:val="32"/>
          <w:szCs w:val="32"/>
        </w:rPr>
        <w:t>较上年</w:t>
      </w:r>
      <w:r>
        <w:rPr>
          <w:rFonts w:hint="eastAsia" w:ascii="仿宋" w:hAnsi="仿宋" w:eastAsia="仿宋" w:cs="仿宋"/>
          <w:spacing w:val="0"/>
          <w:kern w:val="0"/>
          <w:sz w:val="32"/>
          <w:szCs w:val="32"/>
          <w:lang w:eastAsia="zh-CN"/>
        </w:rPr>
        <w:t>决算的</w:t>
      </w:r>
      <w:r>
        <w:rPr>
          <w:rFonts w:hint="eastAsia" w:ascii="仿宋" w:hAnsi="仿宋" w:eastAsia="仿宋" w:cs="仿宋"/>
          <w:spacing w:val="0"/>
          <w:kern w:val="0"/>
          <w:sz w:val="32"/>
          <w:szCs w:val="32"/>
          <w:lang w:val="en-US" w:eastAsia="zh-CN"/>
        </w:rPr>
        <w:t>0.00万元相比持平。</w:t>
      </w:r>
      <w:r>
        <w:rPr>
          <w:rFonts w:hint="eastAsia" w:ascii="仿宋" w:hAnsi="仿宋" w:eastAsia="仿宋" w:cs="仿宋"/>
          <w:spacing w:val="0"/>
          <w:kern w:val="0"/>
          <w:sz w:val="32"/>
          <w:szCs w:val="32"/>
        </w:rPr>
        <w:t>主要原因是</w:t>
      </w:r>
      <w:r>
        <w:rPr>
          <w:rFonts w:hint="eastAsia" w:ascii="仿宋" w:hAnsi="仿宋" w:eastAsia="仿宋" w:cs="仿宋"/>
          <w:spacing w:val="0"/>
          <w:kern w:val="0"/>
          <w:sz w:val="32"/>
          <w:szCs w:val="32"/>
          <w:lang w:eastAsia="zh-CN"/>
        </w:rPr>
        <w:t>本单位没有使用“三公”经费支出</w:t>
      </w:r>
      <w:r>
        <w:rPr>
          <w:rFonts w:hint="eastAsia" w:ascii="仿宋" w:hAnsi="仿宋" w:eastAsia="仿宋" w:cs="仿宋"/>
          <w:spacing w:val="0"/>
          <w:kern w:val="0"/>
          <w:sz w:val="32"/>
          <w:szCs w:val="32"/>
        </w:rPr>
        <w:t>。具体情况如下：</w:t>
      </w:r>
    </w:p>
    <w:p>
      <w:pPr>
        <w:pStyle w:val="31"/>
        <w:keepNext w:val="0"/>
        <w:keepLines w:val="0"/>
        <w:pageBreakBefore w:val="0"/>
        <w:widowControl/>
        <w:kinsoku/>
        <w:wordWrap/>
        <w:overflowPunct/>
        <w:topLinePunct w:val="0"/>
        <w:autoSpaceDE/>
        <w:autoSpaceDN/>
        <w:bidi w:val="0"/>
        <w:adjustRightInd/>
        <w:snapToGrid/>
        <w:spacing w:before="100" w:after="100" w:line="600" w:lineRule="atLeast"/>
        <w:ind w:left="0" w:right="0" w:firstLine="641"/>
        <w:jc w:val="both"/>
        <w:textAlignment w:val="auto"/>
        <w:outlineLvl w:val="9"/>
        <w:rPr>
          <w:rFonts w:hint="eastAsia" w:ascii="仿宋" w:hAnsi="仿宋" w:eastAsia="仿宋" w:cs="仿宋"/>
          <w:spacing w:val="0"/>
          <w:kern w:val="0"/>
          <w:sz w:val="32"/>
          <w:szCs w:val="32"/>
          <w:lang w:val="en-US" w:eastAsia="zh-CN"/>
        </w:rPr>
      </w:pPr>
      <w:r>
        <w:rPr>
          <w:rFonts w:hint="eastAsia" w:ascii="仿宋" w:hAnsi="仿宋" w:eastAsia="仿宋" w:cs="仿宋"/>
          <w:spacing w:val="0"/>
          <w:kern w:val="0"/>
          <w:sz w:val="32"/>
          <w:szCs w:val="32"/>
          <w:lang w:eastAsia="zh-CN"/>
        </w:rPr>
        <w:t>（一）</w:t>
      </w:r>
      <w:r>
        <w:rPr>
          <w:rFonts w:hint="eastAsia" w:ascii="仿宋" w:hAnsi="仿宋" w:eastAsia="仿宋" w:cs="仿宋"/>
          <w:spacing w:val="0"/>
          <w:kern w:val="0"/>
          <w:sz w:val="32"/>
          <w:szCs w:val="32"/>
        </w:rPr>
        <w:t>因公出国（境）费支出0.00万元，</w:t>
      </w:r>
      <w:r>
        <w:rPr>
          <w:rFonts w:hint="eastAsia" w:ascii="仿宋" w:hAnsi="仿宋" w:eastAsia="仿宋" w:cs="仿宋"/>
          <w:spacing w:val="0"/>
          <w:kern w:val="0"/>
          <w:sz w:val="32"/>
          <w:szCs w:val="32"/>
          <w:lang w:eastAsia="zh-CN"/>
        </w:rPr>
        <w:t>与</w:t>
      </w:r>
      <w:r>
        <w:rPr>
          <w:rFonts w:hint="eastAsia" w:ascii="仿宋" w:hAnsi="仿宋" w:eastAsia="仿宋" w:cs="仿宋"/>
          <w:spacing w:val="0"/>
          <w:kern w:val="0"/>
          <w:sz w:val="32"/>
          <w:szCs w:val="32"/>
        </w:rPr>
        <w:t>全年预算</w:t>
      </w:r>
      <w:r>
        <w:rPr>
          <w:rFonts w:hint="eastAsia" w:ascii="仿宋" w:hAnsi="仿宋" w:eastAsia="仿宋" w:cs="仿宋"/>
          <w:spacing w:val="0"/>
          <w:kern w:val="0"/>
          <w:sz w:val="32"/>
          <w:szCs w:val="32"/>
          <w:lang w:val="en-US" w:eastAsia="zh-CN"/>
        </w:rPr>
        <w:t>0.00万元持平，</w:t>
      </w:r>
      <w:r>
        <w:rPr>
          <w:rFonts w:hint="eastAsia" w:ascii="仿宋" w:hAnsi="仿宋" w:eastAsia="仿宋" w:cs="仿宋"/>
          <w:spacing w:val="0"/>
          <w:kern w:val="0"/>
          <w:sz w:val="32"/>
          <w:szCs w:val="32"/>
        </w:rPr>
        <w:t>较上年</w:t>
      </w:r>
      <w:r>
        <w:rPr>
          <w:rFonts w:hint="eastAsia" w:ascii="仿宋" w:hAnsi="仿宋" w:eastAsia="仿宋" w:cs="仿宋"/>
          <w:spacing w:val="0"/>
          <w:kern w:val="0"/>
          <w:sz w:val="32"/>
          <w:szCs w:val="32"/>
          <w:lang w:eastAsia="zh-CN"/>
        </w:rPr>
        <w:t>决算的</w:t>
      </w:r>
      <w:r>
        <w:rPr>
          <w:rFonts w:hint="eastAsia" w:ascii="仿宋" w:hAnsi="仿宋" w:eastAsia="仿宋" w:cs="仿宋"/>
          <w:spacing w:val="0"/>
          <w:kern w:val="0"/>
          <w:sz w:val="32"/>
          <w:szCs w:val="32"/>
          <w:lang w:val="en-US" w:eastAsia="zh-CN"/>
        </w:rPr>
        <w:t>0.00万元相比持平。</w:t>
      </w:r>
      <w:r>
        <w:rPr>
          <w:rFonts w:hint="eastAsia" w:ascii="仿宋" w:hAnsi="仿宋" w:eastAsia="仿宋" w:cs="仿宋"/>
          <w:spacing w:val="0"/>
          <w:kern w:val="0"/>
          <w:sz w:val="32"/>
          <w:szCs w:val="32"/>
        </w:rPr>
        <w:t>全年安排本</w:t>
      </w:r>
      <w:r>
        <w:rPr>
          <w:rFonts w:hint="eastAsia" w:ascii="仿宋" w:hAnsi="仿宋" w:eastAsia="仿宋" w:cs="仿宋"/>
          <w:spacing w:val="0"/>
          <w:kern w:val="0"/>
          <w:sz w:val="32"/>
          <w:szCs w:val="32"/>
          <w:lang w:eastAsia="zh-CN"/>
        </w:rPr>
        <w:t>单位</w:t>
      </w:r>
      <w:r>
        <w:rPr>
          <w:rFonts w:hint="eastAsia" w:ascii="仿宋" w:hAnsi="仿宋" w:eastAsia="仿宋" w:cs="仿宋"/>
          <w:spacing w:val="0"/>
          <w:kern w:val="0"/>
          <w:sz w:val="32"/>
          <w:szCs w:val="32"/>
        </w:rPr>
        <w:t>组织的出国团组0 个，参加其他</w:t>
      </w:r>
      <w:r>
        <w:rPr>
          <w:rFonts w:hint="eastAsia" w:ascii="仿宋" w:hAnsi="仿宋" w:eastAsia="仿宋" w:cs="仿宋"/>
          <w:spacing w:val="0"/>
          <w:kern w:val="0"/>
          <w:sz w:val="32"/>
          <w:szCs w:val="32"/>
          <w:lang w:eastAsia="zh-CN"/>
        </w:rPr>
        <w:t>单位</w:t>
      </w:r>
      <w:r>
        <w:rPr>
          <w:rFonts w:hint="eastAsia" w:ascii="仿宋" w:hAnsi="仿宋" w:eastAsia="仿宋" w:cs="仿宋"/>
          <w:spacing w:val="0"/>
          <w:kern w:val="0"/>
          <w:sz w:val="32"/>
          <w:szCs w:val="32"/>
        </w:rPr>
        <w:t>出国团组</w:t>
      </w:r>
      <w:r>
        <w:rPr>
          <w:rFonts w:hint="eastAsia" w:ascii="仿宋" w:hAnsi="仿宋" w:eastAsia="仿宋" w:cs="仿宋"/>
          <w:spacing w:val="0"/>
          <w:kern w:val="0"/>
          <w:sz w:val="32"/>
          <w:szCs w:val="32"/>
          <w:lang w:val="en-US" w:eastAsia="zh-CN"/>
        </w:rPr>
        <w:t>0</w:t>
      </w:r>
      <w:r>
        <w:rPr>
          <w:rFonts w:hint="eastAsia" w:ascii="仿宋" w:hAnsi="仿宋" w:eastAsia="仿宋" w:cs="仿宋"/>
          <w:spacing w:val="0"/>
          <w:kern w:val="0"/>
          <w:sz w:val="32"/>
          <w:szCs w:val="32"/>
        </w:rPr>
        <w:t> 个；全年因公出国（境）累计0人次。主要是</w:t>
      </w:r>
      <w:r>
        <w:rPr>
          <w:rFonts w:hint="eastAsia" w:ascii="仿宋" w:hAnsi="仿宋" w:eastAsia="仿宋" w:cs="仿宋"/>
          <w:spacing w:val="0"/>
          <w:kern w:val="0"/>
          <w:sz w:val="32"/>
          <w:szCs w:val="32"/>
          <w:lang w:val="en-US" w:eastAsia="zh-CN"/>
        </w:rPr>
        <w:t>本单位没有组织出国团组及参加其他单位</w:t>
      </w:r>
      <w:r>
        <w:rPr>
          <w:rFonts w:hint="default" w:ascii="仿宋" w:hAnsi="仿宋" w:eastAsia="仿宋" w:cs="仿宋"/>
          <w:spacing w:val="0"/>
          <w:kern w:val="0"/>
          <w:sz w:val="32"/>
          <w:szCs w:val="32"/>
          <w:lang w:val="en-US" w:eastAsia="zh-CN"/>
        </w:rPr>
        <w:t>出国团组。</w:t>
      </w:r>
      <w:r>
        <w:rPr>
          <w:rFonts w:hint="eastAsia" w:ascii="仿宋" w:hAnsi="仿宋" w:eastAsia="仿宋" w:cs="仿宋"/>
          <w:spacing w:val="0"/>
          <w:kern w:val="0"/>
          <w:sz w:val="32"/>
          <w:szCs w:val="32"/>
          <w:lang w:val="en-US" w:eastAsia="zh-CN"/>
        </w:rPr>
        <w:t xml:space="preserve">  </w:t>
      </w:r>
    </w:p>
    <w:p>
      <w:pPr>
        <w:pStyle w:val="31"/>
        <w:keepNext w:val="0"/>
        <w:keepLines w:val="0"/>
        <w:pageBreakBefore w:val="0"/>
        <w:widowControl/>
        <w:kinsoku/>
        <w:wordWrap/>
        <w:overflowPunct/>
        <w:topLinePunct w:val="0"/>
        <w:autoSpaceDE/>
        <w:autoSpaceDN/>
        <w:bidi w:val="0"/>
        <w:adjustRightInd/>
        <w:snapToGrid/>
        <w:spacing w:before="100" w:after="100" w:line="600" w:lineRule="atLeast"/>
        <w:ind w:left="0" w:right="0" w:firstLine="641"/>
        <w:jc w:val="both"/>
        <w:textAlignment w:val="auto"/>
        <w:outlineLvl w:val="9"/>
        <w:rPr>
          <w:rFonts w:hint="eastAsia" w:ascii="仿宋" w:hAnsi="仿宋" w:eastAsia="仿宋" w:cs="仿宋"/>
          <w:spacing w:val="0"/>
          <w:kern w:val="0"/>
          <w:sz w:val="32"/>
          <w:szCs w:val="32"/>
        </w:rPr>
      </w:pPr>
      <w:r>
        <w:rPr>
          <w:rFonts w:hint="eastAsia" w:ascii="仿宋" w:hAnsi="仿宋" w:eastAsia="仿宋" w:cs="仿宋"/>
          <w:spacing w:val="0"/>
          <w:kern w:val="0"/>
          <w:sz w:val="32"/>
          <w:szCs w:val="32"/>
        </w:rPr>
        <w:t>（二）公务用车购置及运行费支出0.00万元，</w:t>
      </w:r>
      <w:r>
        <w:rPr>
          <w:rFonts w:hint="eastAsia" w:ascii="仿宋" w:hAnsi="仿宋" w:eastAsia="仿宋" w:cs="仿宋"/>
          <w:spacing w:val="0"/>
          <w:kern w:val="0"/>
          <w:sz w:val="32"/>
          <w:szCs w:val="32"/>
          <w:lang w:eastAsia="zh-CN"/>
        </w:rPr>
        <w:t>与</w:t>
      </w:r>
      <w:r>
        <w:rPr>
          <w:rFonts w:hint="eastAsia" w:ascii="仿宋" w:hAnsi="仿宋" w:eastAsia="仿宋" w:cs="仿宋"/>
          <w:spacing w:val="0"/>
          <w:kern w:val="0"/>
          <w:sz w:val="32"/>
          <w:szCs w:val="32"/>
        </w:rPr>
        <w:t>全年预算</w:t>
      </w:r>
      <w:r>
        <w:rPr>
          <w:rFonts w:hint="eastAsia" w:ascii="仿宋" w:hAnsi="仿宋" w:eastAsia="仿宋" w:cs="仿宋"/>
          <w:spacing w:val="0"/>
          <w:kern w:val="0"/>
          <w:sz w:val="32"/>
          <w:szCs w:val="32"/>
          <w:lang w:val="en-US" w:eastAsia="zh-CN"/>
        </w:rPr>
        <w:t>0.00万元持平，</w:t>
      </w:r>
      <w:r>
        <w:rPr>
          <w:rFonts w:hint="eastAsia" w:ascii="仿宋" w:hAnsi="仿宋" w:eastAsia="仿宋" w:cs="仿宋"/>
          <w:spacing w:val="0"/>
          <w:kern w:val="0"/>
          <w:sz w:val="32"/>
          <w:szCs w:val="32"/>
        </w:rPr>
        <w:t>较上年</w:t>
      </w:r>
      <w:r>
        <w:rPr>
          <w:rFonts w:hint="eastAsia" w:ascii="仿宋" w:hAnsi="仿宋" w:eastAsia="仿宋" w:cs="仿宋"/>
          <w:spacing w:val="0"/>
          <w:kern w:val="0"/>
          <w:sz w:val="32"/>
          <w:szCs w:val="32"/>
          <w:lang w:eastAsia="zh-CN"/>
        </w:rPr>
        <w:t>决算的</w:t>
      </w:r>
      <w:r>
        <w:rPr>
          <w:rFonts w:hint="eastAsia" w:ascii="仿宋" w:hAnsi="仿宋" w:eastAsia="仿宋" w:cs="仿宋"/>
          <w:spacing w:val="0"/>
          <w:kern w:val="0"/>
          <w:sz w:val="32"/>
          <w:szCs w:val="32"/>
          <w:lang w:val="en-US" w:eastAsia="zh-CN"/>
        </w:rPr>
        <w:t>0.00万元相比持平。</w:t>
      </w:r>
      <w:r>
        <w:rPr>
          <w:rFonts w:hint="eastAsia" w:ascii="仿宋" w:hAnsi="仿宋" w:eastAsia="仿宋" w:cs="仿宋"/>
          <w:spacing w:val="0"/>
          <w:kern w:val="0"/>
          <w:sz w:val="32"/>
          <w:szCs w:val="32"/>
        </w:rPr>
        <w:t>主要是</w:t>
      </w:r>
      <w:r>
        <w:rPr>
          <w:rFonts w:hint="eastAsia" w:ascii="仿宋" w:hAnsi="仿宋" w:eastAsia="仿宋" w:cs="仿宋"/>
          <w:spacing w:val="0"/>
          <w:kern w:val="0"/>
          <w:sz w:val="32"/>
          <w:szCs w:val="32"/>
          <w:lang w:val="en-US" w:eastAsia="zh-CN"/>
        </w:rPr>
        <w:t>本单位没有购置</w:t>
      </w:r>
      <w:r>
        <w:rPr>
          <w:rFonts w:hint="default" w:ascii="仿宋" w:hAnsi="仿宋" w:eastAsia="仿宋" w:cs="仿宋"/>
          <w:spacing w:val="0"/>
          <w:kern w:val="0"/>
          <w:sz w:val="32"/>
          <w:szCs w:val="32"/>
          <w:lang w:val="en-US" w:eastAsia="zh-CN"/>
        </w:rPr>
        <w:t>公务用车及运行</w:t>
      </w:r>
      <w:r>
        <w:rPr>
          <w:rFonts w:hint="eastAsia" w:ascii="仿宋" w:hAnsi="仿宋" w:eastAsia="仿宋" w:cs="仿宋"/>
          <w:spacing w:val="0"/>
          <w:kern w:val="0"/>
          <w:sz w:val="32"/>
          <w:szCs w:val="32"/>
          <w:lang w:val="en-US" w:eastAsia="zh-CN"/>
        </w:rPr>
        <w:t>维护</w:t>
      </w:r>
      <w:r>
        <w:rPr>
          <w:rFonts w:hint="default" w:ascii="仿宋" w:hAnsi="仿宋" w:eastAsia="仿宋" w:cs="仿宋"/>
          <w:spacing w:val="0"/>
          <w:kern w:val="0"/>
          <w:sz w:val="32"/>
          <w:szCs w:val="32"/>
          <w:lang w:val="en-US" w:eastAsia="zh-CN"/>
        </w:rPr>
        <w:t>费支出。</w:t>
      </w:r>
      <w:r>
        <w:rPr>
          <w:rFonts w:hint="eastAsia" w:ascii="仿宋" w:hAnsi="仿宋" w:eastAsia="仿宋" w:cs="仿宋"/>
          <w:spacing w:val="0"/>
          <w:kern w:val="0"/>
          <w:sz w:val="32"/>
          <w:szCs w:val="32"/>
        </w:rPr>
        <w:t>其中：</w:t>
      </w:r>
    </w:p>
    <w:p>
      <w:pPr>
        <w:pStyle w:val="31"/>
        <w:keepNext w:val="0"/>
        <w:keepLines w:val="0"/>
        <w:pageBreakBefore w:val="0"/>
        <w:widowControl/>
        <w:kinsoku/>
        <w:wordWrap/>
        <w:overflowPunct/>
        <w:topLinePunct w:val="0"/>
        <w:autoSpaceDE/>
        <w:autoSpaceDN/>
        <w:bidi w:val="0"/>
        <w:adjustRightInd/>
        <w:snapToGrid/>
        <w:spacing w:before="100" w:after="100" w:line="600" w:lineRule="atLeast"/>
        <w:ind w:left="0" w:right="0" w:firstLine="641"/>
        <w:jc w:val="both"/>
        <w:textAlignment w:val="auto"/>
        <w:outlineLvl w:val="9"/>
        <w:rPr>
          <w:rFonts w:hint="default" w:ascii="仿宋" w:hAnsi="仿宋" w:eastAsia="仿宋" w:cs="仿宋"/>
          <w:spacing w:val="0"/>
          <w:kern w:val="0"/>
          <w:sz w:val="32"/>
          <w:szCs w:val="32"/>
          <w:lang w:val="en-US" w:eastAsia="zh-CN"/>
        </w:rPr>
      </w:pPr>
      <w:r>
        <w:rPr>
          <w:rFonts w:hint="eastAsia" w:ascii="仿宋" w:hAnsi="仿宋" w:eastAsia="仿宋" w:cs="仿宋"/>
          <w:spacing w:val="0"/>
          <w:kern w:val="0"/>
          <w:sz w:val="32"/>
          <w:szCs w:val="32"/>
          <w:lang w:val="en-US" w:eastAsia="zh-CN"/>
        </w:rPr>
        <w:t>公务用车购置费支出0.00万元，与全年预算0.00万元持平，较上年决算的0.00万元相比持平。2024年公务用车购置0 辆。主要是本单位</w:t>
      </w:r>
      <w:r>
        <w:rPr>
          <w:rFonts w:hint="default" w:ascii="仿宋" w:hAnsi="仿宋" w:eastAsia="仿宋" w:cs="仿宋"/>
          <w:spacing w:val="0"/>
          <w:kern w:val="0"/>
          <w:sz w:val="32"/>
          <w:szCs w:val="32"/>
          <w:lang w:val="en-US" w:eastAsia="zh-CN"/>
        </w:rPr>
        <w:t>没有购置公务用车。</w:t>
      </w:r>
    </w:p>
    <w:p>
      <w:pPr>
        <w:pStyle w:val="31"/>
        <w:keepNext w:val="0"/>
        <w:keepLines w:val="0"/>
        <w:pageBreakBefore w:val="0"/>
        <w:widowControl/>
        <w:kinsoku/>
        <w:wordWrap/>
        <w:overflowPunct/>
        <w:topLinePunct w:val="0"/>
        <w:autoSpaceDE/>
        <w:autoSpaceDN/>
        <w:bidi w:val="0"/>
        <w:adjustRightInd/>
        <w:snapToGrid/>
        <w:spacing w:before="100" w:after="100" w:line="600" w:lineRule="atLeast"/>
        <w:ind w:left="0" w:right="0" w:firstLine="641"/>
        <w:jc w:val="both"/>
        <w:textAlignment w:val="auto"/>
        <w:outlineLvl w:val="9"/>
        <w:rPr>
          <w:rFonts w:hint="eastAsia" w:ascii="仿宋" w:hAnsi="仿宋" w:eastAsia="仿宋" w:cs="仿宋"/>
          <w:spacing w:val="0"/>
          <w:kern w:val="0"/>
          <w:sz w:val="32"/>
          <w:szCs w:val="32"/>
        </w:rPr>
      </w:pPr>
      <w:r>
        <w:rPr>
          <w:rFonts w:hint="eastAsia" w:ascii="仿宋" w:hAnsi="仿宋" w:eastAsia="仿宋" w:cs="仿宋"/>
          <w:spacing w:val="0"/>
          <w:kern w:val="0"/>
          <w:sz w:val="32"/>
          <w:szCs w:val="32"/>
        </w:rPr>
        <w:t>公务用车运行费支出0.00万元，</w:t>
      </w:r>
      <w:r>
        <w:rPr>
          <w:rFonts w:hint="eastAsia" w:ascii="仿宋" w:hAnsi="仿宋" w:eastAsia="仿宋" w:cs="仿宋"/>
          <w:spacing w:val="0"/>
          <w:kern w:val="0"/>
          <w:sz w:val="32"/>
          <w:szCs w:val="32"/>
          <w:lang w:eastAsia="zh-CN"/>
        </w:rPr>
        <w:t>与</w:t>
      </w:r>
      <w:r>
        <w:rPr>
          <w:rFonts w:hint="eastAsia" w:ascii="仿宋" w:hAnsi="仿宋" w:eastAsia="仿宋" w:cs="仿宋"/>
          <w:spacing w:val="0"/>
          <w:kern w:val="0"/>
          <w:sz w:val="32"/>
          <w:szCs w:val="32"/>
        </w:rPr>
        <w:t>全年预算</w:t>
      </w:r>
      <w:r>
        <w:rPr>
          <w:rFonts w:hint="eastAsia" w:ascii="仿宋" w:hAnsi="仿宋" w:eastAsia="仿宋" w:cs="仿宋"/>
          <w:spacing w:val="0"/>
          <w:kern w:val="0"/>
          <w:sz w:val="32"/>
          <w:szCs w:val="32"/>
          <w:lang w:val="en-US" w:eastAsia="zh-CN"/>
        </w:rPr>
        <w:t>0.00万元持平，</w:t>
      </w:r>
      <w:r>
        <w:rPr>
          <w:rFonts w:hint="eastAsia" w:ascii="仿宋" w:hAnsi="仿宋" w:eastAsia="仿宋" w:cs="仿宋"/>
          <w:spacing w:val="0"/>
          <w:kern w:val="0"/>
          <w:sz w:val="32"/>
          <w:szCs w:val="32"/>
        </w:rPr>
        <w:t>较上年</w:t>
      </w:r>
      <w:r>
        <w:rPr>
          <w:rFonts w:hint="eastAsia" w:ascii="仿宋" w:hAnsi="仿宋" w:eastAsia="仿宋" w:cs="仿宋"/>
          <w:spacing w:val="0"/>
          <w:kern w:val="0"/>
          <w:sz w:val="32"/>
          <w:szCs w:val="32"/>
          <w:lang w:eastAsia="zh-CN"/>
        </w:rPr>
        <w:t>决算的</w:t>
      </w:r>
      <w:r>
        <w:rPr>
          <w:rFonts w:hint="eastAsia" w:ascii="仿宋" w:hAnsi="仿宋" w:eastAsia="仿宋" w:cs="仿宋"/>
          <w:spacing w:val="0"/>
          <w:kern w:val="0"/>
          <w:sz w:val="32"/>
          <w:szCs w:val="32"/>
          <w:lang w:val="en-US" w:eastAsia="zh-CN"/>
        </w:rPr>
        <w:t>0.00万元相比持平。</w:t>
      </w:r>
      <w:r>
        <w:rPr>
          <w:rFonts w:hint="eastAsia" w:ascii="仿宋" w:hAnsi="仿宋" w:eastAsia="仿宋" w:cs="仿宋"/>
          <w:spacing w:val="0"/>
          <w:kern w:val="0"/>
          <w:sz w:val="32"/>
          <w:szCs w:val="32"/>
        </w:rPr>
        <w:t>主要是</w:t>
      </w:r>
      <w:r>
        <w:rPr>
          <w:rFonts w:hint="eastAsia" w:ascii="仿宋" w:hAnsi="仿宋" w:eastAsia="仿宋" w:cs="仿宋"/>
          <w:spacing w:val="0"/>
          <w:kern w:val="0"/>
          <w:sz w:val="32"/>
          <w:szCs w:val="32"/>
          <w:lang w:val="en-US" w:eastAsia="zh-CN"/>
        </w:rPr>
        <w:t>本单位没有公务用车运行维护</w:t>
      </w:r>
      <w:r>
        <w:rPr>
          <w:rFonts w:hint="default" w:ascii="仿宋" w:hAnsi="仿宋" w:eastAsia="仿宋" w:cs="仿宋"/>
          <w:spacing w:val="0"/>
          <w:kern w:val="0"/>
          <w:sz w:val="32"/>
          <w:szCs w:val="32"/>
          <w:lang w:val="en-US" w:eastAsia="zh-CN"/>
        </w:rPr>
        <w:t>费的支出。</w:t>
      </w:r>
      <w:r>
        <w:rPr>
          <w:rFonts w:hint="eastAsia" w:ascii="仿宋" w:hAnsi="仿宋" w:eastAsia="仿宋" w:cs="仿宋"/>
          <w:spacing w:val="0"/>
          <w:kern w:val="0"/>
          <w:sz w:val="32"/>
          <w:szCs w:val="32"/>
        </w:rPr>
        <w:t>截至202</w:t>
      </w:r>
      <w:r>
        <w:rPr>
          <w:rFonts w:hint="eastAsia" w:ascii="仿宋" w:hAnsi="仿宋" w:eastAsia="仿宋" w:cs="仿宋"/>
          <w:spacing w:val="0"/>
          <w:kern w:val="0"/>
          <w:sz w:val="32"/>
          <w:szCs w:val="32"/>
          <w:lang w:val="en-US" w:eastAsia="zh-CN"/>
        </w:rPr>
        <w:t>4</w:t>
      </w:r>
      <w:r>
        <w:rPr>
          <w:rFonts w:hint="eastAsia" w:ascii="仿宋" w:hAnsi="仿宋" w:eastAsia="仿宋" w:cs="仿宋"/>
          <w:spacing w:val="0"/>
          <w:kern w:val="0"/>
          <w:sz w:val="32"/>
          <w:szCs w:val="32"/>
        </w:rPr>
        <w:t>年12月31日，本</w:t>
      </w:r>
      <w:r>
        <w:rPr>
          <w:rFonts w:hint="eastAsia" w:ascii="仿宋" w:hAnsi="仿宋" w:eastAsia="仿宋" w:cs="仿宋"/>
          <w:spacing w:val="0"/>
          <w:kern w:val="0"/>
          <w:sz w:val="32"/>
          <w:szCs w:val="32"/>
          <w:lang w:eastAsia="zh-CN"/>
        </w:rPr>
        <w:t>单位</w:t>
      </w:r>
      <w:r>
        <w:rPr>
          <w:rFonts w:hint="eastAsia" w:ascii="仿宋" w:hAnsi="仿宋" w:eastAsia="仿宋" w:cs="仿宋"/>
          <w:spacing w:val="0"/>
          <w:kern w:val="0"/>
          <w:sz w:val="32"/>
          <w:szCs w:val="32"/>
        </w:rPr>
        <w:t>公务用车保有量为0辆。</w:t>
      </w:r>
    </w:p>
    <w:p>
      <w:pPr>
        <w:pStyle w:val="31"/>
        <w:keepNext w:val="0"/>
        <w:keepLines w:val="0"/>
        <w:pageBreakBefore w:val="0"/>
        <w:widowControl/>
        <w:kinsoku/>
        <w:wordWrap/>
        <w:overflowPunct/>
        <w:topLinePunct w:val="0"/>
        <w:autoSpaceDE/>
        <w:autoSpaceDN/>
        <w:bidi w:val="0"/>
        <w:adjustRightInd/>
        <w:snapToGrid/>
        <w:spacing w:before="100" w:after="100" w:line="600" w:lineRule="atLeast"/>
        <w:ind w:left="0" w:right="0" w:firstLine="641"/>
        <w:jc w:val="both"/>
        <w:textAlignment w:val="auto"/>
        <w:outlineLvl w:val="9"/>
        <w:rPr>
          <w:rFonts w:hint="default" w:ascii="仿宋" w:hAnsi="仿宋" w:eastAsia="仿宋" w:cs="仿宋"/>
          <w:spacing w:val="0"/>
          <w:kern w:val="0"/>
          <w:sz w:val="32"/>
          <w:szCs w:val="32"/>
          <w:lang w:val="en-US" w:eastAsia="zh-CN"/>
        </w:rPr>
      </w:pPr>
      <w:r>
        <w:rPr>
          <w:rFonts w:hint="eastAsia" w:ascii="仿宋" w:hAnsi="仿宋" w:eastAsia="仿宋" w:cs="仿宋"/>
          <w:spacing w:val="0"/>
          <w:kern w:val="0"/>
          <w:sz w:val="32"/>
          <w:szCs w:val="32"/>
        </w:rPr>
        <w:t>（三）公务接待费支出0.00万元，</w:t>
      </w:r>
      <w:r>
        <w:rPr>
          <w:rFonts w:hint="eastAsia" w:ascii="仿宋" w:hAnsi="仿宋" w:eastAsia="仿宋" w:cs="仿宋"/>
          <w:spacing w:val="0"/>
          <w:kern w:val="0"/>
          <w:sz w:val="32"/>
          <w:szCs w:val="32"/>
          <w:lang w:eastAsia="zh-CN"/>
        </w:rPr>
        <w:t>与</w:t>
      </w:r>
      <w:r>
        <w:rPr>
          <w:rFonts w:hint="eastAsia" w:ascii="仿宋" w:hAnsi="仿宋" w:eastAsia="仿宋" w:cs="仿宋"/>
          <w:spacing w:val="0"/>
          <w:kern w:val="0"/>
          <w:sz w:val="32"/>
          <w:szCs w:val="32"/>
        </w:rPr>
        <w:t>全年预算</w:t>
      </w:r>
      <w:r>
        <w:rPr>
          <w:rFonts w:hint="eastAsia" w:ascii="仿宋" w:hAnsi="仿宋" w:eastAsia="仿宋" w:cs="仿宋"/>
          <w:spacing w:val="0"/>
          <w:kern w:val="0"/>
          <w:sz w:val="32"/>
          <w:szCs w:val="32"/>
          <w:lang w:val="en-US" w:eastAsia="zh-CN"/>
        </w:rPr>
        <w:t>0.00万元持平，</w:t>
      </w:r>
      <w:r>
        <w:rPr>
          <w:rFonts w:hint="eastAsia" w:ascii="仿宋" w:hAnsi="仿宋" w:eastAsia="仿宋" w:cs="仿宋"/>
          <w:spacing w:val="0"/>
          <w:kern w:val="0"/>
          <w:sz w:val="32"/>
          <w:szCs w:val="32"/>
        </w:rPr>
        <w:t>较上年</w:t>
      </w:r>
      <w:r>
        <w:rPr>
          <w:rFonts w:hint="eastAsia" w:ascii="仿宋" w:hAnsi="仿宋" w:eastAsia="仿宋" w:cs="仿宋"/>
          <w:spacing w:val="0"/>
          <w:kern w:val="0"/>
          <w:sz w:val="32"/>
          <w:szCs w:val="32"/>
          <w:lang w:eastAsia="zh-CN"/>
        </w:rPr>
        <w:t>决算的</w:t>
      </w:r>
      <w:r>
        <w:rPr>
          <w:rFonts w:hint="eastAsia" w:ascii="仿宋" w:hAnsi="仿宋" w:eastAsia="仿宋" w:cs="仿宋"/>
          <w:spacing w:val="0"/>
          <w:kern w:val="0"/>
          <w:sz w:val="32"/>
          <w:szCs w:val="32"/>
          <w:lang w:val="en-US" w:eastAsia="zh-CN"/>
        </w:rPr>
        <w:t>0.00万元相比持平。</w:t>
      </w:r>
      <w:r>
        <w:rPr>
          <w:rFonts w:hint="eastAsia" w:ascii="仿宋" w:hAnsi="仿宋" w:eastAsia="仿宋" w:cs="仿宋"/>
          <w:spacing w:val="0"/>
          <w:kern w:val="0"/>
          <w:sz w:val="32"/>
          <w:szCs w:val="32"/>
        </w:rPr>
        <w:t>主要</w:t>
      </w:r>
      <w:r>
        <w:rPr>
          <w:rFonts w:hint="eastAsia" w:ascii="仿宋" w:hAnsi="仿宋" w:eastAsia="仿宋" w:cs="仿宋"/>
          <w:spacing w:val="0"/>
          <w:kern w:val="0"/>
          <w:sz w:val="32"/>
          <w:szCs w:val="32"/>
          <w:lang w:val="en-US" w:eastAsia="zh-CN"/>
        </w:rPr>
        <w:t>是本单位没有公务接待活动。</w:t>
      </w:r>
      <w:r>
        <w:rPr>
          <w:rFonts w:hint="eastAsia" w:ascii="仿宋" w:hAnsi="仿宋" w:eastAsia="仿宋" w:cs="仿宋"/>
          <w:spacing w:val="0"/>
          <w:kern w:val="0"/>
          <w:sz w:val="32"/>
          <w:szCs w:val="32"/>
        </w:rPr>
        <w:t>累计接待0 批次、0人次。</w:t>
      </w:r>
    </w:p>
    <w:p>
      <w:pPr>
        <w:pStyle w:val="6"/>
        <w:keepNext w:val="0"/>
        <w:keepLines w:val="0"/>
        <w:pageBreakBefore w:val="0"/>
        <w:widowControl/>
        <w:kinsoku/>
        <w:wordWrap/>
        <w:overflowPunct/>
        <w:topLinePunct w:val="0"/>
        <w:autoSpaceDE/>
        <w:autoSpaceDN/>
        <w:bidi w:val="0"/>
        <w:adjustRightInd/>
        <w:snapToGrid/>
        <w:spacing w:before="100" w:after="100" w:line="600" w:lineRule="atLeast"/>
        <w:ind w:left="0" w:right="0" w:firstLine="640" w:firstLineChars="0"/>
        <w:jc w:val="both"/>
        <w:textAlignment w:val="auto"/>
        <w:rPr>
          <w:rFonts w:ascii="Times New Roman" w:hAnsi="Times New Roman" w:eastAsia="Times New Roman" w:cs="Times New Roman"/>
          <w:b/>
          <w:bCs/>
          <w:kern w:val="0"/>
          <w:sz w:val="28"/>
          <w:szCs w:val="28"/>
        </w:rPr>
      </w:pPr>
      <w:r>
        <w:rPr>
          <w:rFonts w:ascii="黑体" w:hAnsi="黑体" w:eastAsia="黑体" w:cs="黑体"/>
          <w:b/>
          <w:spacing w:val="0"/>
        </w:rPr>
        <w:t>八、预算绩效情况说明</w:t>
      </w:r>
      <w:bookmarkEnd w:id="101"/>
      <w:bookmarkEnd w:id="102"/>
      <w:bookmarkEnd w:id="103"/>
      <w:bookmarkEnd w:id="104"/>
    </w:p>
    <w:p>
      <w:pPr>
        <w:pStyle w:val="31"/>
        <w:keepNext w:val="0"/>
        <w:keepLines w:val="0"/>
        <w:pageBreakBefore w:val="0"/>
        <w:widowControl/>
        <w:kinsoku/>
        <w:wordWrap/>
        <w:overflowPunct/>
        <w:topLinePunct w:val="0"/>
        <w:autoSpaceDE/>
        <w:autoSpaceDN/>
        <w:bidi w:val="0"/>
        <w:adjustRightInd/>
        <w:snapToGrid/>
        <w:spacing w:before="100" w:after="100" w:line="600" w:lineRule="atLeast"/>
        <w:ind w:left="0" w:right="0" w:firstLine="640"/>
        <w:jc w:val="both"/>
        <w:textAlignment w:val="auto"/>
        <w:rPr>
          <w:rFonts w:ascii="仿宋" w:hAnsi="仿宋" w:eastAsia="仿宋" w:cs="仿宋"/>
          <w:color w:val="auto"/>
          <w:spacing w:val="0"/>
          <w:kern w:val="0"/>
          <w:sz w:val="32"/>
          <w:szCs w:val="32"/>
          <w:highlight w:val="none"/>
        </w:rPr>
      </w:pPr>
      <w:r>
        <w:rPr>
          <w:rFonts w:ascii="仿宋" w:hAnsi="仿宋" w:eastAsia="仿宋" w:cs="仿宋"/>
          <w:color w:val="auto"/>
          <w:spacing w:val="0"/>
          <w:kern w:val="0"/>
          <w:sz w:val="32"/>
          <w:szCs w:val="32"/>
          <w:highlight w:val="none"/>
        </w:rPr>
        <w:t>根据预算绩效管理要求，本单位组织对2024年度</w:t>
      </w:r>
      <w:r>
        <w:rPr>
          <w:rFonts w:hint="eastAsia" w:ascii="仿宋" w:hAnsi="仿宋" w:eastAsia="仿宋" w:cs="仿宋"/>
          <w:color w:val="auto"/>
          <w:spacing w:val="0"/>
          <w:kern w:val="0"/>
          <w:sz w:val="32"/>
          <w:szCs w:val="32"/>
          <w:highlight w:val="none"/>
          <w:lang w:val="en-US" w:eastAsia="zh-CN"/>
        </w:rPr>
        <w:t>1</w:t>
      </w:r>
      <w:r>
        <w:rPr>
          <w:rFonts w:ascii="仿宋" w:hAnsi="仿宋" w:eastAsia="仿宋" w:cs="仿宋"/>
          <w:color w:val="auto"/>
          <w:spacing w:val="0"/>
          <w:kern w:val="0"/>
          <w:sz w:val="32"/>
          <w:szCs w:val="32"/>
          <w:highlight w:val="none"/>
        </w:rPr>
        <w:t>个项目实施单位自评，</w:t>
      </w:r>
      <w:r>
        <w:rPr>
          <w:rFonts w:hint="eastAsia" w:ascii="仿宋" w:hAnsi="仿宋" w:eastAsia="仿宋" w:cs="仿宋"/>
          <w:spacing w:val="0"/>
          <w:kern w:val="0"/>
          <w:sz w:val="32"/>
          <w:szCs w:val="32"/>
          <w:lang w:eastAsia="zh-CN"/>
        </w:rPr>
        <w:t>项目名称为</w:t>
      </w:r>
      <w:r>
        <w:rPr>
          <w:rFonts w:hint="eastAsia" w:ascii="仿宋" w:hAnsi="仿宋" w:eastAsia="仿宋" w:cs="仿宋"/>
          <w:spacing w:val="0"/>
          <w:kern w:val="0"/>
          <w:sz w:val="32"/>
          <w:szCs w:val="32"/>
        </w:rPr>
        <w:t>义务教育阶段家庭经济困难学生营养餐补助</w:t>
      </w:r>
      <w:r>
        <w:rPr>
          <w:rFonts w:ascii="仿宋" w:hAnsi="仿宋" w:eastAsia="仿宋" w:cs="仿宋"/>
          <w:color w:val="auto"/>
          <w:spacing w:val="0"/>
          <w:kern w:val="0"/>
          <w:sz w:val="32"/>
          <w:szCs w:val="32"/>
          <w:highlight w:val="none"/>
        </w:rPr>
        <w:t>，涉及财政拨款资金共计</w:t>
      </w:r>
      <w:r>
        <w:rPr>
          <w:rFonts w:hint="eastAsia" w:ascii="仿宋" w:hAnsi="仿宋" w:eastAsia="仿宋" w:cs="仿宋"/>
          <w:color w:val="auto"/>
          <w:spacing w:val="0"/>
          <w:kern w:val="0"/>
          <w:sz w:val="32"/>
          <w:szCs w:val="32"/>
          <w:highlight w:val="none"/>
          <w:lang w:val="en-US" w:eastAsia="zh-CN"/>
        </w:rPr>
        <w:t>1.7178</w:t>
      </w:r>
      <w:r>
        <w:rPr>
          <w:rFonts w:ascii="仿宋" w:hAnsi="仿宋" w:eastAsia="仿宋" w:cs="仿宋"/>
          <w:color w:val="auto"/>
          <w:spacing w:val="0"/>
          <w:kern w:val="0"/>
          <w:sz w:val="32"/>
          <w:szCs w:val="32"/>
          <w:highlight w:val="none"/>
        </w:rPr>
        <w:t>万元。（《项目支出绩效自评表》详见附件）</w:t>
      </w:r>
    </w:p>
    <w:p>
      <w:pPr>
        <w:pStyle w:val="6"/>
        <w:keepNext w:val="0"/>
        <w:keepLines w:val="0"/>
        <w:pageBreakBefore w:val="0"/>
        <w:widowControl/>
        <w:kinsoku/>
        <w:wordWrap/>
        <w:overflowPunct/>
        <w:topLinePunct w:val="0"/>
        <w:autoSpaceDE/>
        <w:autoSpaceDN/>
        <w:bidi w:val="0"/>
        <w:adjustRightInd/>
        <w:snapToGrid/>
        <w:spacing w:before="100" w:after="100" w:line="600" w:lineRule="atLeast"/>
        <w:ind w:left="0" w:right="0" w:firstLine="640" w:firstLineChars="0"/>
        <w:jc w:val="both"/>
        <w:textAlignment w:val="auto"/>
        <w:rPr>
          <w:rFonts w:ascii="Times New Roman" w:hAnsi="Times New Roman" w:eastAsia="Times New Roman" w:cs="Times New Roman"/>
          <w:b/>
          <w:bCs/>
          <w:kern w:val="0"/>
          <w:sz w:val="28"/>
          <w:szCs w:val="28"/>
        </w:rPr>
      </w:pPr>
      <w:bookmarkStart w:id="105" w:name="_Toc256000088"/>
      <w:bookmarkStart w:id="106" w:name="_Toc256000057"/>
      <w:bookmarkStart w:id="107" w:name="_Toc256000026"/>
      <w:bookmarkStart w:id="108" w:name="_Toc256000119"/>
      <w:r>
        <w:rPr>
          <w:rFonts w:ascii="黑体" w:hAnsi="黑体" w:eastAsia="黑体" w:cs="黑体"/>
          <w:b/>
          <w:spacing w:val="0"/>
        </w:rPr>
        <w:t>九、其他重要事项说明</w:t>
      </w:r>
      <w:bookmarkEnd w:id="105"/>
      <w:bookmarkEnd w:id="106"/>
      <w:bookmarkEnd w:id="107"/>
      <w:bookmarkEnd w:id="108"/>
    </w:p>
    <w:p>
      <w:pPr>
        <w:pStyle w:val="31"/>
        <w:keepNext w:val="0"/>
        <w:keepLines w:val="0"/>
        <w:pageBreakBefore w:val="0"/>
        <w:widowControl/>
        <w:kinsoku/>
        <w:wordWrap/>
        <w:overflowPunct/>
        <w:topLinePunct w:val="0"/>
        <w:autoSpaceDE/>
        <w:autoSpaceDN/>
        <w:bidi w:val="0"/>
        <w:adjustRightInd/>
        <w:snapToGrid/>
        <w:spacing w:before="100" w:after="100" w:line="600" w:lineRule="atLeast"/>
        <w:ind w:left="0" w:right="0" w:firstLine="643"/>
        <w:jc w:val="both"/>
        <w:textAlignment w:val="auto"/>
        <w:rPr>
          <w:rFonts w:ascii="Times New Roman" w:hAnsi="Times New Roman" w:eastAsia="Times New Roman" w:cs="Times New Roman"/>
          <w:kern w:val="0"/>
          <w:sz w:val="24"/>
        </w:rPr>
      </w:pPr>
      <w:r>
        <w:rPr>
          <w:rStyle w:val="33"/>
          <w:rFonts w:ascii="楷体" w:hAnsi="楷体" w:eastAsia="楷体" w:cs="楷体"/>
          <w:b/>
          <w:bCs/>
          <w:spacing w:val="0"/>
          <w:kern w:val="0"/>
          <w:sz w:val="32"/>
          <w:szCs w:val="32"/>
        </w:rPr>
        <w:t>（一）机关运行经费</w:t>
      </w:r>
      <w:r>
        <w:rPr>
          <w:rFonts w:ascii="宋体" w:hAnsi="宋体" w:cs="宋体"/>
          <w:spacing w:val="0"/>
          <w:kern w:val="0"/>
          <w:sz w:val="32"/>
          <w:szCs w:val="32"/>
        </w:rPr>
        <w:t> </w:t>
      </w:r>
    </w:p>
    <w:p>
      <w:pPr>
        <w:pStyle w:val="31"/>
        <w:keepNext w:val="0"/>
        <w:keepLines w:val="0"/>
        <w:pageBreakBefore w:val="0"/>
        <w:widowControl/>
        <w:kinsoku/>
        <w:wordWrap/>
        <w:overflowPunct/>
        <w:topLinePunct w:val="0"/>
        <w:autoSpaceDE/>
        <w:autoSpaceDN/>
        <w:bidi w:val="0"/>
        <w:adjustRightInd/>
        <w:snapToGrid/>
        <w:spacing w:before="100" w:after="100" w:line="600" w:lineRule="atLeast"/>
        <w:ind w:left="0" w:right="0" w:firstLine="64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2024年度机关运行经费支出0万元，比上年决算数增加（减少）</w:t>
      </w:r>
      <w:r>
        <w:rPr>
          <w:rFonts w:hint="eastAsia" w:ascii="仿宋" w:hAnsi="仿宋" w:eastAsia="仿宋" w:cs="仿宋"/>
          <w:spacing w:val="0"/>
          <w:kern w:val="0"/>
          <w:sz w:val="32"/>
          <w:szCs w:val="32"/>
          <w:lang w:val="en-US" w:eastAsia="zh-CN"/>
        </w:rPr>
        <w:t>0</w:t>
      </w:r>
      <w:r>
        <w:rPr>
          <w:rFonts w:ascii="仿宋" w:hAnsi="仿宋" w:eastAsia="仿宋" w:cs="仿宋"/>
          <w:spacing w:val="0"/>
          <w:kern w:val="0"/>
          <w:sz w:val="32"/>
          <w:szCs w:val="32"/>
        </w:rPr>
        <w:t>万元，增长（下降）</w:t>
      </w:r>
      <w:r>
        <w:rPr>
          <w:rFonts w:hint="eastAsia" w:ascii="仿宋" w:hAnsi="仿宋" w:eastAsia="仿宋" w:cs="仿宋"/>
          <w:spacing w:val="0"/>
          <w:kern w:val="0"/>
          <w:sz w:val="32"/>
          <w:szCs w:val="32"/>
          <w:lang w:val="en-US" w:eastAsia="zh-CN"/>
        </w:rPr>
        <w:t>0</w:t>
      </w:r>
      <w:r>
        <w:rPr>
          <w:rFonts w:ascii="仿宋" w:hAnsi="仿宋" w:eastAsia="仿宋" w:cs="仿宋"/>
          <w:spacing w:val="0"/>
          <w:kern w:val="0"/>
          <w:sz w:val="32"/>
          <w:szCs w:val="32"/>
        </w:rPr>
        <w:t>%，主要原因是:本单位为事业单位</w:t>
      </w:r>
      <w:r>
        <w:rPr>
          <w:rFonts w:hint="eastAsia" w:ascii="仿宋" w:hAnsi="仿宋" w:eastAsia="仿宋" w:cs="仿宋"/>
          <w:spacing w:val="0"/>
          <w:kern w:val="0"/>
          <w:sz w:val="32"/>
          <w:szCs w:val="32"/>
          <w:lang w:eastAsia="zh-CN"/>
        </w:rPr>
        <w:t>，</w:t>
      </w:r>
      <w:r>
        <w:rPr>
          <w:rFonts w:ascii="仿宋" w:hAnsi="仿宋" w:eastAsia="仿宋" w:cs="仿宋"/>
          <w:spacing w:val="0"/>
          <w:kern w:val="0"/>
          <w:sz w:val="32"/>
          <w:szCs w:val="32"/>
        </w:rPr>
        <w:t>没有机关运行经费。</w:t>
      </w:r>
    </w:p>
    <w:p>
      <w:pPr>
        <w:pStyle w:val="31"/>
        <w:keepNext w:val="0"/>
        <w:keepLines w:val="0"/>
        <w:pageBreakBefore w:val="0"/>
        <w:widowControl/>
        <w:kinsoku/>
        <w:wordWrap/>
        <w:overflowPunct/>
        <w:topLinePunct w:val="0"/>
        <w:autoSpaceDE/>
        <w:autoSpaceDN/>
        <w:bidi w:val="0"/>
        <w:adjustRightInd/>
        <w:snapToGrid/>
        <w:spacing w:before="100" w:after="100" w:line="600" w:lineRule="atLeast"/>
        <w:ind w:left="0" w:right="0" w:firstLine="643"/>
        <w:jc w:val="both"/>
        <w:textAlignment w:val="auto"/>
        <w:rPr>
          <w:rFonts w:ascii="Times New Roman" w:hAnsi="Times New Roman" w:eastAsia="Times New Roman" w:cs="Times New Roman"/>
          <w:kern w:val="0"/>
          <w:sz w:val="24"/>
        </w:rPr>
      </w:pPr>
      <w:r>
        <w:rPr>
          <w:rStyle w:val="33"/>
          <w:rFonts w:ascii="楷体" w:hAnsi="楷体" w:eastAsia="楷体" w:cs="楷体"/>
          <w:b/>
          <w:bCs/>
          <w:spacing w:val="0"/>
          <w:kern w:val="0"/>
          <w:sz w:val="32"/>
          <w:szCs w:val="32"/>
        </w:rPr>
        <w:t>（二）政府采购情况</w:t>
      </w:r>
    </w:p>
    <w:p>
      <w:pPr>
        <w:pStyle w:val="31"/>
        <w:keepNext w:val="0"/>
        <w:keepLines w:val="0"/>
        <w:pageBreakBefore w:val="0"/>
        <w:widowControl/>
        <w:kinsoku/>
        <w:wordWrap/>
        <w:overflowPunct/>
        <w:topLinePunct w:val="0"/>
        <w:autoSpaceDE/>
        <w:autoSpaceDN/>
        <w:bidi w:val="0"/>
        <w:adjustRightInd/>
        <w:snapToGrid/>
        <w:spacing w:before="100" w:after="100" w:line="600" w:lineRule="atLeast"/>
        <w:ind w:left="0" w:right="0" w:firstLine="640"/>
        <w:jc w:val="both"/>
        <w:textAlignment w:val="auto"/>
        <w:rPr>
          <w:rFonts w:ascii="仿宋" w:hAnsi="仿宋" w:eastAsia="仿宋" w:cs="仿宋"/>
          <w:color w:val="auto"/>
          <w:spacing w:val="0"/>
          <w:kern w:val="0"/>
          <w:sz w:val="32"/>
          <w:szCs w:val="32"/>
          <w:highlight w:val="none"/>
        </w:rPr>
      </w:pPr>
      <w:r>
        <w:rPr>
          <w:rFonts w:ascii="仿宋" w:hAnsi="仿宋" w:eastAsia="仿宋" w:cs="仿宋"/>
          <w:color w:val="auto"/>
          <w:spacing w:val="0"/>
          <w:kern w:val="0"/>
          <w:sz w:val="32"/>
          <w:szCs w:val="32"/>
          <w:highlight w:val="none"/>
        </w:rPr>
        <w:t>本单位2024年度政府采购支出总额0万元，其中：政府采购货物支出0万元、政府采购工程支出0万元、政府采购服务支出0万元。授予中小企业合同金额0万元，占政府采购支出总额的0%，其中：授予小微企业合同金额0万元，占授予中小企业合同金额的0%；货物采购授予中小企业合同金额占货物支出金额的</w:t>
      </w:r>
      <w:r>
        <w:rPr>
          <w:rFonts w:hint="eastAsia" w:ascii="仿宋" w:hAnsi="仿宋" w:eastAsia="仿宋" w:cs="仿宋"/>
          <w:color w:val="auto"/>
          <w:spacing w:val="0"/>
          <w:kern w:val="0"/>
          <w:sz w:val="32"/>
          <w:szCs w:val="32"/>
          <w:highlight w:val="none"/>
          <w:lang w:val="en-US" w:eastAsia="zh-CN"/>
        </w:rPr>
        <w:t>0</w:t>
      </w:r>
      <w:r>
        <w:rPr>
          <w:rFonts w:ascii="仿宋" w:hAnsi="仿宋" w:eastAsia="仿宋" w:cs="仿宋"/>
          <w:color w:val="auto"/>
          <w:spacing w:val="0"/>
          <w:kern w:val="0"/>
          <w:sz w:val="32"/>
          <w:szCs w:val="32"/>
          <w:highlight w:val="none"/>
        </w:rPr>
        <w:t>%，工程采购授予中小企业合同金额占工程支出金额的</w:t>
      </w:r>
      <w:r>
        <w:rPr>
          <w:rFonts w:hint="eastAsia" w:ascii="仿宋" w:hAnsi="仿宋" w:eastAsia="仿宋" w:cs="仿宋"/>
          <w:color w:val="auto"/>
          <w:spacing w:val="0"/>
          <w:kern w:val="0"/>
          <w:sz w:val="32"/>
          <w:szCs w:val="32"/>
          <w:highlight w:val="none"/>
          <w:lang w:val="en-US" w:eastAsia="zh-CN"/>
        </w:rPr>
        <w:t>0</w:t>
      </w:r>
      <w:r>
        <w:rPr>
          <w:rFonts w:ascii="仿宋" w:hAnsi="仿宋" w:eastAsia="仿宋" w:cs="仿宋"/>
          <w:color w:val="auto"/>
          <w:spacing w:val="0"/>
          <w:kern w:val="0"/>
          <w:sz w:val="32"/>
          <w:szCs w:val="32"/>
          <w:highlight w:val="none"/>
        </w:rPr>
        <w:t>%，服务采购授予中小企业合同金额占服务支出金额的</w:t>
      </w:r>
      <w:r>
        <w:rPr>
          <w:rFonts w:hint="eastAsia" w:ascii="仿宋" w:hAnsi="仿宋" w:eastAsia="仿宋" w:cs="仿宋"/>
          <w:color w:val="auto"/>
          <w:spacing w:val="0"/>
          <w:kern w:val="0"/>
          <w:sz w:val="32"/>
          <w:szCs w:val="32"/>
          <w:highlight w:val="none"/>
          <w:lang w:val="en-US" w:eastAsia="zh-CN"/>
        </w:rPr>
        <w:t>0</w:t>
      </w:r>
      <w:r>
        <w:rPr>
          <w:rFonts w:hint="eastAsia" w:ascii="仿宋" w:hAnsi="仿宋" w:eastAsia="仿宋" w:cs="仿宋"/>
          <w:color w:val="auto"/>
          <w:spacing w:val="0"/>
          <w:kern w:val="0"/>
          <w:sz w:val="32"/>
          <w:szCs w:val="32"/>
          <w:highlight w:val="none"/>
        </w:rPr>
        <w:t>%。</w:t>
      </w:r>
    </w:p>
    <w:p>
      <w:pPr>
        <w:pStyle w:val="31"/>
        <w:keepNext w:val="0"/>
        <w:keepLines w:val="0"/>
        <w:pageBreakBefore w:val="0"/>
        <w:widowControl/>
        <w:kinsoku/>
        <w:wordWrap/>
        <w:overflowPunct/>
        <w:topLinePunct w:val="0"/>
        <w:autoSpaceDE/>
        <w:autoSpaceDN/>
        <w:bidi w:val="0"/>
        <w:adjustRightInd/>
        <w:snapToGrid/>
        <w:spacing w:before="100" w:after="100" w:line="600" w:lineRule="atLeast"/>
        <w:ind w:left="0" w:right="0" w:firstLine="640"/>
        <w:jc w:val="both"/>
        <w:textAlignment w:val="auto"/>
        <w:rPr>
          <w:rFonts w:ascii="仿宋" w:hAnsi="仿宋" w:eastAsia="仿宋" w:cs="仿宋"/>
          <w:spacing w:val="0"/>
          <w:kern w:val="0"/>
          <w:sz w:val="32"/>
          <w:szCs w:val="32"/>
        </w:rPr>
      </w:pPr>
      <w:r>
        <w:rPr>
          <w:rFonts w:ascii="仿宋" w:hAnsi="仿宋" w:eastAsia="仿宋" w:cs="仿宋"/>
          <w:color w:val="auto"/>
          <w:spacing w:val="0"/>
          <w:kern w:val="0"/>
          <w:sz w:val="32"/>
          <w:szCs w:val="32"/>
          <w:highlight w:val="none"/>
        </w:rPr>
        <w:t>本单位2024年度没有政府采购支出。</w:t>
      </w:r>
    </w:p>
    <w:p>
      <w:pPr>
        <w:pStyle w:val="31"/>
        <w:keepNext w:val="0"/>
        <w:keepLines w:val="0"/>
        <w:pageBreakBefore w:val="0"/>
        <w:widowControl/>
        <w:kinsoku/>
        <w:wordWrap/>
        <w:overflowPunct/>
        <w:topLinePunct w:val="0"/>
        <w:autoSpaceDE/>
        <w:autoSpaceDN/>
        <w:bidi w:val="0"/>
        <w:adjustRightInd/>
        <w:snapToGrid/>
        <w:spacing w:before="100" w:after="100" w:line="600" w:lineRule="atLeast"/>
        <w:ind w:left="0" w:right="0" w:firstLine="707"/>
        <w:jc w:val="both"/>
        <w:textAlignment w:val="auto"/>
        <w:rPr>
          <w:rFonts w:ascii="Times New Roman" w:hAnsi="Times New Roman" w:eastAsia="Times New Roman" w:cs="Times New Roman"/>
          <w:kern w:val="0"/>
          <w:sz w:val="24"/>
        </w:rPr>
      </w:pPr>
      <w:r>
        <w:rPr>
          <w:rStyle w:val="33"/>
          <w:rFonts w:ascii="楷体" w:hAnsi="楷体" w:eastAsia="楷体" w:cs="楷体"/>
          <w:b/>
          <w:bCs/>
          <w:spacing w:val="0"/>
          <w:kern w:val="0"/>
          <w:sz w:val="32"/>
          <w:szCs w:val="32"/>
        </w:rPr>
        <w:t>（三）国有资产占用使用情况</w:t>
      </w:r>
      <w:r>
        <w:rPr>
          <w:rFonts w:ascii="宋体" w:hAnsi="宋体" w:cs="宋体"/>
          <w:spacing w:val="0"/>
          <w:kern w:val="0"/>
          <w:sz w:val="32"/>
          <w:szCs w:val="32"/>
        </w:rPr>
        <w:t> </w:t>
      </w:r>
    </w:p>
    <w:p>
      <w:pPr>
        <w:pStyle w:val="31"/>
        <w:keepNext w:val="0"/>
        <w:keepLines w:val="0"/>
        <w:pageBreakBefore w:val="0"/>
        <w:widowControl/>
        <w:kinsoku/>
        <w:wordWrap/>
        <w:overflowPunct/>
        <w:topLinePunct w:val="0"/>
        <w:autoSpaceDE/>
        <w:autoSpaceDN/>
        <w:bidi w:val="0"/>
        <w:adjustRightInd/>
        <w:snapToGrid/>
        <w:spacing w:before="100" w:after="100" w:line="600" w:lineRule="atLeast"/>
        <w:ind w:left="0" w:right="0" w:firstLine="640"/>
        <w:jc w:val="both"/>
        <w:textAlignment w:val="auto"/>
        <w:rPr>
          <w:rFonts w:ascii="仿宋" w:hAnsi="仿宋" w:eastAsia="仿宋" w:cs="仿宋"/>
          <w:color w:val="auto"/>
          <w:spacing w:val="0"/>
          <w:kern w:val="0"/>
          <w:sz w:val="32"/>
          <w:szCs w:val="32"/>
          <w:highlight w:val="none"/>
        </w:rPr>
      </w:pPr>
      <w:r>
        <w:rPr>
          <w:rFonts w:ascii="仿宋" w:hAnsi="仿宋" w:eastAsia="仿宋" w:cs="仿宋"/>
          <w:color w:val="auto"/>
          <w:spacing w:val="0"/>
          <w:kern w:val="0"/>
          <w:sz w:val="32"/>
          <w:szCs w:val="32"/>
          <w:highlight w:val="none"/>
        </w:rPr>
        <w:t>截至2024年12月31日，本单位共有车辆0 辆，其中：副部（省）级以上领导用车0 辆、主要领导干部用车0 辆、机要通信用车0辆、应急保障用车0辆、执法执勤用车0辆、特种专业技术用车0辆、离退休干部用车0辆、其他用车0辆，单位价值100万元以上设备（不含车辆）0台（套）。</w:t>
      </w:r>
    </w:p>
    <w:p>
      <w:pPr>
        <w:pStyle w:val="31"/>
        <w:keepNext w:val="0"/>
        <w:keepLines w:val="0"/>
        <w:pageBreakBefore w:val="0"/>
        <w:widowControl/>
        <w:kinsoku/>
        <w:wordWrap/>
        <w:overflowPunct/>
        <w:topLinePunct w:val="0"/>
        <w:autoSpaceDE/>
        <w:autoSpaceDN/>
        <w:bidi w:val="0"/>
        <w:adjustRightInd/>
        <w:spacing w:before="100" w:after="100" w:line="600" w:lineRule="atLeast"/>
        <w:ind w:left="0" w:right="0" w:firstLine="704"/>
        <w:jc w:val="both"/>
        <w:textAlignment w:val="auto"/>
        <w:rPr>
          <w:rFonts w:ascii="Times New Roman" w:hAnsi="Times New Roman" w:eastAsia="Times New Roman" w:cs="Times New Roman"/>
          <w:vanish/>
          <w:kern w:val="0"/>
          <w:sz w:val="24"/>
        </w:rPr>
      </w:pPr>
      <w:r>
        <w:rPr>
          <w:rFonts w:ascii="Calibri" w:hAnsi="Calibri" w:eastAsia="Calibri" w:cs="Calibri"/>
          <w:spacing w:val="0"/>
          <w:kern w:val="0"/>
          <w:sz w:val="32"/>
          <w:szCs w:val="32"/>
        </w:rPr>
        <w:t>  </w:t>
      </w:r>
      <w:r>
        <w:rPr>
          <w:rFonts w:ascii="宋体" w:hAnsi="宋体" w:cs="宋体"/>
          <w:spacing w:val="0"/>
          <w:kern w:val="0"/>
          <w:sz w:val="56"/>
          <w:szCs w:val="56"/>
        </w:rPr>
        <w:t xml:space="preserve"> </w:t>
      </w:r>
      <w:r>
        <w:rPr>
          <w:rFonts w:ascii="Times New Roman" w:hAnsi="Times New Roman" w:eastAsia="Times New Roman" w:cs="Times New Roman"/>
          <w:vanish/>
          <w:kern w:val="0"/>
          <w:sz w:val="24"/>
        </w:rPr>
        <w:t>word page break</w:t>
      </w:r>
    </w:p>
    <w:p>
      <w:pPr>
        <w:keepNext w:val="0"/>
        <w:keepLines w:val="0"/>
        <w:pageBreakBefore w:val="0"/>
        <w:widowControl/>
        <w:kinsoku/>
        <w:wordWrap/>
        <w:overflowPunct/>
        <w:topLinePunct w:val="0"/>
        <w:autoSpaceDE/>
        <w:autoSpaceDN/>
        <w:bidi w:val="0"/>
        <w:adjustRightInd/>
        <w:spacing w:before="240" w:after="240" w:line="600" w:lineRule="atLeast"/>
        <w:jc w:val="left"/>
        <w:textAlignment w:val="auto"/>
        <w:rPr>
          <w:rFonts w:ascii="Times New Roman" w:hAnsi="Times New Roman" w:eastAsia="Times New Roman" w:cs="Times New Roman"/>
          <w:kern w:val="0"/>
          <w:sz w:val="24"/>
        </w:rPr>
      </w:pPr>
    </w:p>
    <w:p>
      <w:pPr>
        <w:pStyle w:val="4"/>
        <w:keepNext w:val="0"/>
        <w:keepLines w:val="0"/>
        <w:pageBreakBefore w:val="0"/>
        <w:widowControl/>
        <w:kinsoku/>
        <w:wordWrap/>
        <w:overflowPunct/>
        <w:topLinePunct w:val="0"/>
        <w:autoSpaceDE/>
        <w:autoSpaceDN/>
        <w:bidi w:val="0"/>
        <w:adjustRightInd/>
        <w:spacing w:before="100" w:after="100" w:line="600" w:lineRule="atLeast"/>
        <w:ind w:left="0" w:right="0" w:firstLine="0" w:firstLineChars="0"/>
        <w:jc w:val="center"/>
        <w:textAlignment w:val="auto"/>
        <w:rPr>
          <w:rFonts w:ascii="黑体" w:hAnsi="黑体" w:eastAsia="黑体" w:cs="黑体"/>
          <w:b/>
          <w:spacing w:val="0"/>
          <w:sz w:val="36"/>
          <w:szCs w:val="36"/>
        </w:rPr>
      </w:pPr>
      <w:bookmarkStart w:id="109" w:name="_Toc256000120"/>
      <w:bookmarkStart w:id="110" w:name="_Toc256000089"/>
      <w:bookmarkStart w:id="111" w:name="_Toc256000058"/>
      <w:bookmarkStart w:id="112" w:name="_Toc256000027"/>
      <w:r>
        <w:rPr>
          <w:rFonts w:ascii="黑体" w:hAnsi="黑体" w:eastAsia="黑体" w:cs="黑体"/>
          <w:b/>
          <w:spacing w:val="0"/>
          <w:sz w:val="36"/>
          <w:szCs w:val="36"/>
        </w:rPr>
        <w:t>第四部分</w:t>
      </w:r>
      <w:bookmarkEnd w:id="109"/>
      <w:bookmarkEnd w:id="110"/>
      <w:bookmarkEnd w:id="111"/>
      <w:bookmarkEnd w:id="112"/>
      <w:r>
        <w:rPr>
          <w:rFonts w:ascii="宋体" w:hAnsi="宋体" w:eastAsia="宋体" w:cs="宋体"/>
          <w:b/>
          <w:spacing w:val="0"/>
          <w:sz w:val="36"/>
          <w:szCs w:val="36"/>
        </w:rPr>
        <w:t> </w:t>
      </w:r>
      <w:bookmarkStart w:id="113" w:name="_Toc256000090"/>
      <w:bookmarkStart w:id="114" w:name="_Toc256000059"/>
      <w:bookmarkStart w:id="115" w:name="_Toc256000121"/>
      <w:bookmarkStart w:id="116" w:name="_Toc256000028"/>
      <w:r>
        <w:rPr>
          <w:rFonts w:ascii="黑体" w:hAnsi="黑体" w:eastAsia="黑体" w:cs="黑体"/>
          <w:b/>
          <w:spacing w:val="0"/>
          <w:sz w:val="36"/>
          <w:szCs w:val="36"/>
        </w:rPr>
        <w:t>名词解释</w:t>
      </w:r>
      <w:bookmarkEnd w:id="113"/>
      <w:bookmarkEnd w:id="114"/>
      <w:bookmarkEnd w:id="115"/>
      <w:bookmarkEnd w:id="116"/>
    </w:p>
    <w:p>
      <w:pPr>
        <w:pStyle w:val="4"/>
        <w:keepNext w:val="0"/>
        <w:keepLines w:val="0"/>
        <w:pageBreakBefore w:val="0"/>
        <w:widowControl/>
        <w:kinsoku/>
        <w:wordWrap/>
        <w:overflowPunct/>
        <w:topLinePunct w:val="0"/>
        <w:autoSpaceDE/>
        <w:autoSpaceDN/>
        <w:bidi w:val="0"/>
        <w:adjustRightInd/>
        <w:spacing w:before="100" w:after="100" w:line="600" w:lineRule="atLeast"/>
        <w:ind w:left="0" w:right="0" w:firstLine="0" w:firstLineChars="0"/>
        <w:jc w:val="center"/>
        <w:textAlignment w:val="auto"/>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page break</w:t>
      </w:r>
    </w:p>
    <w:p>
      <w:pPr>
        <w:keepNext w:val="0"/>
        <w:keepLines w:val="0"/>
        <w:pageBreakBefore w:val="0"/>
        <w:widowControl/>
        <w:kinsoku/>
        <w:wordWrap/>
        <w:overflowPunct/>
        <w:topLinePunct w:val="0"/>
        <w:autoSpaceDE/>
        <w:autoSpaceDN/>
        <w:bidi w:val="0"/>
        <w:adjustRightInd/>
        <w:spacing w:before="240" w:after="240" w:line="600" w:lineRule="atLeast"/>
        <w:jc w:val="left"/>
        <w:textAlignment w:val="auto"/>
        <w:rPr>
          <w:rFonts w:ascii="Times New Roman" w:hAnsi="Times New Roman" w:eastAsia="Times New Roman" w:cs="Times New Roman"/>
          <w:kern w:val="0"/>
          <w:sz w:val="24"/>
        </w:rPr>
      </w:pPr>
    </w:p>
    <w:p>
      <w:pPr>
        <w:pStyle w:val="31"/>
        <w:keepNext w:val="0"/>
        <w:keepLines w:val="0"/>
        <w:pageBreakBefore w:val="0"/>
        <w:widowControl/>
        <w:kinsoku/>
        <w:wordWrap/>
        <w:overflowPunct/>
        <w:topLinePunct w:val="0"/>
        <w:autoSpaceDE/>
        <w:autoSpaceDN/>
        <w:bidi w:val="0"/>
        <w:adjustRightInd/>
        <w:spacing w:before="100" w:after="100" w:line="600" w:lineRule="atLeast"/>
        <w:ind w:left="0" w:right="0" w:firstLine="710"/>
        <w:jc w:val="both"/>
        <w:textAlignment w:val="auto"/>
        <w:rPr>
          <w:rFonts w:ascii="Times New Roman" w:hAnsi="Times New Roman" w:eastAsia="Times New Roman" w:cs="Times New Roman"/>
          <w:kern w:val="0"/>
          <w:sz w:val="24"/>
        </w:rPr>
      </w:pPr>
      <w:r>
        <w:rPr>
          <w:rStyle w:val="33"/>
          <w:rFonts w:ascii="仿宋" w:hAnsi="仿宋" w:eastAsia="仿宋" w:cs="仿宋"/>
          <w:b/>
          <w:bCs/>
          <w:spacing w:val="0"/>
          <w:kern w:val="0"/>
          <w:sz w:val="32"/>
          <w:szCs w:val="32"/>
        </w:rPr>
        <w:t>一、财政拨款收入：</w:t>
      </w:r>
      <w:r>
        <w:rPr>
          <w:rFonts w:ascii="仿宋" w:hAnsi="仿宋" w:eastAsia="仿宋" w:cs="仿宋"/>
          <w:spacing w:val="0"/>
          <w:kern w:val="0"/>
          <w:sz w:val="32"/>
          <w:szCs w:val="32"/>
        </w:rPr>
        <w:t>指单位从本级财政单位取得的财政预算资金，包括一般公共预算财政拨款、政府性基金预算财政拨款和国有资本经营预算财政拨款。</w:t>
      </w:r>
    </w:p>
    <w:p>
      <w:pPr>
        <w:pStyle w:val="31"/>
        <w:keepNext w:val="0"/>
        <w:keepLines w:val="0"/>
        <w:pageBreakBefore w:val="0"/>
        <w:widowControl/>
        <w:kinsoku/>
        <w:wordWrap/>
        <w:overflowPunct/>
        <w:topLinePunct w:val="0"/>
        <w:autoSpaceDE/>
        <w:autoSpaceDN/>
        <w:bidi w:val="0"/>
        <w:adjustRightInd/>
        <w:spacing w:before="100" w:after="100" w:line="600" w:lineRule="atLeast"/>
        <w:ind w:left="0" w:right="0" w:firstLine="710"/>
        <w:jc w:val="both"/>
        <w:textAlignment w:val="auto"/>
        <w:rPr>
          <w:rFonts w:ascii="Times New Roman" w:hAnsi="Times New Roman" w:eastAsia="Times New Roman" w:cs="Times New Roman"/>
          <w:kern w:val="0"/>
          <w:sz w:val="24"/>
        </w:rPr>
      </w:pPr>
      <w:r>
        <w:rPr>
          <w:rStyle w:val="33"/>
          <w:rFonts w:ascii="仿宋" w:hAnsi="仿宋" w:eastAsia="仿宋" w:cs="仿宋"/>
          <w:b/>
          <w:bCs/>
          <w:spacing w:val="0"/>
          <w:kern w:val="0"/>
          <w:sz w:val="32"/>
          <w:szCs w:val="32"/>
        </w:rPr>
        <w:t>二、事业收入：</w:t>
      </w:r>
      <w:r>
        <w:rPr>
          <w:rFonts w:ascii="仿宋" w:hAnsi="仿宋" w:eastAsia="仿宋" w:cs="仿宋"/>
          <w:spacing w:val="0"/>
          <w:kern w:val="0"/>
          <w:sz w:val="32"/>
          <w:szCs w:val="32"/>
        </w:rPr>
        <w:t>指事业单位开展专业业务活动及辅助活动所取得的收入。</w:t>
      </w:r>
    </w:p>
    <w:p>
      <w:pPr>
        <w:pStyle w:val="31"/>
        <w:keepNext w:val="0"/>
        <w:keepLines w:val="0"/>
        <w:pageBreakBefore w:val="0"/>
        <w:widowControl/>
        <w:kinsoku/>
        <w:wordWrap/>
        <w:overflowPunct/>
        <w:topLinePunct w:val="0"/>
        <w:autoSpaceDE/>
        <w:autoSpaceDN/>
        <w:bidi w:val="0"/>
        <w:adjustRightInd/>
        <w:spacing w:before="100" w:after="100" w:line="600" w:lineRule="atLeast"/>
        <w:ind w:left="0" w:right="0" w:firstLine="710"/>
        <w:jc w:val="both"/>
        <w:textAlignment w:val="auto"/>
        <w:rPr>
          <w:rFonts w:ascii="Times New Roman" w:hAnsi="Times New Roman" w:eastAsia="Times New Roman" w:cs="Times New Roman"/>
          <w:kern w:val="0"/>
          <w:sz w:val="24"/>
        </w:rPr>
      </w:pPr>
      <w:r>
        <w:rPr>
          <w:rStyle w:val="33"/>
          <w:rFonts w:ascii="仿宋" w:hAnsi="仿宋" w:eastAsia="仿宋" w:cs="仿宋"/>
          <w:b/>
          <w:bCs/>
          <w:spacing w:val="0"/>
          <w:kern w:val="0"/>
          <w:sz w:val="32"/>
          <w:szCs w:val="32"/>
        </w:rPr>
        <w:t>三、经营收入：</w:t>
      </w:r>
      <w:r>
        <w:rPr>
          <w:rFonts w:ascii="仿宋" w:hAnsi="仿宋" w:eastAsia="仿宋" w:cs="仿宋"/>
          <w:spacing w:val="0"/>
          <w:kern w:val="0"/>
          <w:sz w:val="32"/>
          <w:szCs w:val="32"/>
        </w:rPr>
        <w:t>指事业单位在专业业务活动及其辅助活动之外开展非独立核算经营活动取得的收入。</w:t>
      </w:r>
    </w:p>
    <w:p>
      <w:pPr>
        <w:pStyle w:val="31"/>
        <w:keepNext w:val="0"/>
        <w:keepLines w:val="0"/>
        <w:pageBreakBefore w:val="0"/>
        <w:widowControl/>
        <w:kinsoku/>
        <w:wordWrap/>
        <w:overflowPunct/>
        <w:topLinePunct w:val="0"/>
        <w:autoSpaceDE/>
        <w:autoSpaceDN/>
        <w:bidi w:val="0"/>
        <w:adjustRightInd/>
        <w:spacing w:before="100" w:after="100" w:line="600" w:lineRule="atLeast"/>
        <w:ind w:left="0" w:right="0" w:firstLine="710"/>
        <w:jc w:val="both"/>
        <w:textAlignment w:val="auto"/>
        <w:rPr>
          <w:rFonts w:ascii="Times New Roman" w:hAnsi="Times New Roman" w:eastAsia="Times New Roman" w:cs="Times New Roman"/>
          <w:kern w:val="0"/>
          <w:sz w:val="24"/>
        </w:rPr>
      </w:pPr>
      <w:r>
        <w:rPr>
          <w:rStyle w:val="33"/>
          <w:rFonts w:ascii="仿宋" w:hAnsi="仿宋" w:eastAsia="仿宋" w:cs="仿宋"/>
          <w:b/>
          <w:bCs/>
          <w:spacing w:val="0"/>
          <w:kern w:val="0"/>
          <w:sz w:val="32"/>
          <w:szCs w:val="32"/>
        </w:rPr>
        <w:t>四、其他收入：</w:t>
      </w:r>
      <w:r>
        <w:rPr>
          <w:rFonts w:ascii="仿宋" w:hAnsi="仿宋" w:eastAsia="仿宋" w:cs="仿宋"/>
          <w:spacing w:val="0"/>
          <w:kern w:val="0"/>
          <w:sz w:val="32"/>
          <w:szCs w:val="32"/>
        </w:rPr>
        <w:t>指除上述“财政拨款收入”“事业收入”</w:t>
      </w:r>
      <w:r>
        <w:rPr>
          <w:rFonts w:ascii="宋体" w:hAnsi="宋体" w:cs="宋体"/>
          <w:spacing w:val="0"/>
          <w:kern w:val="0"/>
          <w:szCs w:val="21"/>
        </w:rPr>
        <w:t> </w:t>
      </w:r>
      <w:r>
        <w:rPr>
          <w:rFonts w:ascii="仿宋" w:hAnsi="仿宋" w:eastAsia="仿宋" w:cs="仿宋"/>
          <w:spacing w:val="0"/>
          <w:kern w:val="0"/>
          <w:sz w:val="32"/>
          <w:szCs w:val="32"/>
        </w:rPr>
        <w:t>“上级补助收入”“附属单位上缴收入”“经营收入”等以外取得的各项收入。主要是事业单位固定资产出租收入等。</w:t>
      </w:r>
    </w:p>
    <w:p>
      <w:pPr>
        <w:pStyle w:val="31"/>
        <w:keepNext w:val="0"/>
        <w:keepLines w:val="0"/>
        <w:pageBreakBefore w:val="0"/>
        <w:widowControl/>
        <w:kinsoku/>
        <w:wordWrap/>
        <w:overflowPunct/>
        <w:topLinePunct w:val="0"/>
        <w:autoSpaceDE/>
        <w:autoSpaceDN/>
        <w:bidi w:val="0"/>
        <w:adjustRightInd/>
        <w:spacing w:before="100" w:after="100" w:line="600" w:lineRule="atLeast"/>
        <w:ind w:left="0" w:right="0" w:firstLine="710"/>
        <w:jc w:val="both"/>
        <w:textAlignment w:val="auto"/>
        <w:rPr>
          <w:rFonts w:ascii="Times New Roman" w:hAnsi="Times New Roman" w:eastAsia="Times New Roman" w:cs="Times New Roman"/>
          <w:kern w:val="0"/>
          <w:sz w:val="24"/>
        </w:rPr>
      </w:pPr>
      <w:r>
        <w:rPr>
          <w:rStyle w:val="33"/>
          <w:rFonts w:ascii="仿宋" w:hAnsi="仿宋" w:eastAsia="仿宋" w:cs="仿宋"/>
          <w:b/>
          <w:bCs/>
          <w:spacing w:val="0"/>
          <w:kern w:val="0"/>
          <w:sz w:val="32"/>
          <w:szCs w:val="32"/>
        </w:rPr>
        <w:t>五、使用非财政拨款结余：</w:t>
      </w:r>
      <w:r>
        <w:rPr>
          <w:rFonts w:ascii="仿宋" w:hAnsi="仿宋" w:eastAsia="仿宋" w:cs="仿宋"/>
          <w:spacing w:val="0"/>
          <w:kern w:val="0"/>
          <w:sz w:val="32"/>
          <w:szCs w:val="32"/>
        </w:rPr>
        <w:t>指事业单位使用以前年度积累的非财政拨款结余弥补当年收支差额的金额。</w:t>
      </w:r>
    </w:p>
    <w:p>
      <w:pPr>
        <w:pStyle w:val="31"/>
        <w:keepNext w:val="0"/>
        <w:keepLines w:val="0"/>
        <w:pageBreakBefore w:val="0"/>
        <w:widowControl/>
        <w:kinsoku/>
        <w:wordWrap/>
        <w:overflowPunct/>
        <w:topLinePunct w:val="0"/>
        <w:autoSpaceDE/>
        <w:autoSpaceDN/>
        <w:bidi w:val="0"/>
        <w:adjustRightInd/>
        <w:spacing w:before="100" w:after="100" w:line="600" w:lineRule="atLeast"/>
        <w:ind w:left="0" w:right="0" w:firstLine="710"/>
        <w:jc w:val="both"/>
        <w:textAlignment w:val="auto"/>
        <w:rPr>
          <w:rFonts w:ascii="Times New Roman" w:hAnsi="Times New Roman" w:eastAsia="Times New Roman" w:cs="Times New Roman"/>
          <w:kern w:val="0"/>
          <w:sz w:val="24"/>
        </w:rPr>
      </w:pPr>
      <w:r>
        <w:rPr>
          <w:rStyle w:val="33"/>
          <w:rFonts w:ascii="仿宋" w:hAnsi="仿宋" w:eastAsia="仿宋" w:cs="仿宋"/>
          <w:b/>
          <w:bCs/>
          <w:spacing w:val="0"/>
          <w:kern w:val="0"/>
          <w:sz w:val="32"/>
          <w:szCs w:val="32"/>
        </w:rPr>
        <w:t>六、年初结转和结余：</w:t>
      </w:r>
      <w:r>
        <w:rPr>
          <w:rFonts w:ascii="仿宋" w:hAnsi="仿宋" w:eastAsia="仿宋" w:cs="仿宋"/>
          <w:spacing w:val="0"/>
          <w:kern w:val="0"/>
          <w:sz w:val="32"/>
          <w:szCs w:val="32"/>
        </w:rPr>
        <w:t>指单位以前年度尚未完成、结转到本年仍按原规定用途继续使用的资金，或项目已完成等产生的结余资金。</w:t>
      </w:r>
    </w:p>
    <w:p>
      <w:pPr>
        <w:pStyle w:val="32"/>
        <w:keepNext w:val="0"/>
        <w:keepLines w:val="0"/>
        <w:pageBreakBefore w:val="0"/>
        <w:widowControl/>
        <w:kinsoku/>
        <w:wordWrap/>
        <w:overflowPunct/>
        <w:topLinePunct w:val="0"/>
        <w:autoSpaceDE/>
        <w:autoSpaceDN/>
        <w:bidi w:val="0"/>
        <w:adjustRightInd/>
        <w:spacing w:before="100" w:after="100" w:line="600" w:lineRule="atLeast"/>
        <w:ind w:left="0" w:right="0" w:firstLine="640"/>
        <w:jc w:val="both"/>
        <w:textAlignment w:val="auto"/>
        <w:rPr>
          <w:rFonts w:ascii="Times New Roman" w:hAnsi="Times New Roman" w:eastAsia="Times New Roman" w:cs="Times New Roman"/>
          <w:kern w:val="0"/>
          <w:sz w:val="24"/>
        </w:rPr>
      </w:pPr>
      <w:r>
        <w:rPr>
          <w:rStyle w:val="33"/>
          <w:rFonts w:ascii="仿宋" w:hAnsi="仿宋" w:eastAsia="仿宋" w:cs="仿宋"/>
          <w:b/>
          <w:bCs/>
          <w:spacing w:val="0"/>
          <w:kern w:val="0"/>
          <w:sz w:val="32"/>
          <w:szCs w:val="32"/>
        </w:rPr>
        <w:t>七、结余分配：</w:t>
      </w:r>
      <w:r>
        <w:rPr>
          <w:rFonts w:ascii="仿宋" w:hAnsi="仿宋" w:eastAsia="仿宋" w:cs="仿宋"/>
          <w:spacing w:val="0"/>
          <w:kern w:val="0"/>
          <w:sz w:val="32"/>
          <w:szCs w:val="32"/>
        </w:rPr>
        <w:t>指事业单位按照会计制度规定缴纳的所得税、提取的专用结余以及转入非财政拨款结余的金额等。</w:t>
      </w:r>
    </w:p>
    <w:p>
      <w:pPr>
        <w:pStyle w:val="32"/>
        <w:keepNext w:val="0"/>
        <w:keepLines w:val="0"/>
        <w:pageBreakBefore w:val="0"/>
        <w:widowControl/>
        <w:kinsoku/>
        <w:wordWrap/>
        <w:overflowPunct/>
        <w:topLinePunct w:val="0"/>
        <w:autoSpaceDE/>
        <w:autoSpaceDN/>
        <w:bidi w:val="0"/>
        <w:adjustRightInd/>
        <w:spacing w:before="100" w:after="100" w:line="600" w:lineRule="atLeast"/>
        <w:ind w:left="0" w:right="0" w:firstLine="640"/>
        <w:jc w:val="both"/>
        <w:textAlignment w:val="auto"/>
        <w:rPr>
          <w:rFonts w:ascii="Times New Roman" w:hAnsi="Times New Roman" w:eastAsia="Times New Roman" w:cs="Times New Roman"/>
          <w:kern w:val="0"/>
          <w:sz w:val="24"/>
        </w:rPr>
      </w:pPr>
      <w:r>
        <w:rPr>
          <w:rStyle w:val="33"/>
          <w:rFonts w:ascii="仿宋" w:hAnsi="仿宋" w:eastAsia="仿宋" w:cs="仿宋"/>
          <w:b/>
          <w:bCs/>
          <w:spacing w:val="0"/>
          <w:kern w:val="0"/>
          <w:sz w:val="32"/>
          <w:szCs w:val="32"/>
        </w:rPr>
        <w:t>八、年末结转和结余：</w:t>
      </w:r>
      <w:r>
        <w:rPr>
          <w:rFonts w:ascii="仿宋" w:hAnsi="仿宋" w:eastAsia="仿宋" w:cs="仿宋"/>
          <w:spacing w:val="0"/>
          <w:kern w:val="0"/>
          <w:sz w:val="32"/>
          <w:szCs w:val="32"/>
        </w:rPr>
        <w:t>指单位按有关规定结转到下年或以后年度继续使用的资金，或项目已完成等产生的结余资金。</w:t>
      </w:r>
    </w:p>
    <w:p>
      <w:pPr>
        <w:pStyle w:val="32"/>
        <w:keepNext w:val="0"/>
        <w:keepLines w:val="0"/>
        <w:pageBreakBefore w:val="0"/>
        <w:widowControl/>
        <w:kinsoku/>
        <w:wordWrap/>
        <w:overflowPunct/>
        <w:topLinePunct w:val="0"/>
        <w:autoSpaceDE/>
        <w:autoSpaceDN/>
        <w:bidi w:val="0"/>
        <w:adjustRightInd/>
        <w:spacing w:before="100" w:after="100" w:line="600" w:lineRule="atLeast"/>
        <w:ind w:left="0" w:right="0" w:firstLine="640"/>
        <w:jc w:val="both"/>
        <w:textAlignment w:val="auto"/>
        <w:rPr>
          <w:rFonts w:ascii="Times New Roman" w:hAnsi="Times New Roman" w:eastAsia="Times New Roman" w:cs="Times New Roman"/>
          <w:kern w:val="0"/>
          <w:sz w:val="24"/>
        </w:rPr>
      </w:pPr>
      <w:r>
        <w:rPr>
          <w:rStyle w:val="33"/>
          <w:rFonts w:ascii="仿宋" w:hAnsi="仿宋" w:eastAsia="仿宋" w:cs="仿宋"/>
          <w:b/>
          <w:bCs/>
          <w:spacing w:val="0"/>
          <w:kern w:val="0"/>
          <w:sz w:val="32"/>
          <w:szCs w:val="32"/>
        </w:rPr>
        <w:t>九、基本支出：</w:t>
      </w:r>
      <w:r>
        <w:rPr>
          <w:rFonts w:ascii="仿宋" w:hAnsi="仿宋" w:eastAsia="仿宋" w:cs="仿宋"/>
          <w:spacing w:val="0"/>
          <w:kern w:val="0"/>
          <w:sz w:val="32"/>
          <w:szCs w:val="32"/>
        </w:rPr>
        <w:t>指为保障机构正常运转、完成日常工作任务而发生的人员支出和公用支出。</w:t>
      </w:r>
    </w:p>
    <w:p>
      <w:pPr>
        <w:pStyle w:val="32"/>
        <w:keepNext w:val="0"/>
        <w:keepLines w:val="0"/>
        <w:pageBreakBefore w:val="0"/>
        <w:widowControl/>
        <w:kinsoku/>
        <w:wordWrap/>
        <w:overflowPunct/>
        <w:topLinePunct w:val="0"/>
        <w:autoSpaceDE/>
        <w:autoSpaceDN/>
        <w:bidi w:val="0"/>
        <w:adjustRightInd/>
        <w:spacing w:before="100" w:after="100" w:line="600" w:lineRule="atLeast"/>
        <w:ind w:left="0" w:right="0" w:firstLine="640"/>
        <w:jc w:val="both"/>
        <w:textAlignment w:val="auto"/>
        <w:rPr>
          <w:rFonts w:ascii="Times New Roman" w:hAnsi="Times New Roman" w:eastAsia="Times New Roman" w:cs="Times New Roman"/>
          <w:kern w:val="0"/>
          <w:sz w:val="24"/>
        </w:rPr>
      </w:pPr>
      <w:r>
        <w:rPr>
          <w:rStyle w:val="33"/>
          <w:rFonts w:ascii="仿宋" w:hAnsi="仿宋" w:eastAsia="仿宋" w:cs="仿宋"/>
          <w:b/>
          <w:bCs/>
          <w:spacing w:val="0"/>
          <w:kern w:val="0"/>
          <w:sz w:val="32"/>
          <w:szCs w:val="32"/>
        </w:rPr>
        <w:t>十、项目支出：</w:t>
      </w:r>
      <w:r>
        <w:rPr>
          <w:rFonts w:ascii="仿宋" w:hAnsi="仿宋" w:eastAsia="仿宋" w:cs="仿宋"/>
          <w:spacing w:val="0"/>
          <w:kern w:val="0"/>
          <w:sz w:val="32"/>
          <w:szCs w:val="32"/>
        </w:rPr>
        <w:t>指在基本支出之外为完成特定行政任务和事业发展目标所发生的支出。</w:t>
      </w:r>
    </w:p>
    <w:p>
      <w:pPr>
        <w:pStyle w:val="32"/>
        <w:keepNext w:val="0"/>
        <w:keepLines w:val="0"/>
        <w:pageBreakBefore w:val="0"/>
        <w:widowControl/>
        <w:kinsoku/>
        <w:wordWrap/>
        <w:overflowPunct/>
        <w:topLinePunct w:val="0"/>
        <w:autoSpaceDE/>
        <w:autoSpaceDN/>
        <w:bidi w:val="0"/>
        <w:adjustRightInd/>
        <w:spacing w:before="100" w:after="100" w:line="600" w:lineRule="atLeast"/>
        <w:ind w:left="0" w:right="0" w:firstLine="640"/>
        <w:jc w:val="both"/>
        <w:textAlignment w:val="auto"/>
        <w:rPr>
          <w:rFonts w:ascii="Times New Roman" w:hAnsi="Times New Roman" w:eastAsia="Times New Roman" w:cs="Times New Roman"/>
          <w:kern w:val="0"/>
          <w:sz w:val="24"/>
        </w:rPr>
      </w:pPr>
      <w:r>
        <w:rPr>
          <w:rStyle w:val="33"/>
          <w:rFonts w:ascii="仿宋" w:hAnsi="仿宋" w:eastAsia="仿宋" w:cs="仿宋"/>
          <w:b/>
          <w:bCs/>
          <w:spacing w:val="0"/>
          <w:kern w:val="0"/>
          <w:sz w:val="32"/>
          <w:szCs w:val="32"/>
        </w:rPr>
        <w:t>十一、经营支出：</w:t>
      </w:r>
      <w:r>
        <w:rPr>
          <w:rFonts w:ascii="仿宋" w:hAnsi="仿宋" w:eastAsia="仿宋" w:cs="仿宋"/>
          <w:spacing w:val="0"/>
          <w:kern w:val="0"/>
          <w:sz w:val="32"/>
          <w:szCs w:val="32"/>
        </w:rPr>
        <w:t>指事业单位在专业业务活动及其辅助活动之外开展非独立核算经营活动发生的支出。</w:t>
      </w:r>
    </w:p>
    <w:p>
      <w:pPr>
        <w:pStyle w:val="32"/>
        <w:keepNext w:val="0"/>
        <w:keepLines w:val="0"/>
        <w:pageBreakBefore w:val="0"/>
        <w:widowControl/>
        <w:kinsoku/>
        <w:wordWrap/>
        <w:overflowPunct/>
        <w:topLinePunct w:val="0"/>
        <w:autoSpaceDE/>
        <w:autoSpaceDN/>
        <w:bidi w:val="0"/>
        <w:adjustRightInd/>
        <w:spacing w:before="100" w:after="100" w:line="600" w:lineRule="atLeast"/>
        <w:ind w:left="0" w:right="0" w:firstLine="640"/>
        <w:jc w:val="both"/>
        <w:textAlignment w:val="auto"/>
        <w:rPr>
          <w:rFonts w:ascii="Times New Roman" w:hAnsi="Times New Roman" w:eastAsia="Times New Roman" w:cs="Times New Roman"/>
          <w:kern w:val="0"/>
          <w:sz w:val="24"/>
        </w:rPr>
      </w:pPr>
      <w:r>
        <w:rPr>
          <w:rStyle w:val="33"/>
          <w:rFonts w:ascii="仿宋" w:hAnsi="仿宋" w:eastAsia="仿宋" w:cs="仿宋"/>
          <w:b/>
          <w:bCs/>
          <w:spacing w:val="0"/>
          <w:kern w:val="0"/>
          <w:sz w:val="32"/>
          <w:szCs w:val="32"/>
        </w:rPr>
        <w:t>十二、“三公”经费：</w:t>
      </w:r>
      <w:r>
        <w:rPr>
          <w:rFonts w:ascii="仿宋" w:hAnsi="仿宋" w:eastAsia="仿宋" w:cs="仿宋"/>
          <w:spacing w:val="0"/>
          <w:kern w:val="0"/>
          <w:sz w:val="32"/>
          <w:szCs w:val="32"/>
        </w:rPr>
        <w:t>纳入本级财政预决算管理的“三公”经费，是指本级单位用一般公共预算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牌照费）及燃料费、维修费、过桥过路费、保险费、安全奖励费用等支出；公务接待费反映单位按规定开支的各类公务接待（含外宾接待）支出。</w:t>
      </w:r>
    </w:p>
    <w:p>
      <w:pPr>
        <w:pStyle w:val="32"/>
        <w:keepNext w:val="0"/>
        <w:keepLines w:val="0"/>
        <w:pageBreakBefore w:val="0"/>
        <w:widowControl/>
        <w:kinsoku/>
        <w:wordWrap/>
        <w:overflowPunct/>
        <w:topLinePunct w:val="0"/>
        <w:autoSpaceDE/>
        <w:autoSpaceDN/>
        <w:bidi w:val="0"/>
        <w:adjustRightInd/>
        <w:spacing w:before="100" w:after="100" w:line="600" w:lineRule="atLeast"/>
        <w:ind w:left="0" w:right="0" w:firstLine="640"/>
        <w:jc w:val="both"/>
        <w:textAlignment w:val="auto"/>
        <w:rPr>
          <w:rFonts w:ascii="仿宋" w:hAnsi="仿宋" w:eastAsia="仿宋" w:cs="仿宋"/>
          <w:spacing w:val="0"/>
          <w:kern w:val="0"/>
          <w:sz w:val="32"/>
          <w:szCs w:val="32"/>
        </w:rPr>
      </w:pPr>
      <w:r>
        <w:rPr>
          <w:rStyle w:val="33"/>
          <w:rFonts w:ascii="仿宋" w:hAnsi="仿宋" w:eastAsia="仿宋" w:cs="仿宋"/>
          <w:b/>
          <w:bCs/>
          <w:spacing w:val="0"/>
          <w:kern w:val="0"/>
          <w:sz w:val="32"/>
          <w:szCs w:val="32"/>
        </w:rPr>
        <w:t>十三、机关运行经费：</w:t>
      </w:r>
      <w:r>
        <w:rPr>
          <w:rFonts w:ascii="仿宋" w:hAnsi="仿宋" w:eastAsia="仿宋" w:cs="仿宋"/>
          <w:spacing w:val="0"/>
          <w:kern w:val="0"/>
          <w:sz w:val="32"/>
          <w:szCs w:val="32"/>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4"/>
        <w:keepNext w:val="0"/>
        <w:keepLines w:val="0"/>
        <w:spacing w:before="299" w:after="299" w:line="240" w:lineRule="auto"/>
        <w:ind w:firstLine="0" w:firstLineChars="0"/>
        <w:jc w:val="center"/>
        <w:rPr>
          <w:rFonts w:hint="eastAsia" w:ascii="黑体" w:hAnsi="黑体" w:eastAsia="黑体" w:cs="黑体"/>
          <w:b/>
          <w:sz w:val="32"/>
          <w:szCs w:val="32"/>
        </w:rPr>
      </w:pPr>
      <w:bookmarkStart w:id="117" w:name="_Toc256000091"/>
      <w:bookmarkStart w:id="118" w:name="_Toc256000029"/>
      <w:bookmarkStart w:id="119" w:name="_Toc256000060"/>
      <w:bookmarkStart w:id="120" w:name="_Toc256000122"/>
    </w:p>
    <w:p>
      <w:pPr>
        <w:pStyle w:val="4"/>
        <w:keepNext w:val="0"/>
        <w:keepLines w:val="0"/>
        <w:spacing w:before="299" w:after="299" w:line="240" w:lineRule="auto"/>
        <w:ind w:firstLine="0" w:firstLineChars="0"/>
        <w:jc w:val="center"/>
        <w:rPr>
          <w:rFonts w:hint="eastAsia" w:ascii="黑体" w:hAnsi="黑体" w:eastAsia="黑体" w:cs="黑体"/>
          <w:b/>
          <w:sz w:val="32"/>
          <w:szCs w:val="32"/>
          <w:lang w:val="en-US" w:eastAsia="zh-CN"/>
        </w:rPr>
      </w:pPr>
      <w:r>
        <w:rPr>
          <w:rFonts w:hint="eastAsia" w:ascii="黑体" w:hAnsi="黑体" w:eastAsia="黑体" w:cs="黑体"/>
          <w:b/>
          <w:sz w:val="32"/>
          <w:szCs w:val="32"/>
        </w:rPr>
        <w:t>第五部分</w:t>
      </w:r>
      <w:bookmarkEnd w:id="117"/>
      <w:bookmarkEnd w:id="118"/>
      <w:bookmarkEnd w:id="119"/>
      <w:bookmarkEnd w:id="120"/>
      <w:r>
        <w:rPr>
          <w:rFonts w:hint="eastAsia" w:ascii="黑体" w:hAnsi="黑体" w:eastAsia="黑体" w:cs="黑体"/>
          <w:b/>
          <w:sz w:val="32"/>
          <w:szCs w:val="32"/>
        </w:rPr>
        <w:t> </w:t>
      </w:r>
      <w:bookmarkStart w:id="121" w:name="_Toc256000061"/>
      <w:bookmarkStart w:id="122" w:name="_Toc256000123"/>
      <w:bookmarkStart w:id="123" w:name="_Toc256000030"/>
      <w:bookmarkStart w:id="124" w:name="_Toc256000092"/>
      <w:r>
        <w:rPr>
          <w:rFonts w:hint="eastAsia" w:ascii="黑体" w:hAnsi="黑体" w:eastAsia="黑体" w:cs="黑体"/>
          <w:b/>
          <w:sz w:val="32"/>
          <w:szCs w:val="32"/>
        </w:rPr>
        <w:t>附件</w:t>
      </w:r>
      <w:bookmarkEnd w:id="121"/>
      <w:bookmarkEnd w:id="122"/>
      <w:bookmarkEnd w:id="123"/>
      <w:bookmarkEnd w:id="124"/>
      <w:r>
        <w:rPr>
          <w:rFonts w:hint="eastAsia" w:ascii="黑体" w:hAnsi="黑体" w:eastAsia="黑体" w:cs="黑体"/>
          <w:b/>
          <w:sz w:val="32"/>
          <w:szCs w:val="32"/>
          <w:lang w:val="en-US" w:eastAsia="zh-CN"/>
        </w:rPr>
        <w:t xml:space="preserve">  </w:t>
      </w:r>
    </w:p>
    <w:tbl>
      <w:tblPr>
        <w:tblStyle w:val="25"/>
        <w:tblW w:w="9764"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309"/>
        <w:gridCol w:w="631"/>
        <w:gridCol w:w="1946"/>
        <w:gridCol w:w="1315"/>
        <w:gridCol w:w="1"/>
        <w:gridCol w:w="499"/>
        <w:gridCol w:w="1"/>
        <w:gridCol w:w="1242"/>
        <w:gridCol w:w="920"/>
        <w:gridCol w:w="1"/>
        <w:gridCol w:w="722"/>
        <w:gridCol w:w="665"/>
        <w:gridCol w:w="1"/>
        <w:gridCol w:w="433"/>
        <w:gridCol w:w="1"/>
        <w:gridCol w:w="107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49" w:hRule="atLeast"/>
          <w:jc w:val="center"/>
        </w:trPr>
        <w:tc>
          <w:tcPr>
            <w:tcW w:w="9764" w:type="dxa"/>
            <w:gridSpan w:val="16"/>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32"/>
                <w:szCs w:val="32"/>
                <w:u w:val="none"/>
                <w:lang w:val="en-US" w:eastAsia="zh-CN" w:bidi="ar"/>
              </w:rPr>
              <w:t>部门（单位）项目支出绩效自评表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60" w:hRule="atLeast"/>
          <w:jc w:val="center"/>
        </w:trPr>
        <w:tc>
          <w:tcPr>
            <w:tcW w:w="9764" w:type="dxa"/>
            <w:gridSpan w:val="16"/>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85" w:hRule="atLeast"/>
          <w:jc w:val="center"/>
        </w:trPr>
        <w:tc>
          <w:tcPr>
            <w:tcW w:w="309" w:type="dxa"/>
            <w:tcBorders>
              <w:bottom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p>
        </w:tc>
        <w:tc>
          <w:tcPr>
            <w:tcW w:w="631" w:type="dxa"/>
            <w:tcBorders>
              <w:bottom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18"/>
                <w:szCs w:val="18"/>
                <w:u w:val="none"/>
              </w:rPr>
            </w:pPr>
          </w:p>
        </w:tc>
        <w:tc>
          <w:tcPr>
            <w:tcW w:w="1946" w:type="dxa"/>
            <w:tcBorders>
              <w:bottom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18"/>
                <w:szCs w:val="18"/>
                <w:u w:val="none"/>
              </w:rPr>
            </w:pPr>
          </w:p>
        </w:tc>
        <w:tc>
          <w:tcPr>
            <w:tcW w:w="1316" w:type="dxa"/>
            <w:gridSpan w:val="2"/>
            <w:tcBorders>
              <w:bottom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18"/>
                <w:szCs w:val="18"/>
                <w:u w:val="none"/>
              </w:rPr>
            </w:pPr>
          </w:p>
        </w:tc>
        <w:tc>
          <w:tcPr>
            <w:tcW w:w="500" w:type="dxa"/>
            <w:gridSpan w:val="2"/>
            <w:tcBorders>
              <w:bottom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18"/>
                <w:szCs w:val="18"/>
                <w:u w:val="none"/>
              </w:rPr>
            </w:pPr>
          </w:p>
        </w:tc>
        <w:tc>
          <w:tcPr>
            <w:tcW w:w="1242" w:type="dxa"/>
            <w:tcBorders>
              <w:bottom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920" w:type="dxa"/>
            <w:tcBorders>
              <w:bottom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18"/>
                <w:szCs w:val="18"/>
                <w:u w:val="none"/>
              </w:rPr>
            </w:pPr>
          </w:p>
        </w:tc>
        <w:tc>
          <w:tcPr>
            <w:tcW w:w="723" w:type="dxa"/>
            <w:gridSpan w:val="2"/>
            <w:tcBorders>
              <w:bottom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18"/>
                <w:szCs w:val="18"/>
                <w:u w:val="none"/>
              </w:rPr>
            </w:pPr>
          </w:p>
        </w:tc>
        <w:tc>
          <w:tcPr>
            <w:tcW w:w="665" w:type="dxa"/>
            <w:tcBorders>
              <w:bottom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18"/>
                <w:szCs w:val="18"/>
                <w:u w:val="none"/>
              </w:rPr>
            </w:pPr>
          </w:p>
        </w:tc>
        <w:tc>
          <w:tcPr>
            <w:tcW w:w="435" w:type="dxa"/>
            <w:gridSpan w:val="3"/>
            <w:tcBorders>
              <w:bottom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18"/>
                <w:szCs w:val="18"/>
                <w:u w:val="none"/>
              </w:rPr>
            </w:pPr>
          </w:p>
        </w:tc>
        <w:tc>
          <w:tcPr>
            <w:tcW w:w="1077" w:type="dxa"/>
            <w:tcBorders>
              <w:bottom w:val="single" w:color="000000" w:sz="4" w:space="0"/>
            </w:tcBorders>
            <w:shd w:val="clear" w:color="auto" w:fill="auto"/>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41" w:hRule="atLeast"/>
          <w:jc w:val="center"/>
        </w:trPr>
        <w:tc>
          <w:tcPr>
            <w:tcW w:w="940" w:type="dxa"/>
            <w:gridSpan w:val="2"/>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5004" w:type="dxa"/>
            <w:gridSpan w:val="6"/>
            <w:tcBorders>
              <w:top w:val="single" w:color="000000" w:sz="4" w:space="0"/>
              <w:left w:val="single" w:color="000000" w:sz="4" w:space="0"/>
              <w:bottom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义务教育阶段家庭经济困难学生营养餐补助</w:t>
            </w: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自评年度</w:t>
            </w:r>
          </w:p>
        </w:tc>
        <w:tc>
          <w:tcPr>
            <w:tcW w:w="2900"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2024年1月1日-2024年12月31日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43" w:hRule="atLeast"/>
          <w:jc w:val="center"/>
        </w:trPr>
        <w:tc>
          <w:tcPr>
            <w:tcW w:w="94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主管部门</w:t>
            </w:r>
          </w:p>
        </w:tc>
        <w:tc>
          <w:tcPr>
            <w:tcW w:w="5004"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湖里区教育局</w:t>
            </w: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实施单位</w:t>
            </w:r>
          </w:p>
        </w:tc>
        <w:tc>
          <w:tcPr>
            <w:tcW w:w="1822"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厦门市寨上小学</w:t>
            </w:r>
          </w:p>
        </w:tc>
        <w:tc>
          <w:tcPr>
            <w:tcW w:w="1078"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70" w:hRule="atLeast"/>
          <w:jc w:val="center"/>
        </w:trPr>
        <w:tc>
          <w:tcPr>
            <w:tcW w:w="94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年度预算执行情况</w:t>
            </w:r>
          </w:p>
        </w:tc>
        <w:tc>
          <w:tcPr>
            <w:tcW w:w="19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18"/>
                <w:szCs w:val="18"/>
                <w:u w:val="none"/>
              </w:rPr>
            </w:pPr>
          </w:p>
        </w:tc>
        <w:tc>
          <w:tcPr>
            <w:tcW w:w="131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年初预算数</w:t>
            </w:r>
          </w:p>
        </w:tc>
        <w:tc>
          <w:tcPr>
            <w:tcW w:w="50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已调整数</w:t>
            </w:r>
          </w:p>
        </w:tc>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调整后预算数</w:t>
            </w: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全年执行数</w:t>
            </w:r>
          </w:p>
        </w:tc>
        <w:tc>
          <w:tcPr>
            <w:tcW w:w="72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执行率</w:t>
            </w:r>
          </w:p>
        </w:tc>
        <w:tc>
          <w:tcPr>
            <w:tcW w:w="665" w:type="dxa"/>
            <w:tcBorders>
              <w:top w:val="single" w:color="000000" w:sz="4" w:space="0"/>
              <w:left w:val="single" w:color="000000" w:sz="4" w:space="0"/>
              <w:bottom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设置分值</w:t>
            </w:r>
          </w:p>
        </w:tc>
        <w:tc>
          <w:tcPr>
            <w:tcW w:w="43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得分</w:t>
            </w:r>
          </w:p>
        </w:tc>
        <w:tc>
          <w:tcPr>
            <w:tcW w:w="1078"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存在问题及原因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39" w:hRule="atLeast"/>
          <w:jc w:val="center"/>
        </w:trPr>
        <w:tc>
          <w:tcPr>
            <w:tcW w:w="94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b/>
                <w:i w:val="0"/>
                <w:color w:val="000000"/>
                <w:sz w:val="18"/>
                <w:szCs w:val="18"/>
                <w:u w:val="none"/>
              </w:rPr>
            </w:pPr>
          </w:p>
        </w:tc>
        <w:tc>
          <w:tcPr>
            <w:tcW w:w="19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年度资金总额</w:t>
            </w:r>
          </w:p>
        </w:tc>
        <w:tc>
          <w:tcPr>
            <w:tcW w:w="131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2.4</w:t>
            </w:r>
          </w:p>
        </w:tc>
        <w:tc>
          <w:tcPr>
            <w:tcW w:w="50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2.4</w:t>
            </w: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1.7178</w:t>
            </w:r>
          </w:p>
        </w:tc>
        <w:tc>
          <w:tcPr>
            <w:tcW w:w="72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71.58%</w:t>
            </w:r>
          </w:p>
        </w:tc>
        <w:tc>
          <w:tcPr>
            <w:tcW w:w="665" w:type="dxa"/>
            <w:tcBorders>
              <w:top w:val="single" w:color="000000" w:sz="4" w:space="0"/>
              <w:left w:val="single" w:color="000000" w:sz="4" w:space="0"/>
              <w:bottom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43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w:t>
            </w:r>
          </w:p>
        </w:tc>
        <w:tc>
          <w:tcPr>
            <w:tcW w:w="1078"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个别困难生未在校用餐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5" w:hRule="atLeast"/>
          <w:jc w:val="center"/>
        </w:trPr>
        <w:tc>
          <w:tcPr>
            <w:tcW w:w="94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b/>
                <w:i w:val="0"/>
                <w:color w:val="000000"/>
                <w:sz w:val="18"/>
                <w:szCs w:val="18"/>
                <w:u w:val="none"/>
              </w:rPr>
            </w:pPr>
          </w:p>
        </w:tc>
        <w:tc>
          <w:tcPr>
            <w:tcW w:w="19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其中：当年财政拨款</w:t>
            </w:r>
          </w:p>
        </w:tc>
        <w:tc>
          <w:tcPr>
            <w:tcW w:w="131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2.4</w:t>
            </w:r>
          </w:p>
        </w:tc>
        <w:tc>
          <w:tcPr>
            <w:tcW w:w="50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2.4</w:t>
            </w: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1.7178</w:t>
            </w:r>
          </w:p>
        </w:tc>
        <w:tc>
          <w:tcPr>
            <w:tcW w:w="72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71.58%</w:t>
            </w:r>
          </w:p>
        </w:tc>
        <w:tc>
          <w:tcPr>
            <w:tcW w:w="665" w:type="dxa"/>
            <w:tcBorders>
              <w:top w:val="single" w:color="000000" w:sz="4" w:space="0"/>
              <w:left w:val="single" w:color="000000" w:sz="4" w:space="0"/>
              <w:bottom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43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078"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44" w:hRule="atLeast"/>
          <w:jc w:val="center"/>
        </w:trPr>
        <w:tc>
          <w:tcPr>
            <w:tcW w:w="94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b/>
                <w:i w:val="0"/>
                <w:color w:val="000000"/>
                <w:sz w:val="18"/>
                <w:szCs w:val="18"/>
                <w:u w:val="none"/>
              </w:rPr>
            </w:pPr>
          </w:p>
        </w:tc>
        <w:tc>
          <w:tcPr>
            <w:tcW w:w="19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 xml:space="preserve">     上年结转资金</w:t>
            </w:r>
          </w:p>
        </w:tc>
        <w:tc>
          <w:tcPr>
            <w:tcW w:w="131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18"/>
                <w:szCs w:val="18"/>
                <w:u w:val="none"/>
              </w:rPr>
            </w:pPr>
          </w:p>
        </w:tc>
        <w:tc>
          <w:tcPr>
            <w:tcW w:w="50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18"/>
                <w:szCs w:val="18"/>
                <w:u w:val="none"/>
              </w:rPr>
            </w:pPr>
          </w:p>
        </w:tc>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18"/>
                <w:szCs w:val="18"/>
                <w:u w:val="none"/>
              </w:rPr>
            </w:pPr>
          </w:p>
        </w:tc>
        <w:tc>
          <w:tcPr>
            <w:tcW w:w="72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665" w:type="dxa"/>
            <w:tcBorders>
              <w:top w:val="single" w:color="000000" w:sz="4" w:space="0"/>
              <w:left w:val="single" w:color="000000" w:sz="4" w:space="0"/>
              <w:bottom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43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078"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160" w:hRule="atLeast"/>
          <w:jc w:val="center"/>
        </w:trPr>
        <w:tc>
          <w:tcPr>
            <w:tcW w:w="94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b/>
                <w:i w:val="0"/>
                <w:color w:val="000000"/>
                <w:sz w:val="18"/>
                <w:szCs w:val="18"/>
                <w:u w:val="none"/>
              </w:rPr>
            </w:pPr>
          </w:p>
        </w:tc>
        <w:tc>
          <w:tcPr>
            <w:tcW w:w="19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 xml:space="preserve">     其他资金</w:t>
            </w:r>
          </w:p>
        </w:tc>
        <w:tc>
          <w:tcPr>
            <w:tcW w:w="131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18"/>
                <w:szCs w:val="18"/>
                <w:u w:val="none"/>
              </w:rPr>
            </w:pPr>
          </w:p>
        </w:tc>
        <w:tc>
          <w:tcPr>
            <w:tcW w:w="50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18"/>
                <w:szCs w:val="18"/>
                <w:u w:val="none"/>
              </w:rPr>
            </w:pPr>
          </w:p>
        </w:tc>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18"/>
                <w:szCs w:val="18"/>
                <w:u w:val="none"/>
              </w:rPr>
            </w:pPr>
          </w:p>
        </w:tc>
        <w:tc>
          <w:tcPr>
            <w:tcW w:w="72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665" w:type="dxa"/>
            <w:tcBorders>
              <w:top w:val="single" w:color="000000" w:sz="4" w:space="0"/>
              <w:left w:val="single" w:color="000000" w:sz="4" w:space="0"/>
              <w:bottom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43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078"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10" w:hRule="atLeast"/>
          <w:jc w:val="center"/>
        </w:trPr>
        <w:tc>
          <w:tcPr>
            <w:tcW w:w="309"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年度</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总体</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目标</w:t>
            </w:r>
          </w:p>
        </w:tc>
        <w:tc>
          <w:tcPr>
            <w:tcW w:w="5635"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预期目标</w:t>
            </w:r>
          </w:p>
        </w:tc>
        <w:tc>
          <w:tcPr>
            <w:tcW w:w="3820" w:type="dxa"/>
            <w:gridSpan w:val="8"/>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64" w:hRule="atLeast"/>
          <w:jc w:val="center"/>
        </w:trPr>
        <w:tc>
          <w:tcPr>
            <w:tcW w:w="3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b/>
                <w:i w:val="0"/>
                <w:color w:val="000000"/>
                <w:sz w:val="18"/>
                <w:szCs w:val="18"/>
                <w:u w:val="none"/>
              </w:rPr>
            </w:pPr>
          </w:p>
        </w:tc>
        <w:tc>
          <w:tcPr>
            <w:tcW w:w="5635" w:type="dxa"/>
            <w:gridSpan w:val="7"/>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厦门市教育局等五部门关于印发《厦门市学生资助资金管理实施办法》的通知（厦教发〔2022〕83号）及厦门市教育局等八部门关于印发《厦门市家庭经济困难学生认定办法》的通知（厦教规【2022】3号）等文件，对义务教育阶段公办校（学校提供午餐）家庭经济困难学生营养餐补助，确保补助工作顺利实施。</w:t>
            </w:r>
          </w:p>
        </w:tc>
        <w:tc>
          <w:tcPr>
            <w:tcW w:w="3820" w:type="dxa"/>
            <w:gridSpan w:val="8"/>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2024年完成春、秋两季关于我区义务教育阶段公办校（学校提供午餐）家庭经济困难学生营养餐补助对象审核及资金下拨。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1560" w:hRule="atLeast"/>
          <w:jc w:val="center"/>
        </w:trPr>
        <w:tc>
          <w:tcPr>
            <w:tcW w:w="3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b/>
                <w:i w:val="0"/>
                <w:color w:val="000000"/>
                <w:sz w:val="18"/>
                <w:szCs w:val="18"/>
                <w:u w:val="none"/>
              </w:rPr>
            </w:pPr>
          </w:p>
        </w:tc>
        <w:tc>
          <w:tcPr>
            <w:tcW w:w="5635" w:type="dxa"/>
            <w:gridSpan w:val="7"/>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3820" w:type="dxa"/>
            <w:gridSpan w:val="8"/>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673" w:hRule="atLeast"/>
          <w:jc w:val="center"/>
        </w:trPr>
        <w:tc>
          <w:tcPr>
            <w:tcW w:w="30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18"/>
                <w:szCs w:val="18"/>
                <w:u w:val="none"/>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19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131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50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指标类型</w:t>
            </w:r>
          </w:p>
        </w:tc>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绩效目标值</w:t>
            </w:r>
          </w:p>
        </w:tc>
        <w:tc>
          <w:tcPr>
            <w:tcW w:w="92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实际完成值</w:t>
            </w:r>
          </w:p>
        </w:tc>
        <w:tc>
          <w:tcPr>
            <w:tcW w:w="72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完成比例</w:t>
            </w:r>
          </w:p>
        </w:tc>
        <w:tc>
          <w:tcPr>
            <w:tcW w:w="666" w:type="dxa"/>
            <w:gridSpan w:val="2"/>
            <w:tcBorders>
              <w:top w:val="single" w:color="000000" w:sz="4" w:space="0"/>
              <w:left w:val="single" w:color="000000" w:sz="4" w:space="0"/>
              <w:bottom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设置分值</w:t>
            </w:r>
          </w:p>
        </w:tc>
        <w:tc>
          <w:tcPr>
            <w:tcW w:w="43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得分</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存在问题及原因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45" w:hRule="atLeast"/>
          <w:jc w:val="center"/>
        </w:trPr>
        <w:tc>
          <w:tcPr>
            <w:tcW w:w="309"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绩</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效</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指</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标</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完</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成</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情</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况</w:t>
            </w:r>
          </w:p>
        </w:tc>
        <w:tc>
          <w:tcPr>
            <w:tcW w:w="63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产出指标</w:t>
            </w:r>
          </w:p>
        </w:tc>
        <w:tc>
          <w:tcPr>
            <w:tcW w:w="19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131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审核义务教育阶段受助学生</w:t>
            </w:r>
          </w:p>
        </w:tc>
        <w:tc>
          <w:tcPr>
            <w:tcW w:w="50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定量</w:t>
            </w:r>
          </w:p>
        </w:tc>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大于等于33人</w:t>
            </w:r>
          </w:p>
        </w:tc>
        <w:tc>
          <w:tcPr>
            <w:tcW w:w="92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33人</w:t>
            </w:r>
          </w:p>
        </w:tc>
        <w:tc>
          <w:tcPr>
            <w:tcW w:w="72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6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43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45" w:hRule="atLeast"/>
          <w:jc w:val="center"/>
        </w:trPr>
        <w:tc>
          <w:tcPr>
            <w:tcW w:w="3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b/>
                <w:i w:val="0"/>
                <w:color w:val="000000"/>
                <w:sz w:val="18"/>
                <w:szCs w:val="18"/>
                <w:u w:val="none"/>
              </w:rPr>
            </w:pPr>
          </w:p>
        </w:tc>
        <w:tc>
          <w:tcPr>
            <w:tcW w:w="6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b/>
                <w:i w:val="0"/>
                <w:color w:val="000000"/>
                <w:sz w:val="18"/>
                <w:szCs w:val="18"/>
                <w:u w:val="none"/>
              </w:rPr>
            </w:pPr>
          </w:p>
        </w:tc>
        <w:tc>
          <w:tcPr>
            <w:tcW w:w="19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131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全年营养餐补助学生</w:t>
            </w:r>
          </w:p>
        </w:tc>
        <w:tc>
          <w:tcPr>
            <w:tcW w:w="50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定量</w:t>
            </w:r>
          </w:p>
        </w:tc>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大于等于32人</w:t>
            </w:r>
          </w:p>
        </w:tc>
        <w:tc>
          <w:tcPr>
            <w:tcW w:w="92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32人</w:t>
            </w:r>
          </w:p>
        </w:tc>
        <w:tc>
          <w:tcPr>
            <w:tcW w:w="72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6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43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45" w:hRule="atLeast"/>
          <w:jc w:val="center"/>
        </w:trPr>
        <w:tc>
          <w:tcPr>
            <w:tcW w:w="3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b/>
                <w:i w:val="0"/>
                <w:color w:val="000000"/>
                <w:sz w:val="18"/>
                <w:szCs w:val="18"/>
                <w:u w:val="none"/>
              </w:rPr>
            </w:pPr>
          </w:p>
        </w:tc>
        <w:tc>
          <w:tcPr>
            <w:tcW w:w="6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b/>
                <w:i w:val="0"/>
                <w:color w:val="000000"/>
                <w:sz w:val="18"/>
                <w:szCs w:val="18"/>
                <w:u w:val="none"/>
              </w:rPr>
            </w:pPr>
          </w:p>
        </w:tc>
        <w:tc>
          <w:tcPr>
            <w:tcW w:w="19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131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营养餐发放标准</w:t>
            </w:r>
          </w:p>
        </w:tc>
        <w:tc>
          <w:tcPr>
            <w:tcW w:w="50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定量</w:t>
            </w:r>
          </w:p>
        </w:tc>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6元/餐</w:t>
            </w:r>
          </w:p>
        </w:tc>
        <w:tc>
          <w:tcPr>
            <w:tcW w:w="92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6元/餐</w:t>
            </w:r>
          </w:p>
        </w:tc>
        <w:tc>
          <w:tcPr>
            <w:tcW w:w="72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6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43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613" w:hRule="atLeast"/>
          <w:jc w:val="center"/>
        </w:trPr>
        <w:tc>
          <w:tcPr>
            <w:tcW w:w="3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b/>
                <w:i w:val="0"/>
                <w:color w:val="000000"/>
                <w:sz w:val="18"/>
                <w:szCs w:val="18"/>
                <w:u w:val="none"/>
              </w:rPr>
            </w:pPr>
          </w:p>
        </w:tc>
        <w:tc>
          <w:tcPr>
            <w:tcW w:w="6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b/>
                <w:i w:val="0"/>
                <w:color w:val="000000"/>
                <w:sz w:val="18"/>
                <w:szCs w:val="18"/>
                <w:u w:val="none"/>
              </w:rPr>
            </w:pPr>
          </w:p>
        </w:tc>
        <w:tc>
          <w:tcPr>
            <w:tcW w:w="19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131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义务教育困难生资助资金下拨及时率</w:t>
            </w:r>
          </w:p>
        </w:tc>
        <w:tc>
          <w:tcPr>
            <w:tcW w:w="50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定量</w:t>
            </w:r>
          </w:p>
        </w:tc>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92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72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6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43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613" w:hRule="atLeast"/>
          <w:jc w:val="center"/>
        </w:trPr>
        <w:tc>
          <w:tcPr>
            <w:tcW w:w="3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b/>
                <w:i w:val="0"/>
                <w:color w:val="000000"/>
                <w:sz w:val="18"/>
                <w:szCs w:val="18"/>
                <w:u w:val="none"/>
              </w:rPr>
            </w:pPr>
          </w:p>
        </w:tc>
        <w:tc>
          <w:tcPr>
            <w:tcW w:w="631" w:type="dxa"/>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效益指标</w:t>
            </w:r>
          </w:p>
        </w:tc>
        <w:tc>
          <w:tcPr>
            <w:tcW w:w="19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131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改善受助学生学习生活质量</w:t>
            </w:r>
          </w:p>
        </w:tc>
        <w:tc>
          <w:tcPr>
            <w:tcW w:w="50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有所改善</w:t>
            </w:r>
          </w:p>
        </w:tc>
        <w:tc>
          <w:tcPr>
            <w:tcW w:w="92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有所改善</w:t>
            </w:r>
          </w:p>
        </w:tc>
        <w:tc>
          <w:tcPr>
            <w:tcW w:w="72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6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c>
          <w:tcPr>
            <w:tcW w:w="43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613" w:hRule="atLeast"/>
          <w:jc w:val="center"/>
        </w:trPr>
        <w:tc>
          <w:tcPr>
            <w:tcW w:w="3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b/>
                <w:i w:val="0"/>
                <w:color w:val="000000"/>
                <w:sz w:val="18"/>
                <w:szCs w:val="18"/>
                <w:u w:val="none"/>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指标</w:t>
            </w:r>
          </w:p>
        </w:tc>
        <w:tc>
          <w:tcPr>
            <w:tcW w:w="19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服务对象满意度指标</w:t>
            </w:r>
          </w:p>
        </w:tc>
        <w:tc>
          <w:tcPr>
            <w:tcW w:w="131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受资助对象满意度</w:t>
            </w:r>
          </w:p>
        </w:tc>
        <w:tc>
          <w:tcPr>
            <w:tcW w:w="50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定量</w:t>
            </w:r>
          </w:p>
        </w:tc>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大于等于90%</w:t>
            </w:r>
          </w:p>
        </w:tc>
        <w:tc>
          <w:tcPr>
            <w:tcW w:w="92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98%</w:t>
            </w:r>
          </w:p>
        </w:tc>
        <w:tc>
          <w:tcPr>
            <w:tcW w:w="72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6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43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540" w:hRule="atLeast"/>
          <w:jc w:val="center"/>
        </w:trPr>
        <w:tc>
          <w:tcPr>
            <w:tcW w:w="7587" w:type="dxa"/>
            <w:gridSpan w:val="11"/>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总分</w:t>
            </w:r>
          </w:p>
        </w:tc>
        <w:tc>
          <w:tcPr>
            <w:tcW w:w="6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100</w:t>
            </w:r>
          </w:p>
        </w:tc>
        <w:tc>
          <w:tcPr>
            <w:tcW w:w="43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97</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1513" w:hRule="atLeast"/>
          <w:jc w:val="center"/>
        </w:trPr>
        <w:tc>
          <w:tcPr>
            <w:tcW w:w="9764" w:type="dxa"/>
            <w:gridSpan w:val="1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填表说明：1.年度总体目标和绩效指标中的“具体指标”“年度指标值”按照部门预算批复的绩效目标填写，必须有量化指标。</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 xml:space="preserve">         2.设置分值原则：预算执行率和一级指标权重统一设置为：预算执行率10%、产出指标50%、效益指标30%、服务对象满意度指标10%。如有特殊情况，一级指标权重可做适当调整。二、三级指标应当根据指标重要程度等因素综合确定，准确反映项目的产出和效益。</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 xml:space="preserve">         3.存在问题及原因主要针对进度是否滞后，管理制度是否健全，是否违反财务管理制度，绩效目标完成情况是否明显偏离，以及其他资金使用及管理方面的问题进行阐述，并分析产生问题的原因。</w:t>
            </w:r>
          </w:p>
        </w:tc>
      </w:tr>
      <w:bookmarkEnd w:id="4"/>
    </w:tbl>
    <w:p>
      <w:pPr>
        <w:keepNext w:val="0"/>
        <w:keepLines w:val="0"/>
        <w:pageBreakBefore w:val="0"/>
        <w:widowControl w:val="0"/>
        <w:tabs>
          <w:tab w:val="left" w:pos="8415"/>
        </w:tabs>
        <w:kinsoku/>
        <w:wordWrap/>
        <w:overflowPunct/>
        <w:topLinePunct w:val="0"/>
        <w:autoSpaceDE/>
        <w:autoSpaceDN/>
        <w:bidi w:val="0"/>
        <w:adjustRightInd/>
        <w:snapToGrid/>
        <w:textAlignment w:val="auto"/>
      </w:pPr>
    </w:p>
    <w:sectPr>
      <w:footerReference r:id="rId5" w:type="default"/>
      <w:pgSz w:w="11906" w:h="16838"/>
      <w:pgMar w:top="1984" w:right="1083" w:bottom="1984" w:left="1083" w:header="0" w:footer="720" w:gutter="0"/>
      <w:cols w:space="0" w:num="1"/>
      <w:rtlGutter w:val="0"/>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1</w:t>
    </w:r>
    <w:r>
      <w:rPr>
        <w:rFonts w:ascii="宋体" w:hAnsi="宋体" w:eastAsia="宋体" w:cs="宋体"/>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3</w:t>
    </w:r>
    <w:r>
      <w:rPr>
        <w:rFonts w:ascii="宋体" w:hAnsi="宋体" w:eastAsia="宋体" w:cs="宋体"/>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43</w:t>
    </w:r>
    <w:r>
      <w:rPr>
        <w:rFonts w:ascii="宋体" w:hAnsi="宋体" w:eastAsia="宋体" w:cs="宋体"/>
        <w:sz w:val="18"/>
      </w:rP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014B27A4"/>
    <w:rsid w:val="054A481E"/>
    <w:rsid w:val="064C0F32"/>
    <w:rsid w:val="06BB0AA6"/>
    <w:rsid w:val="09AF3512"/>
    <w:rsid w:val="0AE70D7E"/>
    <w:rsid w:val="0B891FF6"/>
    <w:rsid w:val="10597B36"/>
    <w:rsid w:val="1AF76B1D"/>
    <w:rsid w:val="1DAE5C7E"/>
    <w:rsid w:val="21A4414D"/>
    <w:rsid w:val="28DD0542"/>
    <w:rsid w:val="298118E6"/>
    <w:rsid w:val="2A472B00"/>
    <w:rsid w:val="2AE6260C"/>
    <w:rsid w:val="2DC8270F"/>
    <w:rsid w:val="325D5F3F"/>
    <w:rsid w:val="344B4D50"/>
    <w:rsid w:val="35D9746B"/>
    <w:rsid w:val="398C1975"/>
    <w:rsid w:val="407F150D"/>
    <w:rsid w:val="45EE1B60"/>
    <w:rsid w:val="4C217A29"/>
    <w:rsid w:val="4F8B3B47"/>
    <w:rsid w:val="567076A8"/>
    <w:rsid w:val="59B22D99"/>
    <w:rsid w:val="5A3025A5"/>
    <w:rsid w:val="5B200381"/>
    <w:rsid w:val="5B834B81"/>
    <w:rsid w:val="5D7949D7"/>
    <w:rsid w:val="644F6D37"/>
    <w:rsid w:val="6E460D88"/>
    <w:rsid w:val="6EC723C5"/>
    <w:rsid w:val="6F910B01"/>
    <w:rsid w:val="703B5315"/>
    <w:rsid w:val="70462DC1"/>
    <w:rsid w:val="70D90B5C"/>
    <w:rsid w:val="7394758D"/>
    <w:rsid w:val="78A97F16"/>
    <w:rsid w:val="78DF525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rFonts w:eastAsia="仿宋"/>
      <w:bCs/>
      <w:kern w:val="44"/>
      <w:sz w:val="32"/>
      <w:szCs w:val="44"/>
    </w:rPr>
  </w:style>
  <w:style w:type="paragraph" w:styleId="4">
    <w:name w:val="heading 2"/>
    <w:basedOn w:val="5"/>
    <w:next w:val="5"/>
    <w:qFormat/>
    <w:uiPriority w:val="0"/>
    <w:pPr>
      <w:keepNext/>
      <w:keepLines/>
      <w:spacing w:before="260" w:after="260" w:line="416" w:lineRule="auto"/>
      <w:outlineLvl w:val="1"/>
    </w:pPr>
    <w:rPr>
      <w:rFonts w:ascii="Arial" w:hAnsi="Arial" w:eastAsia="仿宋"/>
      <w:bCs/>
      <w:sz w:val="32"/>
      <w:szCs w:val="32"/>
    </w:rPr>
  </w:style>
  <w:style w:type="paragraph" w:styleId="6">
    <w:name w:val="heading 3"/>
    <w:basedOn w:val="5"/>
    <w:next w:val="5"/>
    <w:link w:val="30"/>
    <w:qFormat/>
    <w:uiPriority w:val="0"/>
    <w:pPr>
      <w:keepNext/>
      <w:keepLines/>
      <w:spacing w:before="260" w:after="260" w:line="416" w:lineRule="auto"/>
      <w:outlineLvl w:val="2"/>
    </w:pPr>
    <w:rPr>
      <w:rFonts w:eastAsia="仿宋"/>
      <w:bCs/>
      <w:sz w:val="32"/>
      <w:szCs w:val="32"/>
    </w:rPr>
  </w:style>
  <w:style w:type="paragraph" w:styleId="7">
    <w:name w:val="heading 4"/>
    <w:basedOn w:val="5"/>
    <w:next w:val="5"/>
    <w:link w:val="26"/>
    <w:qFormat/>
    <w:uiPriority w:val="0"/>
    <w:pPr>
      <w:keepNext/>
      <w:keepLines/>
      <w:spacing w:before="280" w:after="290" w:line="376" w:lineRule="auto"/>
      <w:outlineLvl w:val="3"/>
    </w:pPr>
    <w:rPr>
      <w:rFonts w:ascii="Cambria" w:hAnsi="Cambria" w:eastAsia="仿宋"/>
      <w:bCs/>
      <w:sz w:val="32"/>
      <w:szCs w:val="28"/>
    </w:rPr>
  </w:style>
  <w:style w:type="character" w:default="1" w:styleId="22">
    <w:name w:val="Default Paragraph Font"/>
    <w:semiHidden/>
    <w:unhideWhenUsed/>
    <w:qFormat/>
    <w:uiPriority w:val="1"/>
  </w:style>
  <w:style w:type="table" w:default="1" w:styleId="25">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1.正文"/>
    <w:basedOn w:val="1"/>
    <w:qFormat/>
    <w:uiPriority w:val="0"/>
    <w:pPr>
      <w:spacing w:before="0" w:beforeAutospacing="0" w:after="0" w:afterAutospacing="0"/>
      <w:ind w:left="0" w:right="0"/>
      <w:jc w:val="left"/>
    </w:pPr>
    <w:rPr>
      <w:rFonts w:hint="eastAsia" w:ascii="宋体" w:hAnsi="Times New Roman" w:eastAsia="宋体" w:cs="宋体"/>
      <w:kern w:val="0"/>
      <w:sz w:val="24"/>
      <w:szCs w:val="24"/>
      <w:lang w:val="en-US" w:eastAsia="zh-CN" w:bidi="ar"/>
    </w:rPr>
  </w:style>
  <w:style w:type="paragraph" w:styleId="5">
    <w:name w:val="No Spacing"/>
    <w:link w:val="27"/>
    <w:qFormat/>
    <w:uiPriority w:val="0"/>
    <w:pPr>
      <w:ind w:firstLine="200" w:firstLineChars="200"/>
    </w:pPr>
    <w:rPr>
      <w:rFonts w:ascii="Times New Roman" w:hAnsi="Times New Roman" w:eastAsia="仿宋_GB2312" w:cs="Times New Roman"/>
      <w:sz w:val="30"/>
      <w:szCs w:val="22"/>
      <w:lang w:val="en-US" w:eastAsia="zh-CN" w:bidi="ar-SA"/>
    </w:rPr>
  </w:style>
  <w:style w:type="paragraph" w:styleId="8">
    <w:name w:val="toc 7"/>
    <w:basedOn w:val="1"/>
    <w:next w:val="1"/>
    <w:qFormat/>
    <w:uiPriority w:val="0"/>
    <w:pPr>
      <w:ind w:left="1260"/>
      <w:jc w:val="left"/>
    </w:pPr>
    <w:rPr>
      <w:sz w:val="20"/>
      <w:szCs w:val="20"/>
    </w:rPr>
  </w:style>
  <w:style w:type="paragraph" w:styleId="9">
    <w:name w:val="Body Text First Indent"/>
    <w:basedOn w:val="10"/>
    <w:qFormat/>
    <w:uiPriority w:val="0"/>
    <w:pPr>
      <w:spacing w:before="0" w:beforeAutospacing="0" w:after="120" w:afterAutospacing="0"/>
      <w:ind w:left="0" w:right="0" w:firstLine="420" w:firstLineChars="100"/>
      <w:jc w:val="left"/>
    </w:pPr>
    <w:rPr>
      <w:rFonts w:hint="default" w:ascii="Calibri" w:hAnsi="Calibri" w:eastAsia="宋体" w:cs="宋体"/>
      <w:kern w:val="0"/>
      <w:sz w:val="20"/>
      <w:szCs w:val="20"/>
      <w:lang w:val="en-US" w:eastAsia="zh-CN" w:bidi="ar"/>
    </w:rPr>
  </w:style>
  <w:style w:type="paragraph" w:styleId="10">
    <w:name w:val="Body Text"/>
    <w:basedOn w:val="1"/>
    <w:qFormat/>
    <w:uiPriority w:val="0"/>
    <w:pPr>
      <w:spacing w:before="0" w:beforeAutospacing="0" w:after="120" w:afterAutospacing="0"/>
      <w:ind w:left="0" w:right="0"/>
      <w:jc w:val="left"/>
    </w:pPr>
    <w:rPr>
      <w:rFonts w:hint="eastAsia" w:ascii="宋体" w:hAnsi="宋体" w:eastAsia="宋体" w:cs="宋体"/>
      <w:kern w:val="0"/>
      <w:sz w:val="24"/>
      <w:szCs w:val="24"/>
      <w:lang w:val="en-US" w:eastAsia="zh-CN" w:bidi="ar"/>
    </w:rPr>
  </w:style>
  <w:style w:type="paragraph" w:styleId="11">
    <w:name w:val="Document Map"/>
    <w:basedOn w:val="1"/>
    <w:qFormat/>
    <w:uiPriority w:val="0"/>
    <w:pPr>
      <w:shd w:val="clear" w:color="auto" w:fill="000080"/>
    </w:pPr>
  </w:style>
  <w:style w:type="paragraph" w:styleId="12">
    <w:name w:val="toc 5"/>
    <w:basedOn w:val="1"/>
    <w:next w:val="1"/>
    <w:qFormat/>
    <w:uiPriority w:val="0"/>
    <w:pPr>
      <w:ind w:left="840"/>
      <w:jc w:val="left"/>
    </w:pPr>
    <w:rPr>
      <w:sz w:val="20"/>
      <w:szCs w:val="20"/>
    </w:rPr>
  </w:style>
  <w:style w:type="paragraph" w:styleId="13">
    <w:name w:val="toc 3"/>
    <w:next w:val="6"/>
    <w:qFormat/>
    <w:uiPriority w:val="0"/>
    <w:pPr>
      <w:adjustRightInd w:val="0"/>
      <w:snapToGrid w:val="0"/>
      <w:spacing w:line="360" w:lineRule="auto"/>
      <w:ind w:firstLine="400" w:firstLineChars="400"/>
      <w:jc w:val="left"/>
    </w:pPr>
    <w:rPr>
      <w:rFonts w:ascii="Times New Roman" w:hAnsi="Times New Roman" w:eastAsia="仿宋" w:cs="Times New Roman"/>
      <w:sz w:val="32"/>
      <w:szCs w:val="20"/>
      <w:lang w:val="en-US" w:eastAsia="en-US" w:bidi="ar-SA"/>
    </w:rPr>
  </w:style>
  <w:style w:type="paragraph" w:styleId="14">
    <w:name w:val="toc 8"/>
    <w:basedOn w:val="1"/>
    <w:next w:val="1"/>
    <w:qFormat/>
    <w:uiPriority w:val="0"/>
    <w:pPr>
      <w:ind w:left="1470"/>
      <w:jc w:val="left"/>
    </w:pPr>
    <w:rPr>
      <w:sz w:val="20"/>
      <w:szCs w:val="20"/>
    </w:rPr>
  </w:style>
  <w:style w:type="paragraph" w:styleId="15">
    <w:name w:val="footer"/>
    <w:basedOn w:val="1"/>
    <w:link w:val="28"/>
    <w:qFormat/>
    <w:uiPriority w:val="0"/>
    <w:pPr>
      <w:tabs>
        <w:tab w:val="center" w:pos="4153"/>
        <w:tab w:val="right" w:pos="8306"/>
      </w:tabs>
      <w:snapToGrid w:val="0"/>
      <w:jc w:val="left"/>
    </w:pPr>
    <w:rPr>
      <w:sz w:val="18"/>
      <w:szCs w:val="18"/>
    </w:rPr>
  </w:style>
  <w:style w:type="paragraph" w:styleId="1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7">
    <w:name w:val="toc 1"/>
    <w:next w:val="5"/>
    <w:qFormat/>
    <w:uiPriority w:val="0"/>
    <w:pPr>
      <w:adjustRightInd w:val="0"/>
      <w:snapToGrid w:val="0"/>
      <w:spacing w:line="360" w:lineRule="auto"/>
      <w:jc w:val="left"/>
    </w:pPr>
    <w:rPr>
      <w:rFonts w:ascii="Times New Roman" w:hAnsi="Times New Roman" w:eastAsia="仿宋" w:cs="Times New Roman"/>
      <w:bCs/>
      <w:sz w:val="32"/>
      <w:szCs w:val="20"/>
      <w:lang w:val="en-US" w:eastAsia="en-US" w:bidi="ar-SA"/>
    </w:rPr>
  </w:style>
  <w:style w:type="paragraph" w:styleId="18">
    <w:name w:val="toc 4"/>
    <w:basedOn w:val="1"/>
    <w:next w:val="1"/>
    <w:qFormat/>
    <w:uiPriority w:val="0"/>
    <w:pPr>
      <w:ind w:left="630"/>
      <w:jc w:val="left"/>
    </w:pPr>
    <w:rPr>
      <w:sz w:val="20"/>
      <w:szCs w:val="20"/>
    </w:rPr>
  </w:style>
  <w:style w:type="paragraph" w:styleId="19">
    <w:name w:val="toc 6"/>
    <w:basedOn w:val="1"/>
    <w:next w:val="1"/>
    <w:qFormat/>
    <w:uiPriority w:val="0"/>
    <w:pPr>
      <w:ind w:left="1050"/>
      <w:jc w:val="left"/>
    </w:pPr>
    <w:rPr>
      <w:sz w:val="20"/>
      <w:szCs w:val="20"/>
    </w:rPr>
  </w:style>
  <w:style w:type="paragraph" w:styleId="20">
    <w:name w:val="toc 2"/>
    <w:next w:val="5"/>
    <w:qFormat/>
    <w:uiPriority w:val="0"/>
    <w:pPr>
      <w:adjustRightInd w:val="0"/>
      <w:snapToGrid w:val="0"/>
      <w:spacing w:line="360" w:lineRule="auto"/>
      <w:ind w:firstLine="200" w:firstLineChars="200"/>
      <w:jc w:val="left"/>
    </w:pPr>
    <w:rPr>
      <w:rFonts w:ascii="Times New Roman" w:hAnsi="Times New Roman" w:eastAsia="仿宋" w:cs="Times New Roman"/>
      <w:iCs/>
      <w:sz w:val="32"/>
      <w:szCs w:val="20"/>
      <w:lang w:val="en-US" w:eastAsia="en-US" w:bidi="ar-SA"/>
    </w:rPr>
  </w:style>
  <w:style w:type="paragraph" w:styleId="21">
    <w:name w:val="toc 9"/>
    <w:basedOn w:val="1"/>
    <w:next w:val="1"/>
    <w:qFormat/>
    <w:uiPriority w:val="0"/>
    <w:pPr>
      <w:ind w:left="1680"/>
      <w:jc w:val="left"/>
    </w:pPr>
    <w:rPr>
      <w:sz w:val="20"/>
      <w:szCs w:val="20"/>
    </w:rPr>
  </w:style>
  <w:style w:type="character" w:styleId="23">
    <w:name w:val="page number"/>
    <w:basedOn w:val="22"/>
    <w:qFormat/>
    <w:uiPriority w:val="0"/>
  </w:style>
  <w:style w:type="character" w:styleId="24">
    <w:name w:val="Hyperlink"/>
    <w:qFormat/>
    <w:uiPriority w:val="0"/>
    <w:rPr>
      <w:rFonts w:ascii="宋体" w:hAnsi="宋体" w:eastAsia="仿宋" w:cs="Times New Roman"/>
      <w:kern w:val="2"/>
      <w:sz w:val="32"/>
      <w:szCs w:val="32"/>
      <w:lang w:val="en-US" w:eastAsia="zh-CN" w:bidi="ar-SA"/>
    </w:rPr>
  </w:style>
  <w:style w:type="character" w:customStyle="1" w:styleId="26">
    <w:name w:val="标题 4 字符"/>
    <w:basedOn w:val="22"/>
    <w:link w:val="7"/>
    <w:qFormat/>
    <w:uiPriority w:val="0"/>
    <w:rPr>
      <w:rFonts w:ascii="Cambria" w:hAnsi="Cambria" w:eastAsia="仿宋"/>
      <w:bCs/>
      <w:kern w:val="2"/>
      <w:sz w:val="32"/>
      <w:szCs w:val="28"/>
    </w:rPr>
  </w:style>
  <w:style w:type="character" w:customStyle="1" w:styleId="27">
    <w:name w:val="无间隔 字符"/>
    <w:link w:val="5"/>
    <w:qFormat/>
    <w:locked/>
    <w:uiPriority w:val="0"/>
    <w:rPr>
      <w:rFonts w:eastAsia="仿宋_GB2312"/>
      <w:sz w:val="30"/>
      <w:szCs w:val="22"/>
      <w:lang w:bidi="ar-SA"/>
    </w:rPr>
  </w:style>
  <w:style w:type="character" w:customStyle="1" w:styleId="28">
    <w:name w:val="页脚 字符"/>
    <w:basedOn w:val="22"/>
    <w:link w:val="15"/>
    <w:qFormat/>
    <w:uiPriority w:val="0"/>
    <w:rPr>
      <w:kern w:val="2"/>
      <w:sz w:val="18"/>
      <w:szCs w:val="18"/>
    </w:rPr>
  </w:style>
  <w:style w:type="paragraph" w:styleId="29">
    <w:name w:val="List Paragraph"/>
    <w:basedOn w:val="1"/>
    <w:qFormat/>
    <w:uiPriority w:val="0"/>
    <w:pPr>
      <w:ind w:firstLine="420" w:firstLineChars="200"/>
    </w:pPr>
  </w:style>
  <w:style w:type="character" w:customStyle="1" w:styleId="30">
    <w:name w:val="标题 3 字符"/>
    <w:basedOn w:val="22"/>
    <w:link w:val="6"/>
    <w:qFormat/>
    <w:uiPriority w:val="0"/>
    <w:rPr>
      <w:rFonts w:eastAsia="仿宋"/>
      <w:bCs/>
      <w:kern w:val="2"/>
      <w:sz w:val="32"/>
      <w:szCs w:val="32"/>
    </w:rPr>
  </w:style>
  <w:style w:type="paragraph" w:customStyle="1" w:styleId="31">
    <w:name w:val="MsoNormal"/>
    <w:basedOn w:val="1"/>
    <w:qFormat/>
    <w:uiPriority w:val="0"/>
  </w:style>
  <w:style w:type="paragraph" w:customStyle="1" w:styleId="32">
    <w:name w:val="p"/>
    <w:basedOn w:val="1"/>
    <w:qFormat/>
    <w:uiPriority w:val="0"/>
  </w:style>
  <w:style w:type="character" w:customStyle="1" w:styleId="33">
    <w:name w:val="15"/>
    <w:basedOn w:val="22"/>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r="http://schemas.openxmlformats.org/officeDocument/2006/relationships" xmlns:w="http://schemas.openxmlformats.org/wordprocessingml/2006/main"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7559B6-2DC7-41B5-818F-6E7F243775C0}">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24</Pages>
  <Words>9100</Words>
  <Characters>11461</Characters>
  <Lines>1</Lines>
  <Paragraphs>1</Paragraphs>
  <TotalTime>0</TotalTime>
  <ScaleCrop>false</ScaleCrop>
  <LinksUpToDate>false</LinksUpToDate>
  <CharactersWithSpaces>12448</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2022-03-23T12:40:00Z</dcterms:created>
  <dc:creator>Administrator</dc:creator>
  <cp:lastModifiedBy>Administrator</cp:lastModifiedBy>
  <cp:lastPrinted>2021-04-16T00:45:00Z</cp:lastPrinted>
  <dcterms:modified xsi:type="dcterms:W3CDTF">2025-09-16T05:15:39Z</dcterms:modified>
  <dc:title>××年度××部门/单位</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51EA75710E61423394694D1476351CDD_13</vt:lpwstr>
  </property>
  <property fmtid="{D5CDD505-2E9C-101B-9397-08002B2CF9AE}" pid="3" name="KSOProductBuildVer">
    <vt:lpwstr>2052-11.8.2.8053</vt:lpwstr>
  </property>
  <property fmtid="{D5CDD505-2E9C-101B-9397-08002B2CF9AE}" pid="4" name="KSOTemplateDocerSaveRecord">
    <vt:lpwstr>eyJoZGlkIjoiNTRiYTljYmYzYTcyY2JkNjA1Zjk2MTU2YmI1YzFmZmYifQ==</vt:lpwstr>
  </property>
</Properties>
</file>