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olor w:val="auto"/>
          <w:sz w:val="24"/>
        </w:rPr>
      </w:pPr>
    </w:p>
    <w:p>
      <w:pPr>
        <w:spacing w:line="360" w:lineRule="auto"/>
        <w:jc w:val="center"/>
        <w:rPr>
          <w:rFonts w:ascii="宋体" w:hAnsi="宋体"/>
          <w:color w:val="auto"/>
          <w:sz w:val="24"/>
        </w:rPr>
      </w:pPr>
    </w:p>
    <w:p>
      <w:pPr>
        <w:spacing w:line="360" w:lineRule="auto"/>
        <w:jc w:val="center"/>
        <w:rPr>
          <w:rFonts w:ascii="宋体" w:hAnsi="宋体"/>
          <w:color w:val="auto"/>
          <w:sz w:val="24"/>
        </w:rPr>
      </w:pPr>
    </w:p>
    <w:p>
      <w:pPr>
        <w:spacing w:line="360" w:lineRule="auto"/>
        <w:jc w:val="center"/>
        <w:rPr>
          <w:rFonts w:ascii="宋体" w:hAnsi="宋体"/>
          <w:color w:val="auto"/>
          <w:sz w:val="24"/>
        </w:rPr>
      </w:pPr>
    </w:p>
    <w:p>
      <w:pPr>
        <w:widowControl/>
        <w:jc w:val="center"/>
        <w:rPr>
          <w:color w:val="auto"/>
          <w:sz w:val="32"/>
          <w:szCs w:val="32"/>
          <w:highlight w:val="none"/>
        </w:rPr>
      </w:pPr>
    </w:p>
    <w:p>
      <w:pPr>
        <w:widowControl/>
        <w:jc w:val="both"/>
        <w:rPr>
          <w:color w:val="auto"/>
          <w:sz w:val="84"/>
          <w:szCs w:val="84"/>
          <w:highlight w:val="none"/>
        </w:rPr>
      </w:pPr>
    </w:p>
    <w:p>
      <w:pPr>
        <w:widowControl/>
        <w:jc w:val="center"/>
        <w:rPr>
          <w:rFonts w:hint="eastAsia" w:ascii="方正小标宋简体" w:eastAsia="方正小标宋简体"/>
          <w:b/>
          <w:bCs/>
          <w:color w:val="auto"/>
          <w:sz w:val="48"/>
          <w:szCs w:val="48"/>
          <w:highlight w:val="none"/>
        </w:rPr>
      </w:pPr>
      <w:r>
        <w:rPr>
          <w:rFonts w:hint="eastAsia" w:ascii="方正小标宋简体" w:eastAsia="方正小标宋简体"/>
          <w:b/>
          <w:bCs/>
          <w:color w:val="auto"/>
          <w:sz w:val="48"/>
          <w:szCs w:val="48"/>
          <w:highlight w:val="none"/>
          <w:lang w:val="en-US" w:eastAsia="zh-CN"/>
        </w:rPr>
        <w:t>2024</w:t>
      </w:r>
      <w:r>
        <w:rPr>
          <w:rFonts w:hint="eastAsia" w:ascii="方正小标宋简体" w:eastAsia="方正小标宋简体"/>
          <w:b/>
          <w:bCs/>
          <w:color w:val="auto"/>
          <w:sz w:val="48"/>
          <w:szCs w:val="48"/>
          <w:highlight w:val="none"/>
        </w:rPr>
        <w:t>年度</w:t>
      </w:r>
    </w:p>
    <w:p>
      <w:pPr>
        <w:widowControl/>
        <w:jc w:val="center"/>
        <w:rPr>
          <w:rFonts w:hint="eastAsia" w:ascii="方正小标宋简体" w:eastAsia="方正小标宋简体"/>
          <w:b/>
          <w:bCs/>
          <w:color w:val="auto"/>
          <w:sz w:val="48"/>
          <w:szCs w:val="48"/>
          <w:highlight w:val="none"/>
          <w:lang w:val="en-US" w:eastAsia="zh-CN"/>
        </w:rPr>
        <w:sectPr>
          <w:footerReference r:id="rId3" w:type="default"/>
          <w:pgSz w:w="11906" w:h="16838"/>
          <w:pgMar w:top="1440" w:right="1689" w:bottom="1440" w:left="1689"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color w:val="auto"/>
          <w:sz w:val="48"/>
          <w:szCs w:val="48"/>
          <w:highlight w:val="none"/>
        </w:rPr>
        <w:t>厦门市尚文实验学校</w:t>
      </w:r>
      <w:r>
        <w:rPr>
          <w:rFonts w:hint="eastAsia" w:ascii="方正小标宋简体" w:eastAsia="方正小标宋简体"/>
          <w:b/>
          <w:bCs/>
          <w:color w:val="auto"/>
          <w:sz w:val="48"/>
          <w:szCs w:val="48"/>
          <w:highlight w:val="none"/>
          <w:lang w:val="en-US" w:eastAsia="zh-CN"/>
        </w:rPr>
        <w:t>单位</w:t>
      </w:r>
      <w:r>
        <w:rPr>
          <w:rFonts w:hint="eastAsia" w:ascii="方正小标宋简体" w:eastAsia="方正小标宋简体"/>
          <w:b/>
          <w:bCs/>
          <w:color w:val="auto"/>
          <w:sz w:val="48"/>
          <w:szCs w:val="48"/>
          <w:highlight w:val="none"/>
        </w:rPr>
        <w:t>决算</w:t>
      </w:r>
    </w:p>
    <w:sdt>
      <w:sdtPr>
        <w:rPr>
          <w:rFonts w:hint="eastAsia" w:ascii="仿宋" w:hAnsi="仿宋" w:eastAsia="仿宋" w:cs="仿宋"/>
          <w:b/>
          <w:bCs/>
          <w:color w:val="auto"/>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color w:val="auto"/>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color w:val="auto"/>
              <w:kern w:val="0"/>
              <w:sz w:val="32"/>
              <w:szCs w:val="32"/>
            </w:rPr>
          </w:pPr>
          <w:r>
            <w:rPr>
              <w:rFonts w:hint="eastAsia" w:ascii="仿宋" w:hAnsi="仿宋" w:eastAsia="仿宋" w:cs="仿宋"/>
              <w:b/>
              <w:bCs/>
              <w:color w:val="auto"/>
              <w:kern w:val="0"/>
              <w:sz w:val="32"/>
              <w:szCs w:val="32"/>
            </w:rPr>
            <w:t>目录</w:t>
          </w:r>
        </w:p>
        <w:p>
          <w:pPr>
            <w:pStyle w:val="18"/>
            <w:tabs>
              <w:tab w:val="right" w:leader="dot" w:pos="9730"/>
            </w:tabs>
            <w:rPr>
              <w:rFonts w:asciiTheme="minorHAnsi" w:hAnsiTheme="minorHAnsi"/>
              <w:color w:val="auto"/>
              <w:sz w:val="22"/>
            </w:rPr>
          </w:pPr>
          <w:r>
            <w:rPr>
              <w:rFonts w:hint="eastAsia" w:ascii="仿宋" w:hAnsi="仿宋" w:eastAsia="仿宋" w:cs="仿宋"/>
              <w:b w:val="0"/>
              <w:bCs/>
              <w:color w:val="auto"/>
              <w:kern w:val="2"/>
              <w:sz w:val="32"/>
              <w:szCs w:val="32"/>
              <w:lang w:val="en-US" w:eastAsia="zh-CN" w:bidi="ar-SA"/>
            </w:rPr>
            <w:fldChar w:fldCharType="begin"/>
          </w:r>
          <w:r>
            <w:rPr>
              <w:rFonts w:hint="eastAsia" w:ascii="仿宋" w:hAnsi="仿宋" w:eastAsia="仿宋" w:cs="仿宋"/>
              <w:b w:val="0"/>
              <w:bCs/>
              <w:color w:val="auto"/>
              <w:kern w:val="2"/>
              <w:sz w:val="32"/>
              <w:szCs w:val="32"/>
              <w:lang w:val="en-US" w:eastAsia="zh-CN" w:bidi="ar-SA"/>
            </w:rPr>
            <w:instrText xml:space="preserve">TOC \o "1-3" \h \u </w:instrText>
          </w:r>
          <w:r>
            <w:rPr>
              <w:rFonts w:hint="eastAsia" w:ascii="仿宋" w:hAnsi="仿宋" w:eastAsia="仿宋" w:cs="仿宋"/>
              <w:b w:val="0"/>
              <w:bCs/>
              <w:color w:val="auto"/>
              <w:kern w:val="2"/>
              <w:sz w:val="32"/>
              <w:szCs w:val="32"/>
              <w:lang w:val="en-US" w:eastAsia="zh-CN" w:bidi="ar-SA"/>
            </w:rPr>
            <w:fldChar w:fldCharType="separate"/>
          </w:r>
          <w:r>
            <w:rPr>
              <w:color w:val="auto"/>
            </w:rPr>
            <w:fldChar w:fldCharType="begin"/>
          </w:r>
          <w:r>
            <w:rPr>
              <w:color w:val="auto"/>
            </w:rPr>
            <w:instrText xml:space="preserve"> HYPERLINK \l "_Toc256000093" </w:instrText>
          </w:r>
          <w:r>
            <w:rPr>
              <w:color w:val="auto"/>
            </w:rPr>
            <w:fldChar w:fldCharType="separate"/>
          </w:r>
          <w:r>
            <w:rPr>
              <w:rStyle w:val="22"/>
              <w:rFonts w:ascii="黑体" w:hAnsi="黑体" w:eastAsia="黑体" w:cs="黑体"/>
              <w:color w:val="auto"/>
            </w:rPr>
            <w:t>第一部分</w:t>
          </w:r>
          <w:r>
            <w:rPr>
              <w:color w:val="auto"/>
            </w:rPr>
            <w:tab/>
          </w:r>
          <w:r>
            <w:rPr>
              <w:color w:val="auto"/>
            </w:rPr>
            <w:fldChar w:fldCharType="begin"/>
          </w:r>
          <w:r>
            <w:rPr>
              <w:color w:val="auto"/>
            </w:rPr>
            <w:instrText xml:space="preserve"> PAGEREF _Toc256000093 \h </w:instrText>
          </w:r>
          <w:r>
            <w:rPr>
              <w:color w:val="auto"/>
            </w:rPr>
            <w:fldChar w:fldCharType="separate"/>
          </w:r>
          <w:r>
            <w:rPr>
              <w:color w:val="auto"/>
            </w:rPr>
            <w:t>4</w:t>
          </w:r>
          <w:r>
            <w:rPr>
              <w:color w:val="auto"/>
            </w:rPr>
            <w:fldChar w:fldCharType="end"/>
          </w:r>
          <w:r>
            <w:rPr>
              <w:color w:val="auto"/>
            </w:rPr>
            <w:fldChar w:fldCharType="end"/>
          </w:r>
        </w:p>
        <w:p>
          <w:pPr>
            <w:pStyle w:val="18"/>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"_Toc256000094" </w:instrText>
          </w:r>
          <w:r>
            <w:rPr>
              <w:color w:val="auto"/>
            </w:rPr>
            <w:fldChar w:fldCharType="separate"/>
          </w:r>
          <w:r>
            <w:rPr>
              <w:rStyle w:val="22"/>
              <w:rFonts w:ascii="黑体" w:hAnsi="黑体" w:eastAsia="黑体" w:cs="黑体"/>
              <w:color w:val="auto"/>
            </w:rPr>
            <w:t>单位概况</w:t>
          </w:r>
          <w:r>
            <w:rPr>
              <w:color w:val="auto"/>
            </w:rPr>
            <w:tab/>
          </w:r>
          <w:r>
            <w:rPr>
              <w:color w:val="auto"/>
            </w:rPr>
            <w:fldChar w:fldCharType="begin"/>
          </w:r>
          <w:r>
            <w:rPr>
              <w:color w:val="auto"/>
            </w:rPr>
            <w:instrText xml:space="preserve"> PAGEREF _Toc256000094 \h </w:instrText>
          </w:r>
          <w:r>
            <w:rPr>
              <w:color w:val="auto"/>
            </w:rPr>
            <w:fldChar w:fldCharType="separate"/>
          </w:r>
          <w:r>
            <w:rPr>
              <w:color w:val="auto"/>
            </w:rPr>
            <w:t>4</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"_Toc256000095" </w:instrText>
          </w:r>
          <w:r>
            <w:rPr>
              <w:color w:val="auto"/>
            </w:rPr>
            <w:fldChar w:fldCharType="separate"/>
          </w:r>
          <w:r>
            <w:rPr>
              <w:rStyle w:val="22"/>
              <w:rFonts w:ascii="黑体" w:hAnsi="黑体" w:eastAsia="黑体" w:cs="黑体"/>
              <w:color w:val="auto"/>
            </w:rPr>
            <w:t>一、单位主要职责</w:t>
          </w:r>
          <w:r>
            <w:rPr>
              <w:color w:val="auto"/>
            </w:rPr>
            <w:tab/>
          </w:r>
          <w:r>
            <w:rPr>
              <w:color w:val="auto"/>
            </w:rPr>
            <w:fldChar w:fldCharType="begin"/>
          </w:r>
          <w:r>
            <w:rPr>
              <w:color w:val="auto"/>
            </w:rPr>
            <w:instrText xml:space="preserve"> PAGEREF _Toc256000095 \h </w:instrText>
          </w:r>
          <w:r>
            <w:rPr>
              <w:color w:val="auto"/>
            </w:rPr>
            <w:fldChar w:fldCharType="separate"/>
          </w:r>
          <w:r>
            <w:rPr>
              <w:color w:val="auto"/>
            </w:rPr>
            <w:t>4</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"_Toc256000096" </w:instrText>
          </w:r>
          <w:r>
            <w:rPr>
              <w:color w:val="auto"/>
            </w:rPr>
            <w:fldChar w:fldCharType="separate"/>
          </w:r>
          <w:r>
            <w:rPr>
              <w:rStyle w:val="22"/>
              <w:rFonts w:ascii="黑体" w:hAnsi="黑体" w:eastAsia="黑体" w:cs="黑体"/>
              <w:color w:val="auto"/>
            </w:rPr>
            <w:t>二、单位基本情况</w:t>
          </w:r>
          <w:r>
            <w:rPr>
              <w:color w:val="auto"/>
            </w:rPr>
            <w:tab/>
          </w:r>
          <w:r>
            <w:rPr>
              <w:color w:val="auto"/>
            </w:rPr>
            <w:fldChar w:fldCharType="begin"/>
          </w:r>
          <w:r>
            <w:rPr>
              <w:color w:val="auto"/>
            </w:rPr>
            <w:instrText xml:space="preserve"> PAGEREF _Toc256000096 \h </w:instrText>
          </w:r>
          <w:r>
            <w:rPr>
              <w:color w:val="auto"/>
            </w:rPr>
            <w:fldChar w:fldCharType="separate"/>
          </w:r>
          <w:r>
            <w:rPr>
              <w:color w:val="auto"/>
            </w:rPr>
            <w:t>4</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"_Toc256000097" </w:instrText>
          </w:r>
          <w:r>
            <w:rPr>
              <w:color w:val="auto"/>
            </w:rPr>
            <w:fldChar w:fldCharType="separate"/>
          </w:r>
          <w:r>
            <w:rPr>
              <w:rStyle w:val="22"/>
              <w:rFonts w:ascii="黑体" w:hAnsi="黑体" w:eastAsia="黑体" w:cs="黑体"/>
              <w:color w:val="auto"/>
            </w:rPr>
            <w:t>三、单位主要工作总结</w:t>
          </w:r>
          <w:r>
            <w:rPr>
              <w:color w:val="auto"/>
            </w:rPr>
            <w:tab/>
          </w:r>
          <w:r>
            <w:rPr>
              <w:color w:val="auto"/>
            </w:rPr>
            <w:fldChar w:fldCharType="begin"/>
          </w:r>
          <w:r>
            <w:rPr>
              <w:color w:val="auto"/>
            </w:rPr>
            <w:instrText xml:space="preserve"> PAGEREF _Toc256000097 \h </w:instrText>
          </w:r>
          <w:r>
            <w:rPr>
              <w:color w:val="auto"/>
            </w:rPr>
            <w:fldChar w:fldCharType="separate"/>
          </w:r>
          <w:r>
            <w:rPr>
              <w:color w:val="auto"/>
            </w:rPr>
            <w:t>4</w:t>
          </w:r>
          <w:r>
            <w:rPr>
              <w:color w:val="auto"/>
            </w:rPr>
            <w:fldChar w:fldCharType="end"/>
          </w:r>
          <w:r>
            <w:rPr>
              <w:color w:val="auto"/>
            </w:rPr>
            <w:fldChar w:fldCharType="end"/>
          </w:r>
        </w:p>
        <w:p>
          <w:pPr>
            <w:pStyle w:val="18"/>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"_Toc256000098" </w:instrText>
          </w:r>
          <w:r>
            <w:rPr>
              <w:color w:val="auto"/>
            </w:rPr>
            <w:fldChar w:fldCharType="separate"/>
          </w:r>
          <w:r>
            <w:rPr>
              <w:rStyle w:val="22"/>
              <w:rFonts w:ascii="黑体" w:hAnsi="黑体" w:eastAsia="黑体" w:cs="黑体"/>
              <w:color w:val="auto"/>
            </w:rPr>
            <w:t>第二部分</w:t>
          </w:r>
          <w:r>
            <w:rPr>
              <w:color w:val="auto"/>
            </w:rPr>
            <w:tab/>
          </w:r>
          <w:r>
            <w:rPr>
              <w:color w:val="auto"/>
            </w:rPr>
            <w:fldChar w:fldCharType="begin"/>
          </w:r>
          <w:r>
            <w:rPr>
              <w:color w:val="auto"/>
            </w:rPr>
            <w:instrText xml:space="preserve"> PAGEREF _Toc256000098 \h </w:instrText>
          </w:r>
          <w:r>
            <w:rPr>
              <w:color w:val="auto"/>
            </w:rPr>
            <w:fldChar w:fldCharType="separate"/>
          </w:r>
          <w:r>
            <w:rPr>
              <w:color w:val="auto"/>
            </w:rPr>
            <w:t>6</w:t>
          </w:r>
          <w:r>
            <w:rPr>
              <w:color w:val="auto"/>
            </w:rPr>
            <w:fldChar w:fldCharType="end"/>
          </w:r>
          <w:r>
            <w:rPr>
              <w:color w:val="auto"/>
            </w:rPr>
            <w:fldChar w:fldCharType="end"/>
          </w:r>
        </w:p>
        <w:p>
          <w:pPr>
            <w:pStyle w:val="18"/>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"_Toc256000099" </w:instrText>
          </w:r>
          <w:r>
            <w:rPr>
              <w:color w:val="auto"/>
            </w:rPr>
            <w:fldChar w:fldCharType="separate"/>
          </w:r>
          <w:r>
            <w:rPr>
              <w:rStyle w:val="22"/>
              <w:rFonts w:ascii="黑体" w:hAnsi="黑体" w:eastAsia="黑体" w:cs="黑体"/>
              <w:color w:val="auto"/>
            </w:rPr>
            <w:t>2024年度决算表</w:t>
          </w:r>
          <w:r>
            <w:rPr>
              <w:color w:val="auto"/>
            </w:rPr>
            <w:tab/>
          </w:r>
          <w:r>
            <w:rPr>
              <w:color w:val="auto"/>
            </w:rPr>
            <w:fldChar w:fldCharType="begin"/>
          </w:r>
          <w:r>
            <w:rPr>
              <w:color w:val="auto"/>
            </w:rPr>
            <w:instrText xml:space="preserve"> PAGEREF _Toc256000099 \h </w:instrText>
          </w:r>
          <w:r>
            <w:rPr>
              <w:color w:val="auto"/>
            </w:rPr>
            <w:fldChar w:fldCharType="separate"/>
          </w:r>
          <w:r>
            <w:rPr>
              <w:color w:val="auto"/>
            </w:rPr>
            <w:t>6</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"_Toc256000100" </w:instrText>
          </w:r>
          <w:r>
            <w:rPr>
              <w:color w:val="auto"/>
            </w:rPr>
            <w:fldChar w:fldCharType="separate"/>
          </w:r>
          <w:r>
            <w:rPr>
              <w:rStyle w:val="22"/>
              <w:rFonts w:ascii="黑体" w:hAnsi="黑体" w:eastAsia="黑体" w:cs="黑体"/>
              <w:color w:val="auto"/>
            </w:rPr>
            <w:t>一、收入支出决算总表</w:t>
          </w:r>
          <w:r>
            <w:rPr>
              <w:color w:val="auto"/>
            </w:rPr>
            <w:tab/>
          </w:r>
          <w:r>
            <w:rPr>
              <w:color w:val="auto"/>
            </w:rPr>
            <w:fldChar w:fldCharType="begin"/>
          </w:r>
          <w:r>
            <w:rPr>
              <w:color w:val="auto"/>
            </w:rPr>
            <w:instrText xml:space="preserve"> PAGEREF _Toc256000100 \h </w:instrText>
          </w:r>
          <w:r>
            <w:rPr>
              <w:color w:val="auto"/>
            </w:rPr>
            <w:fldChar w:fldCharType="separate"/>
          </w:r>
          <w:r>
            <w:rPr>
              <w:color w:val="auto"/>
            </w:rPr>
            <w:t>6</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"_Toc256000101" </w:instrText>
          </w:r>
          <w:r>
            <w:rPr>
              <w:color w:val="auto"/>
            </w:rPr>
            <w:fldChar w:fldCharType="separate"/>
          </w:r>
          <w:r>
            <w:rPr>
              <w:rStyle w:val="22"/>
              <w:rFonts w:ascii="黑体" w:hAnsi="黑体" w:eastAsia="黑体" w:cs="黑体"/>
              <w:color w:val="auto"/>
            </w:rPr>
            <w:t>二、收入决算表</w:t>
          </w:r>
          <w:r>
            <w:rPr>
              <w:color w:val="auto"/>
            </w:rPr>
            <w:tab/>
          </w:r>
          <w:r>
            <w:rPr>
              <w:color w:val="auto"/>
            </w:rPr>
            <w:fldChar w:fldCharType="begin"/>
          </w:r>
          <w:r>
            <w:rPr>
              <w:color w:val="auto"/>
            </w:rPr>
            <w:instrText xml:space="preserve"> PAGEREF _Toc256000101 \h </w:instrText>
          </w:r>
          <w:r>
            <w:rPr>
              <w:color w:val="auto"/>
            </w:rPr>
            <w:fldChar w:fldCharType="separate"/>
          </w:r>
          <w:r>
            <w:rPr>
              <w:color w:val="auto"/>
            </w:rPr>
            <w:t>7</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"_Toc256000102" </w:instrText>
          </w:r>
          <w:r>
            <w:rPr>
              <w:color w:val="auto"/>
            </w:rPr>
            <w:fldChar w:fldCharType="separate"/>
          </w:r>
          <w:r>
            <w:rPr>
              <w:rStyle w:val="22"/>
              <w:rFonts w:ascii="黑体" w:hAnsi="黑体" w:eastAsia="黑体" w:cs="黑体"/>
              <w:color w:val="auto"/>
            </w:rPr>
            <w:t>三、支出决算表</w:t>
          </w:r>
          <w:r>
            <w:rPr>
              <w:color w:val="auto"/>
            </w:rPr>
            <w:tab/>
          </w:r>
          <w:r>
            <w:rPr>
              <w:color w:val="auto"/>
            </w:rPr>
            <w:fldChar w:fldCharType="begin"/>
          </w:r>
          <w:r>
            <w:rPr>
              <w:color w:val="auto"/>
            </w:rPr>
            <w:instrText xml:space="preserve"> PAGEREF _Toc256000102 \h </w:instrText>
          </w:r>
          <w:r>
            <w:rPr>
              <w:color w:val="auto"/>
            </w:rPr>
            <w:fldChar w:fldCharType="separate"/>
          </w:r>
          <w:r>
            <w:rPr>
              <w:color w:val="auto"/>
            </w:rPr>
            <w:t>8</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"_Toc256000103" </w:instrText>
          </w:r>
          <w:r>
            <w:rPr>
              <w:color w:val="auto"/>
            </w:rPr>
            <w:fldChar w:fldCharType="separate"/>
          </w:r>
          <w:r>
            <w:rPr>
              <w:rStyle w:val="22"/>
              <w:rFonts w:ascii="黑体" w:hAnsi="黑体" w:eastAsia="黑体" w:cs="黑体"/>
              <w:color w:val="auto"/>
            </w:rPr>
            <w:t>四、财政拨款收入支出决算总表</w:t>
          </w:r>
          <w:r>
            <w:rPr>
              <w:color w:val="auto"/>
            </w:rPr>
            <w:tab/>
          </w:r>
          <w:r>
            <w:rPr>
              <w:color w:val="auto"/>
            </w:rPr>
            <w:fldChar w:fldCharType="begin"/>
          </w:r>
          <w:r>
            <w:rPr>
              <w:color w:val="auto"/>
            </w:rPr>
            <w:instrText xml:space="preserve"> PAGEREF _Toc256000103 \h </w:instrText>
          </w:r>
          <w:r>
            <w:rPr>
              <w:color w:val="auto"/>
            </w:rPr>
            <w:fldChar w:fldCharType="separate"/>
          </w:r>
          <w:r>
            <w:rPr>
              <w:color w:val="auto"/>
            </w:rPr>
            <w:t>9</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"_Toc256000104" </w:instrText>
          </w:r>
          <w:r>
            <w:rPr>
              <w:color w:val="auto"/>
            </w:rPr>
            <w:fldChar w:fldCharType="separate"/>
          </w:r>
          <w:r>
            <w:rPr>
              <w:rStyle w:val="22"/>
              <w:rFonts w:ascii="黑体" w:hAnsi="黑体" w:eastAsia="黑体" w:cs="黑体"/>
              <w:color w:val="auto"/>
            </w:rPr>
            <w:t>五、一般公共预算财政拨款支出决算表</w:t>
          </w:r>
          <w:r>
            <w:rPr>
              <w:color w:val="auto"/>
            </w:rPr>
            <w:tab/>
          </w:r>
          <w:r>
            <w:rPr>
              <w:color w:val="auto"/>
            </w:rPr>
            <w:fldChar w:fldCharType="begin"/>
          </w:r>
          <w:r>
            <w:rPr>
              <w:color w:val="auto"/>
            </w:rPr>
            <w:instrText xml:space="preserve"> PAGEREF _Toc256000104 \h </w:instrText>
          </w:r>
          <w:r>
            <w:rPr>
              <w:color w:val="auto"/>
            </w:rPr>
            <w:fldChar w:fldCharType="separate"/>
          </w:r>
          <w:r>
            <w:rPr>
              <w:color w:val="auto"/>
            </w:rPr>
            <w:t>11</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"_Toc256000105" </w:instrText>
          </w:r>
          <w:r>
            <w:rPr>
              <w:color w:val="auto"/>
            </w:rPr>
            <w:fldChar w:fldCharType="separate"/>
          </w:r>
          <w:r>
            <w:rPr>
              <w:rStyle w:val="22"/>
              <w:rFonts w:ascii="黑体" w:hAnsi="黑体" w:eastAsia="黑体" w:cs="黑体"/>
              <w:color w:val="auto"/>
            </w:rPr>
            <w:t>六、一般公共预算财政拨款基本支出决算表</w:t>
          </w:r>
          <w:r>
            <w:rPr>
              <w:color w:val="auto"/>
            </w:rPr>
            <w:tab/>
          </w:r>
          <w:r>
            <w:rPr>
              <w:color w:val="auto"/>
            </w:rPr>
            <w:fldChar w:fldCharType="begin"/>
          </w:r>
          <w:r>
            <w:rPr>
              <w:color w:val="auto"/>
            </w:rPr>
            <w:instrText xml:space="preserve"> PAGEREF _Toc256000105 \h </w:instrText>
          </w:r>
          <w:r>
            <w:rPr>
              <w:color w:val="auto"/>
            </w:rPr>
            <w:fldChar w:fldCharType="separate"/>
          </w:r>
          <w:r>
            <w:rPr>
              <w:color w:val="auto"/>
            </w:rPr>
            <w:t>12</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"_Toc256000106" </w:instrText>
          </w:r>
          <w:r>
            <w:rPr>
              <w:color w:val="auto"/>
            </w:rPr>
            <w:fldChar w:fldCharType="separate"/>
          </w:r>
          <w:r>
            <w:rPr>
              <w:rStyle w:val="22"/>
              <w:rFonts w:ascii="黑体" w:hAnsi="黑体" w:eastAsia="黑体" w:cs="黑体"/>
              <w:color w:val="auto"/>
            </w:rPr>
            <w:t>七、一般公共预算财政拨款“三公”经费支出决算表</w:t>
          </w:r>
          <w:r>
            <w:rPr>
              <w:color w:val="auto"/>
            </w:rPr>
            <w:tab/>
          </w:r>
          <w:r>
            <w:rPr>
              <w:color w:val="auto"/>
            </w:rPr>
            <w:fldChar w:fldCharType="begin"/>
          </w:r>
          <w:r>
            <w:rPr>
              <w:color w:val="auto"/>
            </w:rPr>
            <w:instrText xml:space="preserve"> PAGEREF _Toc256000106 \h </w:instrText>
          </w:r>
          <w:r>
            <w:rPr>
              <w:color w:val="auto"/>
            </w:rPr>
            <w:fldChar w:fldCharType="separate"/>
          </w:r>
          <w:r>
            <w:rPr>
              <w:color w:val="auto"/>
            </w:rPr>
            <w:t>13</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"_Toc256000107" </w:instrText>
          </w:r>
          <w:r>
            <w:rPr>
              <w:color w:val="auto"/>
            </w:rPr>
            <w:fldChar w:fldCharType="separate"/>
          </w:r>
          <w:r>
            <w:rPr>
              <w:rStyle w:val="22"/>
              <w:rFonts w:ascii="黑体" w:hAnsi="黑体" w:eastAsia="黑体" w:cs="黑体"/>
              <w:color w:val="auto"/>
            </w:rPr>
            <w:t>八、政府性基金预算财政拨款收入支出决算表</w:t>
          </w:r>
          <w:r>
            <w:rPr>
              <w:color w:val="auto"/>
            </w:rPr>
            <w:tab/>
          </w:r>
          <w:r>
            <w:rPr>
              <w:color w:val="auto"/>
            </w:rPr>
            <w:fldChar w:fldCharType="begin"/>
          </w:r>
          <w:r>
            <w:rPr>
              <w:color w:val="auto"/>
            </w:rPr>
            <w:instrText xml:space="preserve"> PAGEREF _Toc256000107 \h </w:instrText>
          </w:r>
          <w:r>
            <w:rPr>
              <w:color w:val="auto"/>
            </w:rPr>
            <w:fldChar w:fldCharType="separate"/>
          </w:r>
          <w:r>
            <w:rPr>
              <w:color w:val="auto"/>
            </w:rPr>
            <w:t>14</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"_Toc256000108" </w:instrText>
          </w:r>
          <w:r>
            <w:rPr>
              <w:color w:val="auto"/>
            </w:rPr>
            <w:fldChar w:fldCharType="separate"/>
          </w:r>
          <w:r>
            <w:rPr>
              <w:rStyle w:val="22"/>
              <w:rFonts w:ascii="黑体" w:hAnsi="黑体" w:eastAsia="黑体" w:cs="黑体"/>
              <w:color w:val="auto"/>
            </w:rPr>
            <w:t>九、国有资本经营预算财政拨款支出决算表</w:t>
          </w:r>
          <w:r>
            <w:rPr>
              <w:color w:val="auto"/>
            </w:rPr>
            <w:tab/>
          </w:r>
          <w:r>
            <w:rPr>
              <w:color w:val="auto"/>
            </w:rPr>
            <w:fldChar w:fldCharType="begin"/>
          </w:r>
          <w:r>
            <w:rPr>
              <w:color w:val="auto"/>
            </w:rPr>
            <w:instrText xml:space="preserve"> PAGEREF _Toc256000108 \h </w:instrText>
          </w:r>
          <w:r>
            <w:rPr>
              <w:color w:val="auto"/>
            </w:rPr>
            <w:fldChar w:fldCharType="separate"/>
          </w:r>
          <w:r>
            <w:rPr>
              <w:color w:val="auto"/>
            </w:rPr>
            <w:t>14</w:t>
          </w:r>
          <w:r>
            <w:rPr>
              <w:color w:val="auto"/>
            </w:rPr>
            <w:fldChar w:fldCharType="end"/>
          </w:r>
          <w:r>
            <w:rPr>
              <w:color w:val="auto"/>
            </w:rPr>
            <w:fldChar w:fldCharType="end"/>
          </w:r>
        </w:p>
        <w:p>
          <w:pPr>
            <w:pStyle w:val="18"/>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"_Toc256000109" </w:instrText>
          </w:r>
          <w:r>
            <w:rPr>
              <w:color w:val="auto"/>
            </w:rPr>
            <w:fldChar w:fldCharType="separate"/>
          </w:r>
          <w:r>
            <w:rPr>
              <w:rStyle w:val="22"/>
              <w:rFonts w:ascii="黑体" w:hAnsi="黑体" w:eastAsia="黑体" w:cs="黑体"/>
              <w:color w:val="auto"/>
            </w:rPr>
            <w:t>第三部分</w:t>
          </w:r>
          <w:r>
            <w:rPr>
              <w:color w:val="auto"/>
            </w:rPr>
            <w:tab/>
          </w:r>
          <w:r>
            <w:rPr>
              <w:color w:val="auto"/>
            </w:rPr>
            <w:fldChar w:fldCharType="begin"/>
          </w:r>
          <w:r>
            <w:rPr>
              <w:color w:val="auto"/>
            </w:rPr>
            <w:instrText xml:space="preserve"> PAGEREF _Toc256000109 \h </w:instrText>
          </w:r>
          <w:r>
            <w:rPr>
              <w:color w:val="auto"/>
            </w:rPr>
            <w:fldChar w:fldCharType="separate"/>
          </w:r>
          <w:r>
            <w:rPr>
              <w:color w:val="auto"/>
            </w:rPr>
            <w:t>14</w:t>
          </w:r>
          <w:r>
            <w:rPr>
              <w:color w:val="auto"/>
            </w:rPr>
            <w:fldChar w:fldCharType="end"/>
          </w:r>
          <w:r>
            <w:rPr>
              <w:color w:val="auto"/>
            </w:rPr>
            <w:fldChar w:fldCharType="end"/>
          </w:r>
        </w:p>
        <w:p>
          <w:pPr>
            <w:pStyle w:val="18"/>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"_Toc256000110" </w:instrText>
          </w:r>
          <w:r>
            <w:rPr>
              <w:color w:val="auto"/>
            </w:rPr>
            <w:fldChar w:fldCharType="separate"/>
          </w:r>
          <w:r>
            <w:rPr>
              <w:rStyle w:val="22"/>
              <w:rFonts w:ascii="黑体" w:hAnsi="黑体" w:eastAsia="黑体" w:cs="黑体"/>
              <w:color w:val="auto"/>
            </w:rPr>
            <w:t>2024年度决算情况说明</w:t>
          </w:r>
          <w:r>
            <w:rPr>
              <w:color w:val="auto"/>
            </w:rPr>
            <w:tab/>
          </w:r>
          <w:r>
            <w:rPr>
              <w:color w:val="auto"/>
            </w:rPr>
            <w:fldChar w:fldCharType="begin"/>
          </w:r>
          <w:r>
            <w:rPr>
              <w:color w:val="auto"/>
            </w:rPr>
            <w:instrText xml:space="preserve"> PAGEREF _Toc256000110 \h </w:instrText>
          </w:r>
          <w:r>
            <w:rPr>
              <w:color w:val="auto"/>
            </w:rPr>
            <w:fldChar w:fldCharType="separate"/>
          </w:r>
          <w:r>
            <w:rPr>
              <w:color w:val="auto"/>
            </w:rPr>
            <w:t>15</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"_Toc256000111" </w:instrText>
          </w:r>
          <w:r>
            <w:rPr>
              <w:color w:val="auto"/>
            </w:rPr>
            <w:fldChar w:fldCharType="separate"/>
          </w:r>
          <w:r>
            <w:rPr>
              <w:rStyle w:val="22"/>
              <w:rFonts w:ascii="黑体" w:hAnsi="黑体" w:eastAsia="黑体" w:cs="黑体"/>
              <w:color w:val="auto"/>
            </w:rPr>
            <w:t>一、收入支出决算总体情况说明</w:t>
          </w:r>
          <w:r>
            <w:rPr>
              <w:color w:val="auto"/>
            </w:rPr>
            <w:tab/>
          </w:r>
          <w:r>
            <w:rPr>
              <w:color w:val="auto"/>
            </w:rPr>
            <w:fldChar w:fldCharType="begin"/>
          </w:r>
          <w:r>
            <w:rPr>
              <w:color w:val="auto"/>
            </w:rPr>
            <w:instrText xml:space="preserve"> PAGEREF _Toc256000111 \h </w:instrText>
          </w:r>
          <w:r>
            <w:rPr>
              <w:color w:val="auto"/>
            </w:rPr>
            <w:fldChar w:fldCharType="separate"/>
          </w:r>
          <w:r>
            <w:rPr>
              <w:color w:val="auto"/>
            </w:rPr>
            <w:t>15</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"_Toc256000112" </w:instrText>
          </w:r>
          <w:r>
            <w:rPr>
              <w:color w:val="auto"/>
            </w:rPr>
            <w:fldChar w:fldCharType="separate"/>
          </w:r>
          <w:r>
            <w:rPr>
              <w:rStyle w:val="22"/>
              <w:rFonts w:ascii="黑体" w:hAnsi="黑体" w:eastAsia="黑体" w:cs="黑体"/>
              <w:color w:val="auto"/>
            </w:rPr>
            <w:t>二、财政拨款收入支出决算总体情况说明</w:t>
          </w:r>
          <w:r>
            <w:rPr>
              <w:color w:val="auto"/>
            </w:rPr>
            <w:tab/>
          </w:r>
          <w:r>
            <w:rPr>
              <w:color w:val="auto"/>
            </w:rPr>
            <w:fldChar w:fldCharType="begin"/>
          </w:r>
          <w:r>
            <w:rPr>
              <w:color w:val="auto"/>
            </w:rPr>
            <w:instrText xml:space="preserve"> PAGEREF _Toc256000112 \h </w:instrText>
          </w:r>
          <w:r>
            <w:rPr>
              <w:color w:val="auto"/>
            </w:rPr>
            <w:fldChar w:fldCharType="separate"/>
          </w:r>
          <w:r>
            <w:rPr>
              <w:color w:val="auto"/>
            </w:rPr>
            <w:t>16</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"_Toc256000113" </w:instrText>
          </w:r>
          <w:r>
            <w:rPr>
              <w:color w:val="auto"/>
            </w:rPr>
            <w:fldChar w:fldCharType="separate"/>
          </w:r>
          <w:r>
            <w:rPr>
              <w:rStyle w:val="22"/>
              <w:rFonts w:ascii="黑体" w:hAnsi="黑体" w:eastAsia="黑体" w:cs="黑体"/>
              <w:color w:val="auto"/>
            </w:rPr>
            <w:t>三、一般公共预算拨款支出决算情况说明</w:t>
          </w:r>
          <w:r>
            <w:rPr>
              <w:color w:val="auto"/>
            </w:rPr>
            <w:tab/>
          </w:r>
          <w:r>
            <w:rPr>
              <w:color w:val="auto"/>
            </w:rPr>
            <w:fldChar w:fldCharType="begin"/>
          </w:r>
          <w:r>
            <w:rPr>
              <w:color w:val="auto"/>
            </w:rPr>
            <w:instrText xml:space="preserve"> PAGEREF _Toc256000113 \h </w:instrText>
          </w:r>
          <w:r>
            <w:rPr>
              <w:color w:val="auto"/>
            </w:rPr>
            <w:fldChar w:fldCharType="separate"/>
          </w:r>
          <w:r>
            <w:rPr>
              <w:color w:val="auto"/>
            </w:rPr>
            <w:t>16</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"_Toc256000114" </w:instrText>
          </w:r>
          <w:r>
            <w:rPr>
              <w:color w:val="auto"/>
            </w:rPr>
            <w:fldChar w:fldCharType="separate"/>
          </w:r>
          <w:r>
            <w:rPr>
              <w:rStyle w:val="22"/>
              <w:rFonts w:ascii="黑体" w:hAnsi="黑体" w:eastAsia="黑体" w:cs="黑体"/>
              <w:color w:val="auto"/>
            </w:rPr>
            <w:t>四、政府性基金预算财政拨款支出决算情况说明</w:t>
          </w:r>
          <w:r>
            <w:rPr>
              <w:color w:val="auto"/>
            </w:rPr>
            <w:tab/>
          </w:r>
          <w:r>
            <w:rPr>
              <w:color w:val="auto"/>
            </w:rPr>
            <w:fldChar w:fldCharType="begin"/>
          </w:r>
          <w:r>
            <w:rPr>
              <w:color w:val="auto"/>
            </w:rPr>
            <w:instrText xml:space="preserve"> PAGEREF _Toc256000114 \h </w:instrText>
          </w:r>
          <w:r>
            <w:rPr>
              <w:color w:val="auto"/>
            </w:rPr>
            <w:fldChar w:fldCharType="separate"/>
          </w:r>
          <w:r>
            <w:rPr>
              <w:color w:val="auto"/>
            </w:rPr>
            <w:t>18</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"_Toc256000115" </w:instrText>
          </w:r>
          <w:r>
            <w:rPr>
              <w:color w:val="auto"/>
            </w:rPr>
            <w:fldChar w:fldCharType="separate"/>
          </w:r>
          <w:r>
            <w:rPr>
              <w:rStyle w:val="22"/>
              <w:rFonts w:ascii="黑体" w:hAnsi="黑体" w:eastAsia="黑体" w:cs="黑体"/>
              <w:color w:val="auto"/>
            </w:rPr>
            <w:t>五、国有资本经营预算财政拨款支出决算情况说明</w:t>
          </w:r>
          <w:r>
            <w:rPr>
              <w:color w:val="auto"/>
            </w:rPr>
            <w:tab/>
          </w:r>
          <w:r>
            <w:rPr>
              <w:color w:val="auto"/>
            </w:rPr>
            <w:fldChar w:fldCharType="begin"/>
          </w:r>
          <w:r>
            <w:rPr>
              <w:color w:val="auto"/>
            </w:rPr>
            <w:instrText xml:space="preserve"> PAGEREF _Toc256000115 \h </w:instrText>
          </w:r>
          <w:r>
            <w:rPr>
              <w:color w:val="auto"/>
            </w:rPr>
            <w:fldChar w:fldCharType="separate"/>
          </w:r>
          <w:r>
            <w:rPr>
              <w:color w:val="auto"/>
            </w:rPr>
            <w:t>18</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"_Toc256000116" </w:instrText>
          </w:r>
          <w:r>
            <w:rPr>
              <w:color w:val="auto"/>
            </w:rPr>
            <w:fldChar w:fldCharType="separate"/>
          </w:r>
          <w:r>
            <w:rPr>
              <w:rStyle w:val="22"/>
              <w:rFonts w:ascii="黑体" w:hAnsi="黑体" w:eastAsia="黑体" w:cs="黑体"/>
              <w:color w:val="auto"/>
            </w:rPr>
            <w:t>六、一般公共预算财政拨款基本支出决算情况说明</w:t>
          </w:r>
          <w:r>
            <w:rPr>
              <w:color w:val="auto"/>
            </w:rPr>
            <w:tab/>
          </w:r>
          <w:r>
            <w:rPr>
              <w:color w:val="auto"/>
            </w:rPr>
            <w:fldChar w:fldCharType="begin"/>
          </w:r>
          <w:r>
            <w:rPr>
              <w:color w:val="auto"/>
            </w:rPr>
            <w:instrText xml:space="preserve"> PAGEREF _Toc256000116 \h </w:instrText>
          </w:r>
          <w:r>
            <w:rPr>
              <w:color w:val="auto"/>
            </w:rPr>
            <w:fldChar w:fldCharType="separate"/>
          </w:r>
          <w:r>
            <w:rPr>
              <w:color w:val="auto"/>
            </w:rPr>
            <w:t>18</w:t>
          </w:r>
          <w:r>
            <w:rPr>
              <w:color w:val="auto"/>
            </w:rPr>
            <w:fldChar w:fldCharType="end"/>
          </w:r>
          <w:r>
            <w:rPr>
              <w:color w:val="auto"/>
            </w:rPr>
            <w:fldChar w:fldCharType="end"/>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"_Toc256000117" </w:instrText>
          </w:r>
          <w:r>
            <w:rPr>
              <w:color w:val="auto"/>
            </w:rPr>
            <w:fldChar w:fldCharType="separate"/>
          </w:r>
          <w:r>
            <w:rPr>
              <w:rStyle w:val="22"/>
              <w:rFonts w:ascii="黑体" w:hAnsi="黑体" w:eastAsia="黑体" w:cs="黑体"/>
              <w:color w:val="auto"/>
            </w:rPr>
            <w:t>七、一般公共预算拨款“三公”经费支出决算情况说明</w:t>
          </w:r>
          <w:r>
            <w:rPr>
              <w:color w:val="auto"/>
            </w:rPr>
            <w:tab/>
          </w:r>
          <w:r>
            <w:rPr>
              <w:color w:val="auto"/>
            </w:rPr>
            <w:fldChar w:fldCharType="begin"/>
          </w:r>
          <w:r>
            <w:rPr>
              <w:color w:val="auto"/>
            </w:rPr>
            <w:instrText xml:space="preserve"> PAGEREF _Toc256000117 \h </w:instrText>
          </w:r>
          <w:r>
            <w:rPr>
              <w:color w:val="auto"/>
            </w:rPr>
            <w:fldChar w:fldCharType="separate"/>
          </w:r>
          <w:r>
            <w:rPr>
              <w:color w:val="auto"/>
            </w:rPr>
            <w:t>19</w:t>
          </w:r>
          <w:r>
            <w:rPr>
              <w:color w:val="auto"/>
            </w:rPr>
            <w:fldChar w:fldCharType="end"/>
          </w:r>
          <w:r>
            <w:rPr>
              <w:color w:val="auto"/>
            </w:rPr>
            <w:fldChar w:fldCharType="end"/>
          </w:r>
        </w:p>
        <w:p>
          <w:pPr>
            <w:pStyle w:val="11"/>
            <w:tabs>
              <w:tab w:val="right" w:leader="dot" w:pos="9730"/>
            </w:tabs>
            <w:rPr>
              <w:rFonts w:hint="eastAsia" w:eastAsia="仿宋" w:asciiTheme="minorHAnsi" w:hAnsiTheme="minorHAnsi"/>
              <w:color w:val="auto"/>
              <w:sz w:val="22"/>
              <w:lang w:val="en-US" w:eastAsia="zh-CN"/>
            </w:rPr>
          </w:pPr>
          <w:r>
            <w:rPr>
              <w:color w:val="auto"/>
            </w:rPr>
            <w:fldChar w:fldCharType="begin"/>
          </w:r>
          <w:r>
            <w:rPr>
              <w:color w:val="auto"/>
            </w:rPr>
            <w:instrText xml:space="preserve"> HYPERLINK \l "_Toc256000118" </w:instrText>
          </w:r>
          <w:r>
            <w:rPr>
              <w:color w:val="auto"/>
            </w:rPr>
            <w:fldChar w:fldCharType="separate"/>
          </w:r>
          <w:r>
            <w:rPr>
              <w:rStyle w:val="22"/>
              <w:rFonts w:ascii="黑体" w:hAnsi="黑体" w:eastAsia="黑体" w:cs="黑体"/>
              <w:color w:val="auto"/>
            </w:rPr>
            <w:t>八、预算绩效情况说明</w:t>
          </w:r>
          <w:r>
            <w:rPr>
              <w:color w:val="auto"/>
            </w:rPr>
            <w:tab/>
          </w:r>
          <w:r>
            <w:rPr>
              <w:rFonts w:hint="eastAsia"/>
              <w:color w:val="auto"/>
              <w:lang w:val="en-US" w:eastAsia="zh-CN"/>
            </w:rPr>
            <w:t>2</w:t>
          </w:r>
          <w:r>
            <w:rPr>
              <w:color w:val="auto"/>
            </w:rPr>
            <w:fldChar w:fldCharType="end"/>
          </w:r>
          <w:r>
            <w:rPr>
              <w:rFonts w:hint="eastAsia"/>
              <w:color w:val="auto"/>
              <w:lang w:val="en-US" w:eastAsia="zh-CN"/>
            </w:rPr>
            <w:t>0</w:t>
          </w:r>
        </w:p>
        <w:p>
          <w:pPr>
            <w:pStyle w:val="11"/>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"_Toc256000119" </w:instrText>
          </w:r>
          <w:r>
            <w:rPr>
              <w:color w:val="auto"/>
            </w:rPr>
            <w:fldChar w:fldCharType="separate"/>
          </w:r>
          <w:r>
            <w:rPr>
              <w:rStyle w:val="22"/>
              <w:rFonts w:ascii="黑体" w:hAnsi="黑体" w:eastAsia="黑体" w:cs="黑体"/>
              <w:color w:val="auto"/>
            </w:rPr>
            <w:t>九、其他重要事项说明</w:t>
          </w:r>
          <w:r>
            <w:rPr>
              <w:color w:val="auto"/>
            </w:rPr>
            <w:tab/>
          </w:r>
          <w:r>
            <w:rPr>
              <w:color w:val="auto"/>
            </w:rPr>
            <w:fldChar w:fldCharType="begin"/>
          </w:r>
          <w:r>
            <w:rPr>
              <w:color w:val="auto"/>
            </w:rPr>
            <w:instrText xml:space="preserve"> PAGEREF _Toc256000119 \h </w:instrText>
          </w:r>
          <w:r>
            <w:rPr>
              <w:color w:val="auto"/>
            </w:rPr>
            <w:fldChar w:fldCharType="separate"/>
          </w:r>
          <w:r>
            <w:rPr>
              <w:color w:val="auto"/>
            </w:rPr>
            <w:t>20</w:t>
          </w:r>
          <w:r>
            <w:rPr>
              <w:color w:val="auto"/>
            </w:rPr>
            <w:fldChar w:fldCharType="end"/>
          </w:r>
          <w:r>
            <w:rPr>
              <w:color w:val="auto"/>
            </w:rPr>
            <w:fldChar w:fldCharType="end"/>
          </w:r>
        </w:p>
        <w:p>
          <w:pPr>
            <w:pStyle w:val="18"/>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"_Toc256000120" </w:instrText>
          </w:r>
          <w:r>
            <w:rPr>
              <w:color w:val="auto"/>
            </w:rPr>
            <w:fldChar w:fldCharType="separate"/>
          </w:r>
          <w:r>
            <w:rPr>
              <w:rStyle w:val="22"/>
              <w:rFonts w:ascii="黑体" w:hAnsi="黑体" w:eastAsia="黑体" w:cs="黑体"/>
              <w:color w:val="auto"/>
            </w:rPr>
            <w:t>第四部分</w:t>
          </w:r>
          <w:r>
            <w:rPr>
              <w:color w:val="auto"/>
            </w:rPr>
            <w:tab/>
          </w:r>
          <w:r>
            <w:rPr>
              <w:color w:val="auto"/>
            </w:rPr>
            <w:fldChar w:fldCharType="begin"/>
          </w:r>
          <w:r>
            <w:rPr>
              <w:color w:val="auto"/>
            </w:rPr>
            <w:instrText xml:space="preserve"> PAGEREF _Toc256000120 \h </w:instrText>
          </w:r>
          <w:r>
            <w:rPr>
              <w:color w:val="auto"/>
            </w:rPr>
            <w:fldChar w:fldCharType="separate"/>
          </w:r>
          <w:r>
            <w:rPr>
              <w:color w:val="auto"/>
            </w:rPr>
            <w:t>21</w:t>
          </w:r>
          <w:r>
            <w:rPr>
              <w:color w:val="auto"/>
            </w:rPr>
            <w:fldChar w:fldCharType="end"/>
          </w:r>
          <w:r>
            <w:rPr>
              <w:color w:val="auto"/>
            </w:rPr>
            <w:fldChar w:fldCharType="end"/>
          </w:r>
        </w:p>
        <w:p>
          <w:pPr>
            <w:pStyle w:val="18"/>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"_Toc256000121" </w:instrText>
          </w:r>
          <w:r>
            <w:rPr>
              <w:color w:val="auto"/>
            </w:rPr>
            <w:fldChar w:fldCharType="separate"/>
          </w:r>
          <w:r>
            <w:rPr>
              <w:rStyle w:val="22"/>
              <w:rFonts w:ascii="黑体" w:hAnsi="黑体" w:eastAsia="黑体" w:cs="黑体"/>
              <w:color w:val="auto"/>
            </w:rPr>
            <w:t>名词解释</w:t>
          </w:r>
          <w:r>
            <w:rPr>
              <w:color w:val="auto"/>
            </w:rPr>
            <w:tab/>
          </w:r>
          <w:r>
            <w:rPr>
              <w:color w:val="auto"/>
            </w:rPr>
            <w:fldChar w:fldCharType="begin"/>
          </w:r>
          <w:r>
            <w:rPr>
              <w:color w:val="auto"/>
            </w:rPr>
            <w:instrText xml:space="preserve"> PAGEREF _Toc256000121 \h </w:instrText>
          </w:r>
          <w:r>
            <w:rPr>
              <w:color w:val="auto"/>
            </w:rPr>
            <w:fldChar w:fldCharType="separate"/>
          </w:r>
          <w:r>
            <w:rPr>
              <w:color w:val="auto"/>
            </w:rPr>
            <w:t>21</w:t>
          </w:r>
          <w:r>
            <w:rPr>
              <w:color w:val="auto"/>
            </w:rPr>
            <w:fldChar w:fldCharType="end"/>
          </w:r>
          <w:r>
            <w:rPr>
              <w:color w:val="auto"/>
            </w:rPr>
            <w:fldChar w:fldCharType="end"/>
          </w:r>
        </w:p>
        <w:p>
          <w:pPr>
            <w:pStyle w:val="18"/>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"_Toc256000122" </w:instrText>
          </w:r>
          <w:r>
            <w:rPr>
              <w:color w:val="auto"/>
            </w:rPr>
            <w:fldChar w:fldCharType="separate"/>
          </w:r>
          <w:r>
            <w:rPr>
              <w:rStyle w:val="22"/>
              <w:rFonts w:ascii="黑体" w:hAnsi="黑体" w:eastAsia="黑体" w:cs="黑体"/>
              <w:color w:val="auto"/>
            </w:rPr>
            <w:t>第五部分</w:t>
          </w:r>
          <w:r>
            <w:rPr>
              <w:color w:val="auto"/>
            </w:rPr>
            <w:tab/>
          </w:r>
          <w:r>
            <w:rPr>
              <w:color w:val="auto"/>
            </w:rPr>
            <w:fldChar w:fldCharType="begin"/>
          </w:r>
          <w:r>
            <w:rPr>
              <w:color w:val="auto"/>
            </w:rPr>
            <w:instrText xml:space="preserve"> PAGEREF _Toc256000122 \h </w:instrText>
          </w:r>
          <w:r>
            <w:rPr>
              <w:color w:val="auto"/>
            </w:rPr>
            <w:fldChar w:fldCharType="separate"/>
          </w:r>
          <w:r>
            <w:rPr>
              <w:color w:val="auto"/>
            </w:rPr>
            <w:t>23</w:t>
          </w:r>
          <w:r>
            <w:rPr>
              <w:color w:val="auto"/>
            </w:rPr>
            <w:fldChar w:fldCharType="end"/>
          </w:r>
          <w:r>
            <w:rPr>
              <w:color w:val="auto"/>
            </w:rPr>
            <w:fldChar w:fldCharType="end"/>
          </w:r>
        </w:p>
        <w:p>
          <w:pPr>
            <w:pStyle w:val="18"/>
            <w:tabs>
              <w:tab w:val="right" w:leader="dot" w:pos="9730"/>
            </w:tabs>
            <w:rPr>
              <w:rFonts w:asciiTheme="minorHAnsi" w:hAnsiTheme="minorHAnsi"/>
              <w:color w:val="auto"/>
              <w:sz w:val="22"/>
            </w:rPr>
          </w:pPr>
          <w:r>
            <w:rPr>
              <w:color w:val="auto"/>
            </w:rPr>
            <w:fldChar w:fldCharType="begin"/>
          </w:r>
          <w:r>
            <w:rPr>
              <w:color w:val="auto"/>
            </w:rPr>
            <w:instrText xml:space="preserve"> HYPERLINK \l "_Toc256000123" </w:instrText>
          </w:r>
          <w:r>
            <w:rPr>
              <w:color w:val="auto"/>
            </w:rPr>
            <w:fldChar w:fldCharType="separate"/>
          </w:r>
          <w:r>
            <w:rPr>
              <w:rStyle w:val="22"/>
              <w:rFonts w:ascii="黑体" w:hAnsi="黑体" w:eastAsia="黑体" w:cs="黑体"/>
              <w:color w:val="auto"/>
            </w:rPr>
            <w:t>附件</w:t>
          </w:r>
          <w:r>
            <w:rPr>
              <w:color w:val="auto"/>
            </w:rPr>
            <w:tab/>
          </w:r>
          <w:r>
            <w:rPr>
              <w:color w:val="auto"/>
            </w:rPr>
            <w:fldChar w:fldCharType="begin"/>
          </w:r>
          <w:r>
            <w:rPr>
              <w:color w:val="auto"/>
            </w:rPr>
            <w:instrText xml:space="preserve"> PAGEREF _Toc256000123 \h </w:instrText>
          </w:r>
          <w:r>
            <w:rPr>
              <w:color w:val="auto"/>
            </w:rPr>
            <w:fldChar w:fldCharType="separate"/>
          </w:r>
          <w:r>
            <w:rPr>
              <w:color w:val="auto"/>
            </w:rPr>
            <w:t>23</w:t>
          </w:r>
          <w:r>
            <w:rPr>
              <w:color w:val="auto"/>
            </w:rPr>
            <w:fldChar w:fldCharType="end"/>
          </w:r>
          <w:r>
            <w:rPr>
              <w:color w:val="auto"/>
            </w:rPr>
            <w:fldChar w:fldCharType="end"/>
          </w:r>
        </w:p>
        <w:p>
          <w:pPr>
            <w:adjustRightInd w:val="0"/>
            <w:snapToGrid w:val="0"/>
            <w:rPr>
              <w:rFonts w:hint="eastAsia" w:ascii="仿宋" w:hAnsi="仿宋" w:eastAsia="仿宋" w:cs="仿宋"/>
              <w:b w:val="0"/>
              <w:bCs/>
              <w:color w:val="auto"/>
              <w:kern w:val="2"/>
              <w:sz w:val="32"/>
              <w:szCs w:val="32"/>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仿宋" w:hAnsi="仿宋" w:eastAsia="仿宋" w:cs="仿宋"/>
              <w:b w:val="0"/>
              <w:bCs/>
              <w:color w:val="auto"/>
              <w:kern w:val="2"/>
              <w:sz w:val="32"/>
              <w:szCs w:val="32"/>
              <w:lang w:val="en-US" w:eastAsia="zh-CN" w:bidi="ar-SA"/>
            </w:rPr>
            <w:fldChar w:fldCharType="end"/>
          </w:r>
        </w:p>
      </w:sdtContent>
    </w:sdt>
    <w:p>
      <w:pPr>
        <w:pStyle w:val="32"/>
        <w:widowControl/>
        <w:spacing w:before="240" w:after="240"/>
        <w:jc w:val="center"/>
        <w:rPr>
          <w:rFonts w:ascii="Times New Roman" w:hAnsi="Times New Roman" w:eastAsia="Times New Roman" w:cs="Times New Roman"/>
          <w:vanish/>
          <w:color w:val="auto"/>
          <w:kern w:val="0"/>
          <w:sz w:val="24"/>
        </w:rPr>
      </w:pPr>
      <w:bookmarkStart w:id="0" w:name="_Toc256000062"/>
      <w:bookmarkStart w:id="1" w:name="_Toc256000000"/>
      <w:bookmarkStart w:id="2" w:name="_Toc256000093"/>
      <w:bookmarkStart w:id="3" w:name="_Toc256000031"/>
      <w:bookmarkStart w:id="4" w:name="a000"/>
      <w:r>
        <w:rPr>
          <w:rFonts w:ascii="黑体" w:hAnsi="黑体" w:eastAsia="黑体" w:cs="黑体"/>
          <w:color w:val="auto"/>
          <w:kern w:val="0"/>
          <w:sz w:val="36"/>
          <w:szCs w:val="36"/>
        </w:rPr>
        <w:t>第一部分</w:t>
      </w:r>
      <w:bookmarkEnd w:id="0"/>
      <w:bookmarkEnd w:id="1"/>
      <w:bookmarkEnd w:id="2"/>
      <w:bookmarkEnd w:id="3"/>
      <w:bookmarkStart w:id="5" w:name="_Toc256000032"/>
      <w:bookmarkStart w:id="6" w:name="_Toc256000063"/>
      <w:bookmarkStart w:id="7" w:name="_Toc256000001"/>
      <w:bookmarkStart w:id="8" w:name="_Toc256000094"/>
      <w:r>
        <w:rPr>
          <w:rFonts w:hint="eastAsia" w:ascii="黑体" w:hAnsi="黑体" w:eastAsia="黑体" w:cs="黑体"/>
          <w:color w:val="auto"/>
          <w:kern w:val="0"/>
          <w:sz w:val="36"/>
          <w:szCs w:val="36"/>
          <w:lang w:val="en-US" w:eastAsia="zh-CN"/>
        </w:rPr>
        <w:t xml:space="preserve">  </w:t>
      </w:r>
      <w:r>
        <w:rPr>
          <w:rFonts w:ascii="黑体" w:hAnsi="黑体" w:eastAsia="黑体" w:cs="黑体"/>
          <w:color w:val="auto"/>
          <w:kern w:val="0"/>
          <w:sz w:val="36"/>
          <w:szCs w:val="36"/>
        </w:rPr>
        <w:t>单位概况</w:t>
      </w:r>
      <w:bookmarkEnd w:id="5"/>
      <w:bookmarkEnd w:id="6"/>
      <w:bookmarkEnd w:id="7"/>
      <w:bookmarkEnd w:id="8"/>
      <w:r>
        <w:rPr>
          <w:rFonts w:ascii="Times New Roman" w:hAnsi="Times New Roman" w:eastAsia="Times New Roman" w:cs="Times New Roman"/>
          <w:vanish/>
          <w:color w:val="auto"/>
          <w:kern w:val="0"/>
          <w:sz w:val="24"/>
        </w:rPr>
        <w:t>word page break</w:t>
      </w:r>
    </w:p>
    <w:p>
      <w:pPr>
        <w:widowControl/>
        <w:spacing w:before="240" w:after="240"/>
        <w:jc w:val="left"/>
        <w:rPr>
          <w:rFonts w:ascii="Times New Roman" w:hAnsi="Times New Roman" w:eastAsia="Times New Roman" w:cs="Times New Roman"/>
          <w:color w:val="auto"/>
          <w:kern w:val="0"/>
          <w:sz w:val="24"/>
        </w:rPr>
      </w:pPr>
    </w:p>
    <w:p>
      <w:pPr>
        <w:pStyle w:val="6"/>
        <w:keepNext w:val="0"/>
        <w:keepLines w:val="0"/>
        <w:spacing w:before="100" w:after="100" w:line="240" w:lineRule="auto"/>
        <w:ind w:left="0" w:right="0" w:firstLine="0" w:firstLineChars="0"/>
        <w:rPr>
          <w:rFonts w:ascii="Calibri" w:hAnsi="Calibri" w:eastAsia="Calibri" w:cs="Calibri"/>
          <w:b/>
          <w:color w:val="auto"/>
          <w:spacing w:val="0"/>
        </w:rPr>
      </w:pPr>
      <w:r>
        <w:rPr>
          <w:rFonts w:ascii="Calibri" w:hAnsi="Calibri" w:eastAsia="Calibri" w:cs="Calibri"/>
          <w:b/>
          <w:color w:val="auto"/>
          <w:spacing w:val="0"/>
        </w:rPr>
        <w:t> </w:t>
      </w:r>
      <w:r>
        <w:rPr>
          <w:rFonts w:ascii="黑体" w:hAnsi="黑体" w:eastAsia="黑体" w:cs="黑体"/>
          <w:b/>
          <w:color w:val="auto"/>
          <w:spacing w:val="0"/>
        </w:rPr>
        <w:t xml:space="preserve"> </w:t>
      </w:r>
      <w:r>
        <w:rPr>
          <w:rFonts w:ascii="Calibri" w:hAnsi="Calibri" w:eastAsia="Calibri" w:cs="Calibri"/>
          <w:b/>
          <w:color w:val="auto"/>
          <w:spacing w:val="0"/>
        </w:rPr>
        <w:t> </w:t>
      </w:r>
    </w:p>
    <w:p>
      <w:pPr>
        <w:pStyle w:val="6"/>
        <w:keepNext w:val="0"/>
        <w:keepLines w:val="0"/>
        <w:spacing w:before="100" w:after="100" w:line="240" w:lineRule="auto"/>
        <w:ind w:left="0" w:right="0" w:firstLine="640" w:firstLineChars="200"/>
        <w:jc w:val="both"/>
        <w:rPr>
          <w:rFonts w:ascii="Times New Roman" w:hAnsi="Times New Roman" w:eastAsia="Times New Roman" w:cs="Times New Roman"/>
          <w:b w:val="0"/>
          <w:bCs w:val="0"/>
          <w:color w:val="auto"/>
          <w:kern w:val="0"/>
          <w:sz w:val="28"/>
          <w:szCs w:val="28"/>
        </w:rPr>
      </w:pPr>
      <w:r>
        <w:rPr>
          <w:rFonts w:ascii="黑体" w:hAnsi="黑体" w:eastAsia="黑体" w:cs="黑体"/>
          <w:b w:val="0"/>
          <w:bCs w:val="0"/>
          <w:color w:val="auto"/>
          <w:spacing w:val="0"/>
        </w:rPr>
        <w:t xml:space="preserve"> </w:t>
      </w:r>
      <w:bookmarkStart w:id="9" w:name="_Toc256000033"/>
      <w:bookmarkStart w:id="10" w:name="_Toc256000095"/>
      <w:bookmarkStart w:id="11" w:name="_Toc256000064"/>
      <w:bookmarkStart w:id="12" w:name="_Toc256000002"/>
      <w:r>
        <w:rPr>
          <w:rFonts w:ascii="黑体" w:hAnsi="黑体" w:eastAsia="黑体" w:cs="黑体"/>
          <w:b w:val="0"/>
          <w:bCs w:val="0"/>
          <w:color w:val="auto"/>
          <w:spacing w:val="0"/>
        </w:rPr>
        <w:t>一、单位主要职责</w:t>
      </w:r>
      <w:bookmarkEnd w:id="9"/>
      <w:bookmarkEnd w:id="10"/>
      <w:bookmarkEnd w:id="11"/>
      <w:bookmarkEnd w:id="12"/>
    </w:p>
    <w:p>
      <w:pPr>
        <w:pStyle w:val="29"/>
        <w:widowControl/>
        <w:spacing w:before="100" w:after="100" w:line="600" w:lineRule="atLeast"/>
        <w:ind w:left="0" w:right="0" w:firstLine="640"/>
        <w:jc w:val="both"/>
        <w:rPr>
          <w:rFonts w:ascii="仿宋" w:hAnsi="仿宋" w:eastAsia="仿宋" w:cs="仿宋"/>
          <w:color w:val="auto"/>
          <w:spacing w:val="0"/>
          <w:kern w:val="0"/>
          <w:sz w:val="32"/>
          <w:szCs w:val="32"/>
        </w:rPr>
      </w:pPr>
      <w:r>
        <w:rPr>
          <w:rFonts w:ascii="仿宋" w:hAnsi="仿宋" w:eastAsia="仿宋" w:cs="仿宋"/>
          <w:color w:val="auto"/>
          <w:spacing w:val="0"/>
          <w:kern w:val="0"/>
          <w:sz w:val="32"/>
          <w:szCs w:val="32"/>
        </w:rPr>
        <w:t>厦门市尚文实验学校单位的主要职责是：</w:t>
      </w:r>
    </w:p>
    <w:p>
      <w:pPr>
        <w:keepNext w:val="0"/>
        <w:keepLines w:val="0"/>
        <w:pageBreakBefore w:val="0"/>
        <w:widowControl/>
        <w:suppressLineNumbers w:val="0"/>
        <w:shd w:val="clear" w:fill="FFFFFF"/>
        <w:kinsoku/>
        <w:wordWrap/>
        <w:overflowPunct/>
        <w:topLinePunct w:val="0"/>
        <w:autoSpaceDE w:val="0"/>
        <w:autoSpaceDN/>
        <w:bidi w:val="0"/>
        <w:adjustRightInd/>
        <w:snapToGrid/>
        <w:spacing w:before="240" w:beforeAutospacing="0" w:after="240" w:afterAutospacing="0" w:line="520" w:lineRule="exact"/>
        <w:ind w:left="0" w:right="0" w:firstLine="641"/>
        <w:jc w:val="both"/>
        <w:textAlignment w:val="auto"/>
        <w:rPr>
          <w:rFonts w:hint="eastAsia" w:ascii="仿宋" w:hAnsi="仿宋" w:eastAsia="仿宋" w:cs="仿宋"/>
          <w:color w:val="auto"/>
          <w:kern w:val="0"/>
          <w:sz w:val="32"/>
          <w:szCs w:val="32"/>
          <w:shd w:val="clear" w:fill="FFFFFF"/>
        </w:rPr>
      </w:pPr>
      <w:r>
        <w:rPr>
          <w:rFonts w:hint="eastAsia" w:ascii="仿宋" w:hAnsi="仿宋" w:eastAsia="仿宋" w:cs="仿宋"/>
          <w:color w:val="auto"/>
          <w:kern w:val="0"/>
          <w:sz w:val="32"/>
          <w:szCs w:val="32"/>
          <w:shd w:val="clear" w:fill="FFFFFF"/>
        </w:rPr>
        <w:t>（一）实施小学义务教育、初中义务教育，促进基础教育发展。</w:t>
      </w:r>
    </w:p>
    <w:p>
      <w:pPr>
        <w:keepNext w:val="0"/>
        <w:keepLines w:val="0"/>
        <w:pageBreakBefore w:val="0"/>
        <w:widowControl/>
        <w:suppressLineNumbers w:val="0"/>
        <w:shd w:val="clear" w:fill="FFFFFF"/>
        <w:kinsoku/>
        <w:wordWrap/>
        <w:overflowPunct/>
        <w:topLinePunct w:val="0"/>
        <w:autoSpaceDE w:val="0"/>
        <w:autoSpaceDN/>
        <w:bidi w:val="0"/>
        <w:adjustRightInd/>
        <w:snapToGrid/>
        <w:spacing w:before="240" w:beforeAutospacing="0" w:after="240" w:afterAutospacing="0" w:line="520" w:lineRule="exact"/>
        <w:ind w:left="0" w:right="0" w:firstLine="641"/>
        <w:jc w:val="both"/>
        <w:textAlignment w:val="auto"/>
        <w:rPr>
          <w:rFonts w:ascii="仿宋" w:hAnsi="仿宋" w:eastAsia="仿宋" w:cs="仿宋"/>
          <w:color w:val="auto"/>
          <w:spacing w:val="0"/>
          <w:kern w:val="0"/>
          <w:sz w:val="32"/>
          <w:szCs w:val="32"/>
        </w:rPr>
      </w:pPr>
      <w:r>
        <w:rPr>
          <w:rFonts w:hint="eastAsia" w:ascii="仿宋" w:hAnsi="仿宋" w:eastAsia="仿宋" w:cs="仿宋"/>
          <w:color w:val="auto"/>
          <w:kern w:val="0"/>
          <w:sz w:val="32"/>
          <w:szCs w:val="32"/>
          <w:shd w:val="clear" w:fill="FFFFFF"/>
        </w:rPr>
        <w:t>（二）小学学历教育，初中学历教育。</w:t>
      </w:r>
    </w:p>
    <w:p>
      <w:pPr>
        <w:pStyle w:val="6"/>
        <w:keepNext w:val="0"/>
        <w:keepLines w:val="0"/>
        <w:spacing w:before="100" w:after="100" w:line="240" w:lineRule="auto"/>
        <w:ind w:left="0" w:right="0" w:firstLine="640" w:firstLineChars="200"/>
        <w:jc w:val="both"/>
        <w:rPr>
          <w:rFonts w:ascii="黑体" w:hAnsi="黑体" w:eastAsia="黑体" w:cs="黑体"/>
          <w:b w:val="0"/>
          <w:bCs w:val="0"/>
          <w:color w:val="auto"/>
          <w:spacing w:val="0"/>
        </w:rPr>
      </w:pPr>
      <w:bookmarkStart w:id="13" w:name="_Toc256000096"/>
      <w:bookmarkStart w:id="14" w:name="_Toc256000003"/>
      <w:bookmarkStart w:id="15" w:name="_Toc256000065"/>
      <w:bookmarkStart w:id="16" w:name="_Toc256000034"/>
      <w:r>
        <w:rPr>
          <w:rFonts w:ascii="黑体" w:hAnsi="黑体" w:eastAsia="黑体" w:cs="黑体"/>
          <w:b w:val="0"/>
          <w:bCs w:val="0"/>
          <w:color w:val="auto"/>
          <w:spacing w:val="0"/>
        </w:rPr>
        <w:t>二、单位基本情况</w:t>
      </w:r>
      <w:bookmarkEnd w:id="13"/>
      <w:bookmarkEnd w:id="14"/>
      <w:bookmarkEnd w:id="15"/>
      <w:bookmarkEnd w:id="16"/>
    </w:p>
    <w:p>
      <w:pPr>
        <w:pStyle w:val="29"/>
        <w:widowControl/>
        <w:spacing w:before="100" w:after="100" w:line="600" w:lineRule="atLeast"/>
        <w:ind w:left="0" w:right="0" w:firstLine="640"/>
        <w:jc w:val="both"/>
        <w:rPr>
          <w:rFonts w:ascii="仿宋" w:hAnsi="仿宋" w:eastAsia="仿宋" w:cs="仿宋"/>
          <w:color w:val="auto"/>
          <w:spacing w:val="0"/>
          <w:kern w:val="0"/>
          <w:sz w:val="32"/>
          <w:szCs w:val="32"/>
        </w:rPr>
      </w:pPr>
      <w:r>
        <w:rPr>
          <w:rFonts w:ascii="仿宋" w:hAnsi="仿宋" w:eastAsia="仿宋" w:cs="仿宋"/>
          <w:color w:val="auto"/>
          <w:spacing w:val="0"/>
          <w:kern w:val="0"/>
          <w:sz w:val="32"/>
          <w:szCs w:val="32"/>
        </w:rPr>
        <w:t>从决算单位构成看，本单位包括</w:t>
      </w:r>
      <w:r>
        <w:rPr>
          <w:rFonts w:hint="eastAsia" w:ascii="仿宋" w:hAnsi="仿宋" w:eastAsia="仿宋" w:cs="仿宋"/>
          <w:color w:val="auto"/>
          <w:spacing w:val="0"/>
          <w:kern w:val="0"/>
          <w:sz w:val="32"/>
          <w:szCs w:val="32"/>
          <w:lang w:val="en-US" w:eastAsia="zh-CN"/>
        </w:rPr>
        <w:t>6</w:t>
      </w:r>
      <w:r>
        <w:rPr>
          <w:rFonts w:ascii="仿宋" w:hAnsi="仿宋" w:eastAsia="仿宋" w:cs="仿宋"/>
          <w:color w:val="auto"/>
          <w:spacing w:val="0"/>
          <w:kern w:val="0"/>
          <w:sz w:val="32"/>
          <w:szCs w:val="32"/>
        </w:rPr>
        <w:t>个内设机构，其中：列入2024年决算编制范围的单位详细情况见下表:</w:t>
      </w:r>
    </w:p>
    <w:tbl>
      <w:tblPr>
        <w:tblStyle w:val="23"/>
        <w:tblW w:w="8392" w:type="dxa"/>
        <w:jc w:val="center"/>
        <w:tblInd w:w="-3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2017"/>
        <w:gridCol w:w="6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664" w:hRule="atLeast"/>
          <w:jc w:val="center"/>
        </w:trPr>
        <w:tc>
          <w:tcPr>
            <w:tcW w:w="20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fill="FFFFFF"/>
              <w:autoSpaceDE w:val="0"/>
              <w:autoSpaceDN/>
              <w:spacing w:before="0" w:beforeAutospacing="1" w:after="0" w:afterAutospacing="1" w:line="600" w:lineRule="exact"/>
              <w:ind w:left="0" w:right="0"/>
              <w:jc w:val="center"/>
              <w:rPr>
                <w:rFonts w:hint="default" w:ascii="仿宋" w:hAnsi="仿宋" w:eastAsia="仿宋" w:cs="仿宋"/>
                <w:color w:val="auto"/>
                <w:kern w:val="0"/>
                <w:sz w:val="32"/>
                <w:szCs w:val="32"/>
                <w:shd w:val="clear" w:fill="FFFFFF"/>
                <w:lang w:val="en-US" w:eastAsia="zh-CN"/>
              </w:rPr>
            </w:pPr>
            <w:r>
              <w:rPr>
                <w:rFonts w:hint="eastAsia" w:ascii="仿宋" w:hAnsi="仿宋" w:eastAsia="仿宋" w:cs="仿宋"/>
                <w:color w:val="auto"/>
                <w:kern w:val="0"/>
                <w:sz w:val="32"/>
                <w:szCs w:val="32"/>
                <w:shd w:val="clear" w:fill="FFFFFF"/>
                <w:lang w:val="en-US" w:eastAsia="zh-CN"/>
              </w:rPr>
              <w:t>序号</w:t>
            </w:r>
          </w:p>
        </w:tc>
        <w:tc>
          <w:tcPr>
            <w:tcW w:w="63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fill="FFFFFF"/>
              <w:autoSpaceDE w:val="0"/>
              <w:autoSpaceDN/>
              <w:spacing w:before="0" w:beforeAutospacing="1" w:after="0" w:afterAutospacing="1" w:line="600" w:lineRule="exact"/>
              <w:ind w:left="0" w:leftChars="0" w:right="0" w:rightChars="0"/>
              <w:jc w:val="center"/>
              <w:rPr>
                <w:color w:val="auto"/>
              </w:rPr>
            </w:pPr>
            <w:r>
              <w:rPr>
                <w:rFonts w:hint="eastAsia" w:ascii="仿宋" w:hAnsi="仿宋" w:eastAsia="仿宋" w:cs="仿宋"/>
                <w:color w:val="auto"/>
                <w:kern w:val="0"/>
                <w:sz w:val="32"/>
                <w:szCs w:val="32"/>
                <w:shd w:val="clear" w:fill="FFFFFF"/>
              </w:rPr>
              <w:t>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0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fill="FFFFFF"/>
              <w:autoSpaceDE w:val="0"/>
              <w:autoSpaceDN/>
              <w:spacing w:before="0" w:beforeAutospacing="1" w:after="0" w:afterAutospacing="1" w:line="600" w:lineRule="exact"/>
              <w:ind w:left="0" w:right="0"/>
              <w:jc w:val="center"/>
              <w:rPr>
                <w:rFonts w:hint="eastAsia" w:ascii="仿宋" w:hAnsi="仿宋" w:eastAsia="仿宋" w:cs="仿宋"/>
                <w:b w:val="0"/>
                <w:color w:val="auto"/>
                <w:kern w:val="0"/>
                <w:sz w:val="32"/>
                <w:szCs w:val="32"/>
                <w:shd w:val="clear" w:fill="FFFFFF"/>
                <w:lang w:eastAsia="zh-CN"/>
              </w:rPr>
            </w:pPr>
            <w:r>
              <w:rPr>
                <w:rFonts w:hint="eastAsia" w:ascii="仿宋" w:hAnsi="仿宋" w:eastAsia="仿宋" w:cs="仿宋"/>
                <w:b w:val="0"/>
                <w:color w:val="auto"/>
                <w:kern w:val="0"/>
                <w:sz w:val="32"/>
                <w:szCs w:val="32"/>
                <w:shd w:val="clear" w:fill="FFFFFF"/>
                <w:lang w:val="en-US" w:eastAsia="zh-CN"/>
              </w:rPr>
              <w:t>1</w:t>
            </w:r>
          </w:p>
        </w:tc>
        <w:tc>
          <w:tcPr>
            <w:tcW w:w="63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hd w:val="clear" w:fill="FFFFFF"/>
              <w:autoSpaceDE w:val="0"/>
              <w:autoSpaceDN/>
              <w:spacing w:before="0" w:beforeAutospacing="1" w:after="0" w:afterAutospacing="1" w:line="600" w:lineRule="exact"/>
              <w:ind w:left="0" w:leftChars="0" w:right="0" w:rightChars="0"/>
              <w:jc w:val="center"/>
              <w:rPr>
                <w:color w:val="auto"/>
              </w:rPr>
            </w:pPr>
            <w:r>
              <w:rPr>
                <w:rFonts w:hint="eastAsia" w:ascii="仿宋" w:hAnsi="仿宋" w:eastAsia="仿宋" w:cs="仿宋"/>
                <w:b w:val="0"/>
                <w:color w:val="auto"/>
                <w:kern w:val="0"/>
                <w:sz w:val="32"/>
                <w:szCs w:val="32"/>
                <w:shd w:val="clear" w:fill="FFFFFF"/>
              </w:rPr>
              <w:t>厦门市尚文实验学校</w:t>
            </w:r>
          </w:p>
        </w:tc>
      </w:tr>
    </w:tbl>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color w:val="auto"/>
          <w:kern w:val="0"/>
          <w:sz w:val="28"/>
          <w:szCs w:val="28"/>
        </w:rPr>
      </w:pPr>
      <w:bookmarkStart w:id="17" w:name="_Toc256000097"/>
      <w:bookmarkStart w:id="18" w:name="_Toc256000004"/>
      <w:bookmarkStart w:id="19" w:name="_Toc256000066"/>
      <w:bookmarkStart w:id="20" w:name="_Toc256000035"/>
      <w:r>
        <w:rPr>
          <w:rFonts w:ascii="黑体" w:hAnsi="黑体" w:eastAsia="黑体" w:cs="黑体"/>
          <w:b w:val="0"/>
          <w:bCs w:val="0"/>
          <w:color w:val="auto"/>
          <w:spacing w:val="0"/>
        </w:rPr>
        <w:t>三、单位主要工作总结</w:t>
      </w:r>
      <w:bookmarkEnd w:id="17"/>
      <w:bookmarkEnd w:id="18"/>
      <w:bookmarkEnd w:id="19"/>
      <w:bookmarkEnd w:id="20"/>
    </w:p>
    <w:p>
      <w:pPr>
        <w:pStyle w:val="29"/>
        <w:widowControl/>
        <w:spacing w:before="100" w:after="100" w:line="600" w:lineRule="atLeast"/>
        <w:ind w:left="0" w:right="0" w:firstLine="640"/>
        <w:jc w:val="both"/>
        <w:rPr>
          <w:rFonts w:ascii="仿宋" w:hAnsi="仿宋" w:eastAsia="仿宋" w:cs="仿宋"/>
          <w:color w:val="auto"/>
          <w:spacing w:val="0"/>
          <w:kern w:val="0"/>
          <w:sz w:val="32"/>
          <w:szCs w:val="32"/>
        </w:rPr>
      </w:pPr>
      <w:r>
        <w:rPr>
          <w:rFonts w:ascii="仿宋" w:hAnsi="仿宋" w:eastAsia="仿宋" w:cs="仿宋"/>
          <w:color w:val="auto"/>
          <w:spacing w:val="0"/>
          <w:kern w:val="0"/>
          <w:sz w:val="32"/>
          <w:szCs w:val="32"/>
        </w:rPr>
        <w:t>2024年，厦门市尚文实验学校单位主要任务是：</w:t>
      </w:r>
    </w:p>
    <w:p>
      <w:pPr>
        <w:pStyle w:val="29"/>
        <w:widowControl/>
        <w:spacing w:before="100" w:after="100" w:line="600" w:lineRule="atLeast"/>
        <w:ind w:left="0" w:right="0" w:firstLine="640"/>
        <w:jc w:val="both"/>
        <w:rPr>
          <w:rFonts w:hint="eastAsia" w:ascii="仿宋" w:hAnsi="仿宋" w:eastAsia="仿宋" w:cs="仿宋"/>
          <w:color w:val="auto"/>
          <w:spacing w:val="0"/>
          <w:kern w:val="0"/>
          <w:sz w:val="32"/>
          <w:szCs w:val="32"/>
          <w:lang w:val="en-US" w:eastAsia="zh-CN"/>
        </w:rPr>
      </w:pPr>
      <w:r>
        <w:rPr>
          <w:rFonts w:hint="eastAsia" w:ascii="仿宋" w:hAnsi="仿宋" w:eastAsia="仿宋" w:cs="仿宋"/>
          <w:color w:val="auto"/>
          <w:spacing w:val="0"/>
          <w:kern w:val="0"/>
          <w:sz w:val="32"/>
          <w:szCs w:val="32"/>
          <w:lang w:val="en-US" w:eastAsia="zh-CN"/>
        </w:rPr>
        <w:t>本年度，我校遵守国家有关法律法规、政策实施细则的规定，合法合规开展各项教育教学工作。</w:t>
      </w:r>
    </w:p>
    <w:p>
      <w:pPr>
        <w:pStyle w:val="29"/>
        <w:widowControl/>
        <w:spacing w:before="100" w:after="100" w:line="600" w:lineRule="atLeast"/>
        <w:ind w:left="0" w:right="0" w:firstLine="640"/>
        <w:jc w:val="both"/>
        <w:rPr>
          <w:rFonts w:hint="eastAsia" w:ascii="仿宋" w:hAnsi="仿宋" w:eastAsia="仿宋" w:cs="仿宋"/>
          <w:color w:val="auto"/>
          <w:spacing w:val="0"/>
          <w:kern w:val="0"/>
          <w:sz w:val="32"/>
          <w:szCs w:val="32"/>
          <w:lang w:val="en-US" w:eastAsia="zh-CN"/>
        </w:rPr>
      </w:pPr>
      <w:r>
        <w:rPr>
          <w:rFonts w:hint="eastAsia" w:ascii="仿宋" w:hAnsi="仿宋" w:eastAsia="仿宋" w:cs="仿宋"/>
          <w:color w:val="auto"/>
          <w:spacing w:val="0"/>
          <w:kern w:val="0"/>
          <w:sz w:val="32"/>
          <w:szCs w:val="32"/>
          <w:lang w:val="en-US" w:eastAsia="zh-CN"/>
        </w:rPr>
        <w:t>一、学校以党建引领为核心，将党建工作融入教育教学的各个环节，为学校的品质提升与创新发展奠定坚实基础。教学、教研工作扎实创新，注重集体备课，教师在精品课比赛中获得2节部优、4节市优，在市、区级比赛中成绩斐然，教学质量持续优化。截至目前，学校累计有 29项课题在研，其中市级课题6项、区级课题8项、校级课题15项。</w:t>
      </w:r>
    </w:p>
    <w:p>
      <w:pPr>
        <w:pStyle w:val="29"/>
        <w:widowControl/>
        <w:spacing w:before="100" w:after="100" w:line="600" w:lineRule="atLeast"/>
        <w:ind w:left="0" w:right="0" w:firstLine="640"/>
        <w:jc w:val="both"/>
        <w:rPr>
          <w:rFonts w:hint="eastAsia" w:ascii="仿宋" w:hAnsi="仿宋" w:eastAsia="仿宋" w:cs="仿宋"/>
          <w:color w:val="auto"/>
          <w:spacing w:val="0"/>
          <w:kern w:val="0"/>
          <w:sz w:val="32"/>
          <w:szCs w:val="32"/>
          <w:lang w:val="en-US" w:eastAsia="zh-CN"/>
        </w:rPr>
      </w:pPr>
      <w:r>
        <w:rPr>
          <w:rFonts w:hint="eastAsia" w:ascii="仿宋" w:hAnsi="仿宋" w:eastAsia="仿宋" w:cs="仿宋"/>
          <w:color w:val="auto"/>
          <w:spacing w:val="0"/>
          <w:kern w:val="0"/>
          <w:sz w:val="32"/>
          <w:szCs w:val="32"/>
          <w:lang w:val="en-US" w:eastAsia="zh-CN"/>
        </w:rPr>
        <w:t>二、德育体系深化拓展。学校注重学生德育课程的开发，开设了心理课程，举办丰富的德育活动，注重家校联动，助力90%学生达成个性化成长目标，全面培育新时代文明少年。我校学生除了在省、市、区中小学生武术套路锦标中分获22、37、41枚奖牌，在其他艺体竞赛中也获得不少奖项，如：我校学生荣获2024厦门市湖里区校园小舞者赛儿童甲组一等奖；参加市级各类美术赛事，获得市级奖项12人次、区级8人次；参加征文类竞赛活动，我校学生获得省级奖项1人次、市级奖项7人次、区级奖项25人次。</w:t>
      </w:r>
    </w:p>
    <w:p>
      <w:pPr>
        <w:pStyle w:val="29"/>
        <w:widowControl/>
        <w:spacing w:before="100" w:after="100" w:line="600" w:lineRule="atLeast"/>
        <w:ind w:left="0" w:right="0" w:firstLine="640"/>
        <w:jc w:val="both"/>
        <w:rPr>
          <w:rFonts w:hint="eastAsia" w:ascii="仿宋" w:hAnsi="仿宋" w:eastAsia="仿宋" w:cs="仿宋"/>
          <w:color w:val="auto"/>
          <w:spacing w:val="0"/>
          <w:kern w:val="0"/>
          <w:sz w:val="32"/>
          <w:szCs w:val="32"/>
          <w:lang w:val="en-US" w:eastAsia="zh-CN"/>
        </w:rPr>
      </w:pPr>
      <w:r>
        <w:rPr>
          <w:rFonts w:hint="eastAsia" w:ascii="仿宋" w:hAnsi="仿宋" w:eastAsia="仿宋" w:cs="仿宋"/>
          <w:color w:val="auto"/>
          <w:spacing w:val="0"/>
          <w:kern w:val="0"/>
          <w:sz w:val="32"/>
          <w:szCs w:val="32"/>
          <w:lang w:val="en-US" w:eastAsia="zh-CN"/>
        </w:rPr>
        <w:t>三、学校各部门通力合作，总务保障有力。本年完成教学楼翻新及节能改造，食堂“明厨亮灶”全面达标，全年安全零事故。办公室强化统筹效能，修订制度，推进档案数字化管理，助力学校高效运转。</w:t>
      </w:r>
    </w:p>
    <w:p>
      <w:pPr>
        <w:pStyle w:val="29"/>
        <w:widowControl/>
        <w:spacing w:before="100" w:after="100" w:line="600" w:lineRule="atLeast"/>
        <w:ind w:left="0" w:right="0" w:firstLine="640"/>
        <w:jc w:val="both"/>
        <w:rPr>
          <w:rFonts w:hint="eastAsia" w:ascii="仿宋" w:hAnsi="仿宋" w:eastAsia="仿宋" w:cs="仿宋"/>
          <w:color w:val="auto"/>
          <w:spacing w:val="0"/>
          <w:kern w:val="0"/>
          <w:sz w:val="32"/>
          <w:szCs w:val="32"/>
          <w:lang w:val="en-US" w:eastAsia="zh-CN"/>
        </w:rPr>
      </w:pPr>
    </w:p>
    <w:p>
      <w:pPr>
        <w:pStyle w:val="29"/>
        <w:widowControl/>
        <w:spacing w:before="100" w:after="100" w:line="600" w:lineRule="atLeast"/>
        <w:ind w:left="0" w:right="0" w:firstLine="640"/>
        <w:jc w:val="both"/>
        <w:rPr>
          <w:rFonts w:hint="eastAsia" w:ascii="仿宋" w:hAnsi="仿宋" w:eastAsia="仿宋" w:cs="仿宋"/>
          <w:color w:val="auto"/>
          <w:spacing w:val="0"/>
          <w:kern w:val="0"/>
          <w:sz w:val="32"/>
          <w:szCs w:val="32"/>
          <w:lang w:val="en-US" w:eastAsia="zh-CN"/>
        </w:rPr>
      </w:pPr>
    </w:p>
    <w:p>
      <w:pPr>
        <w:pStyle w:val="30"/>
        <w:widowControl/>
        <w:spacing w:before="100" w:after="100"/>
        <w:ind w:left="0" w:right="0" w:firstLine="0"/>
        <w:jc w:val="left"/>
        <w:rPr>
          <w:rFonts w:ascii="Times New Roman" w:hAnsi="Times New Roman" w:eastAsia="Times New Roman" w:cs="Times New Roman"/>
          <w:color w:val="auto"/>
          <w:kern w:val="0"/>
          <w:sz w:val="24"/>
        </w:rPr>
      </w:pPr>
    </w:p>
    <w:p>
      <w:pPr>
        <w:pStyle w:val="29"/>
        <w:widowControl/>
        <w:spacing w:before="240" w:after="240"/>
        <w:jc w:val="center"/>
        <w:rPr>
          <w:rFonts w:ascii="黑体" w:hAnsi="黑体" w:eastAsia="黑体" w:cs="黑体"/>
          <w:color w:val="auto"/>
          <w:kern w:val="0"/>
          <w:sz w:val="36"/>
          <w:szCs w:val="36"/>
        </w:rPr>
      </w:pPr>
      <w:bookmarkStart w:id="21" w:name="_Toc256000036"/>
      <w:bookmarkStart w:id="22" w:name="_Toc256000005"/>
      <w:bookmarkStart w:id="23" w:name="_Toc256000098"/>
      <w:bookmarkStart w:id="24" w:name="_Toc256000067"/>
      <w:r>
        <w:rPr>
          <w:rFonts w:ascii="黑体" w:hAnsi="黑体" w:eastAsia="黑体" w:cs="黑体"/>
          <w:color w:val="auto"/>
          <w:kern w:val="0"/>
          <w:sz w:val="36"/>
          <w:szCs w:val="36"/>
        </w:rPr>
        <w:t>第二部分</w:t>
      </w:r>
      <w:bookmarkEnd w:id="21"/>
      <w:bookmarkEnd w:id="22"/>
      <w:bookmarkEnd w:id="23"/>
      <w:bookmarkEnd w:id="24"/>
      <w:bookmarkStart w:id="25" w:name="_Toc256000006"/>
      <w:bookmarkStart w:id="26" w:name="_Toc256000068"/>
      <w:bookmarkStart w:id="27" w:name="_Toc256000099"/>
      <w:bookmarkStart w:id="28" w:name="_Toc256000037"/>
      <w:r>
        <w:rPr>
          <w:rFonts w:hint="eastAsia" w:ascii="黑体" w:hAnsi="黑体" w:eastAsia="黑体" w:cs="黑体"/>
          <w:color w:val="auto"/>
          <w:kern w:val="0"/>
          <w:sz w:val="36"/>
          <w:szCs w:val="36"/>
          <w:lang w:val="en-US" w:eastAsia="zh-CN"/>
        </w:rPr>
        <w:t xml:space="preserve">  </w:t>
      </w:r>
      <w:r>
        <w:rPr>
          <w:rFonts w:ascii="黑体" w:hAnsi="黑体" w:eastAsia="黑体" w:cs="黑体"/>
          <w:color w:val="auto"/>
          <w:kern w:val="0"/>
          <w:sz w:val="36"/>
          <w:szCs w:val="36"/>
        </w:rPr>
        <w:t>2024年度决算表</w:t>
      </w:r>
      <w:bookmarkEnd w:id="25"/>
      <w:bookmarkEnd w:id="26"/>
      <w:bookmarkEnd w:id="27"/>
      <w:bookmarkEnd w:id="28"/>
    </w:p>
    <w:p>
      <w:pPr>
        <w:pStyle w:val="4"/>
        <w:keepNext w:val="0"/>
        <w:keepLines w:val="0"/>
        <w:spacing w:before="100" w:after="100" w:line="240" w:lineRule="auto"/>
        <w:ind w:left="0" w:right="0" w:firstLine="0" w:firstLineChars="0"/>
        <w:jc w:val="center"/>
        <w:rPr>
          <w:rFonts w:ascii="Times New Roman" w:hAnsi="Times New Roman" w:eastAsia="Times New Roman" w:cs="Times New Roman"/>
          <w:vanish/>
          <w:color w:val="auto"/>
          <w:kern w:val="0"/>
          <w:sz w:val="24"/>
        </w:rPr>
      </w:pPr>
      <w:r>
        <w:rPr>
          <w:rFonts w:ascii="Times New Roman" w:hAnsi="Times New Roman" w:eastAsia="Times New Roman" w:cs="Times New Roman"/>
          <w:vanish/>
          <w:color w:val="auto"/>
          <w:kern w:val="0"/>
          <w:sz w:val="24"/>
        </w:rPr>
        <w:t>word page break</w:t>
      </w:r>
    </w:p>
    <w:p>
      <w:pPr>
        <w:pStyle w:val="6"/>
        <w:keepNext w:val="0"/>
        <w:keepLines w:val="0"/>
        <w:spacing w:before="100" w:after="100" w:line="240" w:lineRule="auto"/>
        <w:ind w:left="0" w:leftChars="0" w:right="0" w:firstLine="0" w:firstLineChars="0"/>
        <w:rPr>
          <w:rFonts w:ascii="Times New Roman" w:hAnsi="Times New Roman" w:eastAsia="Times New Roman" w:cs="Times New Roman"/>
          <w:b/>
          <w:bCs/>
          <w:color w:val="auto"/>
          <w:kern w:val="0"/>
          <w:sz w:val="28"/>
          <w:szCs w:val="28"/>
        </w:rPr>
      </w:pPr>
      <w:bookmarkStart w:id="29" w:name="_Toc256000100"/>
      <w:bookmarkStart w:id="30" w:name="_Toc256000007"/>
      <w:bookmarkStart w:id="31" w:name="_Toc256000069"/>
      <w:bookmarkStart w:id="32" w:name="_Toc256000038"/>
      <w:r>
        <w:rPr>
          <w:rFonts w:ascii="黑体" w:hAnsi="黑体" w:eastAsia="黑体" w:cs="黑体"/>
          <w:b w:val="0"/>
          <w:bCs w:val="0"/>
          <w:color w:val="auto"/>
          <w:spacing w:val="0"/>
        </w:rPr>
        <w:t>一、收入支出决算总表</w:t>
      </w:r>
      <w:bookmarkEnd w:id="29"/>
      <w:bookmarkEnd w:id="30"/>
      <w:bookmarkEnd w:id="31"/>
      <w:bookmarkEnd w:id="32"/>
    </w:p>
    <w:p>
      <w:pPr>
        <w:widowControl/>
        <w:spacing w:before="240" w:after="240"/>
        <w:jc w:val="left"/>
        <w:rPr>
          <w:rFonts w:ascii="Times New Roman" w:hAnsi="Times New Roman" w:eastAsia="Times New Roman" w:cs="Times New Roman"/>
          <w:vanish/>
          <w:color w:val="auto"/>
          <w:kern w:val="0"/>
          <w:sz w:val="24"/>
        </w:rPr>
      </w:pPr>
      <w:r>
        <w:rPr>
          <w:rFonts w:ascii="Times New Roman" w:hAnsi="Times New Roman" w:eastAsia="Times New Roman" w:cs="Times New Roman"/>
          <w:vanish/>
          <w:color w:val="auto"/>
          <w:kern w:val="0"/>
          <w:sz w:val="24"/>
        </w:rPr>
        <w:t>word horizontal layout</w:t>
      </w:r>
    </w:p>
    <w:tbl>
      <w:tblPr>
        <w:tblStyle w:val="23"/>
        <w:tblW w:w="9383" w:type="dxa"/>
        <w:jc w:val="center"/>
        <w:tblInd w:w="0" w:type="dxa"/>
        <w:tblLayout w:type="fixed"/>
        <w:tblCellMar>
          <w:top w:w="15" w:type="dxa"/>
          <w:left w:w="15" w:type="dxa"/>
          <w:bottom w:w="15" w:type="dxa"/>
          <w:right w:w="15" w:type="dxa"/>
        </w:tblCellMar>
      </w:tblPr>
      <w:tblGrid>
        <w:gridCol w:w="2775"/>
        <w:gridCol w:w="568"/>
        <w:gridCol w:w="1232"/>
        <w:gridCol w:w="2813"/>
        <w:gridCol w:w="750"/>
        <w:gridCol w:w="1245"/>
      </w:tblGrid>
      <w:tr>
        <w:tblPrEx>
          <w:tblLayout w:type="fixed"/>
          <w:tblCellMar>
            <w:top w:w="15" w:type="dxa"/>
            <w:left w:w="15" w:type="dxa"/>
            <w:bottom w:w="15" w:type="dxa"/>
            <w:right w:w="15" w:type="dxa"/>
          </w:tblCellMar>
        </w:tblPrEx>
        <w:trPr>
          <w:trHeight w:val="0" w:hRule="atLeast"/>
          <w:tblHeader/>
          <w:jc w:val="center"/>
        </w:trPr>
        <w:tc>
          <w:tcPr>
            <w:tcW w:w="9383" w:type="dxa"/>
            <w:gridSpan w:val="6"/>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32"/>
                <w:szCs w:val="32"/>
              </w:rPr>
              <w:t>收入支出决算总表</w:t>
            </w:r>
          </w:p>
        </w:tc>
      </w:tr>
      <w:tr>
        <w:tblPrEx>
          <w:tblLayout w:type="fixed"/>
          <w:tblCellMar>
            <w:top w:w="15" w:type="dxa"/>
            <w:left w:w="15" w:type="dxa"/>
            <w:bottom w:w="15" w:type="dxa"/>
            <w:right w:w="15" w:type="dxa"/>
          </w:tblCellMar>
        </w:tblPrEx>
        <w:trPr>
          <w:trHeight w:val="0" w:hRule="atLeast"/>
          <w:tblHeader/>
          <w:jc w:val="center"/>
        </w:trPr>
        <w:tc>
          <w:tcPr>
            <w:tcW w:w="3343"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部门</w:t>
            </w:r>
            <w:r>
              <w:rPr>
                <w:rFonts w:ascii="Times New Roman" w:hAnsi="Times New Roman" w:eastAsia="Times New Roman" w:cs="Times New Roman"/>
                <w:b w:val="0"/>
                <w:bCs w:val="0"/>
                <w:i w:val="0"/>
                <w:iCs w:val="0"/>
                <w:smallCaps w:val="0"/>
                <w:color w:val="auto"/>
                <w:kern w:val="0"/>
                <w:sz w:val="18"/>
                <w:szCs w:val="18"/>
              </w:rPr>
              <w:t>/</w:t>
            </w:r>
            <w:r>
              <w:rPr>
                <w:rFonts w:ascii="宋体" w:hAnsi="宋体" w:eastAsia="宋体" w:cs="宋体"/>
                <w:b w:val="0"/>
                <w:bCs w:val="0"/>
                <w:i w:val="0"/>
                <w:iCs w:val="0"/>
                <w:smallCaps w:val="0"/>
                <w:color w:val="auto"/>
                <w:kern w:val="0"/>
                <w:sz w:val="18"/>
                <w:szCs w:val="18"/>
              </w:rPr>
              <w:t>单位：厦门市尚文实验学校</w:t>
            </w:r>
            <w:r>
              <w:rPr>
                <w:rFonts w:ascii="Times New Roman" w:hAnsi="Times New Roman" w:eastAsia="Times New Roman" w:cs="Times New Roman"/>
                <w:b w:val="0"/>
                <w:bCs w:val="0"/>
                <w:i w:val="0"/>
                <w:iCs w:val="0"/>
                <w:smallCaps w:val="0"/>
                <w:color w:val="auto"/>
                <w:kern w:val="0"/>
                <w:sz w:val="18"/>
                <w:szCs w:val="18"/>
              </w:rPr>
              <w:t> </w:t>
            </w:r>
          </w:p>
        </w:tc>
        <w:tc>
          <w:tcPr>
            <w:tcW w:w="404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auto"/>
                <w:kern w:val="0"/>
                <w:sz w:val="18"/>
                <w:szCs w:val="18"/>
              </w:rPr>
            </w:pPr>
            <w:r>
              <w:rPr>
                <w:rFonts w:hint="eastAsia" w:cs="Times New Roman"/>
                <w:b w:val="0"/>
                <w:bCs w:val="0"/>
                <w:i w:val="0"/>
                <w:iCs w:val="0"/>
                <w:smallCaps w:val="0"/>
                <w:color w:val="auto"/>
                <w:kern w:val="0"/>
                <w:sz w:val="18"/>
                <w:szCs w:val="18"/>
                <w:lang w:val="en-US" w:eastAsia="zh-CN"/>
              </w:rPr>
              <w:t xml:space="preserve">                   </w:t>
            </w:r>
            <w:r>
              <w:rPr>
                <w:rFonts w:ascii="Times New Roman" w:hAnsi="Times New Roman" w:eastAsia="Times New Roman" w:cs="Times New Roman"/>
                <w:b w:val="0"/>
                <w:bCs w:val="0"/>
                <w:i w:val="0"/>
                <w:iCs w:val="0"/>
                <w:smallCaps w:val="0"/>
                <w:color w:val="auto"/>
                <w:kern w:val="0"/>
                <w:sz w:val="18"/>
                <w:szCs w:val="18"/>
              </w:rPr>
              <w:t>2024</w:t>
            </w:r>
            <w:r>
              <w:rPr>
                <w:rFonts w:ascii="宋体" w:hAnsi="宋体" w:eastAsia="宋体" w:cs="宋体"/>
                <w:b w:val="0"/>
                <w:bCs w:val="0"/>
                <w:i w:val="0"/>
                <w:iCs w:val="0"/>
                <w:smallCaps w:val="0"/>
                <w:color w:val="auto"/>
                <w:kern w:val="0"/>
                <w:sz w:val="18"/>
                <w:szCs w:val="18"/>
              </w:rPr>
              <w:t>年度</w:t>
            </w:r>
          </w:p>
        </w:tc>
        <w:tc>
          <w:tcPr>
            <w:tcW w:w="199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r>
              <w:rPr>
                <w:rFonts w:ascii="宋体" w:hAnsi="宋体" w:eastAsia="宋体" w:cs="宋体"/>
                <w:b w:val="0"/>
                <w:bCs w:val="0"/>
                <w:i w:val="0"/>
                <w:iCs w:val="0"/>
                <w:smallCaps w:val="0"/>
                <w:color w:val="auto"/>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4575"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收入</w:t>
            </w:r>
          </w:p>
        </w:tc>
        <w:tc>
          <w:tcPr>
            <w:tcW w:w="480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支出</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项目</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行次</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金额</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项目</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行次</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金额</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栏次</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栏次</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一、一般公共预算财政拨款收入</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5,316.26</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一、一般公共服务支出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32</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二、政府性基金预算财政拨款收入</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二、外交支出</w:t>
            </w:r>
            <w:r>
              <w:rPr>
                <w:rFonts w:ascii="Times New Roman" w:hAnsi="Times New Roman" w:eastAsia="Times New Roman" w:cs="Times New Roman"/>
                <w:b w:val="0"/>
                <w:bCs w:val="0"/>
                <w:i w:val="0"/>
                <w:iCs w:val="0"/>
                <w:smallCaps w:val="0"/>
                <w:color w:val="auto"/>
                <w:kern w:val="0"/>
                <w:sz w:val="18"/>
                <w:szCs w:val="18"/>
              </w:rPr>
              <w:t xml:space="preserve">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33</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三、国有资本经营预算财政拨款收入</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三、国防支出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34</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四、上级补助收入</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四、公共安全支出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35</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五、事业收入</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五、教育支出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36</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4,629.48</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六、经营收入</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六、科学技术支出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37</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七、附属单位上缴收入</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7</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七、文化旅游体育与传媒支出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38</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八、其他收入</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8</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八、社会保障和就业支出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39</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476.49</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9</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九、卫生健康支出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40</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197.95</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十、节能环保支出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41</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11</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十一、城乡社区支出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42</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12</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十二、农林水支出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43</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13</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十三、交通运输支出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44</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14</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十四、资源勘探工业信息等支出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45</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15</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十五、商业服务业等支出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46</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16</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十六、金融支出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17</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十七、援助其他地区支出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48</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18</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十八、自然资源海洋气象等支出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49</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十九、住房保障支出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50</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二十、粮油物资储备支出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51</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21</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二十一、国有资本经营预算支出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52</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22</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二十二、灾害防治及应急管理支出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23</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二十三、其他支出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54</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24</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二十四、债务还本支出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55</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25</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二十五、债务付息支出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56</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26</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二十六、抗疫特别国债安排的支出</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57</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本年收入合计</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27</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5,316.26</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本年支出合计</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58</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5,316.26</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使用非财政拨款结余（含专用结余）</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28</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结余分配</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59</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年初结转和结余</w:t>
            </w:r>
            <w:r>
              <w:rPr>
                <w:rFonts w:ascii="Times New Roman" w:hAnsi="Times New Roman" w:eastAsia="Times New Roman" w:cs="Times New Roman"/>
                <w:b w:val="0"/>
                <w:bCs w:val="0"/>
                <w:i w:val="0"/>
                <w:iCs w:val="0"/>
                <w:smallCaps w:val="0"/>
                <w:color w:val="auto"/>
                <w:kern w:val="0"/>
                <w:sz w:val="18"/>
                <w:szCs w:val="18"/>
              </w:rPr>
              <w:t xml:space="preserve">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29</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年末结转和结余</w:t>
            </w:r>
            <w:r>
              <w:rPr>
                <w:rFonts w:ascii="Times New Roman" w:hAnsi="Times New Roman" w:eastAsia="Times New Roman" w:cs="Times New Roman"/>
                <w:b w:val="0"/>
                <w:bCs w:val="0"/>
                <w:i w:val="0"/>
                <w:iCs w:val="0"/>
                <w:smallCaps w:val="0"/>
                <w:color w:val="auto"/>
                <w:kern w:val="0"/>
                <w:sz w:val="18"/>
                <w:szCs w:val="18"/>
              </w:rPr>
              <w:t xml:space="preserve">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60</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61</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7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总计</w:t>
            </w:r>
          </w:p>
        </w:tc>
        <w:tc>
          <w:tcPr>
            <w:tcW w:w="56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w:t>
            </w:r>
          </w:p>
        </w:tc>
        <w:tc>
          <w:tcPr>
            <w:tcW w:w="123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5,316.26</w:t>
            </w:r>
          </w:p>
        </w:tc>
        <w:tc>
          <w:tcPr>
            <w:tcW w:w="2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总计</w:t>
            </w:r>
          </w:p>
        </w:tc>
        <w:tc>
          <w:tcPr>
            <w:tcW w:w="7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62</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5,316.26</w:t>
            </w:r>
          </w:p>
        </w:tc>
      </w:tr>
      <w:tr>
        <w:tblPrEx>
          <w:tblLayout w:type="fixed"/>
          <w:tblCellMar>
            <w:top w:w="15" w:type="dxa"/>
            <w:left w:w="15" w:type="dxa"/>
            <w:bottom w:w="15" w:type="dxa"/>
            <w:right w:w="15" w:type="dxa"/>
          </w:tblCellMar>
        </w:tblPrEx>
        <w:trPr>
          <w:trHeight w:val="0" w:hRule="atLeast"/>
          <w:jc w:val="center"/>
        </w:trPr>
        <w:tc>
          <w:tcPr>
            <w:tcW w:w="9383" w:type="dxa"/>
            <w:gridSpan w:val="6"/>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注：</w:t>
            </w:r>
            <w:r>
              <w:rPr>
                <w:rFonts w:ascii="Times New Roman" w:hAnsi="Times New Roman" w:eastAsia="Times New Roman" w:cs="Times New Roman"/>
                <w:b w:val="0"/>
                <w:bCs w:val="0"/>
                <w:i w:val="0"/>
                <w:iCs w:val="0"/>
                <w:smallCaps w:val="0"/>
                <w:color w:val="auto"/>
                <w:kern w:val="0"/>
                <w:sz w:val="18"/>
                <w:szCs w:val="18"/>
              </w:rPr>
              <w:t>1.</w:t>
            </w:r>
            <w:r>
              <w:rPr>
                <w:rFonts w:ascii="宋体" w:hAnsi="宋体" w:eastAsia="宋体" w:cs="宋体"/>
                <w:b w:val="0"/>
                <w:bCs w:val="0"/>
                <w:i w:val="0"/>
                <w:iCs w:val="0"/>
                <w:smallCaps w:val="0"/>
                <w:color w:val="auto"/>
                <w:kern w:val="0"/>
                <w:sz w:val="18"/>
                <w:szCs w:val="18"/>
              </w:rPr>
              <w:t>本表反映部门本年度的总收支和年末结转结余情况。</w:t>
            </w:r>
          </w:p>
        </w:tc>
      </w:tr>
      <w:tr>
        <w:tblPrEx>
          <w:tblLayout w:type="fixed"/>
          <w:tblCellMar>
            <w:top w:w="15" w:type="dxa"/>
            <w:left w:w="15" w:type="dxa"/>
            <w:bottom w:w="15" w:type="dxa"/>
            <w:right w:w="15" w:type="dxa"/>
          </w:tblCellMar>
        </w:tblPrEx>
        <w:trPr>
          <w:trHeight w:val="0" w:hRule="atLeast"/>
          <w:jc w:val="center"/>
        </w:trPr>
        <w:tc>
          <w:tcPr>
            <w:tcW w:w="9383" w:type="dxa"/>
            <w:gridSpan w:val="6"/>
            <w:noWrap w:val="0"/>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w:t>
            </w:r>
            <w:r>
              <w:rPr>
                <w:rFonts w:ascii="宋体" w:hAnsi="宋体" w:eastAsia="宋体" w:cs="宋体"/>
                <w:b w:val="0"/>
                <w:bCs w:val="0"/>
                <w:i w:val="0"/>
                <w:iCs w:val="0"/>
                <w:smallCaps w:val="0"/>
                <w:color w:val="auto"/>
                <w:kern w:val="0"/>
                <w:sz w:val="18"/>
                <w:szCs w:val="18"/>
              </w:rPr>
              <w:t>本套报表金额单位转换时可能存在尾数误差。</w:t>
            </w:r>
          </w:p>
        </w:tc>
      </w:tr>
    </w:tbl>
    <w:p>
      <w:pPr>
        <w:widowControl/>
        <w:jc w:val="left"/>
        <w:rPr>
          <w:rFonts w:ascii="Times New Roman" w:hAnsi="Times New Roman" w:eastAsia="Times New Roman" w:cs="Times New Roman"/>
          <w:color w:val="auto"/>
          <w:kern w:val="0"/>
          <w:sz w:val="24"/>
        </w:rPr>
      </w:pPr>
      <w:r>
        <w:rPr>
          <w:rFonts w:ascii="Times New Roman" w:hAnsi="Times New Roman" w:eastAsia="Times New Roman" w:cs="Times New Roman"/>
          <w:color w:val="auto"/>
          <w:kern w:val="0"/>
          <w:sz w:val="24"/>
        </w:rPr>
        <w:t> </w:t>
      </w:r>
      <w:bookmarkStart w:id="33" w:name="_Toc256000039"/>
      <w:bookmarkStart w:id="34" w:name="_Toc256000008"/>
      <w:bookmarkStart w:id="35" w:name="_Toc256000101"/>
      <w:bookmarkStart w:id="36" w:name="_Toc256000070"/>
    </w:p>
    <w:p>
      <w:pPr>
        <w:widowControl/>
        <w:jc w:val="left"/>
        <w:rPr>
          <w:rFonts w:ascii="Times New Roman" w:hAnsi="Times New Roman" w:eastAsia="Times New Roman" w:cs="Times New Roman"/>
          <w:color w:val="auto"/>
          <w:kern w:val="0"/>
          <w:sz w:val="24"/>
        </w:rPr>
      </w:pPr>
    </w:p>
    <w:p>
      <w:pPr>
        <w:widowControl/>
        <w:jc w:val="left"/>
        <w:rPr>
          <w:rFonts w:ascii="Times New Roman" w:hAnsi="Times New Roman" w:eastAsia="Times New Roman" w:cs="Times New Roman"/>
          <w:b/>
          <w:bCs/>
          <w:color w:val="auto"/>
          <w:kern w:val="0"/>
          <w:sz w:val="28"/>
          <w:szCs w:val="28"/>
        </w:rPr>
      </w:pPr>
      <w:r>
        <w:rPr>
          <w:rFonts w:ascii="黑体" w:hAnsi="黑体" w:eastAsia="黑体" w:cs="黑体"/>
          <w:b w:val="0"/>
          <w:bCs w:val="0"/>
          <w:color w:val="auto"/>
          <w:spacing w:val="0"/>
          <w:kern w:val="0"/>
          <w:sz w:val="32"/>
          <w:szCs w:val="32"/>
          <w:lang w:val="en-US" w:eastAsia="zh-CN" w:bidi="ar-SA"/>
        </w:rPr>
        <w:t>二、收入决算表</w:t>
      </w:r>
      <w:bookmarkEnd w:id="33"/>
      <w:bookmarkEnd w:id="34"/>
      <w:bookmarkEnd w:id="35"/>
      <w:bookmarkEnd w:id="36"/>
    </w:p>
    <w:p>
      <w:pPr>
        <w:widowControl/>
        <w:spacing w:before="240" w:after="240"/>
        <w:jc w:val="left"/>
        <w:rPr>
          <w:rFonts w:ascii="Times New Roman" w:hAnsi="Times New Roman" w:eastAsia="Times New Roman" w:cs="Times New Roman"/>
          <w:vanish/>
          <w:color w:val="auto"/>
          <w:kern w:val="0"/>
          <w:sz w:val="24"/>
        </w:rPr>
      </w:pPr>
      <w:r>
        <w:rPr>
          <w:rFonts w:ascii="Times New Roman" w:hAnsi="Times New Roman" w:eastAsia="Times New Roman" w:cs="Times New Roman"/>
          <w:vanish/>
          <w:color w:val="auto"/>
          <w:kern w:val="0"/>
          <w:sz w:val="24"/>
        </w:rPr>
        <w:t>word horizontal layout</w:t>
      </w:r>
    </w:p>
    <w:tbl>
      <w:tblPr>
        <w:tblStyle w:val="23"/>
        <w:tblW w:w="9211" w:type="dxa"/>
        <w:jc w:val="center"/>
        <w:tblInd w:w="0" w:type="dxa"/>
        <w:tblLayout w:type="fixed"/>
        <w:tblCellMar>
          <w:top w:w="15" w:type="dxa"/>
          <w:left w:w="15" w:type="dxa"/>
          <w:bottom w:w="15" w:type="dxa"/>
          <w:right w:w="15" w:type="dxa"/>
        </w:tblCellMar>
      </w:tblPr>
      <w:tblGrid>
        <w:gridCol w:w="896"/>
        <w:gridCol w:w="1980"/>
        <w:gridCol w:w="915"/>
        <w:gridCol w:w="966"/>
        <w:gridCol w:w="854"/>
        <w:gridCol w:w="870"/>
        <w:gridCol w:w="900"/>
        <w:gridCol w:w="915"/>
        <w:gridCol w:w="915"/>
      </w:tblGrid>
      <w:tr>
        <w:tblPrEx>
          <w:tblLayout w:type="fixed"/>
          <w:tblCellMar>
            <w:top w:w="15" w:type="dxa"/>
            <w:left w:w="15" w:type="dxa"/>
            <w:bottom w:w="15" w:type="dxa"/>
            <w:right w:w="15" w:type="dxa"/>
          </w:tblCellMar>
        </w:tblPrEx>
        <w:trPr>
          <w:trHeight w:val="0" w:hRule="atLeast"/>
          <w:tblHeader/>
          <w:jc w:val="center"/>
        </w:trPr>
        <w:tc>
          <w:tcPr>
            <w:tcW w:w="9211"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32"/>
                <w:szCs w:val="32"/>
              </w:rPr>
              <w:t>收入决算表</w:t>
            </w:r>
          </w:p>
        </w:tc>
      </w:tr>
      <w:tr>
        <w:tblPrEx>
          <w:tblLayout w:type="fixed"/>
          <w:tblCellMar>
            <w:top w:w="15" w:type="dxa"/>
            <w:left w:w="15" w:type="dxa"/>
            <w:bottom w:w="15" w:type="dxa"/>
            <w:right w:w="15" w:type="dxa"/>
          </w:tblCellMar>
        </w:tblPrEx>
        <w:trPr>
          <w:trHeight w:val="0" w:hRule="atLeast"/>
          <w:jc w:val="center"/>
        </w:trPr>
        <w:tc>
          <w:tcPr>
            <w:tcW w:w="5611"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部门</w:t>
            </w:r>
            <w:r>
              <w:rPr>
                <w:rFonts w:ascii="Times New Roman" w:hAnsi="Times New Roman" w:eastAsia="Times New Roman" w:cs="Times New Roman"/>
                <w:b w:val="0"/>
                <w:bCs w:val="0"/>
                <w:i w:val="0"/>
                <w:iCs w:val="0"/>
                <w:smallCaps w:val="0"/>
                <w:color w:val="auto"/>
                <w:kern w:val="0"/>
                <w:sz w:val="18"/>
                <w:szCs w:val="18"/>
              </w:rPr>
              <w:t>/</w:t>
            </w:r>
            <w:r>
              <w:rPr>
                <w:rFonts w:ascii="宋体" w:hAnsi="宋体" w:eastAsia="宋体" w:cs="宋体"/>
                <w:b w:val="0"/>
                <w:bCs w:val="0"/>
                <w:i w:val="0"/>
                <w:iCs w:val="0"/>
                <w:smallCaps w:val="0"/>
                <w:color w:val="auto"/>
                <w:kern w:val="0"/>
                <w:sz w:val="18"/>
                <w:szCs w:val="18"/>
              </w:rPr>
              <w:t>单位：厦门市尚文实验学校</w:t>
            </w:r>
            <w:r>
              <w:rPr>
                <w:rFonts w:hint="eastAsia" w:ascii="宋体" w:hAnsi="宋体" w:cs="宋体"/>
                <w:b w:val="0"/>
                <w:bCs w:val="0"/>
                <w:i w:val="0"/>
                <w:iCs w:val="0"/>
                <w:smallCaps w:val="0"/>
                <w:color w:val="auto"/>
                <w:kern w:val="0"/>
                <w:sz w:val="18"/>
                <w:szCs w:val="18"/>
                <w:lang w:val="en-US" w:eastAsia="zh-CN"/>
              </w:rPr>
              <w:t xml:space="preserve">                   </w:t>
            </w:r>
            <w:r>
              <w:rPr>
                <w:rFonts w:ascii="Times New Roman" w:hAnsi="Times New Roman" w:eastAsia="Times New Roman" w:cs="Times New Roman"/>
                <w:b w:val="0"/>
                <w:bCs w:val="0"/>
                <w:i w:val="0"/>
                <w:iCs w:val="0"/>
                <w:smallCaps w:val="0"/>
                <w:color w:val="auto"/>
                <w:kern w:val="0"/>
                <w:sz w:val="18"/>
                <w:szCs w:val="18"/>
              </w:rPr>
              <w:t>2024</w:t>
            </w:r>
            <w:r>
              <w:rPr>
                <w:rFonts w:ascii="宋体" w:hAnsi="宋体" w:eastAsia="宋体" w:cs="宋体"/>
                <w:b w:val="0"/>
                <w:bCs w:val="0"/>
                <w:i w:val="0"/>
                <w:iCs w:val="0"/>
                <w:smallCaps w:val="0"/>
                <w:color w:val="auto"/>
                <w:kern w:val="0"/>
                <w:sz w:val="18"/>
                <w:szCs w:val="18"/>
              </w:rPr>
              <w:t>年度</w:t>
            </w:r>
          </w:p>
        </w:tc>
        <w:tc>
          <w:tcPr>
            <w:tcW w:w="87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830"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p>
            <w:pPr>
              <w:widowControl/>
              <w:jc w:val="righ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金额单位：万元</w:t>
            </w:r>
          </w:p>
        </w:tc>
      </w:tr>
      <w:tr>
        <w:tblPrEx>
          <w:tblLayout w:type="fixed"/>
          <w:tblCellMar>
            <w:top w:w="15" w:type="dxa"/>
            <w:left w:w="15" w:type="dxa"/>
            <w:bottom w:w="15" w:type="dxa"/>
            <w:right w:w="15" w:type="dxa"/>
          </w:tblCellMar>
        </w:tblPrEx>
        <w:trPr>
          <w:trHeight w:val="0" w:hRule="atLeast"/>
          <w:tblHeader/>
          <w:jc w:val="center"/>
        </w:trPr>
        <w:tc>
          <w:tcPr>
            <w:tcW w:w="287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项目</w:t>
            </w:r>
          </w:p>
        </w:tc>
        <w:tc>
          <w:tcPr>
            <w:tcW w:w="91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本年收入合计</w:t>
            </w:r>
          </w:p>
        </w:tc>
        <w:tc>
          <w:tcPr>
            <w:tcW w:w="96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财政拨款收入</w:t>
            </w:r>
            <w:r>
              <w:rPr>
                <w:rFonts w:ascii="Times New Roman" w:hAnsi="Times New Roman" w:eastAsia="Times New Roman" w:cs="Times New Roman"/>
                <w:b w:val="0"/>
                <w:bCs w:val="0"/>
                <w:i w:val="0"/>
                <w:iCs w:val="0"/>
                <w:smallCaps w:val="0"/>
                <w:color w:val="auto"/>
                <w:kern w:val="0"/>
                <w:sz w:val="18"/>
                <w:szCs w:val="18"/>
              </w:rPr>
              <w:t xml:space="preserve"> </w:t>
            </w:r>
          </w:p>
        </w:tc>
        <w:tc>
          <w:tcPr>
            <w:tcW w:w="85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上级补助收入</w:t>
            </w:r>
          </w:p>
        </w:tc>
        <w:tc>
          <w:tcPr>
            <w:tcW w:w="87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事业收入</w:t>
            </w:r>
          </w:p>
        </w:tc>
        <w:tc>
          <w:tcPr>
            <w:tcW w:w="90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经营收入</w:t>
            </w:r>
          </w:p>
        </w:tc>
        <w:tc>
          <w:tcPr>
            <w:tcW w:w="91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附属单位上缴收入</w:t>
            </w:r>
          </w:p>
        </w:tc>
        <w:tc>
          <w:tcPr>
            <w:tcW w:w="91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其他收入</w:t>
            </w:r>
          </w:p>
        </w:tc>
      </w:tr>
      <w:tr>
        <w:tblPrEx>
          <w:tblLayout w:type="fixed"/>
          <w:tblCellMar>
            <w:top w:w="15" w:type="dxa"/>
            <w:left w:w="15" w:type="dxa"/>
            <w:bottom w:w="15" w:type="dxa"/>
            <w:right w:w="15" w:type="dxa"/>
          </w:tblCellMar>
        </w:tblPrEx>
        <w:trPr>
          <w:trHeight w:val="312" w:hRule="atLeast"/>
          <w:tblHeader/>
          <w:jc w:val="center"/>
        </w:trPr>
        <w:tc>
          <w:tcPr>
            <w:tcW w:w="89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科目代码</w:t>
            </w:r>
          </w:p>
        </w:tc>
        <w:tc>
          <w:tcPr>
            <w:tcW w:w="198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科目名称</w:t>
            </w:r>
          </w:p>
        </w:tc>
        <w:tc>
          <w:tcPr>
            <w:tcW w:w="915"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966"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854"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870"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900"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915"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915"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89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98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915"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966"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854"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870"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900"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915"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915"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287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栏次</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7</w:t>
            </w:r>
          </w:p>
        </w:tc>
      </w:tr>
      <w:tr>
        <w:tblPrEx>
          <w:tblLayout w:type="fixed"/>
          <w:tblCellMar>
            <w:top w:w="15" w:type="dxa"/>
            <w:left w:w="15" w:type="dxa"/>
            <w:bottom w:w="15" w:type="dxa"/>
            <w:right w:w="15" w:type="dxa"/>
          </w:tblCellMar>
        </w:tblPrEx>
        <w:trPr>
          <w:trHeight w:val="0" w:hRule="atLeast"/>
          <w:jc w:val="center"/>
        </w:trPr>
        <w:tc>
          <w:tcPr>
            <w:tcW w:w="287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合计</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5,316.26</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5,316.26</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201</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一般公共服务支出</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20129</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群众团体事务</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2012902</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一般行政管理事务</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教育支出</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4,629.48</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4,629.48</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20501</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教育管理事务</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2050199</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其他教育管理事务支出</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20502</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普通教育</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4,421.52</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4,421.52</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2050202</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小学教育</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1,354.08</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1,354.08</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2050203</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初中教育</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2,556.4</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2,556.4</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2050299</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其他普通教育支出</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511.04</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511.04</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20509</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教育费附加安排的支出</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204.96</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204.96</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2050999</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其他教育费附加安排的支出</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204.96</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204.96</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208</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社会保障和就业支出</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476.49</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476.49</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20805</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行政事业单位养老支出</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476.49</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476.49</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2080502</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事业单位离退休</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6.97</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6.97</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2080505</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机关事业单位基本养老保险缴费支出</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305.93</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305.93</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2080506</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机关事业单位职业年金缴费支出</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163.59</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163.59</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210</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卫生健康支出</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197.95</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197.95</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21011</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行政事业单位医疗</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197.95</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197.95</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2101102</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事业单位医疗</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130.98</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130.98</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2101199</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其他行政事业单位医疗支出</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66.96</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66.96</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221</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住房保障支出</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22102</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住房改革支出</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8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2210203</w:t>
            </w:r>
          </w:p>
        </w:tc>
        <w:tc>
          <w:tcPr>
            <w:tcW w:w="19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购房补贴</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9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11"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注：本表反映部门本年度取得的各项收入情况。</w:t>
            </w:r>
          </w:p>
        </w:tc>
      </w:tr>
    </w:tbl>
    <w:p>
      <w:pPr>
        <w:widowControl/>
        <w:jc w:val="left"/>
        <w:rPr>
          <w:rFonts w:ascii="Times New Roman" w:hAnsi="Times New Roman" w:eastAsia="Times New Roman" w:cs="Times New Roman"/>
          <w:color w:val="auto"/>
          <w:kern w:val="0"/>
          <w:sz w:val="24"/>
        </w:rPr>
      </w:pPr>
      <w:r>
        <w:rPr>
          <w:rFonts w:ascii="Times New Roman" w:hAnsi="Times New Roman" w:eastAsia="Times New Roman" w:cs="Times New Roman"/>
          <w:color w:val="auto"/>
          <w:kern w:val="0"/>
          <w:sz w:val="24"/>
        </w:rPr>
        <w:t> </w:t>
      </w:r>
    </w:p>
    <w:p>
      <w:pPr>
        <w:pStyle w:val="6"/>
        <w:keepNext w:val="0"/>
        <w:keepLines w:val="0"/>
        <w:spacing w:before="100" w:after="100" w:line="240" w:lineRule="auto"/>
        <w:ind w:left="0" w:leftChars="0" w:right="0" w:firstLine="0" w:firstLineChars="0"/>
        <w:rPr>
          <w:rFonts w:ascii="Times New Roman" w:hAnsi="Times New Roman" w:eastAsia="Times New Roman" w:cs="Times New Roman"/>
          <w:b w:val="0"/>
          <w:bCs w:val="0"/>
          <w:color w:val="auto"/>
          <w:kern w:val="0"/>
          <w:sz w:val="28"/>
          <w:szCs w:val="28"/>
        </w:rPr>
      </w:pPr>
      <w:bookmarkStart w:id="37" w:name="_Toc256000102"/>
      <w:bookmarkStart w:id="38" w:name="_Toc256000009"/>
      <w:bookmarkStart w:id="39" w:name="_Toc256000040"/>
      <w:bookmarkStart w:id="40" w:name="_Toc256000071"/>
      <w:r>
        <w:rPr>
          <w:rFonts w:ascii="黑体" w:hAnsi="黑体" w:eastAsia="黑体" w:cs="黑体"/>
          <w:b w:val="0"/>
          <w:bCs w:val="0"/>
          <w:color w:val="auto"/>
          <w:spacing w:val="0"/>
        </w:rPr>
        <w:t>三、支出决算表</w:t>
      </w:r>
      <w:bookmarkEnd w:id="37"/>
      <w:bookmarkEnd w:id="38"/>
      <w:bookmarkEnd w:id="39"/>
      <w:bookmarkEnd w:id="40"/>
    </w:p>
    <w:p>
      <w:pPr>
        <w:widowControl/>
        <w:spacing w:before="240" w:after="240"/>
        <w:jc w:val="left"/>
        <w:rPr>
          <w:rFonts w:ascii="Times New Roman" w:hAnsi="Times New Roman" w:eastAsia="Times New Roman" w:cs="Times New Roman"/>
          <w:vanish/>
          <w:color w:val="auto"/>
          <w:kern w:val="0"/>
          <w:sz w:val="24"/>
        </w:rPr>
      </w:pPr>
      <w:r>
        <w:rPr>
          <w:rFonts w:ascii="Times New Roman" w:hAnsi="Times New Roman" w:eastAsia="Times New Roman" w:cs="Times New Roman"/>
          <w:vanish/>
          <w:color w:val="auto"/>
          <w:kern w:val="0"/>
          <w:sz w:val="24"/>
        </w:rPr>
        <w:t>word horizontal layout</w:t>
      </w:r>
    </w:p>
    <w:tbl>
      <w:tblPr>
        <w:tblStyle w:val="23"/>
        <w:tblW w:w="9835" w:type="dxa"/>
        <w:jc w:val="center"/>
        <w:tblInd w:w="0" w:type="dxa"/>
        <w:tblLayout w:type="fixed"/>
        <w:tblCellMar>
          <w:top w:w="15" w:type="dxa"/>
          <w:left w:w="15" w:type="dxa"/>
          <w:bottom w:w="15" w:type="dxa"/>
          <w:right w:w="15" w:type="dxa"/>
        </w:tblCellMar>
      </w:tblPr>
      <w:tblGrid>
        <w:gridCol w:w="943"/>
        <w:gridCol w:w="2248"/>
        <w:gridCol w:w="1215"/>
        <w:gridCol w:w="1245"/>
        <w:gridCol w:w="1125"/>
        <w:gridCol w:w="1162"/>
        <w:gridCol w:w="900"/>
        <w:gridCol w:w="997"/>
      </w:tblGrid>
      <w:tr>
        <w:tblPrEx>
          <w:tblLayout w:type="fixed"/>
          <w:tblCellMar>
            <w:top w:w="15" w:type="dxa"/>
            <w:left w:w="15" w:type="dxa"/>
            <w:bottom w:w="15" w:type="dxa"/>
            <w:right w:w="15" w:type="dxa"/>
          </w:tblCellMar>
        </w:tblPrEx>
        <w:trPr>
          <w:trHeight w:val="760" w:hRule="atLeast"/>
          <w:tblHeader/>
          <w:jc w:val="center"/>
        </w:trPr>
        <w:tc>
          <w:tcPr>
            <w:tcW w:w="9835" w:type="dxa"/>
            <w:gridSpan w:val="8"/>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32"/>
                <w:szCs w:val="32"/>
              </w:rPr>
              <w:t>支出决算表</w:t>
            </w:r>
          </w:p>
        </w:tc>
      </w:tr>
      <w:tr>
        <w:tblPrEx>
          <w:tblLayout w:type="fixed"/>
          <w:tblCellMar>
            <w:top w:w="15" w:type="dxa"/>
            <w:left w:w="15" w:type="dxa"/>
            <w:bottom w:w="15" w:type="dxa"/>
            <w:right w:w="15" w:type="dxa"/>
          </w:tblCellMar>
        </w:tblPrEx>
        <w:trPr>
          <w:trHeight w:val="276" w:hRule="atLeast"/>
          <w:jc w:val="center"/>
        </w:trPr>
        <w:tc>
          <w:tcPr>
            <w:tcW w:w="4406"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部门</w:t>
            </w:r>
            <w:r>
              <w:rPr>
                <w:rFonts w:ascii="Times New Roman" w:hAnsi="Times New Roman" w:eastAsia="Times New Roman" w:cs="Times New Roman"/>
                <w:b w:val="0"/>
                <w:bCs w:val="0"/>
                <w:i w:val="0"/>
                <w:iCs w:val="0"/>
                <w:smallCaps w:val="0"/>
                <w:color w:val="auto"/>
                <w:kern w:val="0"/>
                <w:sz w:val="18"/>
                <w:szCs w:val="18"/>
              </w:rPr>
              <w:t>/</w:t>
            </w:r>
            <w:r>
              <w:rPr>
                <w:rFonts w:ascii="宋体" w:hAnsi="宋体" w:eastAsia="宋体" w:cs="宋体"/>
                <w:b w:val="0"/>
                <w:bCs w:val="0"/>
                <w:i w:val="0"/>
                <w:iCs w:val="0"/>
                <w:smallCaps w:val="0"/>
                <w:color w:val="auto"/>
                <w:kern w:val="0"/>
                <w:sz w:val="18"/>
                <w:szCs w:val="18"/>
              </w:rPr>
              <w:t>单位：厦门市尚文实验学校</w:t>
            </w:r>
          </w:p>
        </w:tc>
        <w:tc>
          <w:tcPr>
            <w:tcW w:w="2370"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both"/>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2024</w:t>
            </w:r>
            <w:r>
              <w:rPr>
                <w:rFonts w:ascii="宋体" w:hAnsi="宋体" w:eastAsia="宋体" w:cs="宋体"/>
                <w:b w:val="0"/>
                <w:bCs w:val="0"/>
                <w:i w:val="0"/>
                <w:iCs w:val="0"/>
                <w:smallCaps w:val="0"/>
                <w:color w:val="auto"/>
                <w:kern w:val="0"/>
                <w:sz w:val="18"/>
                <w:szCs w:val="18"/>
              </w:rPr>
              <w:t>年度</w:t>
            </w:r>
            <w:r>
              <w:rPr>
                <w:rFonts w:ascii="Times New Roman" w:hAnsi="Times New Roman" w:eastAsia="Times New Roman" w:cs="Times New Roman"/>
                <w:b w:val="0"/>
                <w:bCs w:val="0"/>
                <w:i w:val="0"/>
                <w:iCs w:val="0"/>
                <w:smallCaps w:val="0"/>
                <w:color w:val="auto"/>
                <w:kern w:val="0"/>
                <w:sz w:val="18"/>
                <w:szCs w:val="18"/>
              </w:rPr>
              <w:t> </w:t>
            </w:r>
          </w:p>
        </w:tc>
        <w:tc>
          <w:tcPr>
            <w:tcW w:w="116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897"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r>
              <w:rPr>
                <w:rFonts w:ascii="宋体" w:hAnsi="宋体" w:eastAsia="宋体" w:cs="宋体"/>
                <w:b w:val="0"/>
                <w:bCs w:val="0"/>
                <w:i w:val="0"/>
                <w:iCs w:val="0"/>
                <w:smallCaps w:val="0"/>
                <w:color w:val="auto"/>
                <w:kern w:val="0"/>
                <w:sz w:val="18"/>
                <w:szCs w:val="18"/>
              </w:rPr>
              <w:t>金额单位：万元</w:t>
            </w:r>
          </w:p>
        </w:tc>
      </w:tr>
      <w:tr>
        <w:tblPrEx>
          <w:tblLayout w:type="fixed"/>
          <w:tblCellMar>
            <w:top w:w="15" w:type="dxa"/>
            <w:left w:w="15" w:type="dxa"/>
            <w:bottom w:w="15" w:type="dxa"/>
            <w:right w:w="15" w:type="dxa"/>
          </w:tblCellMar>
        </w:tblPrEx>
        <w:trPr>
          <w:trHeight w:val="0" w:hRule="atLeast"/>
          <w:tblHeader/>
          <w:jc w:val="center"/>
        </w:trPr>
        <w:tc>
          <w:tcPr>
            <w:tcW w:w="3191"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项目</w:t>
            </w:r>
          </w:p>
        </w:tc>
        <w:tc>
          <w:tcPr>
            <w:tcW w:w="121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本年支出合计</w:t>
            </w:r>
          </w:p>
        </w:tc>
        <w:tc>
          <w:tcPr>
            <w:tcW w:w="124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基本支出</w:t>
            </w:r>
          </w:p>
        </w:tc>
        <w:tc>
          <w:tcPr>
            <w:tcW w:w="112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项目支出</w:t>
            </w:r>
          </w:p>
        </w:tc>
        <w:tc>
          <w:tcPr>
            <w:tcW w:w="116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上缴上级支出</w:t>
            </w:r>
          </w:p>
        </w:tc>
        <w:tc>
          <w:tcPr>
            <w:tcW w:w="90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经营支出</w:t>
            </w:r>
          </w:p>
        </w:tc>
        <w:tc>
          <w:tcPr>
            <w:tcW w:w="99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对附属单位补助支出</w:t>
            </w:r>
          </w:p>
        </w:tc>
      </w:tr>
      <w:tr>
        <w:tblPrEx>
          <w:tblLayout w:type="fixed"/>
          <w:tblCellMar>
            <w:top w:w="15" w:type="dxa"/>
            <w:left w:w="15" w:type="dxa"/>
            <w:bottom w:w="15" w:type="dxa"/>
            <w:right w:w="15" w:type="dxa"/>
          </w:tblCellMar>
        </w:tblPrEx>
        <w:trPr>
          <w:trHeight w:val="312" w:hRule="atLeast"/>
          <w:tblHeader/>
          <w:jc w:val="center"/>
        </w:trPr>
        <w:tc>
          <w:tcPr>
            <w:tcW w:w="94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科目代码</w:t>
            </w:r>
          </w:p>
        </w:tc>
        <w:tc>
          <w:tcPr>
            <w:tcW w:w="224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科目名称</w:t>
            </w:r>
          </w:p>
        </w:tc>
        <w:tc>
          <w:tcPr>
            <w:tcW w:w="121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24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12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16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90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99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94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224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21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24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12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16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90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99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3191"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栏次</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w:t>
            </w:r>
          </w:p>
        </w:tc>
      </w:tr>
      <w:tr>
        <w:tblPrEx>
          <w:tblLayout w:type="fixed"/>
          <w:tblCellMar>
            <w:top w:w="15" w:type="dxa"/>
            <w:left w:w="15" w:type="dxa"/>
            <w:bottom w:w="15" w:type="dxa"/>
            <w:right w:w="15" w:type="dxa"/>
          </w:tblCellMar>
        </w:tblPrEx>
        <w:trPr>
          <w:trHeight w:val="0" w:hRule="atLeast"/>
          <w:jc w:val="center"/>
        </w:trPr>
        <w:tc>
          <w:tcPr>
            <w:tcW w:w="3191"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合计</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5,316.26</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4,701.43</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614.82</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201</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一般公共服务支出</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20129</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群众团体事务</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2012902</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一般行政管理事务</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教育支出</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4,629.48</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4,016.6</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612.88</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20501</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教育管理事务</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2050199</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其他教育管理事务支出</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20502</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普通教育</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4,421.52</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4,016.6</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404.92</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2050202</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小学教育</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1,354.08</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1,354.08</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2050203</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初中教育</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2,556.4</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2,556.4</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2050299</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其他普通教育支出</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511.04</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106.12</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404.92</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20509</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教育费附加安排的支出</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204.96</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204.96</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2050999</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其他教育费附加安排的支出</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204.96</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204.96</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208</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社会保障和就业支出</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476.49</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476.49</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20805</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行政事业单位养老支出</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476.49</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476.49</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2080502</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事业单位离退休</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6.97</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6.97</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2080505</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机关事业单位基本养老保险缴费支出</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305.93</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305.93</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2080506</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机关事业单位职业年金缴费支出</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163.59</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163.59</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210</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卫生健康支出</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197.95</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197.95</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21011</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行政事业单位医疗</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197.95</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197.95</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2101102</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事业单位医疗</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130.98</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130.98</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2101199</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其他行政事业单位医疗支出</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66.96</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66.96</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221</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住房保障支出</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22102</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住房改革支出</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2210203</w:t>
            </w:r>
          </w:p>
        </w:tc>
        <w:tc>
          <w:tcPr>
            <w:tcW w:w="22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购房补贴</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12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6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835" w:type="dxa"/>
            <w:gridSpan w:val="8"/>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注：本表反映部门本年度各项支出情况。</w:t>
            </w:r>
          </w:p>
        </w:tc>
      </w:tr>
    </w:tbl>
    <w:p>
      <w:pPr>
        <w:widowControl/>
        <w:jc w:val="left"/>
        <w:rPr>
          <w:rFonts w:ascii="Times New Roman" w:hAnsi="Times New Roman" w:eastAsia="Times New Roman" w:cs="Times New Roman"/>
          <w:color w:val="auto"/>
          <w:kern w:val="0"/>
          <w:sz w:val="24"/>
        </w:rPr>
      </w:pPr>
      <w:r>
        <w:rPr>
          <w:rFonts w:ascii="Times New Roman" w:hAnsi="Times New Roman" w:eastAsia="Times New Roman" w:cs="Times New Roman"/>
          <w:color w:val="auto"/>
          <w:kern w:val="0"/>
          <w:sz w:val="24"/>
        </w:rPr>
        <w:t> </w:t>
      </w:r>
    </w:p>
    <w:p>
      <w:pPr>
        <w:pStyle w:val="30"/>
        <w:widowControl/>
        <w:spacing w:before="100" w:after="100"/>
        <w:ind w:left="0" w:right="0" w:firstLine="0"/>
        <w:jc w:val="left"/>
        <w:rPr>
          <w:rFonts w:ascii="Times New Roman" w:hAnsi="Times New Roman" w:eastAsia="Times New Roman" w:cs="Times New Roman"/>
          <w:color w:val="auto"/>
          <w:kern w:val="0"/>
          <w:sz w:val="24"/>
        </w:rPr>
      </w:pPr>
      <w:r>
        <w:rPr>
          <w:rFonts w:ascii="Times New Roman" w:hAnsi="Times New Roman" w:eastAsia="Times New Roman" w:cs="Times New Roman"/>
          <w:color w:val="auto"/>
          <w:spacing w:val="0"/>
          <w:kern w:val="0"/>
          <w:sz w:val="27"/>
          <w:szCs w:val="27"/>
        </w:rPr>
        <w:t> </w:t>
      </w:r>
    </w:p>
    <w:p>
      <w:pPr>
        <w:pStyle w:val="6"/>
        <w:keepNext w:val="0"/>
        <w:keepLines w:val="0"/>
        <w:spacing w:before="100" w:after="100" w:line="240" w:lineRule="auto"/>
        <w:ind w:left="0" w:leftChars="0" w:right="0" w:firstLine="0" w:firstLineChars="0"/>
        <w:rPr>
          <w:rFonts w:ascii="Times New Roman" w:hAnsi="Times New Roman" w:eastAsia="Times New Roman" w:cs="Times New Roman"/>
          <w:b w:val="0"/>
          <w:bCs w:val="0"/>
          <w:color w:val="auto"/>
          <w:kern w:val="0"/>
          <w:sz w:val="28"/>
          <w:szCs w:val="28"/>
        </w:rPr>
      </w:pPr>
      <w:bookmarkStart w:id="41" w:name="_Toc256000010"/>
      <w:bookmarkStart w:id="42" w:name="_Toc256000072"/>
      <w:bookmarkStart w:id="43" w:name="_Toc256000103"/>
      <w:bookmarkStart w:id="44" w:name="_Toc256000041"/>
      <w:r>
        <w:rPr>
          <w:rFonts w:ascii="黑体" w:hAnsi="黑体" w:eastAsia="黑体" w:cs="黑体"/>
          <w:b w:val="0"/>
          <w:bCs w:val="0"/>
          <w:color w:val="auto"/>
          <w:spacing w:val="0"/>
        </w:rPr>
        <w:t>四、财政拨款收入支出决算总表</w:t>
      </w:r>
      <w:bookmarkEnd w:id="41"/>
      <w:bookmarkEnd w:id="42"/>
      <w:bookmarkEnd w:id="43"/>
      <w:bookmarkEnd w:id="44"/>
    </w:p>
    <w:p>
      <w:pPr>
        <w:widowControl/>
        <w:spacing w:before="240" w:after="240"/>
        <w:jc w:val="left"/>
        <w:rPr>
          <w:rFonts w:ascii="Times New Roman" w:hAnsi="Times New Roman" w:eastAsia="Times New Roman" w:cs="Times New Roman"/>
          <w:vanish/>
          <w:color w:val="auto"/>
          <w:kern w:val="0"/>
          <w:sz w:val="24"/>
        </w:rPr>
      </w:pPr>
      <w:r>
        <w:rPr>
          <w:rFonts w:ascii="Times New Roman" w:hAnsi="Times New Roman" w:eastAsia="Times New Roman" w:cs="Times New Roman"/>
          <w:vanish/>
          <w:color w:val="auto"/>
          <w:kern w:val="0"/>
          <w:sz w:val="24"/>
        </w:rPr>
        <w:t>word horizontal layout</w:t>
      </w:r>
    </w:p>
    <w:tbl>
      <w:tblPr>
        <w:tblStyle w:val="23"/>
        <w:tblW w:w="9828" w:type="dxa"/>
        <w:jc w:val="center"/>
        <w:tblInd w:w="0" w:type="dxa"/>
        <w:tblLayout w:type="fixed"/>
        <w:tblCellMar>
          <w:top w:w="15" w:type="dxa"/>
          <w:left w:w="15" w:type="dxa"/>
          <w:bottom w:w="15" w:type="dxa"/>
          <w:right w:w="15" w:type="dxa"/>
        </w:tblCellMar>
      </w:tblPr>
      <w:tblGrid>
        <w:gridCol w:w="1654"/>
        <w:gridCol w:w="620"/>
        <w:gridCol w:w="865"/>
        <w:gridCol w:w="1695"/>
        <w:gridCol w:w="600"/>
        <w:gridCol w:w="960"/>
        <w:gridCol w:w="1005"/>
        <w:gridCol w:w="1170"/>
        <w:gridCol w:w="1259"/>
      </w:tblGrid>
      <w:tr>
        <w:tblPrEx>
          <w:tblLayout w:type="fixed"/>
          <w:tblCellMar>
            <w:top w:w="15" w:type="dxa"/>
            <w:left w:w="15" w:type="dxa"/>
            <w:bottom w:w="15" w:type="dxa"/>
            <w:right w:w="15" w:type="dxa"/>
          </w:tblCellMar>
        </w:tblPrEx>
        <w:trPr>
          <w:trHeight w:val="0" w:hRule="atLeast"/>
          <w:tblHeader/>
          <w:jc w:val="center"/>
        </w:trPr>
        <w:tc>
          <w:tcPr>
            <w:tcW w:w="9828"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32"/>
                <w:szCs w:val="32"/>
              </w:rPr>
              <w:t>财政拨款收入支出决算总表</w:t>
            </w:r>
          </w:p>
        </w:tc>
      </w:tr>
      <w:tr>
        <w:tblPrEx>
          <w:tblLayout w:type="fixed"/>
          <w:tblCellMar>
            <w:top w:w="15" w:type="dxa"/>
            <w:left w:w="15" w:type="dxa"/>
            <w:bottom w:w="15" w:type="dxa"/>
            <w:right w:w="15" w:type="dxa"/>
          </w:tblCellMar>
        </w:tblPrEx>
        <w:trPr>
          <w:trHeight w:val="0" w:hRule="atLeast"/>
          <w:tblHeader/>
          <w:jc w:val="center"/>
        </w:trPr>
        <w:tc>
          <w:tcPr>
            <w:tcW w:w="3139"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both"/>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部门</w:t>
            </w:r>
            <w:r>
              <w:rPr>
                <w:rFonts w:ascii="Times New Roman" w:hAnsi="Times New Roman" w:eastAsia="Times New Roman" w:cs="Times New Roman"/>
                <w:b w:val="0"/>
                <w:bCs w:val="0"/>
                <w:i w:val="0"/>
                <w:iCs w:val="0"/>
                <w:smallCaps w:val="0"/>
                <w:color w:val="auto"/>
                <w:kern w:val="0"/>
                <w:sz w:val="18"/>
                <w:szCs w:val="18"/>
              </w:rPr>
              <w:t>/</w:t>
            </w:r>
            <w:r>
              <w:rPr>
                <w:rFonts w:ascii="宋体" w:hAnsi="宋体" w:eastAsia="宋体" w:cs="宋体"/>
                <w:b w:val="0"/>
                <w:bCs w:val="0"/>
                <w:i w:val="0"/>
                <w:iCs w:val="0"/>
                <w:smallCaps w:val="0"/>
                <w:color w:val="auto"/>
                <w:kern w:val="0"/>
                <w:sz w:val="18"/>
                <w:szCs w:val="18"/>
              </w:rPr>
              <w:t>单位：厦门市尚文实验学校</w:t>
            </w:r>
            <w:r>
              <w:rPr>
                <w:rFonts w:ascii="Times New Roman" w:hAnsi="Times New Roman" w:eastAsia="Times New Roman" w:cs="Times New Roman"/>
                <w:b w:val="0"/>
                <w:bCs w:val="0"/>
                <w:i w:val="0"/>
                <w:iCs w:val="0"/>
                <w:smallCaps w:val="0"/>
                <w:color w:val="auto"/>
                <w:kern w:val="0"/>
                <w:sz w:val="18"/>
                <w:szCs w:val="18"/>
              </w:rPr>
              <w:t>  </w:t>
            </w:r>
          </w:p>
        </w:tc>
        <w:tc>
          <w:tcPr>
            <w:tcW w:w="229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r>
              <w:rPr>
                <w:rFonts w:hint="eastAsia" w:cs="Times New Roman"/>
                <w:b w:val="0"/>
                <w:bCs w:val="0"/>
                <w:i w:val="0"/>
                <w:iCs w:val="0"/>
                <w:smallCaps w:val="0"/>
                <w:color w:val="auto"/>
                <w:kern w:val="0"/>
                <w:sz w:val="18"/>
                <w:szCs w:val="18"/>
                <w:lang w:val="en-US" w:eastAsia="zh-CN"/>
              </w:rPr>
              <w:t xml:space="preserve">                     </w:t>
            </w:r>
            <w:r>
              <w:rPr>
                <w:rFonts w:ascii="Times New Roman" w:hAnsi="Times New Roman" w:eastAsia="Times New Roman" w:cs="Times New Roman"/>
                <w:b w:val="0"/>
                <w:bCs w:val="0"/>
                <w:i w:val="0"/>
                <w:iCs w:val="0"/>
                <w:smallCaps w:val="0"/>
                <w:color w:val="auto"/>
                <w:kern w:val="0"/>
                <w:sz w:val="18"/>
                <w:szCs w:val="18"/>
              </w:rPr>
              <w:t>2024</w:t>
            </w:r>
            <w:r>
              <w:rPr>
                <w:rFonts w:ascii="宋体" w:hAnsi="宋体" w:eastAsia="宋体" w:cs="宋体"/>
                <w:b w:val="0"/>
                <w:bCs w:val="0"/>
                <w:i w:val="0"/>
                <w:iCs w:val="0"/>
                <w:smallCaps w:val="0"/>
                <w:color w:val="auto"/>
                <w:kern w:val="0"/>
                <w:sz w:val="18"/>
                <w:szCs w:val="18"/>
              </w:rPr>
              <w:t>年度</w:t>
            </w:r>
          </w:p>
        </w:tc>
        <w:tc>
          <w:tcPr>
            <w:tcW w:w="96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429"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p>
            <w:pPr>
              <w:widowControl/>
              <w:jc w:val="righ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313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收入</w:t>
            </w:r>
          </w:p>
        </w:tc>
        <w:tc>
          <w:tcPr>
            <w:tcW w:w="6689"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支出</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项目</w:t>
            </w:r>
            <w:r>
              <w:rPr>
                <w:rFonts w:ascii="Times New Roman" w:hAnsi="Times New Roman" w:eastAsia="Times New Roman" w:cs="Times New Roman"/>
                <w:b w:val="0"/>
                <w:bCs w:val="0"/>
                <w:i w:val="0"/>
                <w:iCs w:val="0"/>
                <w:smallCaps w:val="0"/>
                <w:color w:val="auto"/>
                <w:kern w:val="0"/>
                <w:sz w:val="18"/>
                <w:szCs w:val="18"/>
              </w:rPr>
              <w:t xml:space="preserve">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行次</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金额</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项目</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行次</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合计</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一般公共预算财政拨款</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政府性基金预算财政拨款</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国有资本经营预算财政拨款</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栏次</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栏次</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一、一般公共预算财政拨款</w:t>
            </w:r>
            <w:r>
              <w:rPr>
                <w:rFonts w:ascii="Times New Roman" w:hAnsi="Times New Roman" w:eastAsia="Times New Roman" w:cs="Times New Roman"/>
                <w:b w:val="0"/>
                <w:bCs w:val="0"/>
                <w:i w:val="0"/>
                <w:iCs w:val="0"/>
                <w:smallCaps w:val="0"/>
                <w:color w:val="auto"/>
                <w:kern w:val="0"/>
                <w:sz w:val="18"/>
                <w:szCs w:val="18"/>
              </w:rPr>
              <w:t xml:space="preserve">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5,316.26</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一、一般公共服务支出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33</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二、政府性基金预算财政拨款</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二、外交支出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34</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三、国有资本经营预算财政拨款</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三、国防支出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35</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四、公共安全支出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36</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五、教育支出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37</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4,629.48</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4,629.48</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六、科学技术支出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38</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7</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七、文化旅游体育与传媒支出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39</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8</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八、社会保障和就业支出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40</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476.49</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476.49</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9</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九、卫生健康支出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41</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197.95</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197.95</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十、节能环保支出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42</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11</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十一、城乡社区支出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43</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12</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十二、农林水支出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44</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13</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十三、交通运输支出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45</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14</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十四、资源勘探工业信息等支出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46</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15</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十五、商业服务业等支出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16</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十六、金融支出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48</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17</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十七、援助其他地区支出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49</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18</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十八、自然资源海洋气象等支出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50</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十九、住房保障支出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51</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二十、粮油物资储备支出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52</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21</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二十一、国有资本经营预算支出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22</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二十二、灾害防治及应急管理支出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54</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23</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二十三、其他支出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55</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24</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二十四、债务还本支出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56</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25</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二十五、债务付息支出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57</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26</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二十六、抗疫特别国债安排的支出</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58</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本年收入合计</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27</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5,316.26</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本年支出合计</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59</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5,316.26</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5,316.26</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年初财政拨款结转和结余</w:t>
            </w:r>
            <w:r>
              <w:rPr>
                <w:rFonts w:ascii="Times New Roman" w:hAnsi="Times New Roman" w:eastAsia="Times New Roman" w:cs="Times New Roman"/>
                <w:b w:val="0"/>
                <w:bCs w:val="0"/>
                <w:i w:val="0"/>
                <w:iCs w:val="0"/>
                <w:smallCaps w:val="0"/>
                <w:color w:val="auto"/>
                <w:kern w:val="0"/>
                <w:sz w:val="18"/>
                <w:szCs w:val="18"/>
              </w:rPr>
              <w:t xml:space="preserve">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28</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年末财政拨款结转和结余</w:t>
            </w:r>
            <w:r>
              <w:rPr>
                <w:rFonts w:ascii="Times New Roman" w:hAnsi="Times New Roman" w:eastAsia="Times New Roman" w:cs="Times New Roman"/>
                <w:b w:val="0"/>
                <w:bCs w:val="0"/>
                <w:i w:val="0"/>
                <w:iCs w:val="0"/>
                <w:smallCaps w:val="0"/>
                <w:color w:val="auto"/>
                <w:kern w:val="0"/>
                <w:sz w:val="18"/>
                <w:szCs w:val="18"/>
              </w:rPr>
              <w:t xml:space="preserve"> </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60</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一、一般公共预算财政拨款</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29</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61</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二、政府性基金预算财政拨款</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62</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三、国有资本经营预算财政拨款</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63</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6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总计</w:t>
            </w:r>
            <w:r>
              <w:rPr>
                <w:rFonts w:ascii="Times New Roman" w:hAnsi="Times New Roman" w:eastAsia="Times New Roman" w:cs="Times New Roman"/>
                <w:b w:val="0"/>
                <w:bCs w:val="0"/>
                <w:i w:val="0"/>
                <w:iCs w:val="0"/>
                <w:smallCaps w:val="0"/>
                <w:color w:val="auto"/>
                <w:kern w:val="0"/>
                <w:sz w:val="18"/>
                <w:szCs w:val="18"/>
              </w:rPr>
              <w:t xml:space="preserve"> </w:t>
            </w:r>
          </w:p>
        </w:tc>
        <w:tc>
          <w:tcPr>
            <w:tcW w:w="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32</w:t>
            </w:r>
          </w:p>
        </w:tc>
        <w:tc>
          <w:tcPr>
            <w:tcW w:w="8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5,316.26</w:t>
            </w:r>
          </w:p>
        </w:tc>
        <w:tc>
          <w:tcPr>
            <w:tcW w:w="16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总计</w:t>
            </w:r>
            <w:r>
              <w:rPr>
                <w:rFonts w:ascii="Times New Roman" w:hAnsi="Times New Roman" w:eastAsia="Times New Roman" w:cs="Times New Roman"/>
                <w:b w:val="0"/>
                <w:bCs w:val="0"/>
                <w:i w:val="0"/>
                <w:iCs w:val="0"/>
                <w:smallCaps w:val="0"/>
                <w:color w:val="auto"/>
                <w:kern w:val="0"/>
                <w:sz w:val="18"/>
                <w:szCs w:val="18"/>
              </w:rPr>
              <w:t xml:space="preserve"> </w:t>
            </w:r>
          </w:p>
        </w:tc>
        <w:tc>
          <w:tcPr>
            <w:tcW w:w="6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64</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5,316.26</w:t>
            </w:r>
          </w:p>
        </w:tc>
        <w:tc>
          <w:tcPr>
            <w:tcW w:w="10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5,316.26</w:t>
            </w:r>
          </w:p>
        </w:tc>
        <w:tc>
          <w:tcPr>
            <w:tcW w:w="11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828"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注：本表反映部门本年度一般公共预算财政拨款、政府性基金预算财政拨款和国有资本经营预算财政拨款的总收支和年末结转结余情况。</w:t>
            </w:r>
          </w:p>
        </w:tc>
      </w:tr>
    </w:tbl>
    <w:p>
      <w:pPr>
        <w:widowControl/>
        <w:jc w:val="left"/>
        <w:rPr>
          <w:rFonts w:ascii="Times New Roman" w:hAnsi="Times New Roman" w:eastAsia="Times New Roman" w:cs="Times New Roman"/>
          <w:color w:val="auto"/>
          <w:spacing w:val="0"/>
          <w:kern w:val="0"/>
          <w:sz w:val="27"/>
          <w:szCs w:val="27"/>
        </w:rPr>
      </w:pPr>
      <w:r>
        <w:rPr>
          <w:rFonts w:ascii="Times New Roman" w:hAnsi="Times New Roman" w:eastAsia="Times New Roman" w:cs="Times New Roman"/>
          <w:color w:val="auto"/>
          <w:kern w:val="0"/>
          <w:sz w:val="24"/>
        </w:rPr>
        <w:t> </w:t>
      </w:r>
      <w:r>
        <w:rPr>
          <w:rFonts w:hint="eastAsia" w:cs="Times New Roman"/>
          <w:color w:val="auto"/>
          <w:kern w:val="0"/>
          <w:sz w:val="24"/>
          <w:lang w:val="en-US" w:eastAsia="zh-CN"/>
        </w:rPr>
        <w:t xml:space="preserve">        </w:t>
      </w:r>
      <w:r>
        <w:rPr>
          <w:rFonts w:ascii="Times New Roman" w:hAnsi="Times New Roman" w:eastAsia="Times New Roman" w:cs="Times New Roman"/>
          <w:color w:val="auto"/>
          <w:spacing w:val="0"/>
          <w:kern w:val="0"/>
          <w:sz w:val="27"/>
          <w:szCs w:val="27"/>
        </w:rPr>
        <w:t> </w:t>
      </w:r>
      <w:bookmarkStart w:id="45" w:name="_Toc256000073"/>
      <w:bookmarkStart w:id="46" w:name="_Toc256000042"/>
      <w:bookmarkStart w:id="47" w:name="_Toc256000011"/>
      <w:bookmarkStart w:id="48" w:name="_Toc256000104"/>
    </w:p>
    <w:p>
      <w:pPr>
        <w:widowControl/>
        <w:jc w:val="left"/>
        <w:rPr>
          <w:rFonts w:ascii="黑体" w:hAnsi="黑体" w:eastAsia="黑体" w:cs="黑体"/>
          <w:b/>
          <w:bCs/>
          <w:color w:val="auto"/>
          <w:spacing w:val="0"/>
          <w:sz w:val="32"/>
          <w:szCs w:val="32"/>
          <w:lang w:val="en-US" w:eastAsia="zh-CN" w:bidi="ar-SA"/>
        </w:rPr>
      </w:pPr>
    </w:p>
    <w:p>
      <w:pPr>
        <w:widowControl/>
        <w:jc w:val="left"/>
        <w:rPr>
          <w:rFonts w:ascii="Times New Roman" w:hAnsi="Times New Roman" w:eastAsia="Times New Roman" w:cs="Times New Roman"/>
          <w:b/>
          <w:bCs/>
          <w:color w:val="auto"/>
          <w:kern w:val="0"/>
          <w:sz w:val="28"/>
          <w:szCs w:val="28"/>
        </w:rPr>
      </w:pPr>
      <w:r>
        <w:rPr>
          <w:rFonts w:ascii="黑体" w:hAnsi="黑体" w:eastAsia="黑体" w:cs="黑体"/>
          <w:b/>
          <w:bCs/>
          <w:color w:val="auto"/>
          <w:spacing w:val="0"/>
          <w:sz w:val="32"/>
          <w:szCs w:val="32"/>
          <w:lang w:val="en-US" w:eastAsia="zh-CN" w:bidi="ar-SA"/>
        </w:rPr>
        <w:t>五、一般公共预算财政拨款支出决算表</w:t>
      </w:r>
      <w:bookmarkEnd w:id="45"/>
      <w:bookmarkEnd w:id="46"/>
      <w:bookmarkEnd w:id="47"/>
      <w:bookmarkEnd w:id="48"/>
    </w:p>
    <w:p>
      <w:pPr>
        <w:widowControl/>
        <w:spacing w:before="240" w:after="240"/>
        <w:jc w:val="left"/>
        <w:rPr>
          <w:rFonts w:ascii="Times New Roman" w:hAnsi="Times New Roman" w:eastAsia="Times New Roman" w:cs="Times New Roman"/>
          <w:vanish/>
          <w:color w:val="auto"/>
          <w:kern w:val="0"/>
          <w:sz w:val="24"/>
        </w:rPr>
      </w:pPr>
      <w:r>
        <w:rPr>
          <w:rFonts w:ascii="Times New Roman" w:hAnsi="Times New Roman" w:eastAsia="Times New Roman" w:cs="Times New Roman"/>
          <w:vanish/>
          <w:color w:val="auto"/>
          <w:kern w:val="0"/>
          <w:sz w:val="24"/>
        </w:rPr>
        <w:t>word horizontal layout</w:t>
      </w:r>
    </w:p>
    <w:tbl>
      <w:tblPr>
        <w:tblStyle w:val="23"/>
        <w:tblW w:w="9024" w:type="dxa"/>
        <w:jc w:val="center"/>
        <w:tblInd w:w="0" w:type="dxa"/>
        <w:tblLayout w:type="fixed"/>
        <w:tblCellMar>
          <w:top w:w="15" w:type="dxa"/>
          <w:left w:w="15" w:type="dxa"/>
          <w:bottom w:w="15" w:type="dxa"/>
          <w:right w:w="15" w:type="dxa"/>
        </w:tblCellMar>
      </w:tblPr>
      <w:tblGrid>
        <w:gridCol w:w="1254"/>
        <w:gridCol w:w="2970"/>
        <w:gridCol w:w="1710"/>
        <w:gridCol w:w="1545"/>
        <w:gridCol w:w="1545"/>
      </w:tblGrid>
      <w:tr>
        <w:tblPrEx>
          <w:tblLayout w:type="fixed"/>
          <w:tblCellMar>
            <w:top w:w="15" w:type="dxa"/>
            <w:left w:w="15" w:type="dxa"/>
            <w:bottom w:w="15" w:type="dxa"/>
            <w:right w:w="15" w:type="dxa"/>
          </w:tblCellMar>
        </w:tblPrEx>
        <w:trPr>
          <w:trHeight w:val="0" w:hRule="atLeast"/>
          <w:tblHeader/>
          <w:jc w:val="center"/>
        </w:trPr>
        <w:tc>
          <w:tcPr>
            <w:tcW w:w="9024" w:type="dxa"/>
            <w:gridSpan w:val="5"/>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32"/>
                <w:szCs w:val="32"/>
              </w:rPr>
              <w:t>一般公共预算财政拨款支出决算表</w:t>
            </w:r>
          </w:p>
        </w:tc>
      </w:tr>
      <w:tr>
        <w:tblPrEx>
          <w:tblLayout w:type="fixed"/>
          <w:tblCellMar>
            <w:top w:w="15" w:type="dxa"/>
            <w:left w:w="15" w:type="dxa"/>
            <w:bottom w:w="15" w:type="dxa"/>
            <w:right w:w="15" w:type="dxa"/>
          </w:tblCellMar>
        </w:tblPrEx>
        <w:trPr>
          <w:trHeight w:val="0" w:hRule="atLeast"/>
          <w:jc w:val="center"/>
        </w:trPr>
        <w:tc>
          <w:tcPr>
            <w:tcW w:w="747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部门</w:t>
            </w:r>
            <w:r>
              <w:rPr>
                <w:rFonts w:ascii="Times New Roman" w:hAnsi="Times New Roman" w:eastAsia="Times New Roman" w:cs="Times New Roman"/>
                <w:b w:val="0"/>
                <w:bCs w:val="0"/>
                <w:i w:val="0"/>
                <w:iCs w:val="0"/>
                <w:smallCaps w:val="0"/>
                <w:color w:val="auto"/>
                <w:kern w:val="0"/>
                <w:sz w:val="18"/>
                <w:szCs w:val="18"/>
              </w:rPr>
              <w:t>/</w:t>
            </w:r>
            <w:r>
              <w:rPr>
                <w:rFonts w:ascii="宋体" w:hAnsi="宋体" w:eastAsia="宋体" w:cs="宋体"/>
                <w:b w:val="0"/>
                <w:bCs w:val="0"/>
                <w:i w:val="0"/>
                <w:iCs w:val="0"/>
                <w:smallCaps w:val="0"/>
                <w:color w:val="auto"/>
                <w:kern w:val="0"/>
                <w:sz w:val="18"/>
                <w:szCs w:val="18"/>
              </w:rPr>
              <w:t>单位：厦门市尚文实验学校</w:t>
            </w:r>
            <w:r>
              <w:rPr>
                <w:rFonts w:hint="eastAsia" w:ascii="宋体" w:hAnsi="宋体" w:cs="宋体"/>
                <w:b w:val="0"/>
                <w:bCs w:val="0"/>
                <w:i w:val="0"/>
                <w:iCs w:val="0"/>
                <w:smallCaps w:val="0"/>
                <w:color w:val="auto"/>
                <w:kern w:val="0"/>
                <w:sz w:val="18"/>
                <w:szCs w:val="18"/>
                <w:lang w:val="en-US" w:eastAsia="zh-CN"/>
              </w:rPr>
              <w:t xml:space="preserve">                </w:t>
            </w:r>
            <w:r>
              <w:rPr>
                <w:rFonts w:ascii="Times New Roman" w:hAnsi="Times New Roman" w:eastAsia="Times New Roman" w:cs="Times New Roman"/>
                <w:b w:val="0"/>
                <w:bCs w:val="0"/>
                <w:i w:val="0"/>
                <w:iCs w:val="0"/>
                <w:smallCaps w:val="0"/>
                <w:color w:val="auto"/>
                <w:kern w:val="0"/>
                <w:sz w:val="18"/>
                <w:szCs w:val="18"/>
              </w:rPr>
              <w:t>2024</w:t>
            </w:r>
            <w:r>
              <w:rPr>
                <w:rFonts w:ascii="宋体" w:hAnsi="宋体" w:eastAsia="宋体" w:cs="宋体"/>
                <w:b w:val="0"/>
                <w:bCs w:val="0"/>
                <w:i w:val="0"/>
                <w:iCs w:val="0"/>
                <w:smallCaps w:val="0"/>
                <w:color w:val="auto"/>
                <w:kern w:val="0"/>
                <w:sz w:val="18"/>
                <w:szCs w:val="18"/>
              </w:rPr>
              <w:t>年度</w:t>
            </w:r>
          </w:p>
        </w:tc>
        <w:tc>
          <w:tcPr>
            <w:tcW w:w="154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422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项目</w:t>
            </w:r>
          </w:p>
        </w:tc>
        <w:tc>
          <w:tcPr>
            <w:tcW w:w="480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本年支出</w:t>
            </w:r>
          </w:p>
        </w:tc>
      </w:tr>
      <w:tr>
        <w:tblPrEx>
          <w:tblLayout w:type="fixed"/>
          <w:tblCellMar>
            <w:top w:w="15" w:type="dxa"/>
            <w:left w:w="15" w:type="dxa"/>
            <w:bottom w:w="15" w:type="dxa"/>
            <w:right w:w="15" w:type="dxa"/>
          </w:tblCellMar>
        </w:tblPrEx>
        <w:trPr>
          <w:trHeight w:val="312" w:hRule="atLeast"/>
          <w:tblHeader/>
          <w:jc w:val="center"/>
        </w:trPr>
        <w:tc>
          <w:tcPr>
            <w:tcW w:w="125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科目代码</w:t>
            </w:r>
          </w:p>
        </w:tc>
        <w:tc>
          <w:tcPr>
            <w:tcW w:w="297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科目名称</w:t>
            </w:r>
          </w:p>
        </w:tc>
        <w:tc>
          <w:tcPr>
            <w:tcW w:w="171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小计</w:t>
            </w:r>
          </w:p>
        </w:tc>
        <w:tc>
          <w:tcPr>
            <w:tcW w:w="154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基本支出</w:t>
            </w:r>
          </w:p>
        </w:tc>
        <w:tc>
          <w:tcPr>
            <w:tcW w:w="154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项目支出</w:t>
            </w:r>
          </w:p>
        </w:tc>
      </w:tr>
      <w:tr>
        <w:tblPrEx>
          <w:tblLayout w:type="fixed"/>
          <w:tblCellMar>
            <w:top w:w="15" w:type="dxa"/>
            <w:left w:w="15" w:type="dxa"/>
            <w:bottom w:w="15" w:type="dxa"/>
            <w:right w:w="15" w:type="dxa"/>
          </w:tblCellMar>
        </w:tblPrEx>
        <w:trPr>
          <w:trHeight w:val="312" w:hRule="atLeast"/>
          <w:tblHeader/>
          <w:jc w:val="center"/>
        </w:trPr>
        <w:tc>
          <w:tcPr>
            <w:tcW w:w="125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297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71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54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54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125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297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r>
      <w:tr>
        <w:tblPrEx>
          <w:tblLayout w:type="fixed"/>
          <w:tblCellMar>
            <w:top w:w="15" w:type="dxa"/>
            <w:left w:w="15" w:type="dxa"/>
            <w:bottom w:w="15" w:type="dxa"/>
            <w:right w:w="15" w:type="dxa"/>
          </w:tblCellMar>
        </w:tblPrEx>
        <w:trPr>
          <w:trHeight w:val="0" w:hRule="atLeast"/>
          <w:jc w:val="center"/>
        </w:trPr>
        <w:tc>
          <w:tcPr>
            <w:tcW w:w="422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合计</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5,316.26</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4,701.43</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614.82</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201</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一般公共服务支出</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20129</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群众团体事务</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2012902</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一般行政管理事务</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1.94</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教育支出</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4,629.48</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4,016.6</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612.88</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20501</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教育管理事务</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2050199</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其他教育管理事务支出</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20502</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普通教育</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4,421.52</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4,016.6</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404.92</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2050202</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小学教育</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1,354.08</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1,354.08</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2050203</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初中教育</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2,556.4</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2,556.4</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2050299</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其他普通教育支出</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511.04</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106.12</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404.92</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20509</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教育费附加安排的支出</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204.96</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204.96</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2050999</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其他教育费附加安排的支出</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204.96</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204.96</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208</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社会保障和就业支出</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476.49</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476.49</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20805</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行政事业单位养老支出</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476.49</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476.49</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2080502</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事业单位离退休</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6.97</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6.97</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2080505</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机关事业单位基本养老保险缴费支出</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305.93</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305.93</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2080506</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机关事业单位职业年金缴费支出</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163.59</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163.59</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210</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卫生健康支出</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197.95</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197.95</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21011</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行政事业单位医疗</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197.95</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197.95</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2101102</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事业单位医疗</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130.98</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130.98</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2101199</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其他行政事业单位医疗支出</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66.96</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66.96</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221</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住房保障支出</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22102</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住房改革支出</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2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2210203</w:t>
            </w:r>
          </w:p>
        </w:tc>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购房补贴</w:t>
            </w:r>
          </w:p>
        </w:tc>
        <w:tc>
          <w:tcPr>
            <w:tcW w:w="17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10.4</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24" w:type="dxa"/>
            <w:gridSpan w:val="5"/>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注：本表反映部门本年度一般公共预算财政拨款支出情况。</w:t>
            </w:r>
          </w:p>
        </w:tc>
      </w:tr>
    </w:tbl>
    <w:p>
      <w:pPr>
        <w:widowControl/>
        <w:jc w:val="left"/>
        <w:rPr>
          <w:rFonts w:ascii="Times New Roman" w:hAnsi="Times New Roman" w:eastAsia="Times New Roman" w:cs="Times New Roman"/>
          <w:color w:val="auto"/>
          <w:kern w:val="0"/>
          <w:sz w:val="24"/>
        </w:rPr>
      </w:pPr>
      <w:r>
        <w:rPr>
          <w:rFonts w:ascii="Times New Roman" w:hAnsi="Times New Roman" w:eastAsia="Times New Roman" w:cs="Times New Roman"/>
          <w:color w:val="auto"/>
          <w:kern w:val="0"/>
          <w:sz w:val="24"/>
        </w:rPr>
        <w:t> </w:t>
      </w:r>
    </w:p>
    <w:p>
      <w:pPr>
        <w:pStyle w:val="30"/>
        <w:widowControl/>
        <w:spacing w:before="100" w:after="100"/>
        <w:ind w:left="0" w:right="0" w:firstLine="0"/>
        <w:jc w:val="left"/>
        <w:rPr>
          <w:rFonts w:ascii="Times New Roman" w:hAnsi="Times New Roman" w:eastAsia="Times New Roman" w:cs="Times New Roman"/>
          <w:color w:val="auto"/>
          <w:kern w:val="0"/>
          <w:sz w:val="24"/>
        </w:rPr>
      </w:pPr>
      <w:r>
        <w:rPr>
          <w:rFonts w:ascii="宋体" w:hAnsi="宋体" w:cs="宋体"/>
          <w:color w:val="auto"/>
          <w:spacing w:val="0"/>
          <w:kern w:val="0"/>
          <w:sz w:val="24"/>
        </w:rPr>
        <w:t> </w:t>
      </w:r>
    </w:p>
    <w:p>
      <w:pPr>
        <w:pStyle w:val="6"/>
        <w:keepNext w:val="0"/>
        <w:keepLines w:val="0"/>
        <w:spacing w:before="100" w:after="100" w:line="240" w:lineRule="auto"/>
        <w:ind w:left="842" w:leftChars="338" w:right="0" w:hanging="132" w:hangingChars="41"/>
        <w:rPr>
          <w:rFonts w:ascii="黑体" w:hAnsi="黑体" w:eastAsia="黑体" w:cs="黑体"/>
          <w:b/>
          <w:color w:val="auto"/>
          <w:spacing w:val="0"/>
        </w:rPr>
      </w:pPr>
      <w:bookmarkStart w:id="49" w:name="_Toc256000105"/>
      <w:bookmarkStart w:id="50" w:name="_Toc256000012"/>
      <w:bookmarkStart w:id="51" w:name="_Toc256000043"/>
      <w:bookmarkStart w:id="52" w:name="_Toc256000074"/>
    </w:p>
    <w:p>
      <w:pPr>
        <w:pStyle w:val="6"/>
        <w:keepNext w:val="0"/>
        <w:keepLines w:val="0"/>
        <w:spacing w:before="100" w:after="100" w:line="240" w:lineRule="auto"/>
        <w:ind w:left="0" w:leftChars="0" w:right="0" w:firstLine="0" w:firstLineChars="0"/>
        <w:rPr>
          <w:rFonts w:ascii="Times New Roman" w:hAnsi="Times New Roman" w:eastAsia="Times New Roman" w:cs="Times New Roman"/>
          <w:b/>
          <w:bCs/>
          <w:color w:val="auto"/>
          <w:kern w:val="0"/>
          <w:sz w:val="28"/>
          <w:szCs w:val="28"/>
        </w:rPr>
      </w:pPr>
      <w:r>
        <w:rPr>
          <w:rFonts w:ascii="黑体" w:hAnsi="黑体" w:eastAsia="黑体" w:cs="黑体"/>
          <w:b/>
          <w:color w:val="auto"/>
          <w:spacing w:val="0"/>
        </w:rPr>
        <w:t>六、一般公共预算财政拨款基本支出决算表</w:t>
      </w:r>
      <w:bookmarkEnd w:id="49"/>
      <w:bookmarkEnd w:id="50"/>
      <w:bookmarkEnd w:id="51"/>
      <w:bookmarkEnd w:id="52"/>
    </w:p>
    <w:p>
      <w:pPr>
        <w:widowControl/>
        <w:spacing w:before="240" w:after="240"/>
        <w:jc w:val="left"/>
        <w:rPr>
          <w:rFonts w:ascii="Times New Roman" w:hAnsi="Times New Roman" w:eastAsia="Times New Roman" w:cs="Times New Roman"/>
          <w:vanish/>
          <w:color w:val="auto"/>
          <w:kern w:val="0"/>
          <w:sz w:val="24"/>
        </w:rPr>
      </w:pPr>
      <w:r>
        <w:rPr>
          <w:rFonts w:ascii="Times New Roman" w:hAnsi="Times New Roman" w:eastAsia="Times New Roman" w:cs="Times New Roman"/>
          <w:vanish/>
          <w:color w:val="auto"/>
          <w:kern w:val="0"/>
          <w:sz w:val="24"/>
        </w:rPr>
        <w:t>word horizontal layout</w:t>
      </w:r>
    </w:p>
    <w:tbl>
      <w:tblPr>
        <w:tblStyle w:val="23"/>
        <w:tblW w:w="9335" w:type="dxa"/>
        <w:jc w:val="center"/>
        <w:tblInd w:w="0" w:type="dxa"/>
        <w:tblLayout w:type="fixed"/>
        <w:tblCellMar>
          <w:top w:w="15" w:type="dxa"/>
          <w:left w:w="15" w:type="dxa"/>
          <w:bottom w:w="15" w:type="dxa"/>
          <w:right w:w="15" w:type="dxa"/>
        </w:tblCellMar>
      </w:tblPr>
      <w:tblGrid>
        <w:gridCol w:w="915"/>
        <w:gridCol w:w="1365"/>
        <w:gridCol w:w="915"/>
        <w:gridCol w:w="908"/>
        <w:gridCol w:w="1412"/>
        <w:gridCol w:w="855"/>
        <w:gridCol w:w="895"/>
        <w:gridCol w:w="1275"/>
        <w:gridCol w:w="795"/>
      </w:tblGrid>
      <w:tr>
        <w:tblPrEx>
          <w:tblLayout w:type="fixed"/>
          <w:tblCellMar>
            <w:top w:w="15" w:type="dxa"/>
            <w:left w:w="15" w:type="dxa"/>
            <w:bottom w:w="15" w:type="dxa"/>
            <w:right w:w="15" w:type="dxa"/>
          </w:tblCellMar>
        </w:tblPrEx>
        <w:trPr>
          <w:trHeight w:val="0" w:hRule="atLeast"/>
          <w:tblHeader/>
          <w:jc w:val="center"/>
        </w:trPr>
        <w:tc>
          <w:tcPr>
            <w:tcW w:w="9335"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32"/>
                <w:szCs w:val="32"/>
              </w:rPr>
              <w:t>一般公共预算财政拨款基本支出决算表</w:t>
            </w:r>
          </w:p>
        </w:tc>
      </w:tr>
      <w:tr>
        <w:tblPrEx>
          <w:tblLayout w:type="fixed"/>
          <w:tblCellMar>
            <w:top w:w="15" w:type="dxa"/>
            <w:left w:w="15" w:type="dxa"/>
            <w:bottom w:w="15" w:type="dxa"/>
            <w:right w:w="15" w:type="dxa"/>
          </w:tblCellMar>
        </w:tblPrEx>
        <w:trPr>
          <w:trHeight w:val="0" w:hRule="atLeast"/>
          <w:tblHeader/>
          <w:jc w:val="center"/>
        </w:trPr>
        <w:tc>
          <w:tcPr>
            <w:tcW w:w="4103"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部门</w:t>
            </w:r>
            <w:r>
              <w:rPr>
                <w:rFonts w:ascii="Times New Roman" w:hAnsi="Times New Roman" w:eastAsia="Times New Roman" w:cs="Times New Roman"/>
                <w:b w:val="0"/>
                <w:bCs w:val="0"/>
                <w:i w:val="0"/>
                <w:iCs w:val="0"/>
                <w:smallCaps w:val="0"/>
                <w:color w:val="auto"/>
                <w:kern w:val="0"/>
                <w:sz w:val="18"/>
                <w:szCs w:val="18"/>
              </w:rPr>
              <w:t>/</w:t>
            </w:r>
            <w:r>
              <w:rPr>
                <w:rFonts w:ascii="宋体" w:hAnsi="宋体" w:eastAsia="宋体" w:cs="宋体"/>
                <w:b w:val="0"/>
                <w:bCs w:val="0"/>
                <w:i w:val="0"/>
                <w:iCs w:val="0"/>
                <w:smallCaps w:val="0"/>
                <w:color w:val="auto"/>
                <w:kern w:val="0"/>
                <w:sz w:val="18"/>
                <w:szCs w:val="18"/>
              </w:rPr>
              <w:t>单位：厦门市尚文实验学校</w:t>
            </w:r>
          </w:p>
        </w:tc>
        <w:tc>
          <w:tcPr>
            <w:tcW w:w="141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2024</w:t>
            </w:r>
            <w:r>
              <w:rPr>
                <w:rFonts w:ascii="宋体" w:hAnsi="宋体" w:eastAsia="宋体" w:cs="宋体"/>
                <w:b w:val="0"/>
                <w:bCs w:val="0"/>
                <w:i w:val="0"/>
                <w:iCs w:val="0"/>
                <w:smallCaps w:val="0"/>
                <w:color w:val="auto"/>
                <w:kern w:val="0"/>
                <w:sz w:val="18"/>
                <w:szCs w:val="18"/>
              </w:rPr>
              <w:t>年度</w:t>
            </w:r>
          </w:p>
        </w:tc>
        <w:tc>
          <w:tcPr>
            <w:tcW w:w="8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070"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p>
            <w:pPr>
              <w:widowControl/>
              <w:jc w:val="righ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金额单位：万元</w:t>
            </w:r>
          </w:p>
        </w:tc>
      </w:tr>
      <w:tr>
        <w:tblPrEx>
          <w:tblLayout w:type="fixed"/>
          <w:tblCellMar>
            <w:top w:w="15" w:type="dxa"/>
            <w:left w:w="15" w:type="dxa"/>
            <w:bottom w:w="15" w:type="dxa"/>
            <w:right w:w="15" w:type="dxa"/>
          </w:tblCellMar>
        </w:tblPrEx>
        <w:trPr>
          <w:trHeight w:val="312" w:hRule="atLeast"/>
          <w:tblHeader/>
          <w:jc w:val="center"/>
        </w:trPr>
        <w:tc>
          <w:tcPr>
            <w:tcW w:w="91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经济分类科目编码</w:t>
            </w:r>
          </w:p>
        </w:tc>
        <w:tc>
          <w:tcPr>
            <w:tcW w:w="136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科目名称</w:t>
            </w:r>
          </w:p>
        </w:tc>
        <w:tc>
          <w:tcPr>
            <w:tcW w:w="91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金额</w:t>
            </w:r>
          </w:p>
        </w:tc>
        <w:tc>
          <w:tcPr>
            <w:tcW w:w="9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经济分类科目编码</w:t>
            </w:r>
          </w:p>
        </w:tc>
        <w:tc>
          <w:tcPr>
            <w:tcW w:w="141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科目名称</w:t>
            </w:r>
          </w:p>
        </w:tc>
        <w:tc>
          <w:tcPr>
            <w:tcW w:w="8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金额</w:t>
            </w:r>
          </w:p>
        </w:tc>
        <w:tc>
          <w:tcPr>
            <w:tcW w:w="89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经济分类科目编码</w:t>
            </w:r>
          </w:p>
        </w:tc>
        <w:tc>
          <w:tcPr>
            <w:tcW w:w="127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科目名称</w:t>
            </w:r>
          </w:p>
        </w:tc>
        <w:tc>
          <w:tcPr>
            <w:tcW w:w="79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金额</w:t>
            </w:r>
          </w:p>
        </w:tc>
      </w:tr>
      <w:tr>
        <w:tblPrEx>
          <w:tblLayout w:type="fixed"/>
          <w:tblCellMar>
            <w:top w:w="15" w:type="dxa"/>
            <w:left w:w="15" w:type="dxa"/>
            <w:bottom w:w="15" w:type="dxa"/>
            <w:right w:w="15" w:type="dxa"/>
          </w:tblCellMar>
        </w:tblPrEx>
        <w:trPr>
          <w:trHeight w:val="312" w:hRule="atLeast"/>
          <w:tblHeader/>
          <w:jc w:val="center"/>
        </w:trPr>
        <w:tc>
          <w:tcPr>
            <w:tcW w:w="91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36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91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9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41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8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89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27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79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301</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工资福利支出</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4,178.32</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商品和服务支出</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454.67</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30703</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国内债务发行费用</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30101</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基本工资</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487.07</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30201</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办公费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162.95</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30704</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国外债务发行费用</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30102</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津贴补贴</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748.04</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30202</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印刷费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资本性支出</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50.33</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30103</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奖金</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1,277.88</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30203</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咨询费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31001</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房屋建筑物购建</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30106</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伙食补助费</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30204</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手续费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31002</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办公设备购置</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50.33</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30107</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绩效工资</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248.1</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30205</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水费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8.45</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31003</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专用设备购置</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30108</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机关事业单位基本养老保险缴费</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305.93</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30206</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电费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43.49</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31005</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基础设施建设</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30109</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职业年金缴费</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163.59</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30207</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邮电费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0.9</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31006</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大型修缮</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30110</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职工基本医疗保险缴费</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130.98</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30208</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取暖费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31007</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信息网络及软件购置更新</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30111</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公务员医疗补助缴费</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30209</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物业管理费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31008</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物资储备</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30112</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其他社会保障缴费</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89.93</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30211</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差旅费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5.06</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31009</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土地补偿</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30113</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住房公积金</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321.4</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30212</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因公出国（境）费用</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31010</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安置补助</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30114</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医疗费</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30213</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维修（护）费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50.73</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31011</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地上附着物和青苗补偿</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30199</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其他工资福利支出</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405.41</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30214</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租赁费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31012</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拆迁补偿</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303</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对个人和家庭的补助</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18.11</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30215</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会议费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31013</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公务用车购置</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30301</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离休费</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30216</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培训费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32.35</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31019</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其他交通工具购置</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30302</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退休费</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30217</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公务接待费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31021</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文物和陈列品购置</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30303</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退职（役）费</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30218</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专用材料费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4.09</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31022</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无形资产购置</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30304</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抚恤金</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30224</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被装购置费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31099</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其他资本性支出</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30305</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生活补助</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30225</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专用燃料费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312</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对企业补助</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30306</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救济费</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30226</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劳务费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2.4</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31201</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资本金注入</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30307</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医疗费补助</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30227</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委托业务费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22.46</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31203</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政府投资基金股权投资</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30308</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助学金</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30228</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工会经费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81.05</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31204</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费用补贴</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30309</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奖励金</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11.14</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30229</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福利费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14.39</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31205</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利息补贴</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30310</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个人农业生产补贴</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30231</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公务用车运行维护费</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31206</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其他资本性补助</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30311</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代缴社会保险费</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30239</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其他交通费用</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2.36</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31299</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其他对企业补助</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30399</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其他对个人和家庭的补助</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6.97</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30240</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税金及附加费用</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399</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其他支出</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30299</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其他商品和服务支出</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23.99</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39907</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国家赔偿费用支出</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307</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债务利息及费用支出</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39908</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对民间非营利组织和群众性自治组织补贴</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30701</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国内债务付息</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39909</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经常性赠与</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30702</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国外债务付息</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39910</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资本性赠与</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4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8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39999</w:t>
            </w:r>
          </w:p>
        </w:tc>
        <w:tc>
          <w:tcPr>
            <w:tcW w:w="12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其他支出</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228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人员经费合计</w:t>
            </w:r>
            <w:r>
              <w:rPr>
                <w:rFonts w:ascii="Times New Roman" w:hAnsi="Times New Roman" w:eastAsia="Times New Roman" w:cs="Times New Roman"/>
                <w:b w:val="0"/>
                <w:bCs w:val="0"/>
                <w:i w:val="0"/>
                <w:iCs w:val="0"/>
                <w:smallCaps w:val="0"/>
                <w:color w:val="auto"/>
                <w:kern w:val="0"/>
                <w:sz w:val="18"/>
                <w:szCs w:val="18"/>
              </w:rPr>
              <w:t xml:space="preserve">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4,196.43</w:t>
            </w:r>
          </w:p>
        </w:tc>
        <w:tc>
          <w:tcPr>
            <w:tcW w:w="407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公用经费合计</w:t>
            </w:r>
          </w:p>
        </w:tc>
        <w:tc>
          <w:tcPr>
            <w:tcW w:w="207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505</w:t>
            </w:r>
          </w:p>
        </w:tc>
      </w:tr>
      <w:tr>
        <w:tblPrEx>
          <w:tblLayout w:type="fixed"/>
          <w:tblCellMar>
            <w:top w:w="15" w:type="dxa"/>
            <w:left w:w="15" w:type="dxa"/>
            <w:bottom w:w="15" w:type="dxa"/>
            <w:right w:w="15" w:type="dxa"/>
          </w:tblCellMar>
        </w:tblPrEx>
        <w:trPr>
          <w:trHeight w:val="0" w:hRule="atLeast"/>
          <w:tblHeader/>
          <w:jc w:val="center"/>
        </w:trPr>
        <w:tc>
          <w:tcPr>
            <w:tcW w:w="9335"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注：本表反映部门本年度一般公共预算财政拨款基本支出明细情况。</w:t>
            </w:r>
          </w:p>
        </w:tc>
      </w:tr>
    </w:tbl>
    <w:p>
      <w:pPr>
        <w:widowControl/>
        <w:jc w:val="left"/>
        <w:rPr>
          <w:rFonts w:ascii="Times New Roman" w:hAnsi="Times New Roman" w:eastAsia="Times New Roman" w:cs="Times New Roman"/>
          <w:color w:val="auto"/>
          <w:kern w:val="0"/>
          <w:sz w:val="24"/>
        </w:rPr>
      </w:pPr>
      <w:r>
        <w:rPr>
          <w:rFonts w:ascii="Times New Roman" w:hAnsi="Times New Roman" w:eastAsia="Times New Roman" w:cs="Times New Roman"/>
          <w:color w:val="auto"/>
          <w:kern w:val="0"/>
          <w:sz w:val="24"/>
        </w:rPr>
        <w:t> </w:t>
      </w:r>
    </w:p>
    <w:p>
      <w:pPr>
        <w:pStyle w:val="30"/>
        <w:widowControl/>
        <w:spacing w:before="100" w:after="100"/>
        <w:ind w:left="0" w:right="0" w:firstLine="0"/>
        <w:jc w:val="left"/>
        <w:rPr>
          <w:rFonts w:ascii="黑体" w:hAnsi="黑体" w:eastAsia="黑体" w:cs="黑体"/>
          <w:b/>
          <w:color w:val="auto"/>
          <w:spacing w:val="0"/>
        </w:rPr>
      </w:pPr>
      <w:r>
        <w:rPr>
          <w:rFonts w:ascii="Times New Roman" w:hAnsi="Times New Roman" w:eastAsia="Times New Roman" w:cs="Times New Roman"/>
          <w:color w:val="auto"/>
          <w:spacing w:val="0"/>
          <w:kern w:val="0"/>
          <w:sz w:val="27"/>
          <w:szCs w:val="27"/>
        </w:rPr>
        <w:t> </w:t>
      </w:r>
      <w:bookmarkStart w:id="53" w:name="_Toc256000013"/>
      <w:bookmarkStart w:id="54" w:name="_Toc256000075"/>
      <w:bookmarkStart w:id="55" w:name="_Toc256000044"/>
      <w:bookmarkStart w:id="56" w:name="_Toc256000106"/>
    </w:p>
    <w:p>
      <w:pPr>
        <w:pStyle w:val="6"/>
        <w:keepNext w:val="0"/>
        <w:keepLines w:val="0"/>
        <w:spacing w:before="100" w:after="100" w:line="240" w:lineRule="auto"/>
        <w:ind w:left="0" w:leftChars="0" w:right="0" w:firstLine="0" w:firstLineChars="0"/>
        <w:rPr>
          <w:rFonts w:ascii="Times New Roman" w:hAnsi="Times New Roman" w:eastAsia="Times New Roman" w:cs="Times New Roman"/>
          <w:b/>
          <w:bCs/>
          <w:color w:val="auto"/>
          <w:kern w:val="0"/>
          <w:sz w:val="28"/>
          <w:szCs w:val="28"/>
        </w:rPr>
      </w:pPr>
      <w:r>
        <w:rPr>
          <w:rFonts w:ascii="黑体" w:hAnsi="黑体" w:eastAsia="黑体" w:cs="黑体"/>
          <w:b/>
          <w:color w:val="auto"/>
          <w:spacing w:val="0"/>
        </w:rPr>
        <w:t>七、一般公共预算财政拨款“三公”经费支出决算表</w:t>
      </w:r>
      <w:bookmarkEnd w:id="53"/>
      <w:bookmarkEnd w:id="54"/>
      <w:bookmarkEnd w:id="55"/>
      <w:bookmarkEnd w:id="56"/>
    </w:p>
    <w:p>
      <w:pPr>
        <w:widowControl/>
        <w:spacing w:before="240" w:after="240"/>
        <w:jc w:val="left"/>
        <w:rPr>
          <w:rFonts w:ascii="Times New Roman" w:hAnsi="Times New Roman" w:eastAsia="Times New Roman" w:cs="Times New Roman"/>
          <w:vanish/>
          <w:color w:val="auto"/>
          <w:kern w:val="0"/>
          <w:sz w:val="24"/>
        </w:rPr>
      </w:pPr>
      <w:r>
        <w:rPr>
          <w:rFonts w:ascii="Times New Roman" w:hAnsi="Times New Roman" w:eastAsia="Times New Roman" w:cs="Times New Roman"/>
          <w:vanish/>
          <w:color w:val="auto"/>
          <w:kern w:val="0"/>
          <w:sz w:val="24"/>
        </w:rPr>
        <w:t>word horizontal layout</w:t>
      </w:r>
    </w:p>
    <w:tbl>
      <w:tblPr>
        <w:tblStyle w:val="23"/>
        <w:tblW w:w="9836" w:type="dxa"/>
        <w:jc w:val="center"/>
        <w:tblInd w:w="0" w:type="dxa"/>
        <w:tblLayout w:type="fixed"/>
        <w:tblCellMar>
          <w:top w:w="15" w:type="dxa"/>
          <w:left w:w="15" w:type="dxa"/>
          <w:bottom w:w="15" w:type="dxa"/>
          <w:right w:w="15" w:type="dxa"/>
        </w:tblCellMar>
      </w:tblPr>
      <w:tblGrid>
        <w:gridCol w:w="555"/>
        <w:gridCol w:w="824"/>
        <w:gridCol w:w="525"/>
        <w:gridCol w:w="1065"/>
        <w:gridCol w:w="1140"/>
        <w:gridCol w:w="857"/>
        <w:gridCol w:w="615"/>
        <w:gridCol w:w="960"/>
        <w:gridCol w:w="644"/>
        <w:gridCol w:w="946"/>
        <w:gridCol w:w="945"/>
        <w:gridCol w:w="760"/>
      </w:tblGrid>
      <w:tr>
        <w:tblPrEx>
          <w:tblLayout w:type="fixed"/>
          <w:tblCellMar>
            <w:top w:w="15" w:type="dxa"/>
            <w:left w:w="15" w:type="dxa"/>
            <w:bottom w:w="15" w:type="dxa"/>
            <w:right w:w="15" w:type="dxa"/>
          </w:tblCellMar>
        </w:tblPrEx>
        <w:trPr>
          <w:trHeight w:val="0" w:hRule="atLeast"/>
          <w:tblHeader/>
          <w:jc w:val="center"/>
        </w:trPr>
        <w:tc>
          <w:tcPr>
            <w:tcW w:w="9836" w:type="dxa"/>
            <w:gridSpan w:val="12"/>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32"/>
                <w:szCs w:val="32"/>
              </w:rPr>
              <w:t>一般公共预算财政拨款</w:t>
            </w:r>
            <w:r>
              <w:rPr>
                <w:rFonts w:ascii="Times New Roman" w:hAnsi="Times New Roman" w:eastAsia="Times New Roman" w:cs="Times New Roman"/>
                <w:b w:val="0"/>
                <w:bCs w:val="0"/>
                <w:i w:val="0"/>
                <w:iCs w:val="0"/>
                <w:smallCaps w:val="0"/>
                <w:color w:val="auto"/>
                <w:kern w:val="0"/>
                <w:sz w:val="32"/>
                <w:szCs w:val="32"/>
              </w:rPr>
              <w:t>“</w:t>
            </w:r>
            <w:r>
              <w:rPr>
                <w:rFonts w:ascii="宋体" w:hAnsi="宋体" w:eastAsia="宋体" w:cs="宋体"/>
                <w:b w:val="0"/>
                <w:bCs w:val="0"/>
                <w:i w:val="0"/>
                <w:iCs w:val="0"/>
                <w:smallCaps w:val="0"/>
                <w:color w:val="auto"/>
                <w:kern w:val="0"/>
                <w:sz w:val="32"/>
                <w:szCs w:val="32"/>
              </w:rPr>
              <w:t>三公</w:t>
            </w:r>
            <w:r>
              <w:rPr>
                <w:rFonts w:ascii="Times New Roman" w:hAnsi="Times New Roman" w:eastAsia="Times New Roman" w:cs="Times New Roman"/>
                <w:b w:val="0"/>
                <w:bCs w:val="0"/>
                <w:i w:val="0"/>
                <w:iCs w:val="0"/>
                <w:smallCaps w:val="0"/>
                <w:color w:val="auto"/>
                <w:kern w:val="0"/>
                <w:sz w:val="32"/>
                <w:szCs w:val="32"/>
              </w:rPr>
              <w:t>”</w:t>
            </w:r>
            <w:r>
              <w:rPr>
                <w:rFonts w:ascii="宋体" w:hAnsi="宋体" w:eastAsia="宋体" w:cs="宋体"/>
                <w:b w:val="0"/>
                <w:bCs w:val="0"/>
                <w:i w:val="0"/>
                <w:iCs w:val="0"/>
                <w:smallCaps w:val="0"/>
                <w:color w:val="auto"/>
                <w:kern w:val="0"/>
                <w:sz w:val="32"/>
                <w:szCs w:val="32"/>
              </w:rPr>
              <w:t>经费支出决算</w:t>
            </w:r>
          </w:p>
        </w:tc>
      </w:tr>
      <w:tr>
        <w:tblPrEx>
          <w:tblLayout w:type="fixed"/>
          <w:tblCellMar>
            <w:top w:w="15" w:type="dxa"/>
            <w:left w:w="15" w:type="dxa"/>
            <w:bottom w:w="15" w:type="dxa"/>
            <w:right w:w="15" w:type="dxa"/>
          </w:tblCellMar>
        </w:tblPrEx>
        <w:trPr>
          <w:trHeight w:val="0" w:hRule="atLeast"/>
          <w:jc w:val="center"/>
        </w:trPr>
        <w:tc>
          <w:tcPr>
            <w:tcW w:w="5581" w:type="dxa"/>
            <w:gridSpan w:val="7"/>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both"/>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部门</w:t>
            </w:r>
            <w:r>
              <w:rPr>
                <w:rFonts w:ascii="Times New Roman" w:hAnsi="Times New Roman" w:eastAsia="Times New Roman" w:cs="Times New Roman"/>
                <w:b w:val="0"/>
                <w:bCs w:val="0"/>
                <w:i w:val="0"/>
                <w:iCs w:val="0"/>
                <w:smallCaps w:val="0"/>
                <w:color w:val="auto"/>
                <w:kern w:val="0"/>
                <w:sz w:val="18"/>
                <w:szCs w:val="18"/>
              </w:rPr>
              <w:t>/</w:t>
            </w:r>
            <w:r>
              <w:rPr>
                <w:rFonts w:ascii="宋体" w:hAnsi="宋体" w:eastAsia="宋体" w:cs="宋体"/>
                <w:b w:val="0"/>
                <w:bCs w:val="0"/>
                <w:i w:val="0"/>
                <w:iCs w:val="0"/>
                <w:smallCaps w:val="0"/>
                <w:color w:val="auto"/>
                <w:kern w:val="0"/>
                <w:sz w:val="18"/>
                <w:szCs w:val="18"/>
              </w:rPr>
              <w:t>单位：厦门市尚文实验学校</w:t>
            </w:r>
            <w:r>
              <w:rPr>
                <w:rFonts w:hint="eastAsia" w:ascii="宋体" w:hAnsi="宋体" w:cs="宋体"/>
                <w:b w:val="0"/>
                <w:bCs w:val="0"/>
                <w:i w:val="0"/>
                <w:iCs w:val="0"/>
                <w:smallCaps w:val="0"/>
                <w:color w:val="auto"/>
                <w:kern w:val="0"/>
                <w:sz w:val="18"/>
                <w:szCs w:val="18"/>
                <w:lang w:val="en-US" w:eastAsia="zh-CN"/>
              </w:rPr>
              <w:t xml:space="preserve">                     </w:t>
            </w:r>
            <w:r>
              <w:rPr>
                <w:rFonts w:ascii="Times New Roman" w:hAnsi="Times New Roman" w:eastAsia="Times New Roman" w:cs="Times New Roman"/>
                <w:b w:val="0"/>
                <w:bCs w:val="0"/>
                <w:i w:val="0"/>
                <w:iCs w:val="0"/>
                <w:smallCaps w:val="0"/>
                <w:color w:val="auto"/>
                <w:kern w:val="0"/>
                <w:sz w:val="18"/>
                <w:szCs w:val="18"/>
              </w:rPr>
              <w:t>2024</w:t>
            </w:r>
            <w:r>
              <w:rPr>
                <w:rFonts w:ascii="宋体" w:hAnsi="宋体" w:eastAsia="宋体" w:cs="宋体"/>
                <w:b w:val="0"/>
                <w:bCs w:val="0"/>
                <w:i w:val="0"/>
                <w:iCs w:val="0"/>
                <w:smallCaps w:val="0"/>
                <w:color w:val="auto"/>
                <w:kern w:val="0"/>
                <w:sz w:val="18"/>
                <w:szCs w:val="18"/>
              </w:rPr>
              <w:t>年度</w:t>
            </w:r>
          </w:p>
        </w:tc>
        <w:tc>
          <w:tcPr>
            <w:tcW w:w="96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both"/>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4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both"/>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94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both"/>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70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both"/>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p>
            <w:pPr>
              <w:widowControl/>
              <w:jc w:val="righ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4966"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预算数</w:t>
            </w:r>
          </w:p>
        </w:tc>
        <w:tc>
          <w:tcPr>
            <w:tcW w:w="4870"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决算数</w:t>
            </w:r>
          </w:p>
        </w:tc>
      </w:tr>
      <w:tr>
        <w:tblPrEx>
          <w:tblLayout w:type="fixed"/>
          <w:tblCellMar>
            <w:top w:w="15" w:type="dxa"/>
            <w:left w:w="15" w:type="dxa"/>
            <w:bottom w:w="15" w:type="dxa"/>
            <w:right w:w="15" w:type="dxa"/>
          </w:tblCellMar>
        </w:tblPrEx>
        <w:trPr>
          <w:trHeight w:val="0" w:hRule="atLeast"/>
          <w:tblHeader/>
          <w:jc w:val="center"/>
        </w:trPr>
        <w:tc>
          <w:tcPr>
            <w:tcW w:w="5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合计</w:t>
            </w:r>
          </w:p>
        </w:tc>
        <w:tc>
          <w:tcPr>
            <w:tcW w:w="82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因公出国</w:t>
            </w:r>
            <w:r>
              <w:rPr>
                <w:rFonts w:ascii="Times New Roman" w:hAnsi="Times New Roman" w:eastAsia="Times New Roman" w:cs="Times New Roman"/>
                <w:b w:val="0"/>
                <w:bCs w:val="0"/>
                <w:i w:val="0"/>
                <w:iCs w:val="0"/>
                <w:smallCaps w:val="0"/>
                <w:color w:val="auto"/>
                <w:kern w:val="0"/>
                <w:sz w:val="18"/>
                <w:szCs w:val="18"/>
              </w:rPr>
              <w:t xml:space="preserve"> </w:t>
            </w:r>
            <w:r>
              <w:rPr>
                <w:rFonts w:ascii="宋体" w:hAnsi="宋体" w:eastAsia="宋体" w:cs="宋体"/>
                <w:b w:val="0"/>
                <w:bCs w:val="0"/>
                <w:i w:val="0"/>
                <w:iCs w:val="0"/>
                <w:smallCaps w:val="0"/>
                <w:color w:val="auto"/>
                <w:kern w:val="0"/>
                <w:sz w:val="18"/>
                <w:szCs w:val="18"/>
              </w:rPr>
              <w:t>（境）费</w:t>
            </w:r>
          </w:p>
        </w:tc>
        <w:tc>
          <w:tcPr>
            <w:tcW w:w="273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公务用车购置及运行维护费</w:t>
            </w:r>
          </w:p>
        </w:tc>
        <w:tc>
          <w:tcPr>
            <w:tcW w:w="857" w:type="dxa"/>
            <w:vMerge w:val="restart"/>
            <w:tcBorders>
              <w:top w:val="single" w:color="000000" w:sz="6" w:space="0"/>
              <w:left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公务接待费</w:t>
            </w:r>
          </w:p>
        </w:tc>
        <w:tc>
          <w:tcPr>
            <w:tcW w:w="615" w:type="dxa"/>
            <w:vMerge w:val="restart"/>
            <w:tcBorders>
              <w:top w:val="single" w:color="000000" w:sz="6" w:space="0"/>
              <w:left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合计</w:t>
            </w:r>
          </w:p>
        </w:tc>
        <w:tc>
          <w:tcPr>
            <w:tcW w:w="960" w:type="dxa"/>
            <w:vMerge w:val="restart"/>
            <w:tcBorders>
              <w:top w:val="single" w:color="000000" w:sz="6" w:space="0"/>
              <w:left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因公出国</w:t>
            </w:r>
            <w:r>
              <w:rPr>
                <w:rFonts w:ascii="Times New Roman" w:hAnsi="Times New Roman" w:eastAsia="Times New Roman" w:cs="Times New Roman"/>
                <w:b w:val="0"/>
                <w:bCs w:val="0"/>
                <w:i w:val="0"/>
                <w:iCs w:val="0"/>
                <w:smallCaps w:val="0"/>
                <w:color w:val="auto"/>
                <w:kern w:val="0"/>
                <w:sz w:val="18"/>
                <w:szCs w:val="18"/>
              </w:rPr>
              <w:t xml:space="preserve"> </w:t>
            </w:r>
            <w:r>
              <w:rPr>
                <w:rFonts w:ascii="宋体" w:hAnsi="宋体" w:eastAsia="宋体" w:cs="宋体"/>
                <w:b w:val="0"/>
                <w:bCs w:val="0"/>
                <w:i w:val="0"/>
                <w:iCs w:val="0"/>
                <w:smallCaps w:val="0"/>
                <w:color w:val="auto"/>
                <w:kern w:val="0"/>
                <w:sz w:val="18"/>
                <w:szCs w:val="18"/>
              </w:rPr>
              <w:t>（境）费</w:t>
            </w:r>
          </w:p>
        </w:tc>
        <w:tc>
          <w:tcPr>
            <w:tcW w:w="2535"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公务用车购置及运行维护费</w:t>
            </w:r>
          </w:p>
        </w:tc>
        <w:tc>
          <w:tcPr>
            <w:tcW w:w="760" w:type="dxa"/>
            <w:vMerge w:val="restart"/>
            <w:tcBorders>
              <w:top w:val="single" w:color="000000" w:sz="6" w:space="0"/>
              <w:left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公务接待费</w:t>
            </w:r>
          </w:p>
        </w:tc>
      </w:tr>
      <w:tr>
        <w:tblPrEx>
          <w:tblLayout w:type="fixed"/>
          <w:tblCellMar>
            <w:top w:w="15" w:type="dxa"/>
            <w:left w:w="15" w:type="dxa"/>
            <w:bottom w:w="15" w:type="dxa"/>
            <w:right w:w="15" w:type="dxa"/>
          </w:tblCellMar>
        </w:tblPrEx>
        <w:trPr>
          <w:trHeight w:val="668" w:hRule="atLeast"/>
          <w:tblHeader/>
          <w:jc w:val="center"/>
        </w:trPr>
        <w:tc>
          <w:tcPr>
            <w:tcW w:w="5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82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5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小计</w:t>
            </w:r>
            <w:r>
              <w:rPr>
                <w:rFonts w:ascii="Times New Roman" w:hAnsi="Times New Roman" w:eastAsia="Times New Roman" w:cs="Times New Roman"/>
                <w:b w:val="0"/>
                <w:bCs w:val="0"/>
                <w:i w:val="0"/>
                <w:iCs w:val="0"/>
                <w:smallCaps w:val="0"/>
                <w:color w:val="auto"/>
                <w:kern w:val="0"/>
                <w:sz w:val="18"/>
                <w:szCs w:val="18"/>
              </w:rPr>
              <w:t xml:space="preserve">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公务用车购置费</w:t>
            </w:r>
          </w:p>
        </w:tc>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公务用车运行维护费</w:t>
            </w:r>
          </w:p>
        </w:tc>
        <w:tc>
          <w:tcPr>
            <w:tcW w:w="857" w:type="dxa"/>
            <w:vMerge w:val="continue"/>
            <w:tcBorders>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615" w:type="dxa"/>
            <w:vMerge w:val="continue"/>
            <w:tcBorders>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960" w:type="dxa"/>
            <w:vMerge w:val="continue"/>
            <w:tcBorders>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6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小计</w:t>
            </w:r>
            <w:r>
              <w:rPr>
                <w:rFonts w:ascii="Times New Roman" w:hAnsi="Times New Roman" w:eastAsia="Times New Roman" w:cs="Times New Roman"/>
                <w:b w:val="0"/>
                <w:bCs w:val="0"/>
                <w:i w:val="0"/>
                <w:iCs w:val="0"/>
                <w:smallCaps w:val="0"/>
                <w:color w:val="auto"/>
                <w:kern w:val="0"/>
                <w:sz w:val="18"/>
                <w:szCs w:val="18"/>
              </w:rPr>
              <w:t xml:space="preserve">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公务用车购置费</w:t>
            </w:r>
          </w:p>
        </w:tc>
        <w:tc>
          <w:tcPr>
            <w:tcW w:w="9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公务用车运行维护费</w:t>
            </w:r>
          </w:p>
        </w:tc>
        <w:tc>
          <w:tcPr>
            <w:tcW w:w="760" w:type="dxa"/>
            <w:vMerge w:val="continue"/>
            <w:tcBorders>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w:t>
            </w:r>
          </w:p>
        </w:tc>
        <w:tc>
          <w:tcPr>
            <w:tcW w:w="8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w:t>
            </w:r>
          </w:p>
        </w:tc>
        <w:tc>
          <w:tcPr>
            <w:tcW w:w="5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w:t>
            </w:r>
          </w:p>
        </w:tc>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w:t>
            </w:r>
          </w:p>
        </w:tc>
        <w:tc>
          <w:tcPr>
            <w:tcW w:w="6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7</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8</w:t>
            </w:r>
          </w:p>
        </w:tc>
        <w:tc>
          <w:tcPr>
            <w:tcW w:w="6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9</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10</w:t>
            </w:r>
          </w:p>
        </w:tc>
        <w:tc>
          <w:tcPr>
            <w:tcW w:w="9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11</w:t>
            </w:r>
          </w:p>
        </w:tc>
        <w:tc>
          <w:tcPr>
            <w:tcW w:w="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12</w:t>
            </w:r>
          </w:p>
        </w:tc>
      </w:tr>
      <w:tr>
        <w:tblPrEx>
          <w:tblLayout w:type="fixed"/>
          <w:tblCellMar>
            <w:top w:w="15" w:type="dxa"/>
            <w:left w:w="15" w:type="dxa"/>
            <w:bottom w:w="15" w:type="dxa"/>
            <w:right w:w="15" w:type="dxa"/>
          </w:tblCellMar>
        </w:tblPrEx>
        <w:trPr>
          <w:trHeight w:val="0" w:hRule="atLeast"/>
          <w:jc w:val="center"/>
        </w:trPr>
        <w:tc>
          <w:tcPr>
            <w:tcW w:w="5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bookmarkStart w:id="125" w:name="_GoBack" w:colFirst="1" w:colLast="11"/>
            <w:r>
              <w:rPr>
                <w:rFonts w:hint="eastAsia" w:eastAsia="宋体" w:cs="Times New Roman"/>
                <w:b w:val="0"/>
                <w:bCs w:val="0"/>
                <w:i w:val="0"/>
                <w:iCs w:val="0"/>
                <w:smallCaps w:val="0"/>
                <w:color w:val="auto"/>
                <w:kern w:val="0"/>
                <w:sz w:val="18"/>
                <w:szCs w:val="18"/>
                <w:lang w:val="en-US" w:eastAsia="zh-CN"/>
              </w:rPr>
              <w:t>0</w:t>
            </w:r>
            <w:r>
              <w:rPr>
                <w:rFonts w:ascii="Times New Roman" w:hAnsi="Times New Roman" w:eastAsia="Times New Roman" w:cs="Times New Roman"/>
                <w:b w:val="0"/>
                <w:bCs w:val="0"/>
                <w:i w:val="0"/>
                <w:iCs w:val="0"/>
                <w:smallCaps w:val="0"/>
                <w:color w:val="auto"/>
                <w:kern w:val="0"/>
                <w:sz w:val="18"/>
                <w:szCs w:val="18"/>
              </w:rPr>
              <w:t> </w:t>
            </w:r>
          </w:p>
        </w:tc>
        <w:tc>
          <w:tcPr>
            <w:tcW w:w="82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hint="eastAsia" w:eastAsia="宋体" w:cs="Times New Roman"/>
                <w:b w:val="0"/>
                <w:bCs w:val="0"/>
                <w:i w:val="0"/>
                <w:iCs w:val="0"/>
                <w:smallCaps w:val="0"/>
                <w:color w:val="auto"/>
                <w:kern w:val="0"/>
                <w:sz w:val="18"/>
                <w:szCs w:val="18"/>
                <w:lang w:val="en-US" w:eastAsia="zh-CN"/>
              </w:rPr>
              <w:t>0</w:t>
            </w:r>
          </w:p>
        </w:tc>
        <w:tc>
          <w:tcPr>
            <w:tcW w:w="5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hint="eastAsia" w:eastAsia="宋体" w:cs="Times New Roman"/>
                <w:b w:val="0"/>
                <w:bCs w:val="0"/>
                <w:i w:val="0"/>
                <w:iCs w:val="0"/>
                <w:smallCaps w:val="0"/>
                <w:color w:val="auto"/>
                <w:kern w:val="0"/>
                <w:sz w:val="18"/>
                <w:szCs w:val="18"/>
                <w:lang w:val="en-US" w:eastAsia="zh-CN"/>
              </w:rPr>
              <w:t>0</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hint="eastAsia" w:eastAsia="宋体" w:cs="Times New Roman"/>
                <w:b w:val="0"/>
                <w:bCs w:val="0"/>
                <w:i w:val="0"/>
                <w:iCs w:val="0"/>
                <w:smallCaps w:val="0"/>
                <w:color w:val="auto"/>
                <w:kern w:val="0"/>
                <w:sz w:val="18"/>
                <w:szCs w:val="18"/>
                <w:lang w:val="en-US" w:eastAsia="zh-CN"/>
              </w:rPr>
              <w:t>0</w:t>
            </w:r>
          </w:p>
        </w:tc>
        <w:tc>
          <w:tcPr>
            <w:tcW w:w="11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hint="eastAsia" w:eastAsia="宋体" w:cs="Times New Roman"/>
                <w:b w:val="0"/>
                <w:bCs w:val="0"/>
                <w:i w:val="0"/>
                <w:iCs w:val="0"/>
                <w:smallCaps w:val="0"/>
                <w:color w:val="auto"/>
                <w:kern w:val="0"/>
                <w:sz w:val="18"/>
                <w:szCs w:val="18"/>
                <w:lang w:val="en-US" w:eastAsia="zh-CN"/>
              </w:rPr>
              <w:t>0</w:t>
            </w:r>
          </w:p>
        </w:tc>
        <w:tc>
          <w:tcPr>
            <w:tcW w:w="8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hint="eastAsia" w:eastAsia="宋体" w:cs="Times New Roman"/>
                <w:b w:val="0"/>
                <w:bCs w:val="0"/>
                <w:i w:val="0"/>
                <w:iCs w:val="0"/>
                <w:smallCaps w:val="0"/>
                <w:color w:val="auto"/>
                <w:kern w:val="0"/>
                <w:sz w:val="18"/>
                <w:szCs w:val="18"/>
                <w:lang w:val="en-US" w:eastAsia="zh-CN"/>
              </w:rPr>
              <w:t>0</w:t>
            </w:r>
          </w:p>
        </w:tc>
        <w:tc>
          <w:tcPr>
            <w:tcW w:w="6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hint="eastAsia" w:eastAsia="宋体" w:cs="Times New Roman"/>
                <w:b w:val="0"/>
                <w:bCs w:val="0"/>
                <w:i w:val="0"/>
                <w:iCs w:val="0"/>
                <w:smallCaps w:val="0"/>
                <w:color w:val="auto"/>
                <w:kern w:val="0"/>
                <w:sz w:val="18"/>
                <w:szCs w:val="18"/>
                <w:lang w:val="en-US" w:eastAsia="zh-CN"/>
              </w:rPr>
              <w:t>0</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hint="eastAsia" w:eastAsia="宋体" w:cs="Times New Roman"/>
                <w:b w:val="0"/>
                <w:bCs w:val="0"/>
                <w:i w:val="0"/>
                <w:iCs w:val="0"/>
                <w:smallCaps w:val="0"/>
                <w:color w:val="auto"/>
                <w:kern w:val="0"/>
                <w:sz w:val="18"/>
                <w:szCs w:val="18"/>
                <w:lang w:val="en-US" w:eastAsia="zh-CN"/>
              </w:rPr>
              <w:t>0</w:t>
            </w:r>
          </w:p>
        </w:tc>
        <w:tc>
          <w:tcPr>
            <w:tcW w:w="6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hint="eastAsia" w:eastAsia="宋体" w:cs="Times New Roman"/>
                <w:b w:val="0"/>
                <w:bCs w:val="0"/>
                <w:i w:val="0"/>
                <w:iCs w:val="0"/>
                <w:smallCaps w:val="0"/>
                <w:color w:val="auto"/>
                <w:kern w:val="0"/>
                <w:sz w:val="18"/>
                <w:szCs w:val="18"/>
                <w:lang w:val="en-US" w:eastAsia="zh-CN"/>
              </w:rPr>
              <w:t>0</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hint="eastAsia" w:eastAsia="宋体" w:cs="Times New Roman"/>
                <w:b w:val="0"/>
                <w:bCs w:val="0"/>
                <w:i w:val="0"/>
                <w:iCs w:val="0"/>
                <w:smallCaps w:val="0"/>
                <w:color w:val="auto"/>
                <w:kern w:val="0"/>
                <w:sz w:val="18"/>
                <w:szCs w:val="18"/>
                <w:lang w:val="en-US" w:eastAsia="zh-CN"/>
              </w:rPr>
              <w:t>0</w:t>
            </w:r>
          </w:p>
        </w:tc>
        <w:tc>
          <w:tcPr>
            <w:tcW w:w="9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hint="eastAsia" w:eastAsia="宋体" w:cs="Times New Roman"/>
                <w:b w:val="0"/>
                <w:bCs w:val="0"/>
                <w:i w:val="0"/>
                <w:iCs w:val="0"/>
                <w:smallCaps w:val="0"/>
                <w:color w:val="auto"/>
                <w:kern w:val="0"/>
                <w:sz w:val="18"/>
                <w:szCs w:val="18"/>
                <w:lang w:val="en-US" w:eastAsia="zh-CN"/>
              </w:rPr>
              <w:t>0</w:t>
            </w:r>
          </w:p>
        </w:tc>
        <w:tc>
          <w:tcPr>
            <w:tcW w:w="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hint="eastAsia" w:eastAsia="宋体" w:cs="Times New Roman"/>
                <w:b w:val="0"/>
                <w:bCs w:val="0"/>
                <w:i w:val="0"/>
                <w:iCs w:val="0"/>
                <w:smallCaps w:val="0"/>
                <w:color w:val="auto"/>
                <w:kern w:val="0"/>
                <w:sz w:val="18"/>
                <w:szCs w:val="18"/>
                <w:lang w:val="en-US" w:eastAsia="zh-CN"/>
              </w:rPr>
              <w:t>0</w:t>
            </w:r>
          </w:p>
        </w:tc>
      </w:tr>
      <w:bookmarkEnd w:id="125"/>
      <w:tr>
        <w:tblPrEx>
          <w:tblLayout w:type="fixed"/>
          <w:tblCellMar>
            <w:top w:w="15" w:type="dxa"/>
            <w:left w:w="15" w:type="dxa"/>
            <w:bottom w:w="15" w:type="dxa"/>
            <w:right w:w="15" w:type="dxa"/>
          </w:tblCellMar>
        </w:tblPrEx>
        <w:trPr>
          <w:trHeight w:val="0" w:hRule="atLeast"/>
          <w:jc w:val="center"/>
        </w:trPr>
        <w:tc>
          <w:tcPr>
            <w:tcW w:w="9836" w:type="dxa"/>
            <w:gridSpan w:val="12"/>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注：本表反映部门本年度财政拨款</w:t>
            </w:r>
            <w:r>
              <w:rPr>
                <w:rFonts w:ascii="Times New Roman" w:hAnsi="Times New Roman" w:eastAsia="Times New Roman" w:cs="Times New Roman"/>
                <w:b w:val="0"/>
                <w:bCs w:val="0"/>
                <w:i w:val="0"/>
                <w:iCs w:val="0"/>
                <w:smallCaps w:val="0"/>
                <w:color w:val="auto"/>
                <w:kern w:val="0"/>
                <w:sz w:val="18"/>
                <w:szCs w:val="18"/>
              </w:rPr>
              <w:t>“</w:t>
            </w:r>
            <w:r>
              <w:rPr>
                <w:rFonts w:ascii="宋体" w:hAnsi="宋体" w:eastAsia="宋体" w:cs="宋体"/>
                <w:b w:val="0"/>
                <w:bCs w:val="0"/>
                <w:i w:val="0"/>
                <w:iCs w:val="0"/>
                <w:smallCaps w:val="0"/>
                <w:color w:val="auto"/>
                <w:kern w:val="0"/>
                <w:sz w:val="18"/>
                <w:szCs w:val="18"/>
              </w:rPr>
              <w:t>三公</w:t>
            </w:r>
            <w:r>
              <w:rPr>
                <w:rFonts w:ascii="Times New Roman" w:hAnsi="Times New Roman" w:eastAsia="Times New Roman" w:cs="Times New Roman"/>
                <w:b w:val="0"/>
                <w:bCs w:val="0"/>
                <w:i w:val="0"/>
                <w:iCs w:val="0"/>
                <w:smallCaps w:val="0"/>
                <w:color w:val="auto"/>
                <w:kern w:val="0"/>
                <w:sz w:val="18"/>
                <w:szCs w:val="18"/>
              </w:rPr>
              <w:t>”</w:t>
            </w:r>
            <w:r>
              <w:rPr>
                <w:rFonts w:ascii="宋体" w:hAnsi="宋体" w:eastAsia="宋体" w:cs="宋体"/>
                <w:b w:val="0"/>
                <w:bCs w:val="0"/>
                <w:i w:val="0"/>
                <w:iCs w:val="0"/>
                <w:smallCaps w:val="0"/>
                <w:color w:val="auto"/>
                <w:kern w:val="0"/>
                <w:sz w:val="18"/>
                <w:szCs w:val="18"/>
              </w:rPr>
              <w:t>经费支出预决算情况。其中，预算数为</w:t>
            </w:r>
            <w:r>
              <w:rPr>
                <w:rFonts w:ascii="Times New Roman" w:hAnsi="Times New Roman" w:eastAsia="Times New Roman" w:cs="Times New Roman"/>
                <w:b w:val="0"/>
                <w:bCs w:val="0"/>
                <w:i w:val="0"/>
                <w:iCs w:val="0"/>
                <w:smallCaps w:val="0"/>
                <w:color w:val="auto"/>
                <w:kern w:val="0"/>
                <w:sz w:val="18"/>
                <w:szCs w:val="18"/>
              </w:rPr>
              <w:t>“</w:t>
            </w:r>
            <w:r>
              <w:rPr>
                <w:rFonts w:ascii="宋体" w:hAnsi="宋体" w:eastAsia="宋体" w:cs="宋体"/>
                <w:b w:val="0"/>
                <w:bCs w:val="0"/>
                <w:i w:val="0"/>
                <w:iCs w:val="0"/>
                <w:smallCaps w:val="0"/>
                <w:color w:val="auto"/>
                <w:kern w:val="0"/>
                <w:sz w:val="18"/>
                <w:szCs w:val="18"/>
              </w:rPr>
              <w:t>三公</w:t>
            </w:r>
            <w:r>
              <w:rPr>
                <w:rFonts w:ascii="Times New Roman" w:hAnsi="Times New Roman" w:eastAsia="Times New Roman" w:cs="Times New Roman"/>
                <w:b w:val="0"/>
                <w:bCs w:val="0"/>
                <w:i w:val="0"/>
                <w:iCs w:val="0"/>
                <w:smallCaps w:val="0"/>
                <w:color w:val="auto"/>
                <w:kern w:val="0"/>
                <w:sz w:val="18"/>
                <w:szCs w:val="18"/>
              </w:rPr>
              <w:t>”</w:t>
            </w:r>
            <w:r>
              <w:rPr>
                <w:rFonts w:ascii="宋体" w:hAnsi="宋体" w:eastAsia="宋体" w:cs="宋体"/>
                <w:b w:val="0"/>
                <w:bCs w:val="0"/>
                <w:i w:val="0"/>
                <w:iCs w:val="0"/>
                <w:smallCaps w:val="0"/>
                <w:color w:val="auto"/>
                <w:kern w:val="0"/>
                <w:sz w:val="18"/>
                <w:szCs w:val="18"/>
              </w:rPr>
              <w:t>经费全年预算数，反映按规定程序调整后的预算数；决算数是包括当年财政拨款和以前年度结转资金安排的实际支出。</w:t>
            </w:r>
          </w:p>
        </w:tc>
      </w:tr>
    </w:tbl>
    <w:p>
      <w:pPr>
        <w:widowControl/>
        <w:jc w:val="left"/>
        <w:rPr>
          <w:rFonts w:ascii="Times New Roman" w:hAnsi="Times New Roman" w:eastAsia="Times New Roman" w:cs="Times New Roman"/>
          <w:color w:val="auto"/>
          <w:kern w:val="0"/>
          <w:sz w:val="24"/>
        </w:rPr>
      </w:pPr>
      <w:r>
        <w:rPr>
          <w:rFonts w:ascii="Times New Roman" w:hAnsi="Times New Roman" w:eastAsia="Times New Roman" w:cs="Times New Roman"/>
          <w:color w:val="auto"/>
          <w:kern w:val="0"/>
          <w:sz w:val="24"/>
        </w:rPr>
        <w:t> </w:t>
      </w:r>
    </w:p>
    <w:p>
      <w:pPr>
        <w:pStyle w:val="29"/>
        <w:widowControl/>
        <w:spacing w:before="100" w:after="100"/>
        <w:ind w:left="0" w:right="0" w:firstLine="640" w:firstLineChars="200"/>
        <w:jc w:val="left"/>
        <w:rPr>
          <w:rFonts w:ascii="宋体" w:hAnsi="宋体" w:cs="宋体"/>
          <w:color w:val="auto"/>
          <w:kern w:val="0"/>
          <w:sz w:val="24"/>
        </w:rPr>
      </w:pPr>
      <w:r>
        <w:rPr>
          <w:rFonts w:hint="eastAsia" w:ascii="仿宋" w:hAnsi="仿宋" w:eastAsia="仿宋" w:cs="仿宋"/>
          <w:b w:val="0"/>
          <w:bCs w:val="0"/>
          <w:i w:val="0"/>
          <w:iCs w:val="0"/>
          <w:smallCaps w:val="0"/>
          <w:color w:val="auto"/>
          <w:kern w:val="0"/>
          <w:sz w:val="32"/>
          <w:szCs w:val="32"/>
          <w:lang w:eastAsia="zh-CN"/>
        </w:rPr>
        <w:t>本单位</w:t>
      </w:r>
      <w:r>
        <w:rPr>
          <w:rFonts w:hint="eastAsia" w:ascii="仿宋" w:hAnsi="仿宋" w:eastAsia="仿宋" w:cs="仿宋"/>
          <w:b w:val="0"/>
          <w:bCs w:val="0"/>
          <w:i w:val="0"/>
          <w:iCs w:val="0"/>
          <w:smallCaps w:val="0"/>
          <w:color w:val="auto"/>
          <w:kern w:val="0"/>
          <w:sz w:val="32"/>
          <w:szCs w:val="32"/>
          <w:lang w:val="en-US" w:eastAsia="zh-CN"/>
        </w:rPr>
        <w:t>2024年度没有使用一般公共预算财政拨款安排的“三公”经费支出。</w:t>
      </w:r>
    </w:p>
    <w:p>
      <w:pPr>
        <w:pStyle w:val="6"/>
        <w:keepNext w:val="0"/>
        <w:keepLines w:val="0"/>
        <w:spacing w:before="100" w:after="100" w:line="240" w:lineRule="auto"/>
        <w:ind w:left="0" w:leftChars="0" w:right="0" w:firstLine="0" w:firstLineChars="0"/>
        <w:rPr>
          <w:rFonts w:ascii="Times New Roman" w:hAnsi="Times New Roman" w:eastAsia="Times New Roman" w:cs="Times New Roman"/>
          <w:b/>
          <w:bCs/>
          <w:color w:val="auto"/>
          <w:kern w:val="0"/>
          <w:sz w:val="28"/>
          <w:szCs w:val="28"/>
        </w:rPr>
      </w:pPr>
      <w:bookmarkStart w:id="57" w:name="_Toc256000107"/>
      <w:bookmarkStart w:id="58" w:name="_Toc256000014"/>
      <w:bookmarkStart w:id="59" w:name="_Toc256000076"/>
      <w:bookmarkStart w:id="60" w:name="_Toc256000045"/>
      <w:r>
        <w:rPr>
          <w:rFonts w:ascii="黑体" w:hAnsi="黑体" w:eastAsia="黑体" w:cs="黑体"/>
          <w:b/>
          <w:color w:val="auto"/>
          <w:spacing w:val="0"/>
        </w:rPr>
        <w:t>八、政府性基金预算财政拨款收入支出决算表</w:t>
      </w:r>
      <w:bookmarkEnd w:id="57"/>
      <w:bookmarkEnd w:id="58"/>
      <w:bookmarkEnd w:id="59"/>
      <w:bookmarkEnd w:id="60"/>
    </w:p>
    <w:p>
      <w:pPr>
        <w:widowControl/>
        <w:spacing w:before="240" w:after="240"/>
        <w:jc w:val="left"/>
        <w:rPr>
          <w:rFonts w:ascii="Times New Roman" w:hAnsi="Times New Roman" w:eastAsia="Times New Roman" w:cs="Times New Roman"/>
          <w:vanish/>
          <w:color w:val="auto"/>
          <w:kern w:val="0"/>
          <w:sz w:val="24"/>
        </w:rPr>
      </w:pPr>
      <w:r>
        <w:rPr>
          <w:rFonts w:ascii="Times New Roman" w:hAnsi="Times New Roman" w:eastAsia="Times New Roman" w:cs="Times New Roman"/>
          <w:vanish/>
          <w:color w:val="auto"/>
          <w:kern w:val="0"/>
          <w:sz w:val="24"/>
        </w:rPr>
        <w:t>word horizontal layout</w:t>
      </w:r>
    </w:p>
    <w:tbl>
      <w:tblPr>
        <w:tblStyle w:val="23"/>
        <w:tblW w:w="9127" w:type="dxa"/>
        <w:jc w:val="center"/>
        <w:tblInd w:w="0" w:type="dxa"/>
        <w:tblLayout w:type="fixed"/>
        <w:tblCellMar>
          <w:top w:w="15" w:type="dxa"/>
          <w:left w:w="15" w:type="dxa"/>
          <w:bottom w:w="15" w:type="dxa"/>
          <w:right w:w="15" w:type="dxa"/>
        </w:tblCellMar>
      </w:tblPr>
      <w:tblGrid>
        <w:gridCol w:w="1072"/>
        <w:gridCol w:w="1065"/>
        <w:gridCol w:w="1185"/>
        <w:gridCol w:w="1155"/>
        <w:gridCol w:w="674"/>
        <w:gridCol w:w="1246"/>
        <w:gridCol w:w="1380"/>
        <w:gridCol w:w="1350"/>
      </w:tblGrid>
      <w:tr>
        <w:tblPrEx>
          <w:tblLayout w:type="fixed"/>
          <w:tblCellMar>
            <w:top w:w="15" w:type="dxa"/>
            <w:left w:w="15" w:type="dxa"/>
            <w:bottom w:w="15" w:type="dxa"/>
            <w:right w:w="15" w:type="dxa"/>
          </w:tblCellMar>
        </w:tblPrEx>
        <w:trPr>
          <w:trHeight w:val="0" w:hRule="atLeast"/>
          <w:tblHeader/>
          <w:jc w:val="center"/>
        </w:trPr>
        <w:tc>
          <w:tcPr>
            <w:tcW w:w="9127" w:type="dxa"/>
            <w:gridSpan w:val="8"/>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32"/>
                <w:szCs w:val="32"/>
              </w:rPr>
              <w:t>政府性基金预算财政拨款收入支出决算表</w:t>
            </w:r>
          </w:p>
        </w:tc>
      </w:tr>
      <w:tr>
        <w:tblPrEx>
          <w:tblLayout w:type="fixed"/>
          <w:tblCellMar>
            <w:top w:w="15" w:type="dxa"/>
            <w:left w:w="15" w:type="dxa"/>
            <w:bottom w:w="15" w:type="dxa"/>
            <w:right w:w="15" w:type="dxa"/>
          </w:tblCellMar>
        </w:tblPrEx>
        <w:trPr>
          <w:trHeight w:val="0" w:hRule="atLeast"/>
          <w:jc w:val="center"/>
        </w:trPr>
        <w:tc>
          <w:tcPr>
            <w:tcW w:w="5151"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部门</w:t>
            </w:r>
            <w:r>
              <w:rPr>
                <w:rFonts w:ascii="Times New Roman" w:hAnsi="Times New Roman" w:eastAsia="Times New Roman" w:cs="Times New Roman"/>
                <w:b w:val="0"/>
                <w:bCs w:val="0"/>
                <w:i w:val="0"/>
                <w:iCs w:val="0"/>
                <w:smallCaps w:val="0"/>
                <w:color w:val="auto"/>
                <w:kern w:val="0"/>
                <w:sz w:val="18"/>
                <w:szCs w:val="18"/>
              </w:rPr>
              <w:t>/</w:t>
            </w:r>
            <w:r>
              <w:rPr>
                <w:rFonts w:ascii="宋体" w:hAnsi="宋体" w:eastAsia="宋体" w:cs="宋体"/>
                <w:b w:val="0"/>
                <w:bCs w:val="0"/>
                <w:i w:val="0"/>
                <w:iCs w:val="0"/>
                <w:smallCaps w:val="0"/>
                <w:color w:val="auto"/>
                <w:kern w:val="0"/>
                <w:sz w:val="18"/>
                <w:szCs w:val="18"/>
              </w:rPr>
              <w:t>单位：厦门市尚文实验学校</w:t>
            </w:r>
            <w:r>
              <w:rPr>
                <w:rFonts w:hint="eastAsia" w:ascii="宋体" w:hAnsi="宋体" w:cs="宋体"/>
                <w:b w:val="0"/>
                <w:bCs w:val="0"/>
                <w:i w:val="0"/>
                <w:iCs w:val="0"/>
                <w:smallCaps w:val="0"/>
                <w:color w:val="auto"/>
                <w:kern w:val="0"/>
                <w:sz w:val="18"/>
                <w:szCs w:val="18"/>
                <w:lang w:val="en-US" w:eastAsia="zh-CN"/>
              </w:rPr>
              <w:t xml:space="preserve">                   </w:t>
            </w:r>
            <w:r>
              <w:rPr>
                <w:rFonts w:ascii="Times New Roman" w:hAnsi="Times New Roman" w:eastAsia="Times New Roman" w:cs="Times New Roman"/>
                <w:b w:val="0"/>
                <w:bCs w:val="0"/>
                <w:i w:val="0"/>
                <w:iCs w:val="0"/>
                <w:smallCaps w:val="0"/>
                <w:color w:val="auto"/>
                <w:kern w:val="0"/>
                <w:sz w:val="18"/>
                <w:szCs w:val="18"/>
              </w:rPr>
              <w:t>2024</w:t>
            </w:r>
            <w:r>
              <w:rPr>
                <w:rFonts w:ascii="宋体" w:hAnsi="宋体" w:eastAsia="宋体" w:cs="宋体"/>
                <w:b w:val="0"/>
                <w:bCs w:val="0"/>
                <w:i w:val="0"/>
                <w:iCs w:val="0"/>
                <w:smallCaps w:val="0"/>
                <w:color w:val="auto"/>
                <w:kern w:val="0"/>
                <w:sz w:val="18"/>
                <w:szCs w:val="18"/>
              </w:rPr>
              <w:t>年度</w:t>
            </w:r>
          </w:p>
        </w:tc>
        <w:tc>
          <w:tcPr>
            <w:tcW w:w="124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730"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p>
            <w:pPr>
              <w:widowControl/>
              <w:jc w:val="righ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金额单位：万元</w:t>
            </w:r>
          </w:p>
        </w:tc>
      </w:tr>
      <w:tr>
        <w:tblPrEx>
          <w:tblLayout w:type="fixed"/>
          <w:tblCellMar>
            <w:top w:w="15" w:type="dxa"/>
            <w:left w:w="15" w:type="dxa"/>
            <w:bottom w:w="15" w:type="dxa"/>
            <w:right w:w="15" w:type="dxa"/>
          </w:tblCellMar>
        </w:tblPrEx>
        <w:trPr>
          <w:trHeight w:val="0" w:hRule="atLeast"/>
          <w:tblHeader/>
          <w:jc w:val="center"/>
        </w:trPr>
        <w:tc>
          <w:tcPr>
            <w:tcW w:w="213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项目</w:t>
            </w:r>
          </w:p>
        </w:tc>
        <w:tc>
          <w:tcPr>
            <w:tcW w:w="1185" w:type="dxa"/>
            <w:vMerge w:val="restart"/>
            <w:tcBorders>
              <w:top w:val="single" w:color="000000" w:sz="6" w:space="0"/>
              <w:left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年初结转和结余</w:t>
            </w:r>
            <w:r>
              <w:rPr>
                <w:rFonts w:ascii="Times New Roman" w:hAnsi="Times New Roman" w:eastAsia="Times New Roman" w:cs="Times New Roman"/>
                <w:b w:val="0"/>
                <w:bCs w:val="0"/>
                <w:i w:val="0"/>
                <w:iCs w:val="0"/>
                <w:smallCaps w:val="0"/>
                <w:color w:val="auto"/>
                <w:kern w:val="0"/>
                <w:sz w:val="18"/>
                <w:szCs w:val="18"/>
              </w:rPr>
              <w:t xml:space="preserve"> </w:t>
            </w:r>
          </w:p>
        </w:tc>
        <w:tc>
          <w:tcPr>
            <w:tcW w:w="1155" w:type="dxa"/>
            <w:vMerge w:val="restart"/>
            <w:tcBorders>
              <w:top w:val="single" w:color="000000" w:sz="6" w:space="0"/>
              <w:left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本年收入</w:t>
            </w:r>
          </w:p>
        </w:tc>
        <w:tc>
          <w:tcPr>
            <w:tcW w:w="330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本年支出</w:t>
            </w:r>
          </w:p>
        </w:tc>
        <w:tc>
          <w:tcPr>
            <w:tcW w:w="1350" w:type="dxa"/>
            <w:vMerge w:val="restart"/>
            <w:tcBorders>
              <w:top w:val="single" w:color="000000" w:sz="6" w:space="0"/>
              <w:left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年末结转和结余</w:t>
            </w:r>
          </w:p>
        </w:tc>
      </w:tr>
      <w:tr>
        <w:tblPrEx>
          <w:tblLayout w:type="fixed"/>
          <w:tblCellMar>
            <w:top w:w="15" w:type="dxa"/>
            <w:left w:w="15" w:type="dxa"/>
            <w:bottom w:w="15" w:type="dxa"/>
            <w:right w:w="15" w:type="dxa"/>
          </w:tblCellMar>
        </w:tblPrEx>
        <w:trPr>
          <w:trHeight w:val="312" w:hRule="atLeast"/>
          <w:tblHeader/>
          <w:jc w:val="center"/>
        </w:trPr>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支出功能分类科目编码</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科目名称</w:t>
            </w:r>
          </w:p>
        </w:tc>
        <w:tc>
          <w:tcPr>
            <w:tcW w:w="1185" w:type="dxa"/>
            <w:vMerge w:val="continue"/>
            <w:tcBorders>
              <w:left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155" w:type="dxa"/>
            <w:vMerge w:val="continue"/>
            <w:tcBorders>
              <w:left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小计</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基本支出</w:t>
            </w:r>
            <w:r>
              <w:rPr>
                <w:rFonts w:ascii="Times New Roman" w:hAnsi="Times New Roman" w:eastAsia="Times New Roman" w:cs="Times New Roman"/>
                <w:b w:val="0"/>
                <w:bCs w:val="0"/>
                <w:i w:val="0"/>
                <w:iCs w:val="0"/>
                <w:smallCaps w:val="0"/>
                <w:color w:val="auto"/>
                <w:kern w:val="0"/>
                <w:sz w:val="18"/>
                <w:szCs w:val="18"/>
              </w:rPr>
              <w:t xml:space="preserve">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项目支出</w:t>
            </w:r>
          </w:p>
        </w:tc>
        <w:tc>
          <w:tcPr>
            <w:tcW w:w="1350" w:type="dxa"/>
            <w:vMerge w:val="continue"/>
            <w:tcBorders>
              <w:left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213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栏次</w:t>
            </w:r>
          </w:p>
        </w:tc>
        <w:tc>
          <w:tcPr>
            <w:tcW w:w="11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w:t>
            </w:r>
          </w:p>
        </w:tc>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4</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5</w:t>
            </w:r>
          </w:p>
        </w:tc>
        <w:tc>
          <w:tcPr>
            <w:tcW w:w="13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6</w:t>
            </w:r>
          </w:p>
        </w:tc>
      </w:tr>
      <w:tr>
        <w:tblPrEx>
          <w:tblLayout w:type="fixed"/>
          <w:tblCellMar>
            <w:top w:w="15" w:type="dxa"/>
            <w:left w:w="15" w:type="dxa"/>
            <w:bottom w:w="15" w:type="dxa"/>
            <w:right w:w="15" w:type="dxa"/>
          </w:tblCellMar>
        </w:tblPrEx>
        <w:trPr>
          <w:trHeight w:val="0" w:hRule="atLeast"/>
          <w:jc w:val="center"/>
        </w:trPr>
        <w:tc>
          <w:tcPr>
            <w:tcW w:w="213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合计</w:t>
            </w:r>
          </w:p>
        </w:tc>
        <w:tc>
          <w:tcPr>
            <w:tcW w:w="11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3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6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2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3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127" w:type="dxa"/>
            <w:gridSpan w:val="8"/>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注：本表反映部门本年度政府性基金预算财政拨款收入、支出及结转和结余情况。</w:t>
            </w:r>
          </w:p>
        </w:tc>
      </w:tr>
    </w:tbl>
    <w:p>
      <w:pPr>
        <w:widowControl/>
        <w:jc w:val="left"/>
        <w:rPr>
          <w:rFonts w:ascii="Times New Roman" w:hAnsi="Times New Roman" w:eastAsia="Times New Roman" w:cs="Times New Roman"/>
          <w:color w:val="auto"/>
          <w:kern w:val="0"/>
          <w:sz w:val="24"/>
        </w:rPr>
      </w:pPr>
      <w:r>
        <w:rPr>
          <w:rFonts w:ascii="Times New Roman" w:hAnsi="Times New Roman" w:eastAsia="Times New Roman" w:cs="Times New Roman"/>
          <w:color w:val="auto"/>
          <w:kern w:val="0"/>
          <w:sz w:val="24"/>
        </w:rPr>
        <w:t> </w:t>
      </w:r>
    </w:p>
    <w:p>
      <w:pPr>
        <w:pStyle w:val="29"/>
        <w:widowControl/>
        <w:numPr>
          <w:ilvl w:val="0"/>
          <w:numId w:val="0"/>
        </w:numPr>
        <w:spacing w:before="240" w:after="240"/>
        <w:ind w:firstLine="640" w:firstLineChars="200"/>
        <w:jc w:val="both"/>
        <w:rPr>
          <w:rFonts w:hint="eastAsia" w:ascii="仿宋" w:hAnsi="仿宋" w:eastAsia="仿宋" w:cs="仿宋"/>
          <w:color w:val="auto"/>
          <w:kern w:val="0"/>
          <w:sz w:val="32"/>
          <w:szCs w:val="32"/>
          <w:lang w:eastAsia="zh-CN"/>
        </w:rPr>
      </w:pPr>
      <w:bookmarkStart w:id="61" w:name="_Toc256000108"/>
      <w:bookmarkStart w:id="62" w:name="_Toc256000077"/>
      <w:bookmarkStart w:id="63" w:name="_Toc256000046"/>
      <w:bookmarkStart w:id="64" w:name="_Toc256000015"/>
      <w:r>
        <w:rPr>
          <w:rFonts w:hint="eastAsia" w:ascii="仿宋" w:hAnsi="仿宋" w:eastAsia="仿宋" w:cs="仿宋"/>
          <w:color w:val="auto"/>
          <w:kern w:val="0"/>
          <w:sz w:val="32"/>
          <w:szCs w:val="32"/>
        </w:rPr>
        <w:t>本</w:t>
      </w:r>
      <w:r>
        <w:rPr>
          <w:rFonts w:hint="eastAsia" w:ascii="仿宋" w:hAnsi="仿宋" w:eastAsia="仿宋" w:cs="仿宋"/>
          <w:color w:val="auto"/>
          <w:kern w:val="0"/>
          <w:sz w:val="32"/>
          <w:szCs w:val="32"/>
          <w:lang w:eastAsia="zh-CN"/>
        </w:rPr>
        <w:t>单位</w:t>
      </w:r>
      <w:r>
        <w:rPr>
          <w:rFonts w:hint="eastAsia" w:ascii="仿宋" w:hAnsi="仿宋" w:eastAsia="仿宋" w:cs="仿宋"/>
          <w:color w:val="auto"/>
          <w:kern w:val="0"/>
          <w:sz w:val="32"/>
          <w:szCs w:val="32"/>
        </w:rPr>
        <w:t>202</w:t>
      </w:r>
      <w:r>
        <w:rPr>
          <w:rFonts w:hint="eastAsia" w:ascii="仿宋" w:hAnsi="仿宋" w:eastAsia="仿宋" w:cs="仿宋"/>
          <w:color w:val="auto"/>
          <w:kern w:val="0"/>
          <w:sz w:val="32"/>
          <w:szCs w:val="32"/>
          <w:lang w:val="en-US" w:eastAsia="zh-CN"/>
        </w:rPr>
        <w:t>4</w:t>
      </w:r>
      <w:r>
        <w:rPr>
          <w:rFonts w:hint="eastAsia" w:ascii="仿宋" w:hAnsi="仿宋" w:eastAsia="仿宋" w:cs="仿宋"/>
          <w:color w:val="auto"/>
          <w:kern w:val="0"/>
          <w:sz w:val="32"/>
          <w:szCs w:val="32"/>
        </w:rPr>
        <w:t>年度没有使用政府性基金预算拨款安排的收支</w:t>
      </w:r>
      <w:r>
        <w:rPr>
          <w:rFonts w:hint="eastAsia" w:ascii="仿宋" w:hAnsi="仿宋" w:eastAsia="仿宋" w:cs="仿宋"/>
          <w:color w:val="auto"/>
          <w:kern w:val="0"/>
          <w:sz w:val="32"/>
          <w:szCs w:val="32"/>
          <w:lang w:eastAsia="zh-CN"/>
        </w:rPr>
        <w:t>。</w:t>
      </w:r>
    </w:p>
    <w:p>
      <w:pPr>
        <w:pStyle w:val="29"/>
        <w:widowControl/>
        <w:spacing w:before="100" w:after="100"/>
        <w:ind w:left="0" w:right="0" w:firstLine="480"/>
        <w:jc w:val="left"/>
        <w:rPr>
          <w:rFonts w:ascii="黑体" w:hAnsi="黑体" w:eastAsia="黑体" w:cs="黑体"/>
          <w:b/>
          <w:color w:val="auto"/>
          <w:spacing w:val="0"/>
        </w:rPr>
      </w:pPr>
    </w:p>
    <w:p>
      <w:pPr>
        <w:pStyle w:val="6"/>
        <w:keepNext w:val="0"/>
        <w:keepLines w:val="0"/>
        <w:spacing w:before="100" w:after="100" w:line="240" w:lineRule="auto"/>
        <w:ind w:left="0" w:leftChars="0" w:right="0" w:firstLine="0" w:firstLineChars="0"/>
        <w:rPr>
          <w:rFonts w:ascii="Times New Roman" w:hAnsi="Times New Roman" w:eastAsia="Times New Roman" w:cs="Times New Roman"/>
          <w:b/>
          <w:bCs/>
          <w:color w:val="auto"/>
          <w:kern w:val="0"/>
          <w:sz w:val="28"/>
          <w:szCs w:val="28"/>
        </w:rPr>
      </w:pPr>
      <w:r>
        <w:rPr>
          <w:rFonts w:ascii="黑体" w:hAnsi="黑体" w:eastAsia="黑体" w:cs="黑体"/>
          <w:b/>
          <w:color w:val="auto"/>
          <w:spacing w:val="0"/>
        </w:rPr>
        <w:t>九、国有资本经营预算财政拨款支出决算表</w:t>
      </w:r>
      <w:bookmarkEnd w:id="61"/>
      <w:bookmarkEnd w:id="62"/>
      <w:bookmarkEnd w:id="63"/>
      <w:bookmarkEnd w:id="64"/>
    </w:p>
    <w:p>
      <w:pPr>
        <w:widowControl/>
        <w:spacing w:before="240" w:after="240"/>
        <w:jc w:val="left"/>
        <w:rPr>
          <w:rFonts w:ascii="Times New Roman" w:hAnsi="Times New Roman" w:eastAsia="Times New Roman" w:cs="Times New Roman"/>
          <w:vanish/>
          <w:color w:val="auto"/>
          <w:kern w:val="0"/>
          <w:sz w:val="24"/>
        </w:rPr>
      </w:pPr>
      <w:r>
        <w:rPr>
          <w:rFonts w:ascii="Times New Roman" w:hAnsi="Times New Roman" w:eastAsia="Times New Roman" w:cs="Times New Roman"/>
          <w:vanish/>
          <w:color w:val="auto"/>
          <w:kern w:val="0"/>
          <w:sz w:val="24"/>
        </w:rPr>
        <w:t>word horizontal layout</w:t>
      </w:r>
    </w:p>
    <w:tbl>
      <w:tblPr>
        <w:tblStyle w:val="23"/>
        <w:tblW w:w="9157" w:type="dxa"/>
        <w:jc w:val="center"/>
        <w:tblInd w:w="0" w:type="dxa"/>
        <w:tblLayout w:type="fixed"/>
        <w:tblCellMar>
          <w:top w:w="15" w:type="dxa"/>
          <w:left w:w="15" w:type="dxa"/>
          <w:bottom w:w="15" w:type="dxa"/>
          <w:right w:w="15" w:type="dxa"/>
        </w:tblCellMar>
      </w:tblPr>
      <w:tblGrid>
        <w:gridCol w:w="1272"/>
        <w:gridCol w:w="1706"/>
        <w:gridCol w:w="1702"/>
        <w:gridCol w:w="2535"/>
        <w:gridCol w:w="1942"/>
      </w:tblGrid>
      <w:tr>
        <w:tblPrEx>
          <w:tblLayout w:type="fixed"/>
          <w:tblCellMar>
            <w:top w:w="15" w:type="dxa"/>
            <w:left w:w="15" w:type="dxa"/>
            <w:bottom w:w="15" w:type="dxa"/>
            <w:right w:w="15" w:type="dxa"/>
          </w:tblCellMar>
        </w:tblPrEx>
        <w:trPr>
          <w:trHeight w:val="0" w:hRule="atLeast"/>
          <w:tblHeader/>
          <w:jc w:val="center"/>
        </w:trPr>
        <w:tc>
          <w:tcPr>
            <w:tcW w:w="9157" w:type="dxa"/>
            <w:gridSpan w:val="5"/>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32"/>
                <w:szCs w:val="32"/>
              </w:rPr>
              <w:t>国有资本经营预算财政拨款支出决算表</w:t>
            </w:r>
          </w:p>
        </w:tc>
      </w:tr>
      <w:tr>
        <w:tblPrEx>
          <w:tblLayout w:type="fixed"/>
          <w:tblCellMar>
            <w:top w:w="15" w:type="dxa"/>
            <w:left w:w="15" w:type="dxa"/>
            <w:bottom w:w="15" w:type="dxa"/>
            <w:right w:w="15" w:type="dxa"/>
          </w:tblCellMar>
        </w:tblPrEx>
        <w:trPr>
          <w:trHeight w:val="0" w:hRule="atLeast"/>
          <w:jc w:val="center"/>
        </w:trPr>
        <w:tc>
          <w:tcPr>
            <w:tcW w:w="297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部门</w:t>
            </w:r>
            <w:r>
              <w:rPr>
                <w:rFonts w:ascii="Times New Roman" w:hAnsi="Times New Roman" w:eastAsia="Times New Roman" w:cs="Times New Roman"/>
                <w:b w:val="0"/>
                <w:bCs w:val="0"/>
                <w:i w:val="0"/>
                <w:iCs w:val="0"/>
                <w:smallCaps w:val="0"/>
                <w:color w:val="auto"/>
                <w:kern w:val="0"/>
                <w:sz w:val="18"/>
                <w:szCs w:val="18"/>
              </w:rPr>
              <w:t>/</w:t>
            </w:r>
            <w:r>
              <w:rPr>
                <w:rFonts w:ascii="宋体" w:hAnsi="宋体" w:eastAsia="宋体" w:cs="宋体"/>
                <w:b w:val="0"/>
                <w:bCs w:val="0"/>
                <w:i w:val="0"/>
                <w:iCs w:val="0"/>
                <w:smallCaps w:val="0"/>
                <w:color w:val="auto"/>
                <w:kern w:val="0"/>
                <w:sz w:val="18"/>
                <w:szCs w:val="18"/>
              </w:rPr>
              <w:t>单位：厦门市尚文实验学校</w:t>
            </w:r>
          </w:p>
        </w:tc>
        <w:tc>
          <w:tcPr>
            <w:tcW w:w="170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hint="eastAsia" w:cs="Times New Roman"/>
                <w:b w:val="0"/>
                <w:bCs w:val="0"/>
                <w:i w:val="0"/>
                <w:iCs w:val="0"/>
                <w:smallCaps w:val="0"/>
                <w:color w:val="auto"/>
                <w:kern w:val="0"/>
                <w:sz w:val="18"/>
                <w:szCs w:val="18"/>
                <w:lang w:val="en-US" w:eastAsia="zh-CN"/>
              </w:rPr>
              <w:t xml:space="preserve">                  </w:t>
            </w:r>
            <w:r>
              <w:rPr>
                <w:rFonts w:ascii="Times New Roman" w:hAnsi="Times New Roman" w:eastAsia="Times New Roman" w:cs="Times New Roman"/>
                <w:b w:val="0"/>
                <w:bCs w:val="0"/>
                <w:i w:val="0"/>
                <w:iCs w:val="0"/>
                <w:smallCaps w:val="0"/>
                <w:color w:val="auto"/>
                <w:kern w:val="0"/>
                <w:sz w:val="18"/>
                <w:szCs w:val="18"/>
              </w:rPr>
              <w:t>2024</w:t>
            </w:r>
            <w:r>
              <w:rPr>
                <w:rFonts w:ascii="宋体" w:hAnsi="宋体" w:eastAsia="宋体" w:cs="宋体"/>
                <w:b w:val="0"/>
                <w:bCs w:val="0"/>
                <w:i w:val="0"/>
                <w:iCs w:val="0"/>
                <w:smallCaps w:val="0"/>
                <w:color w:val="auto"/>
                <w:kern w:val="0"/>
                <w:sz w:val="18"/>
                <w:szCs w:val="18"/>
              </w:rPr>
              <w:t>年度</w:t>
            </w:r>
          </w:p>
        </w:tc>
        <w:tc>
          <w:tcPr>
            <w:tcW w:w="253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94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297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项目</w:t>
            </w:r>
          </w:p>
        </w:tc>
        <w:tc>
          <w:tcPr>
            <w:tcW w:w="617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本年支出</w:t>
            </w:r>
          </w:p>
        </w:tc>
      </w:tr>
      <w:tr>
        <w:tblPrEx>
          <w:tblLayout w:type="fixed"/>
          <w:tblCellMar>
            <w:top w:w="15" w:type="dxa"/>
            <w:left w:w="15" w:type="dxa"/>
            <w:bottom w:w="15" w:type="dxa"/>
            <w:right w:w="15" w:type="dxa"/>
          </w:tblCellMar>
        </w:tblPrEx>
        <w:trPr>
          <w:trHeight w:val="312" w:hRule="atLeast"/>
          <w:tblHeader/>
          <w:jc w:val="center"/>
        </w:trPr>
        <w:tc>
          <w:tcPr>
            <w:tcW w:w="127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科目代码</w:t>
            </w:r>
          </w:p>
        </w:tc>
        <w:tc>
          <w:tcPr>
            <w:tcW w:w="170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科目名称</w:t>
            </w:r>
          </w:p>
        </w:tc>
        <w:tc>
          <w:tcPr>
            <w:tcW w:w="170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合计</w:t>
            </w:r>
          </w:p>
        </w:tc>
        <w:tc>
          <w:tcPr>
            <w:tcW w:w="25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基本支出</w:t>
            </w:r>
          </w:p>
        </w:tc>
        <w:tc>
          <w:tcPr>
            <w:tcW w:w="194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项目支出</w:t>
            </w:r>
          </w:p>
        </w:tc>
      </w:tr>
      <w:tr>
        <w:tblPrEx>
          <w:tblLayout w:type="fixed"/>
          <w:tblCellMar>
            <w:top w:w="15" w:type="dxa"/>
            <w:left w:w="15" w:type="dxa"/>
            <w:bottom w:w="15" w:type="dxa"/>
            <w:right w:w="15" w:type="dxa"/>
          </w:tblCellMar>
        </w:tblPrEx>
        <w:trPr>
          <w:trHeight w:val="312" w:hRule="atLeast"/>
          <w:tblHeader/>
          <w:jc w:val="center"/>
        </w:trPr>
        <w:tc>
          <w:tcPr>
            <w:tcW w:w="127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7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70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253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94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127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7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70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253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c>
          <w:tcPr>
            <w:tcW w:w="194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auto"/>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297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栏次</w:t>
            </w:r>
          </w:p>
        </w:tc>
        <w:tc>
          <w:tcPr>
            <w:tcW w:w="1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1</w:t>
            </w:r>
          </w:p>
        </w:tc>
        <w:tc>
          <w:tcPr>
            <w:tcW w:w="25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2</w:t>
            </w:r>
          </w:p>
        </w:tc>
        <w:tc>
          <w:tcPr>
            <w:tcW w:w="19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3</w:t>
            </w:r>
          </w:p>
        </w:tc>
      </w:tr>
      <w:tr>
        <w:tblPrEx>
          <w:tblLayout w:type="fixed"/>
          <w:tblCellMar>
            <w:top w:w="15" w:type="dxa"/>
            <w:left w:w="15" w:type="dxa"/>
            <w:bottom w:w="15" w:type="dxa"/>
            <w:right w:w="15" w:type="dxa"/>
          </w:tblCellMar>
        </w:tblPrEx>
        <w:trPr>
          <w:trHeight w:val="0" w:hRule="atLeast"/>
          <w:jc w:val="center"/>
        </w:trPr>
        <w:tc>
          <w:tcPr>
            <w:tcW w:w="297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合计</w:t>
            </w:r>
          </w:p>
        </w:tc>
        <w:tc>
          <w:tcPr>
            <w:tcW w:w="1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5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9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2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7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7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25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c>
          <w:tcPr>
            <w:tcW w:w="194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auto"/>
                <w:kern w:val="0"/>
                <w:sz w:val="18"/>
                <w:szCs w:val="18"/>
              </w:rPr>
            </w:pPr>
            <w:r>
              <w:rPr>
                <w:rFonts w:ascii="Times New Roman" w:hAnsi="Times New Roman" w:eastAsia="Times New Roman" w:cs="Times New Roman"/>
                <w:b w:val="0"/>
                <w:bCs w:val="0"/>
                <w:i w:val="0"/>
                <w:iCs w:val="0"/>
                <w:smallCaps w:val="0"/>
                <w:color w:val="auto"/>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157" w:type="dxa"/>
            <w:gridSpan w:val="5"/>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auto"/>
                <w:kern w:val="0"/>
                <w:sz w:val="18"/>
                <w:szCs w:val="18"/>
              </w:rPr>
            </w:pPr>
            <w:r>
              <w:rPr>
                <w:rFonts w:ascii="宋体" w:hAnsi="宋体" w:eastAsia="宋体" w:cs="宋体"/>
                <w:b w:val="0"/>
                <w:bCs w:val="0"/>
                <w:i w:val="0"/>
                <w:iCs w:val="0"/>
                <w:smallCaps w:val="0"/>
                <w:color w:val="auto"/>
                <w:kern w:val="0"/>
                <w:sz w:val="18"/>
                <w:szCs w:val="18"/>
              </w:rPr>
              <w:t>注：本表反映部门本年度国有资本经营预算财政拨款支出情况。</w:t>
            </w:r>
          </w:p>
        </w:tc>
      </w:tr>
    </w:tbl>
    <w:p>
      <w:pPr>
        <w:widowControl/>
        <w:jc w:val="left"/>
        <w:rPr>
          <w:rFonts w:ascii="Times New Roman" w:hAnsi="Times New Roman" w:eastAsia="Times New Roman" w:cs="Times New Roman"/>
          <w:color w:val="auto"/>
          <w:kern w:val="0"/>
          <w:sz w:val="24"/>
        </w:rPr>
      </w:pPr>
      <w:r>
        <w:rPr>
          <w:rFonts w:ascii="Times New Roman" w:hAnsi="Times New Roman" w:eastAsia="Times New Roman" w:cs="Times New Roman"/>
          <w:color w:val="auto"/>
          <w:kern w:val="0"/>
          <w:sz w:val="24"/>
        </w:rPr>
        <w:t> </w:t>
      </w:r>
    </w:p>
    <w:p>
      <w:pPr>
        <w:pStyle w:val="29"/>
        <w:widowControl/>
        <w:spacing w:before="240" w:after="240"/>
        <w:ind w:firstLine="640" w:firstLineChars="200"/>
        <w:jc w:val="both"/>
        <w:rPr>
          <w:rFonts w:ascii="黑体" w:hAnsi="黑体" w:eastAsia="黑体" w:cs="黑体"/>
          <w:color w:val="auto"/>
          <w:kern w:val="0"/>
          <w:sz w:val="36"/>
          <w:szCs w:val="36"/>
        </w:rPr>
      </w:pPr>
      <w:bookmarkStart w:id="65" w:name="_Toc256000109"/>
      <w:bookmarkStart w:id="66" w:name="_Toc256000016"/>
      <w:bookmarkStart w:id="67" w:name="_Toc256000078"/>
      <w:bookmarkStart w:id="68" w:name="_Toc256000047"/>
      <w:r>
        <w:rPr>
          <w:rFonts w:hint="eastAsia" w:ascii="仿宋" w:hAnsi="仿宋" w:eastAsia="仿宋" w:cs="仿宋"/>
          <w:color w:val="auto"/>
          <w:kern w:val="0"/>
          <w:sz w:val="32"/>
          <w:szCs w:val="32"/>
        </w:rPr>
        <w:t>本</w:t>
      </w:r>
      <w:r>
        <w:rPr>
          <w:rFonts w:hint="eastAsia" w:ascii="仿宋" w:hAnsi="仿宋" w:eastAsia="仿宋" w:cs="仿宋"/>
          <w:color w:val="auto"/>
          <w:kern w:val="0"/>
          <w:sz w:val="32"/>
          <w:szCs w:val="32"/>
          <w:lang w:eastAsia="zh-CN"/>
        </w:rPr>
        <w:t>单位</w:t>
      </w:r>
      <w:r>
        <w:rPr>
          <w:rFonts w:hint="eastAsia" w:ascii="仿宋" w:hAnsi="仿宋" w:eastAsia="仿宋" w:cs="仿宋"/>
          <w:color w:val="auto"/>
          <w:kern w:val="0"/>
          <w:sz w:val="32"/>
          <w:szCs w:val="32"/>
        </w:rPr>
        <w:t>202</w:t>
      </w:r>
      <w:r>
        <w:rPr>
          <w:rFonts w:hint="eastAsia" w:ascii="仿宋" w:hAnsi="仿宋" w:eastAsia="仿宋" w:cs="仿宋"/>
          <w:color w:val="auto"/>
          <w:kern w:val="0"/>
          <w:sz w:val="32"/>
          <w:szCs w:val="32"/>
          <w:lang w:val="en-US" w:eastAsia="zh-CN"/>
        </w:rPr>
        <w:t>4</w:t>
      </w:r>
      <w:r>
        <w:rPr>
          <w:rFonts w:hint="eastAsia" w:ascii="仿宋" w:hAnsi="仿宋" w:eastAsia="仿宋" w:cs="仿宋"/>
          <w:color w:val="auto"/>
          <w:kern w:val="0"/>
          <w:sz w:val="32"/>
          <w:szCs w:val="32"/>
        </w:rPr>
        <w:t>年度没有使用国有资本经营预算财政拨款安排的</w:t>
      </w:r>
      <w:r>
        <w:rPr>
          <w:rFonts w:hint="eastAsia" w:ascii="仿宋" w:hAnsi="仿宋" w:eastAsia="仿宋" w:cs="仿宋"/>
          <w:color w:val="auto"/>
          <w:kern w:val="0"/>
          <w:sz w:val="32"/>
          <w:szCs w:val="32"/>
          <w:lang w:eastAsia="zh-CN"/>
        </w:rPr>
        <w:t>支出。</w:t>
      </w:r>
    </w:p>
    <w:p>
      <w:pPr>
        <w:pStyle w:val="29"/>
        <w:widowControl/>
        <w:spacing w:before="240" w:after="240"/>
        <w:jc w:val="center"/>
        <w:rPr>
          <w:rFonts w:ascii="Times New Roman" w:hAnsi="Times New Roman" w:eastAsia="Times New Roman" w:cs="Times New Roman"/>
          <w:vanish/>
          <w:color w:val="auto"/>
          <w:kern w:val="0"/>
          <w:sz w:val="24"/>
        </w:rPr>
      </w:pPr>
      <w:r>
        <w:rPr>
          <w:rFonts w:ascii="黑体" w:hAnsi="黑体" w:eastAsia="黑体" w:cs="黑体"/>
          <w:color w:val="auto"/>
          <w:kern w:val="0"/>
          <w:sz w:val="36"/>
          <w:szCs w:val="36"/>
        </w:rPr>
        <w:t>第三部分</w:t>
      </w:r>
      <w:bookmarkEnd w:id="65"/>
      <w:bookmarkEnd w:id="66"/>
      <w:bookmarkEnd w:id="67"/>
      <w:bookmarkEnd w:id="68"/>
      <w:r>
        <w:rPr>
          <w:rFonts w:ascii="黑体" w:hAnsi="黑体" w:eastAsia="黑体" w:cs="黑体"/>
          <w:color w:val="auto"/>
          <w:kern w:val="0"/>
          <w:sz w:val="36"/>
          <w:szCs w:val="36"/>
        </w:rPr>
        <w:t> </w:t>
      </w:r>
      <w:bookmarkStart w:id="69" w:name="_Toc256000017"/>
      <w:bookmarkStart w:id="70" w:name="_Toc256000079"/>
      <w:bookmarkStart w:id="71" w:name="_Toc256000048"/>
      <w:bookmarkStart w:id="72" w:name="_Toc256000110"/>
      <w:r>
        <w:rPr>
          <w:rFonts w:ascii="黑体" w:hAnsi="黑体" w:eastAsia="黑体" w:cs="黑体"/>
          <w:color w:val="auto"/>
          <w:kern w:val="0"/>
          <w:sz w:val="36"/>
          <w:szCs w:val="36"/>
        </w:rPr>
        <w:t>2024年度决算情况说明</w:t>
      </w:r>
      <w:bookmarkEnd w:id="69"/>
      <w:bookmarkEnd w:id="70"/>
      <w:bookmarkEnd w:id="71"/>
      <w:bookmarkEnd w:id="72"/>
      <w:r>
        <w:rPr>
          <w:rFonts w:ascii="Times New Roman" w:hAnsi="Times New Roman" w:eastAsia="Times New Roman" w:cs="Times New Roman"/>
          <w:vanish/>
          <w:color w:val="auto"/>
          <w:kern w:val="0"/>
          <w:sz w:val="24"/>
        </w:rPr>
        <w:t>word page break</w:t>
      </w:r>
    </w:p>
    <w:p>
      <w:pPr>
        <w:widowControl/>
        <w:spacing w:before="240" w:after="240"/>
        <w:jc w:val="left"/>
        <w:rPr>
          <w:rFonts w:ascii="Times New Roman" w:hAnsi="Times New Roman" w:eastAsia="Times New Roman" w:cs="Times New Roman"/>
          <w:color w:val="auto"/>
          <w:kern w:val="0"/>
          <w:sz w:val="24"/>
        </w:rPr>
      </w:pPr>
    </w:p>
    <w:p>
      <w:pPr>
        <w:pStyle w:val="6"/>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firstLineChars="0"/>
        <w:textAlignment w:val="auto"/>
        <w:rPr>
          <w:rFonts w:ascii="Times New Roman" w:hAnsi="Times New Roman" w:eastAsia="Times New Roman" w:cs="Times New Roman"/>
          <w:b/>
          <w:bCs/>
          <w:color w:val="auto"/>
          <w:kern w:val="0"/>
          <w:sz w:val="28"/>
          <w:szCs w:val="28"/>
        </w:rPr>
      </w:pPr>
      <w:bookmarkStart w:id="73" w:name="_Toc256000018"/>
      <w:bookmarkStart w:id="74" w:name="_Toc256000111"/>
      <w:bookmarkStart w:id="75" w:name="_Toc256000080"/>
      <w:bookmarkStart w:id="76" w:name="_Toc256000049"/>
      <w:r>
        <w:rPr>
          <w:rFonts w:ascii="黑体" w:hAnsi="黑体" w:eastAsia="黑体" w:cs="黑体"/>
          <w:b/>
          <w:color w:val="auto"/>
          <w:spacing w:val="0"/>
        </w:rPr>
        <w:t>一、收入支出决算总体情况说明</w:t>
      </w:r>
      <w:bookmarkEnd w:id="73"/>
      <w:bookmarkEnd w:id="74"/>
      <w:bookmarkEnd w:id="75"/>
      <w:bookmarkEnd w:id="76"/>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Fonts w:ascii="楷体_GB2312" w:hAnsi="楷体_GB2312" w:eastAsia="楷体_GB2312" w:cs="楷体_GB2312"/>
          <w:color w:val="auto"/>
          <w:spacing w:val="0"/>
          <w:kern w:val="0"/>
          <w:sz w:val="32"/>
          <w:szCs w:val="32"/>
        </w:rPr>
        <w:t>（一）收入支出决算总体情况说明</w:t>
      </w:r>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hint="default" w:ascii="Times New Roman" w:hAnsi="Times New Roman" w:eastAsia="仿宋" w:cs="Times New Roman"/>
          <w:color w:val="auto"/>
          <w:kern w:val="0"/>
          <w:sz w:val="24"/>
          <w:lang w:val="en-US" w:eastAsia="zh-CN"/>
        </w:rPr>
      </w:pPr>
      <w:r>
        <w:rPr>
          <w:rFonts w:ascii="仿宋" w:hAnsi="仿宋" w:eastAsia="仿宋" w:cs="仿宋"/>
          <w:color w:val="auto"/>
          <w:spacing w:val="0"/>
          <w:kern w:val="0"/>
          <w:sz w:val="32"/>
          <w:szCs w:val="32"/>
        </w:rPr>
        <w:t>2024年度本单位收入总计5316.26万元，支出总计5316.26万元，与上年决算数相比，各增加1374.13万元，各增长34.86%。主要是</w:t>
      </w:r>
      <w:r>
        <w:rPr>
          <w:rFonts w:hint="eastAsia" w:ascii="仿宋" w:hAnsi="仿宋" w:eastAsia="仿宋" w:cs="仿宋"/>
          <w:color w:val="auto"/>
          <w:kern w:val="0"/>
          <w:sz w:val="32"/>
          <w:szCs w:val="32"/>
          <w:lang w:val="en-US" w:eastAsia="zh-CN"/>
        </w:rPr>
        <w:t>扩班，新增教师和学生</w:t>
      </w:r>
      <w:r>
        <w:rPr>
          <w:rFonts w:hint="eastAsia" w:ascii="仿宋" w:hAnsi="仿宋" w:eastAsia="仿宋" w:cs="仿宋"/>
          <w:color w:val="auto"/>
          <w:kern w:val="0"/>
          <w:sz w:val="32"/>
          <w:szCs w:val="32"/>
        </w:rPr>
        <w:t>。</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Fonts w:ascii="楷体_GB2312" w:hAnsi="楷体_GB2312" w:eastAsia="楷体_GB2312" w:cs="楷体_GB2312"/>
          <w:color w:val="auto"/>
          <w:spacing w:val="0"/>
          <w:kern w:val="0"/>
          <w:sz w:val="32"/>
          <w:szCs w:val="32"/>
        </w:rPr>
        <w:t>（二）收入决算情况说明</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2024年度收入5316.26万元，比上年决算数</w:t>
      </w:r>
      <w:r>
        <w:rPr>
          <w:rFonts w:ascii="仿宋" w:hAnsi="仿宋" w:eastAsia="仿宋" w:cs="仿宋"/>
          <w:color w:val="auto"/>
          <w:kern w:val="0"/>
          <w:sz w:val="32"/>
          <w:szCs w:val="32"/>
        </w:rPr>
        <w:t>增加</w:t>
      </w:r>
      <w:r>
        <w:rPr>
          <w:rFonts w:ascii="仿宋" w:hAnsi="仿宋" w:eastAsia="仿宋" w:cs="仿宋"/>
          <w:color w:val="auto"/>
          <w:spacing w:val="0"/>
          <w:kern w:val="0"/>
          <w:sz w:val="32"/>
          <w:szCs w:val="32"/>
        </w:rPr>
        <w:t>1374.13万元，</w:t>
      </w:r>
      <w:r>
        <w:rPr>
          <w:rFonts w:ascii="仿宋" w:hAnsi="仿宋" w:eastAsia="仿宋" w:cs="仿宋"/>
          <w:color w:val="auto"/>
          <w:kern w:val="0"/>
          <w:sz w:val="32"/>
          <w:szCs w:val="32"/>
        </w:rPr>
        <w:t>增长</w:t>
      </w:r>
      <w:r>
        <w:rPr>
          <w:rFonts w:ascii="仿宋" w:hAnsi="仿宋" w:eastAsia="仿宋" w:cs="仿宋"/>
          <w:color w:val="auto"/>
          <w:spacing w:val="0"/>
          <w:kern w:val="0"/>
          <w:sz w:val="32"/>
          <w:szCs w:val="32"/>
        </w:rPr>
        <w:t>34.86%，具体情况如下：</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160" w:right="0" w:firstLine="48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1.一般公共预算财政拨款收入5316.26万元。</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160" w:right="0" w:firstLine="48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2.政府性基金预算财政拨款收入0万元。</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160" w:right="0" w:firstLine="48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3.国有资本经营预算财政拨款收入0万元。</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4.上级补助收入0万元。</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5.事业收入0万元。</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6.经营收入0万元。</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7.附属单位上缴收入0万元。</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8.其他收入0万元。</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Fonts w:ascii="楷体_GB2312" w:hAnsi="楷体_GB2312" w:eastAsia="楷体_GB2312" w:cs="楷体_GB2312"/>
          <w:color w:val="auto"/>
          <w:spacing w:val="0"/>
          <w:kern w:val="0"/>
          <w:sz w:val="32"/>
          <w:szCs w:val="32"/>
        </w:rPr>
        <w:t>（三）支出决算情况说明</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2024年度支出5316.26万元，比上年决算数增加1374.13万元，增长34.86%，具体情况如下：</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right="0" w:firstLine="64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1.基本支出4701.43万元。其中，人员支出4196.43万元，公用支出505.00万元。</w:t>
      </w:r>
    </w:p>
    <w:p>
      <w:pPr>
        <w:pStyle w:val="29"/>
        <w:keepNext w:val="0"/>
        <w:keepLines w:val="0"/>
        <w:pageBreakBefore w:val="0"/>
        <w:widowControl/>
        <w:kinsoku/>
        <w:wordWrap/>
        <w:overflowPunct/>
        <w:topLinePunct w:val="0"/>
        <w:autoSpaceDE/>
        <w:autoSpaceDN/>
        <w:bidi w:val="0"/>
        <w:adjustRightInd/>
        <w:snapToGrid/>
        <w:spacing w:before="240" w:after="240" w:line="520" w:lineRule="exact"/>
        <w:ind w:right="0" w:firstLine="64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2.项目支出614.82万元。</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right="0" w:firstLine="64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3.上缴上级支出0万元。</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right="0" w:firstLine="64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4.经营支出0万元。</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right="0" w:firstLine="64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5.对附属单位补助支出0万元。</w:t>
      </w:r>
    </w:p>
    <w:p>
      <w:pPr>
        <w:pStyle w:val="6"/>
        <w:keepNext w:val="0"/>
        <w:keepLines w:val="0"/>
        <w:pageBreakBefore w:val="0"/>
        <w:widowControl/>
        <w:kinsoku/>
        <w:wordWrap/>
        <w:overflowPunct/>
        <w:topLinePunct w:val="0"/>
        <w:autoSpaceDE/>
        <w:autoSpaceDN/>
        <w:bidi w:val="0"/>
        <w:adjustRightInd/>
        <w:snapToGrid/>
        <w:spacing w:before="100" w:after="100" w:line="520" w:lineRule="exact"/>
        <w:ind w:left="0" w:right="0" w:firstLine="480" w:firstLineChars="0"/>
        <w:textAlignment w:val="auto"/>
        <w:rPr>
          <w:rFonts w:ascii="Times New Roman" w:hAnsi="Times New Roman" w:eastAsia="Times New Roman" w:cs="Times New Roman"/>
          <w:b/>
          <w:bCs/>
          <w:color w:val="auto"/>
          <w:kern w:val="0"/>
          <w:sz w:val="28"/>
          <w:szCs w:val="28"/>
        </w:rPr>
      </w:pPr>
      <w:bookmarkStart w:id="77" w:name="_Toc256000081"/>
      <w:bookmarkStart w:id="78" w:name="_Toc256000050"/>
      <w:bookmarkStart w:id="79" w:name="_Toc256000112"/>
      <w:bookmarkStart w:id="80" w:name="_Toc256000019"/>
      <w:r>
        <w:rPr>
          <w:rFonts w:ascii="黑体" w:hAnsi="黑体" w:eastAsia="黑体" w:cs="黑体"/>
          <w:b/>
          <w:color w:val="auto"/>
          <w:spacing w:val="0"/>
        </w:rPr>
        <w:t>二、财政拨款收入支出决算总体情况说明</w:t>
      </w:r>
      <w:bookmarkEnd w:id="77"/>
      <w:bookmarkEnd w:id="78"/>
      <w:bookmarkEnd w:id="79"/>
      <w:bookmarkEnd w:id="80"/>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2024年度财政拨款收入总计5316.26万元，支出总计5316.26万元，与上年决算数相比，各增加1374.13万元，增长34.86%，主要是：</w:t>
      </w:r>
      <w:r>
        <w:rPr>
          <w:rFonts w:hint="eastAsia" w:ascii="仿宋" w:hAnsi="仿宋" w:eastAsia="仿宋" w:cs="仿宋"/>
          <w:color w:val="auto"/>
          <w:kern w:val="0"/>
          <w:sz w:val="32"/>
          <w:szCs w:val="32"/>
          <w:lang w:val="en-US" w:eastAsia="zh-CN"/>
        </w:rPr>
        <w:t>扩班，新增教师和学生</w:t>
      </w:r>
      <w:r>
        <w:rPr>
          <w:rFonts w:hint="eastAsia" w:ascii="仿宋" w:hAnsi="仿宋" w:eastAsia="仿宋" w:cs="仿宋"/>
          <w:color w:val="auto"/>
          <w:kern w:val="0"/>
          <w:sz w:val="32"/>
          <w:szCs w:val="32"/>
        </w:rPr>
        <w:t>。</w:t>
      </w:r>
    </w:p>
    <w:p>
      <w:pPr>
        <w:pStyle w:val="6"/>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firstLineChars="0"/>
        <w:jc w:val="both"/>
        <w:textAlignment w:val="auto"/>
        <w:rPr>
          <w:rFonts w:hint="eastAsia" w:ascii="仿宋" w:hAnsi="仿宋" w:eastAsia="仿宋" w:cs="仿宋"/>
          <w:b/>
          <w:bCs/>
          <w:color w:val="auto"/>
          <w:kern w:val="0"/>
          <w:sz w:val="32"/>
          <w:szCs w:val="32"/>
        </w:rPr>
      </w:pPr>
      <w:bookmarkStart w:id="81" w:name="_Toc256000082"/>
      <w:bookmarkStart w:id="82" w:name="_Toc256000020"/>
      <w:bookmarkStart w:id="83" w:name="_Toc256000051"/>
      <w:bookmarkStart w:id="84" w:name="_Toc256000113"/>
      <w:r>
        <w:rPr>
          <w:rFonts w:hint="eastAsia" w:ascii="黑体" w:hAnsi="黑体" w:eastAsia="黑体" w:cs="黑体"/>
          <w:b/>
          <w:color w:val="auto"/>
          <w:spacing w:val="0"/>
        </w:rPr>
        <w:t>三、一般公共预算拨款支出决算情况说明</w:t>
      </w:r>
      <w:bookmarkEnd w:id="81"/>
      <w:bookmarkEnd w:id="82"/>
      <w:bookmarkEnd w:id="83"/>
      <w:bookmarkEnd w:id="84"/>
    </w:p>
    <w:p>
      <w:pPr>
        <w:pStyle w:val="29"/>
        <w:keepNext w:val="0"/>
        <w:keepLines w:val="0"/>
        <w:pageBreakBefore w:val="0"/>
        <w:widowControl/>
        <w:kinsoku/>
        <w:wordWrap/>
        <w:overflowPunct/>
        <w:topLinePunct w:val="0"/>
        <w:autoSpaceDE/>
        <w:autoSpaceDN/>
        <w:bidi w:val="0"/>
        <w:adjustRightInd/>
        <w:snapToGrid/>
        <w:spacing w:before="100" w:after="100" w:line="520" w:lineRule="exact"/>
        <w:ind w:right="0" w:firstLine="640" w:firstLineChars="200"/>
        <w:jc w:val="both"/>
        <w:textAlignment w:val="auto"/>
        <w:rPr>
          <w:rFonts w:hint="eastAsia" w:ascii="仿宋" w:hAnsi="仿宋" w:eastAsia="仿宋" w:cs="仿宋"/>
          <w:color w:val="auto"/>
          <w:spacing w:val="0"/>
          <w:kern w:val="0"/>
          <w:sz w:val="32"/>
          <w:szCs w:val="32"/>
        </w:rPr>
      </w:pPr>
      <w:r>
        <w:rPr>
          <w:rFonts w:hint="eastAsia" w:ascii="仿宋" w:hAnsi="仿宋" w:eastAsia="仿宋" w:cs="仿宋"/>
          <w:color w:val="auto"/>
          <w:spacing w:val="0"/>
          <w:kern w:val="0"/>
          <w:sz w:val="32"/>
          <w:szCs w:val="32"/>
        </w:rPr>
        <w:t>2024年一般公共预算支出5316.26万元，比上年决算数增加1374.13万元，增长34.86%，具体情况如下(按</w:t>
      </w:r>
      <w:r>
        <w:rPr>
          <w:rStyle w:val="31"/>
          <w:rFonts w:hint="eastAsia" w:ascii="仿宋" w:hAnsi="仿宋" w:eastAsia="仿宋" w:cs="仿宋"/>
          <w:color w:val="auto"/>
          <w:spacing w:val="0"/>
          <w:kern w:val="0"/>
          <w:sz w:val="32"/>
          <w:szCs w:val="32"/>
        </w:rPr>
        <w:t>项级科目</w:t>
      </w:r>
      <w:r>
        <w:rPr>
          <w:rFonts w:hint="eastAsia" w:ascii="仿宋" w:hAnsi="仿宋" w:eastAsia="仿宋" w:cs="仿宋"/>
          <w:color w:val="auto"/>
          <w:spacing w:val="0"/>
          <w:kern w:val="0"/>
          <w:sz w:val="32"/>
          <w:szCs w:val="32"/>
        </w:rPr>
        <w:t>分类统计)：</w:t>
      </w:r>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hint="eastAsia" w:ascii="仿宋" w:hAnsi="仿宋" w:eastAsia="仿宋" w:cs="仿宋"/>
          <w:b w:val="0"/>
          <w:bCs w:val="0"/>
          <w:color w:val="auto"/>
          <w:kern w:val="0"/>
          <w:sz w:val="32"/>
          <w:szCs w:val="32"/>
        </w:rPr>
      </w:pPr>
      <w:r>
        <w:rPr>
          <w:rFonts w:hint="eastAsia" w:ascii="仿宋" w:hAnsi="仿宋" w:eastAsia="仿宋" w:cs="仿宋"/>
          <w:color w:val="auto"/>
          <w:spacing w:val="0"/>
          <w:kern w:val="0"/>
          <w:sz w:val="32"/>
          <w:szCs w:val="32"/>
        </w:rPr>
        <w:t>（一）2012902 一般行政管理事务1.94万元，较上年决算数增加1.94万元，增长100%。主要原因是</w:t>
      </w:r>
      <w:r>
        <w:rPr>
          <w:rFonts w:hint="eastAsia" w:ascii="仿宋" w:hAnsi="仿宋" w:eastAsia="仿宋" w:cs="仿宋"/>
          <w:b w:val="0"/>
          <w:bCs w:val="0"/>
          <w:color w:val="auto"/>
          <w:kern w:val="0"/>
          <w:sz w:val="32"/>
          <w:szCs w:val="32"/>
          <w:lang w:val="en-US" w:eastAsia="zh-CN"/>
        </w:rPr>
        <w:t>新增少先队辅导员技能赛活动经费支出</w:t>
      </w:r>
      <w:r>
        <w:rPr>
          <w:rFonts w:hint="eastAsia" w:ascii="仿宋" w:hAnsi="仿宋" w:eastAsia="仿宋" w:cs="仿宋"/>
          <w:b w:val="0"/>
          <w:bCs w:val="0"/>
          <w:color w:val="auto"/>
          <w:kern w:val="0"/>
          <w:sz w:val="32"/>
          <w:szCs w:val="32"/>
        </w:rPr>
        <w:t>。</w:t>
      </w:r>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hint="eastAsia" w:ascii="仿宋" w:hAnsi="仿宋" w:eastAsia="仿宋" w:cs="仿宋"/>
          <w:color w:val="auto"/>
          <w:spacing w:val="0"/>
          <w:kern w:val="0"/>
          <w:sz w:val="32"/>
          <w:szCs w:val="32"/>
        </w:rPr>
      </w:pPr>
      <w:r>
        <w:rPr>
          <w:rFonts w:hint="eastAsia" w:ascii="仿宋" w:hAnsi="仿宋" w:eastAsia="仿宋" w:cs="仿宋"/>
          <w:color w:val="auto"/>
          <w:spacing w:val="0"/>
          <w:kern w:val="0"/>
          <w:sz w:val="32"/>
          <w:szCs w:val="32"/>
        </w:rPr>
        <w:t>（二）2050199 其他教育管理事务支出3.00万元，较上年决算数减少0.00万元，下降0.0</w:t>
      </w:r>
      <w:r>
        <w:rPr>
          <w:rFonts w:hint="eastAsia" w:ascii="仿宋" w:hAnsi="仿宋" w:eastAsia="仿宋" w:cs="仿宋"/>
          <w:color w:val="auto"/>
          <w:spacing w:val="0"/>
          <w:kern w:val="0"/>
          <w:sz w:val="32"/>
          <w:szCs w:val="32"/>
          <w:lang w:val="en-US" w:eastAsia="zh-CN"/>
        </w:rPr>
        <w:t>0</w:t>
      </w:r>
      <w:r>
        <w:rPr>
          <w:rFonts w:hint="eastAsia" w:ascii="仿宋" w:hAnsi="仿宋" w:eastAsia="仿宋" w:cs="仿宋"/>
          <w:color w:val="auto"/>
          <w:spacing w:val="0"/>
          <w:kern w:val="0"/>
          <w:sz w:val="32"/>
          <w:szCs w:val="32"/>
        </w:rPr>
        <w:t>%。主要原因是</w:t>
      </w:r>
      <w:r>
        <w:rPr>
          <w:rFonts w:hint="eastAsia" w:ascii="仿宋" w:hAnsi="仿宋" w:eastAsia="仿宋" w:cs="仿宋"/>
          <w:color w:val="auto"/>
          <w:kern w:val="0"/>
          <w:sz w:val="32"/>
          <w:szCs w:val="32"/>
          <w:lang w:eastAsia="zh-CN"/>
        </w:rPr>
        <w:t>与上年决算持平。</w:t>
      </w:r>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hint="eastAsia" w:ascii="仿宋" w:hAnsi="仿宋" w:eastAsia="仿宋" w:cs="仿宋"/>
          <w:color w:val="auto"/>
          <w:kern w:val="0"/>
          <w:sz w:val="32"/>
          <w:szCs w:val="32"/>
        </w:rPr>
      </w:pPr>
      <w:r>
        <w:rPr>
          <w:rFonts w:hint="eastAsia" w:ascii="仿宋" w:hAnsi="仿宋" w:eastAsia="仿宋" w:cs="仿宋"/>
          <w:color w:val="auto"/>
          <w:spacing w:val="0"/>
          <w:kern w:val="0"/>
          <w:sz w:val="32"/>
          <w:szCs w:val="32"/>
        </w:rPr>
        <w:t>（三）2050202 小学教育1,354.08万元，较上年决算数增加579.81万元，增长74.89%。主要原因是</w:t>
      </w:r>
      <w:r>
        <w:rPr>
          <w:rFonts w:hint="eastAsia" w:ascii="仿宋" w:hAnsi="仿宋" w:eastAsia="仿宋" w:cs="仿宋"/>
          <w:color w:val="auto"/>
          <w:kern w:val="0"/>
          <w:sz w:val="32"/>
          <w:szCs w:val="32"/>
          <w:lang w:val="en-US" w:eastAsia="zh-CN"/>
        </w:rPr>
        <w:t>扩班，新增教师和学生</w:t>
      </w:r>
      <w:r>
        <w:rPr>
          <w:rFonts w:hint="eastAsia" w:ascii="仿宋" w:hAnsi="仿宋" w:eastAsia="仿宋" w:cs="仿宋"/>
          <w:color w:val="auto"/>
          <w:kern w:val="0"/>
          <w:sz w:val="32"/>
          <w:szCs w:val="32"/>
        </w:rPr>
        <w:t>。</w:t>
      </w:r>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hint="eastAsia" w:ascii="仿宋" w:hAnsi="仿宋" w:eastAsia="仿宋" w:cs="仿宋"/>
          <w:color w:val="auto"/>
          <w:spacing w:val="0"/>
          <w:kern w:val="0"/>
          <w:sz w:val="32"/>
          <w:szCs w:val="32"/>
        </w:rPr>
      </w:pPr>
      <w:r>
        <w:rPr>
          <w:rFonts w:hint="eastAsia" w:ascii="仿宋" w:hAnsi="仿宋" w:eastAsia="仿宋" w:cs="仿宋"/>
          <w:color w:val="auto"/>
          <w:spacing w:val="0"/>
          <w:kern w:val="0"/>
          <w:sz w:val="32"/>
          <w:szCs w:val="32"/>
        </w:rPr>
        <w:t>（四）2050203 初中教育2,556.40万元，较上年决算数增加703.43万元，增长37.96%。主要原因是</w:t>
      </w:r>
      <w:r>
        <w:rPr>
          <w:rFonts w:hint="eastAsia" w:ascii="仿宋" w:hAnsi="仿宋" w:eastAsia="仿宋" w:cs="仿宋"/>
          <w:color w:val="auto"/>
          <w:kern w:val="0"/>
          <w:sz w:val="32"/>
          <w:szCs w:val="32"/>
          <w:lang w:val="en-US" w:eastAsia="zh-CN"/>
        </w:rPr>
        <w:t>扩班，新增教师和学生</w:t>
      </w:r>
      <w:r>
        <w:rPr>
          <w:rFonts w:hint="eastAsia" w:ascii="仿宋" w:hAnsi="仿宋" w:eastAsia="仿宋" w:cs="仿宋"/>
          <w:color w:val="auto"/>
          <w:kern w:val="0"/>
          <w:sz w:val="32"/>
          <w:szCs w:val="32"/>
        </w:rPr>
        <w:t>。</w:t>
      </w:r>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hint="eastAsia" w:ascii="仿宋" w:hAnsi="仿宋" w:eastAsia="仿宋" w:cs="仿宋"/>
          <w:color w:val="auto"/>
          <w:spacing w:val="0"/>
          <w:kern w:val="0"/>
          <w:sz w:val="32"/>
          <w:szCs w:val="32"/>
        </w:rPr>
      </w:pPr>
      <w:r>
        <w:rPr>
          <w:rFonts w:hint="eastAsia" w:ascii="仿宋" w:hAnsi="仿宋" w:eastAsia="仿宋" w:cs="仿宋"/>
          <w:color w:val="auto"/>
          <w:spacing w:val="0"/>
          <w:kern w:val="0"/>
          <w:sz w:val="32"/>
          <w:szCs w:val="32"/>
        </w:rPr>
        <w:t>（五）2050299 其他普通教育支出511.04万元，较上年决算数增加206.55万元，增长67.84%。主要原因</w:t>
      </w:r>
      <w:r>
        <w:rPr>
          <w:rFonts w:hint="eastAsia" w:ascii="仿宋" w:hAnsi="仿宋" w:eastAsia="仿宋" w:cs="仿宋"/>
          <w:color w:val="auto"/>
          <w:spacing w:val="0"/>
          <w:kern w:val="0"/>
          <w:sz w:val="32"/>
          <w:szCs w:val="32"/>
          <w:lang w:eastAsia="zh-CN"/>
        </w:rPr>
        <w:t>是</w:t>
      </w:r>
      <w:r>
        <w:rPr>
          <w:rFonts w:hint="eastAsia" w:ascii="仿宋" w:hAnsi="仿宋" w:eastAsia="仿宋" w:cs="仿宋"/>
          <w:color w:val="auto"/>
          <w:spacing w:val="0"/>
          <w:kern w:val="0"/>
          <w:sz w:val="32"/>
          <w:szCs w:val="32"/>
          <w:lang w:val="en-US" w:eastAsia="zh-CN"/>
        </w:rPr>
        <w:t>新增教师招聘专项支出等支出</w:t>
      </w:r>
      <w:r>
        <w:rPr>
          <w:rFonts w:hint="eastAsia" w:ascii="仿宋" w:hAnsi="仿宋" w:eastAsia="仿宋" w:cs="仿宋"/>
          <w:color w:val="auto"/>
          <w:kern w:val="0"/>
          <w:sz w:val="32"/>
          <w:szCs w:val="32"/>
        </w:rPr>
        <w:t>。</w:t>
      </w:r>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hint="eastAsia" w:ascii="仿宋" w:hAnsi="仿宋" w:eastAsia="仿宋" w:cs="仿宋"/>
          <w:color w:val="auto"/>
          <w:spacing w:val="0"/>
          <w:kern w:val="0"/>
          <w:sz w:val="32"/>
          <w:szCs w:val="32"/>
        </w:rPr>
      </w:pPr>
      <w:r>
        <w:rPr>
          <w:rFonts w:hint="eastAsia" w:ascii="仿宋" w:hAnsi="仿宋" w:eastAsia="仿宋" w:cs="仿宋"/>
          <w:color w:val="auto"/>
          <w:spacing w:val="0"/>
          <w:kern w:val="0"/>
          <w:sz w:val="32"/>
          <w:szCs w:val="32"/>
          <w:lang w:eastAsia="zh-CN"/>
        </w:rPr>
        <w:t>（</w:t>
      </w:r>
      <w:r>
        <w:rPr>
          <w:rFonts w:hint="eastAsia" w:ascii="仿宋" w:hAnsi="仿宋" w:eastAsia="仿宋" w:cs="仿宋"/>
          <w:color w:val="auto"/>
          <w:spacing w:val="0"/>
          <w:kern w:val="0"/>
          <w:sz w:val="32"/>
          <w:szCs w:val="32"/>
        </w:rPr>
        <w:t>六）2050999 其他教育费附加安排的支出204.96万元，较上年决算数减少307.51万元，下降60.01%。主要原因</w:t>
      </w:r>
      <w:r>
        <w:rPr>
          <w:rFonts w:hint="eastAsia" w:ascii="仿宋" w:hAnsi="仿宋" w:eastAsia="仿宋" w:cs="仿宋"/>
          <w:color w:val="auto"/>
          <w:spacing w:val="0"/>
          <w:kern w:val="0"/>
          <w:sz w:val="32"/>
          <w:szCs w:val="32"/>
          <w:lang w:eastAsia="zh-CN"/>
        </w:rPr>
        <w:t>是</w:t>
      </w:r>
      <w:r>
        <w:rPr>
          <w:rFonts w:hint="eastAsia" w:ascii="仿宋" w:hAnsi="仿宋" w:eastAsia="仿宋" w:cs="仿宋"/>
          <w:color w:val="auto"/>
          <w:spacing w:val="0"/>
          <w:kern w:val="0"/>
          <w:sz w:val="32"/>
          <w:szCs w:val="32"/>
          <w:lang w:val="en-US" w:eastAsia="zh-CN"/>
        </w:rPr>
        <w:t>专项经费支出减少</w:t>
      </w:r>
      <w:r>
        <w:rPr>
          <w:rFonts w:hint="eastAsia" w:ascii="仿宋" w:hAnsi="仿宋" w:eastAsia="仿宋" w:cs="仿宋"/>
          <w:color w:val="auto"/>
          <w:kern w:val="0"/>
          <w:sz w:val="32"/>
          <w:szCs w:val="32"/>
        </w:rPr>
        <w:t>。</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00" w:firstLineChars="200"/>
        <w:jc w:val="both"/>
        <w:textAlignment w:val="auto"/>
        <w:rPr>
          <w:rStyle w:val="25"/>
          <w:rFonts w:hint="eastAsia" w:ascii="仿宋" w:hAnsi="仿宋" w:eastAsia="仿宋" w:cs="仿宋"/>
          <w:color w:val="auto"/>
          <w:lang w:val="en-US" w:eastAsia="zh-CN"/>
        </w:rPr>
      </w:pPr>
      <w:r>
        <w:rPr>
          <w:rStyle w:val="25"/>
          <w:rFonts w:hint="eastAsia" w:ascii="仿宋" w:hAnsi="仿宋" w:eastAsia="仿宋" w:cs="仿宋"/>
          <w:color w:val="auto"/>
        </w:rPr>
        <w:t>（七）2080502 事业单位离退休6.97万元，较上年决算数增加6.97万元，增长100%。主要原因是</w:t>
      </w:r>
      <w:r>
        <w:rPr>
          <w:rStyle w:val="25"/>
          <w:rFonts w:hint="eastAsia" w:ascii="仿宋" w:hAnsi="仿宋" w:eastAsia="仿宋" w:cs="仿宋"/>
          <w:color w:val="auto"/>
          <w:lang w:eastAsia="zh-CN"/>
        </w:rPr>
        <w:t>新增退休人员</w:t>
      </w:r>
      <w:r>
        <w:rPr>
          <w:rStyle w:val="25"/>
          <w:rFonts w:hint="eastAsia" w:ascii="仿宋" w:hAnsi="仿宋" w:eastAsia="仿宋" w:cs="仿宋"/>
          <w:color w:val="auto"/>
          <w:lang w:val="en-US" w:eastAsia="zh-CN"/>
        </w:rPr>
        <w:t>1人。</w:t>
      </w:r>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hint="eastAsia" w:ascii="仿宋" w:hAnsi="仿宋" w:eastAsia="仿宋" w:cs="仿宋"/>
          <w:color w:val="auto"/>
          <w:spacing w:val="0"/>
          <w:kern w:val="0"/>
          <w:sz w:val="32"/>
          <w:szCs w:val="32"/>
        </w:rPr>
      </w:pPr>
      <w:r>
        <w:rPr>
          <w:rStyle w:val="25"/>
          <w:rFonts w:hint="eastAsia"/>
          <w:color w:val="auto"/>
        </w:rPr>
        <w:t>（八）</w:t>
      </w:r>
      <w:r>
        <w:rPr>
          <w:rStyle w:val="25"/>
          <w:rFonts w:hint="eastAsia" w:ascii="仿宋" w:hAnsi="仿宋" w:eastAsia="仿宋" w:cs="仿宋"/>
          <w:color w:val="auto"/>
        </w:rPr>
        <w:t xml:space="preserve">2080505 </w:t>
      </w:r>
      <w:r>
        <w:rPr>
          <w:rStyle w:val="25"/>
          <w:rFonts w:hint="eastAsia"/>
          <w:color w:val="auto"/>
        </w:rPr>
        <w:t>机关事业单位基本养老保险缴</w:t>
      </w:r>
      <w:r>
        <w:rPr>
          <w:rFonts w:hint="eastAsia" w:ascii="仿宋" w:hAnsi="仿宋" w:eastAsia="仿宋" w:cs="仿宋"/>
          <w:color w:val="auto"/>
          <w:spacing w:val="0"/>
          <w:kern w:val="0"/>
          <w:sz w:val="32"/>
          <w:szCs w:val="32"/>
        </w:rPr>
        <w:t>费支出305.93万元，较上年决算数增加110.89万元，增长56.85%。主要原因是</w:t>
      </w:r>
      <w:r>
        <w:rPr>
          <w:rFonts w:hint="eastAsia" w:ascii="仿宋" w:hAnsi="仿宋" w:eastAsia="仿宋" w:cs="仿宋"/>
          <w:color w:val="auto"/>
          <w:kern w:val="0"/>
          <w:sz w:val="32"/>
          <w:szCs w:val="32"/>
          <w:lang w:val="en-US" w:eastAsia="zh-CN"/>
        </w:rPr>
        <w:t>新增缴费人员和缴费基数提高</w:t>
      </w:r>
      <w:r>
        <w:rPr>
          <w:rFonts w:hint="eastAsia" w:ascii="仿宋" w:hAnsi="仿宋" w:eastAsia="仿宋" w:cs="仿宋"/>
          <w:color w:val="auto"/>
          <w:kern w:val="0"/>
          <w:sz w:val="32"/>
          <w:szCs w:val="32"/>
        </w:rPr>
        <w:t>。</w:t>
      </w:r>
    </w:p>
    <w:p>
      <w:pPr>
        <w:pStyle w:val="29"/>
        <w:keepNext w:val="0"/>
        <w:keepLines w:val="0"/>
        <w:pageBreakBefore w:val="0"/>
        <w:widowControl/>
        <w:kinsoku/>
        <w:wordWrap/>
        <w:overflowPunct/>
        <w:topLinePunct w:val="0"/>
        <w:autoSpaceDE/>
        <w:autoSpaceDN/>
        <w:bidi w:val="0"/>
        <w:adjustRightInd/>
        <w:snapToGrid/>
        <w:spacing w:before="240" w:after="240" w:line="520" w:lineRule="exact"/>
        <w:ind w:firstLine="640"/>
        <w:jc w:val="both"/>
        <w:textAlignment w:val="auto"/>
        <w:rPr>
          <w:rFonts w:hint="eastAsia" w:ascii="仿宋" w:hAnsi="仿宋" w:eastAsia="仿宋" w:cs="仿宋"/>
          <w:color w:val="auto"/>
          <w:spacing w:val="0"/>
          <w:kern w:val="0"/>
          <w:sz w:val="32"/>
          <w:szCs w:val="32"/>
        </w:rPr>
      </w:pPr>
      <w:r>
        <w:rPr>
          <w:rFonts w:hint="eastAsia" w:ascii="仿宋" w:hAnsi="仿宋" w:eastAsia="仿宋" w:cs="仿宋"/>
          <w:color w:val="auto"/>
          <w:spacing w:val="0"/>
          <w:kern w:val="0"/>
          <w:sz w:val="32"/>
          <w:szCs w:val="32"/>
        </w:rPr>
        <w:t>（九）2080506 机关事业单位职业年金缴费支出163.59万元，较上年决算数增加66.06万元，增长67.74%。主要原因是</w:t>
      </w:r>
      <w:r>
        <w:rPr>
          <w:rFonts w:hint="eastAsia" w:ascii="仿宋" w:hAnsi="仿宋" w:eastAsia="仿宋" w:cs="仿宋"/>
          <w:color w:val="auto"/>
          <w:kern w:val="0"/>
          <w:sz w:val="32"/>
          <w:szCs w:val="32"/>
          <w:lang w:val="en-US" w:eastAsia="zh-CN"/>
        </w:rPr>
        <w:t>新增缴费人员和缴费基数提高</w:t>
      </w:r>
      <w:r>
        <w:rPr>
          <w:rFonts w:hint="eastAsia" w:ascii="仿宋" w:hAnsi="仿宋" w:eastAsia="仿宋" w:cs="仿宋"/>
          <w:color w:val="auto"/>
          <w:kern w:val="0"/>
          <w:sz w:val="32"/>
          <w:szCs w:val="32"/>
        </w:rPr>
        <w:t>。</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firstLineChars="200"/>
        <w:jc w:val="both"/>
        <w:textAlignment w:val="auto"/>
        <w:rPr>
          <w:rFonts w:hint="eastAsia" w:ascii="仿宋" w:hAnsi="仿宋" w:eastAsia="仿宋" w:cs="仿宋"/>
          <w:color w:val="auto"/>
          <w:spacing w:val="0"/>
          <w:kern w:val="0"/>
          <w:sz w:val="32"/>
          <w:szCs w:val="32"/>
          <w:lang w:eastAsia="zh-CN"/>
        </w:rPr>
      </w:pPr>
      <w:r>
        <w:rPr>
          <w:rFonts w:hint="eastAsia" w:ascii="仿宋" w:hAnsi="仿宋" w:eastAsia="仿宋" w:cs="仿宋"/>
          <w:color w:val="auto"/>
          <w:spacing w:val="0"/>
          <w:kern w:val="0"/>
          <w:sz w:val="32"/>
          <w:szCs w:val="32"/>
        </w:rPr>
        <w:t>（十）2101102 事业单位医疗130.98万元，较上年决算数增加47.48万元，增长56.86%。主要原因是</w:t>
      </w:r>
      <w:r>
        <w:rPr>
          <w:rFonts w:hint="eastAsia" w:ascii="仿宋" w:hAnsi="仿宋" w:eastAsia="仿宋" w:cs="仿宋"/>
          <w:color w:val="auto"/>
          <w:kern w:val="0"/>
          <w:sz w:val="32"/>
          <w:szCs w:val="32"/>
          <w:lang w:val="en-US" w:eastAsia="zh-CN"/>
        </w:rPr>
        <w:t>新增缴费人员和缴费基数提高</w:t>
      </w:r>
      <w:r>
        <w:rPr>
          <w:rFonts w:hint="eastAsia" w:ascii="仿宋" w:hAnsi="仿宋" w:eastAsia="仿宋" w:cs="仿宋"/>
          <w:color w:val="auto"/>
          <w:spacing w:val="0"/>
          <w:kern w:val="0"/>
          <w:sz w:val="32"/>
          <w:szCs w:val="32"/>
          <w:lang w:eastAsia="zh-CN"/>
        </w:rPr>
        <w:t>。</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hint="eastAsia" w:ascii="仿宋" w:hAnsi="仿宋" w:eastAsia="仿宋" w:cs="仿宋"/>
          <w:color w:val="auto"/>
          <w:spacing w:val="0"/>
          <w:kern w:val="0"/>
          <w:sz w:val="32"/>
          <w:szCs w:val="32"/>
          <w:lang w:eastAsia="zh-CN"/>
        </w:rPr>
      </w:pPr>
      <w:r>
        <w:rPr>
          <w:rFonts w:hint="eastAsia" w:ascii="仿宋" w:hAnsi="仿宋" w:eastAsia="仿宋" w:cs="仿宋"/>
          <w:color w:val="auto"/>
          <w:spacing w:val="0"/>
          <w:kern w:val="0"/>
          <w:sz w:val="32"/>
          <w:szCs w:val="32"/>
        </w:rPr>
        <w:t>（十一）2101199 其他行政事业单位医疗支出66.96万元，较上年决算数增加24.30万元，增长56.95%。主要原因是</w:t>
      </w:r>
      <w:r>
        <w:rPr>
          <w:rFonts w:hint="eastAsia" w:ascii="仿宋" w:hAnsi="仿宋" w:eastAsia="仿宋" w:cs="仿宋"/>
          <w:color w:val="auto"/>
          <w:kern w:val="0"/>
          <w:sz w:val="32"/>
          <w:szCs w:val="32"/>
          <w:lang w:val="en-US" w:eastAsia="zh-CN"/>
        </w:rPr>
        <w:t>新增缴费人员和缴费基数提高</w:t>
      </w:r>
      <w:r>
        <w:rPr>
          <w:rFonts w:hint="eastAsia" w:ascii="仿宋" w:hAnsi="仿宋" w:eastAsia="仿宋" w:cs="仿宋"/>
          <w:color w:val="auto"/>
          <w:spacing w:val="0"/>
          <w:kern w:val="0"/>
          <w:sz w:val="32"/>
          <w:szCs w:val="32"/>
          <w:lang w:eastAsia="zh-CN"/>
        </w:rPr>
        <w:t>。</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hint="eastAsia" w:ascii="仿宋" w:hAnsi="仿宋" w:eastAsia="仿宋" w:cs="仿宋"/>
          <w:color w:val="auto"/>
          <w:kern w:val="0"/>
          <w:sz w:val="32"/>
          <w:szCs w:val="32"/>
          <w:lang w:eastAsia="zh-CN"/>
        </w:rPr>
      </w:pPr>
      <w:r>
        <w:rPr>
          <w:rFonts w:hint="eastAsia" w:ascii="仿宋" w:hAnsi="仿宋" w:eastAsia="仿宋" w:cs="仿宋"/>
          <w:color w:val="auto"/>
          <w:spacing w:val="0"/>
          <w:kern w:val="0"/>
          <w:sz w:val="32"/>
          <w:szCs w:val="32"/>
        </w:rPr>
        <w:t>（十二）2210203 购房补贴10.40万元，较上年决算数增加10.40万元，增长100%。主要原因是</w:t>
      </w:r>
      <w:r>
        <w:rPr>
          <w:rFonts w:hint="eastAsia" w:ascii="仿宋" w:hAnsi="仿宋" w:eastAsia="仿宋" w:cs="仿宋"/>
          <w:color w:val="auto"/>
          <w:spacing w:val="0"/>
          <w:kern w:val="0"/>
          <w:sz w:val="32"/>
          <w:szCs w:val="32"/>
          <w:lang w:eastAsia="zh-CN"/>
        </w:rPr>
        <w:t>新增教师住房货币化补贴。</w:t>
      </w:r>
    </w:p>
    <w:p>
      <w:pPr>
        <w:pStyle w:val="6"/>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firstLineChars="0"/>
        <w:textAlignment w:val="auto"/>
        <w:rPr>
          <w:rFonts w:ascii="Times New Roman" w:hAnsi="Times New Roman" w:eastAsia="Times New Roman" w:cs="Times New Roman"/>
          <w:b/>
          <w:bCs/>
          <w:color w:val="auto"/>
          <w:kern w:val="0"/>
          <w:sz w:val="28"/>
          <w:szCs w:val="28"/>
        </w:rPr>
      </w:pPr>
      <w:bookmarkStart w:id="85" w:name="_Toc256000021"/>
      <w:bookmarkStart w:id="86" w:name="_Toc256000052"/>
      <w:bookmarkStart w:id="87" w:name="_Toc256000083"/>
      <w:bookmarkStart w:id="88" w:name="_Toc256000114"/>
      <w:r>
        <w:rPr>
          <w:rFonts w:ascii="黑体" w:hAnsi="黑体" w:eastAsia="黑体" w:cs="黑体"/>
          <w:b/>
          <w:color w:val="auto"/>
          <w:spacing w:val="0"/>
        </w:rPr>
        <w:t>四、政府性基金预算财政拨款支出决算情况说明</w:t>
      </w:r>
      <w:bookmarkEnd w:id="85"/>
      <w:bookmarkEnd w:id="86"/>
      <w:bookmarkEnd w:id="87"/>
      <w:bookmarkEnd w:id="88"/>
    </w:p>
    <w:p>
      <w:pPr>
        <w:pStyle w:val="29"/>
        <w:keepNext w:val="0"/>
        <w:keepLines w:val="0"/>
        <w:pageBreakBefore w:val="0"/>
        <w:widowControl/>
        <w:kinsoku/>
        <w:wordWrap/>
        <w:overflowPunct/>
        <w:topLinePunct w:val="0"/>
        <w:autoSpaceDE/>
        <w:autoSpaceDN/>
        <w:bidi w:val="0"/>
        <w:adjustRightInd/>
        <w:snapToGrid/>
        <w:spacing w:before="100" w:after="100" w:line="520" w:lineRule="exact"/>
        <w:ind w:right="0" w:firstLine="640" w:firstLineChars="200"/>
        <w:jc w:val="left"/>
        <w:textAlignment w:val="auto"/>
        <w:rPr>
          <w:rFonts w:hint="eastAsia" w:ascii="仿宋" w:hAnsi="仿宋" w:eastAsia="仿宋" w:cs="仿宋"/>
          <w:color w:val="auto"/>
          <w:spacing w:val="0"/>
          <w:kern w:val="0"/>
          <w:sz w:val="32"/>
          <w:szCs w:val="32"/>
          <w:lang w:eastAsia="zh-CN"/>
        </w:rPr>
      </w:pPr>
      <w:r>
        <w:rPr>
          <w:rFonts w:ascii="仿宋" w:hAnsi="仿宋" w:eastAsia="仿宋" w:cs="仿宋"/>
          <w:color w:val="auto"/>
          <w:spacing w:val="0"/>
          <w:kern w:val="0"/>
          <w:sz w:val="32"/>
          <w:szCs w:val="32"/>
        </w:rPr>
        <w:t>2024年度政府性基金支出0万元，比上年决算数增加0万元，增长0%</w:t>
      </w:r>
      <w:r>
        <w:rPr>
          <w:rFonts w:hint="eastAsia" w:ascii="仿宋" w:hAnsi="仿宋" w:eastAsia="仿宋" w:cs="仿宋"/>
          <w:color w:val="auto"/>
          <w:spacing w:val="0"/>
          <w:kern w:val="0"/>
          <w:sz w:val="32"/>
          <w:szCs w:val="32"/>
          <w:lang w:eastAsia="zh-CN"/>
        </w:rPr>
        <w:t>。</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04"/>
        <w:jc w:val="left"/>
        <w:textAlignment w:val="auto"/>
        <w:rPr>
          <w:rFonts w:ascii="仿宋" w:hAnsi="仿宋" w:eastAsia="仿宋" w:cs="仿宋"/>
          <w:color w:val="auto"/>
          <w:spacing w:val="0"/>
          <w:kern w:val="0"/>
          <w:sz w:val="32"/>
          <w:szCs w:val="32"/>
        </w:rPr>
      </w:pPr>
      <w:r>
        <w:rPr>
          <w:rFonts w:ascii="仿宋" w:hAnsi="仿宋" w:eastAsia="仿宋" w:cs="仿宋"/>
          <w:color w:val="auto"/>
          <w:spacing w:val="0"/>
          <w:kern w:val="0"/>
          <w:sz w:val="32"/>
          <w:szCs w:val="32"/>
        </w:rPr>
        <w:t>本单位2024年度没有使用政府性基金预算拨款安排的支出。</w:t>
      </w:r>
    </w:p>
    <w:p>
      <w:pPr>
        <w:pStyle w:val="6"/>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firstLineChars="0"/>
        <w:textAlignment w:val="auto"/>
        <w:rPr>
          <w:rFonts w:ascii="Times New Roman" w:hAnsi="Times New Roman" w:eastAsia="Times New Roman" w:cs="Times New Roman"/>
          <w:b/>
          <w:bCs/>
          <w:color w:val="auto"/>
          <w:kern w:val="0"/>
          <w:sz w:val="28"/>
          <w:szCs w:val="28"/>
        </w:rPr>
      </w:pPr>
      <w:bookmarkStart w:id="89" w:name="_Toc256000115"/>
      <w:bookmarkStart w:id="90" w:name="_Toc256000022"/>
      <w:bookmarkStart w:id="91" w:name="_Toc256000084"/>
      <w:bookmarkStart w:id="92" w:name="_Toc256000053"/>
      <w:r>
        <w:rPr>
          <w:rFonts w:ascii="黑体" w:hAnsi="黑体" w:eastAsia="黑体" w:cs="黑体"/>
          <w:b/>
          <w:color w:val="auto"/>
          <w:spacing w:val="0"/>
        </w:rPr>
        <w:t>五、国有资本经营预算财政拨款支出决算情况说明</w:t>
      </w:r>
      <w:bookmarkEnd w:id="89"/>
      <w:bookmarkEnd w:id="90"/>
      <w:bookmarkEnd w:id="91"/>
      <w:bookmarkEnd w:id="92"/>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left"/>
        <w:textAlignment w:val="auto"/>
        <w:rPr>
          <w:rFonts w:hint="eastAsia" w:ascii="仿宋" w:hAnsi="仿宋" w:eastAsia="仿宋" w:cs="仿宋"/>
          <w:color w:val="auto"/>
          <w:spacing w:val="0"/>
          <w:kern w:val="0"/>
          <w:sz w:val="32"/>
          <w:szCs w:val="32"/>
          <w:lang w:eastAsia="zh-CN"/>
        </w:rPr>
      </w:pPr>
      <w:r>
        <w:rPr>
          <w:rFonts w:ascii="仿宋" w:hAnsi="仿宋" w:eastAsia="仿宋" w:cs="仿宋"/>
          <w:color w:val="auto"/>
          <w:spacing w:val="0"/>
          <w:kern w:val="0"/>
          <w:sz w:val="32"/>
          <w:szCs w:val="32"/>
        </w:rPr>
        <w:t>2024年度国有资本经营预算支出0万元，比上年决算数增加0万元，增长0%</w:t>
      </w:r>
      <w:r>
        <w:rPr>
          <w:rFonts w:hint="eastAsia" w:ascii="仿宋" w:hAnsi="仿宋" w:eastAsia="仿宋" w:cs="仿宋"/>
          <w:color w:val="auto"/>
          <w:spacing w:val="0"/>
          <w:kern w:val="0"/>
          <w:sz w:val="32"/>
          <w:szCs w:val="32"/>
          <w:lang w:eastAsia="zh-CN"/>
        </w:rPr>
        <w:t>。</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left"/>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本单位2024年度没有使用国有资本经营预算财政拨款安排的支出。</w:t>
      </w:r>
    </w:p>
    <w:p>
      <w:pPr>
        <w:pStyle w:val="6"/>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firstLineChars="0"/>
        <w:textAlignment w:val="auto"/>
        <w:rPr>
          <w:rFonts w:ascii="Times New Roman" w:hAnsi="Times New Roman" w:eastAsia="Times New Roman" w:cs="Times New Roman"/>
          <w:b/>
          <w:bCs/>
          <w:color w:val="auto"/>
          <w:kern w:val="0"/>
          <w:sz w:val="28"/>
          <w:szCs w:val="28"/>
        </w:rPr>
      </w:pPr>
      <w:bookmarkStart w:id="93" w:name="_Toc256000116"/>
      <w:bookmarkStart w:id="94" w:name="_Toc256000054"/>
      <w:bookmarkStart w:id="95" w:name="_Toc256000085"/>
      <w:bookmarkStart w:id="96" w:name="_Toc256000023"/>
      <w:r>
        <w:rPr>
          <w:rFonts w:ascii="黑体" w:hAnsi="黑体" w:eastAsia="黑体" w:cs="黑体"/>
          <w:b/>
          <w:color w:val="auto"/>
          <w:spacing w:val="0"/>
        </w:rPr>
        <w:t>六、一般公共预算财政拨款基本支出决算情况说明</w:t>
      </w:r>
      <w:bookmarkEnd w:id="93"/>
      <w:bookmarkEnd w:id="94"/>
      <w:bookmarkEnd w:id="95"/>
      <w:bookmarkEnd w:id="96"/>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left"/>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2024年度一般公共预算财政拨款基本支出4701.43万元，其中：</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left"/>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一）人员经费4196.43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left"/>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二）公用经费505.00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firstLineChars="0"/>
        <w:textAlignment w:val="auto"/>
        <w:rPr>
          <w:rFonts w:ascii="Times New Roman" w:hAnsi="Times New Roman" w:eastAsia="Times New Roman" w:cs="Times New Roman"/>
          <w:b/>
          <w:bCs/>
          <w:color w:val="auto"/>
          <w:kern w:val="0"/>
          <w:sz w:val="28"/>
          <w:szCs w:val="28"/>
        </w:rPr>
      </w:pPr>
      <w:bookmarkStart w:id="97" w:name="_Toc256000117"/>
      <w:bookmarkStart w:id="98" w:name="_Toc256000024"/>
      <w:bookmarkStart w:id="99" w:name="_Toc256000055"/>
      <w:bookmarkStart w:id="100" w:name="_Toc256000086"/>
      <w:r>
        <w:rPr>
          <w:rFonts w:ascii="黑体" w:hAnsi="黑体" w:eastAsia="黑体" w:cs="黑体"/>
          <w:b/>
          <w:color w:val="auto"/>
          <w:spacing w:val="0"/>
        </w:rPr>
        <w:t>七、一般公共预算拨款“三公”经费支出决算情况说明</w:t>
      </w:r>
      <w:bookmarkEnd w:id="97"/>
      <w:bookmarkEnd w:id="98"/>
      <w:bookmarkEnd w:id="99"/>
      <w:bookmarkEnd w:id="100"/>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04"/>
        <w:jc w:val="left"/>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2024年度一般公共预算拨款“三公”经费支出0万元，</w:t>
      </w:r>
      <w:r>
        <w:rPr>
          <w:rFonts w:hint="eastAsia" w:ascii="仿宋" w:hAnsi="仿宋" w:eastAsia="仿宋" w:cs="仿宋"/>
          <w:color w:val="auto"/>
          <w:kern w:val="0"/>
          <w:sz w:val="32"/>
          <w:szCs w:val="32"/>
          <w:lang w:eastAsia="zh-CN"/>
        </w:rPr>
        <w:t>与</w:t>
      </w:r>
      <w:r>
        <w:rPr>
          <w:rFonts w:hint="eastAsia" w:ascii="仿宋" w:hAnsi="仿宋" w:eastAsia="仿宋" w:cs="仿宋"/>
          <w:color w:val="auto"/>
          <w:kern w:val="0"/>
          <w:sz w:val="32"/>
          <w:szCs w:val="32"/>
        </w:rPr>
        <w:t>全年预算</w:t>
      </w:r>
      <w:r>
        <w:rPr>
          <w:rFonts w:hint="eastAsia" w:ascii="仿宋" w:hAnsi="仿宋" w:eastAsia="仿宋" w:cs="仿宋"/>
          <w:color w:val="auto"/>
          <w:kern w:val="0"/>
          <w:sz w:val="32"/>
          <w:szCs w:val="32"/>
          <w:lang w:val="en-US" w:eastAsia="zh-CN"/>
        </w:rPr>
        <w:t>0.00万元持平，</w:t>
      </w:r>
      <w:r>
        <w:rPr>
          <w:rFonts w:hint="eastAsia" w:ascii="仿宋" w:hAnsi="仿宋" w:eastAsia="仿宋" w:cs="仿宋"/>
          <w:color w:val="auto"/>
          <w:kern w:val="0"/>
          <w:sz w:val="32"/>
          <w:szCs w:val="32"/>
        </w:rPr>
        <w:t>较上年</w:t>
      </w:r>
      <w:r>
        <w:rPr>
          <w:rFonts w:hint="eastAsia" w:ascii="仿宋" w:hAnsi="仿宋" w:eastAsia="仿宋" w:cs="仿宋"/>
          <w:color w:val="auto"/>
          <w:kern w:val="0"/>
          <w:sz w:val="32"/>
          <w:szCs w:val="32"/>
          <w:lang w:eastAsia="zh-CN"/>
        </w:rPr>
        <w:t>决算的</w:t>
      </w:r>
      <w:r>
        <w:rPr>
          <w:rFonts w:hint="eastAsia" w:ascii="仿宋" w:hAnsi="仿宋" w:eastAsia="仿宋" w:cs="仿宋"/>
          <w:color w:val="auto"/>
          <w:kern w:val="0"/>
          <w:sz w:val="32"/>
          <w:szCs w:val="32"/>
          <w:lang w:val="en-US" w:eastAsia="zh-CN"/>
        </w:rPr>
        <w:t>0.00万元相比持平。</w:t>
      </w:r>
      <w:r>
        <w:rPr>
          <w:rFonts w:hint="eastAsia" w:ascii="仿宋" w:hAnsi="仿宋" w:eastAsia="仿宋" w:cs="仿宋"/>
          <w:color w:val="auto"/>
          <w:kern w:val="0"/>
          <w:sz w:val="32"/>
          <w:szCs w:val="32"/>
          <w:shd w:val="clear" w:color="auto" w:fill="FFFFFF"/>
        </w:rPr>
        <w:t>主要原因是</w:t>
      </w:r>
      <w:r>
        <w:rPr>
          <w:rFonts w:hint="eastAsia" w:ascii="仿宋" w:hAnsi="仿宋" w:eastAsia="仿宋" w:cs="仿宋"/>
          <w:color w:val="auto"/>
          <w:kern w:val="0"/>
          <w:sz w:val="32"/>
          <w:szCs w:val="32"/>
          <w:shd w:val="clear" w:color="auto" w:fill="FFFFFF"/>
          <w:lang w:eastAsia="zh-CN"/>
        </w:rPr>
        <w:t>本单位没有使用“三公”经费支出</w:t>
      </w:r>
      <w:r>
        <w:rPr>
          <w:rFonts w:hint="eastAsia" w:ascii="仿宋" w:hAnsi="仿宋" w:eastAsia="仿宋" w:cs="仿宋"/>
          <w:color w:val="auto"/>
          <w:kern w:val="0"/>
          <w:sz w:val="32"/>
          <w:szCs w:val="32"/>
          <w:shd w:val="clear" w:color="auto" w:fill="FFFFFF"/>
        </w:rPr>
        <w:t>。</w:t>
      </w:r>
      <w:r>
        <w:rPr>
          <w:rFonts w:ascii="仿宋" w:hAnsi="仿宋" w:eastAsia="仿宋" w:cs="仿宋"/>
          <w:color w:val="auto"/>
          <w:spacing w:val="0"/>
          <w:kern w:val="0"/>
          <w:sz w:val="32"/>
          <w:szCs w:val="32"/>
        </w:rPr>
        <w:t>具体情况如下：</w:t>
      </w:r>
    </w:p>
    <w:p>
      <w:pPr>
        <w:pStyle w:val="29"/>
        <w:keepNext w:val="0"/>
        <w:keepLines w:val="0"/>
        <w:pageBreakBefore w:val="0"/>
        <w:widowControl/>
        <w:numPr>
          <w:ilvl w:val="0"/>
          <w:numId w:val="0"/>
        </w:numPr>
        <w:kinsoku/>
        <w:wordWrap/>
        <w:overflowPunct/>
        <w:topLinePunct w:val="0"/>
        <w:autoSpaceDE/>
        <w:autoSpaceDN/>
        <w:bidi w:val="0"/>
        <w:adjustRightInd/>
        <w:snapToGrid/>
        <w:spacing w:before="240" w:after="240" w:line="520" w:lineRule="exact"/>
        <w:ind w:firstLine="640" w:firstLineChars="200"/>
        <w:jc w:val="both"/>
        <w:textAlignment w:val="auto"/>
        <w:rPr>
          <w:rFonts w:hint="eastAsia" w:ascii="仿宋" w:hAnsi="仿宋" w:eastAsia="仿宋" w:cs="仿宋"/>
          <w:color w:val="auto"/>
          <w:kern w:val="0"/>
          <w:sz w:val="32"/>
          <w:szCs w:val="32"/>
          <w:lang w:val="en-US" w:eastAsia="zh-CN"/>
        </w:rPr>
      </w:pPr>
      <w:bookmarkStart w:id="101" w:name="_Toc256000087"/>
      <w:bookmarkStart w:id="102" w:name="_Toc256000118"/>
      <w:bookmarkStart w:id="103" w:name="_Toc256000056"/>
      <w:bookmarkStart w:id="104" w:name="_Toc256000025"/>
      <w:r>
        <w:rPr>
          <w:rFonts w:hint="eastAsia" w:ascii="仿宋" w:hAnsi="仿宋" w:eastAsia="仿宋" w:cs="仿宋"/>
          <w:color w:val="auto"/>
          <w:spacing w:val="0"/>
          <w:kern w:val="0"/>
          <w:sz w:val="32"/>
          <w:szCs w:val="32"/>
          <w:lang w:eastAsia="zh-CN"/>
        </w:rPr>
        <w:t>（一）</w:t>
      </w:r>
      <w:r>
        <w:rPr>
          <w:rFonts w:hint="eastAsia" w:ascii="仿宋" w:hAnsi="仿宋" w:eastAsia="仿宋" w:cs="仿宋"/>
          <w:color w:val="auto"/>
          <w:spacing w:val="0"/>
          <w:kern w:val="0"/>
          <w:sz w:val="32"/>
          <w:szCs w:val="32"/>
        </w:rPr>
        <w:t>因公出国（境）费支出0.00万元，</w:t>
      </w:r>
      <w:r>
        <w:rPr>
          <w:rFonts w:hint="eastAsia" w:ascii="仿宋" w:hAnsi="仿宋" w:eastAsia="仿宋" w:cs="仿宋"/>
          <w:color w:val="auto"/>
          <w:spacing w:val="0"/>
          <w:kern w:val="0"/>
          <w:sz w:val="32"/>
          <w:szCs w:val="32"/>
          <w:lang w:eastAsia="zh-CN"/>
        </w:rPr>
        <w:t>与</w:t>
      </w:r>
      <w:r>
        <w:rPr>
          <w:rFonts w:hint="eastAsia" w:ascii="仿宋" w:hAnsi="仿宋" w:eastAsia="仿宋" w:cs="仿宋"/>
          <w:color w:val="auto"/>
          <w:spacing w:val="0"/>
          <w:kern w:val="0"/>
          <w:sz w:val="32"/>
          <w:szCs w:val="32"/>
        </w:rPr>
        <w:t>全年预算</w:t>
      </w:r>
      <w:r>
        <w:rPr>
          <w:rFonts w:hint="eastAsia" w:ascii="仿宋" w:hAnsi="仿宋" w:eastAsia="仿宋" w:cs="仿宋"/>
          <w:color w:val="auto"/>
          <w:spacing w:val="0"/>
          <w:kern w:val="0"/>
          <w:sz w:val="32"/>
          <w:szCs w:val="32"/>
          <w:lang w:val="en-US" w:eastAsia="zh-CN"/>
        </w:rPr>
        <w:t>0.00万元持平，</w:t>
      </w:r>
      <w:r>
        <w:rPr>
          <w:rFonts w:hint="eastAsia" w:ascii="仿宋" w:hAnsi="仿宋" w:eastAsia="仿宋" w:cs="仿宋"/>
          <w:color w:val="auto"/>
          <w:spacing w:val="0"/>
          <w:kern w:val="0"/>
          <w:sz w:val="32"/>
          <w:szCs w:val="32"/>
        </w:rPr>
        <w:t>较上年</w:t>
      </w:r>
      <w:r>
        <w:rPr>
          <w:rFonts w:hint="eastAsia" w:ascii="仿宋" w:hAnsi="仿宋" w:eastAsia="仿宋" w:cs="仿宋"/>
          <w:color w:val="auto"/>
          <w:spacing w:val="0"/>
          <w:kern w:val="0"/>
          <w:sz w:val="32"/>
          <w:szCs w:val="32"/>
          <w:lang w:eastAsia="zh-CN"/>
        </w:rPr>
        <w:t>决算的</w:t>
      </w:r>
      <w:r>
        <w:rPr>
          <w:rFonts w:hint="eastAsia" w:ascii="仿宋" w:hAnsi="仿宋" w:eastAsia="仿宋" w:cs="仿宋"/>
          <w:color w:val="auto"/>
          <w:spacing w:val="0"/>
          <w:kern w:val="0"/>
          <w:sz w:val="32"/>
          <w:szCs w:val="32"/>
          <w:lang w:val="en-US" w:eastAsia="zh-CN"/>
        </w:rPr>
        <w:t>0.00万元相比持平。</w:t>
      </w:r>
      <w:r>
        <w:rPr>
          <w:rFonts w:hint="eastAsia" w:ascii="仿宋" w:hAnsi="仿宋" w:eastAsia="仿宋" w:cs="仿宋"/>
          <w:color w:val="auto"/>
          <w:spacing w:val="0"/>
          <w:kern w:val="0"/>
          <w:sz w:val="32"/>
          <w:szCs w:val="32"/>
        </w:rPr>
        <w:t>全年安排本</w:t>
      </w:r>
      <w:r>
        <w:rPr>
          <w:rFonts w:hint="eastAsia" w:ascii="仿宋" w:hAnsi="仿宋" w:eastAsia="仿宋" w:cs="仿宋"/>
          <w:color w:val="auto"/>
          <w:spacing w:val="0"/>
          <w:kern w:val="0"/>
          <w:sz w:val="32"/>
          <w:szCs w:val="32"/>
          <w:lang w:eastAsia="zh-CN"/>
        </w:rPr>
        <w:t>单位</w:t>
      </w:r>
      <w:r>
        <w:rPr>
          <w:rFonts w:hint="eastAsia" w:ascii="仿宋" w:hAnsi="仿宋" w:eastAsia="仿宋" w:cs="仿宋"/>
          <w:color w:val="auto"/>
          <w:spacing w:val="0"/>
          <w:kern w:val="0"/>
          <w:sz w:val="32"/>
          <w:szCs w:val="32"/>
        </w:rPr>
        <w:t>组织的出国团组0 个，参加其他</w:t>
      </w:r>
      <w:r>
        <w:rPr>
          <w:rFonts w:hint="eastAsia" w:ascii="仿宋" w:hAnsi="仿宋" w:eastAsia="仿宋" w:cs="仿宋"/>
          <w:color w:val="auto"/>
          <w:spacing w:val="0"/>
          <w:kern w:val="0"/>
          <w:sz w:val="32"/>
          <w:szCs w:val="32"/>
          <w:lang w:eastAsia="zh-CN"/>
        </w:rPr>
        <w:t>单位</w:t>
      </w:r>
      <w:r>
        <w:rPr>
          <w:rFonts w:hint="eastAsia" w:ascii="仿宋" w:hAnsi="仿宋" w:eastAsia="仿宋" w:cs="仿宋"/>
          <w:color w:val="auto"/>
          <w:spacing w:val="0"/>
          <w:kern w:val="0"/>
          <w:sz w:val="32"/>
          <w:szCs w:val="32"/>
        </w:rPr>
        <w:t>出国团组</w:t>
      </w:r>
      <w:r>
        <w:rPr>
          <w:rFonts w:hint="eastAsia" w:ascii="仿宋" w:hAnsi="仿宋" w:eastAsia="仿宋" w:cs="仿宋"/>
          <w:color w:val="auto"/>
          <w:spacing w:val="0"/>
          <w:kern w:val="0"/>
          <w:sz w:val="32"/>
          <w:szCs w:val="32"/>
          <w:lang w:val="en-US" w:eastAsia="zh-CN"/>
        </w:rPr>
        <w:t>0</w:t>
      </w:r>
      <w:r>
        <w:rPr>
          <w:rFonts w:hint="eastAsia" w:ascii="仿宋" w:hAnsi="仿宋" w:eastAsia="仿宋" w:cs="仿宋"/>
          <w:color w:val="auto"/>
          <w:spacing w:val="0"/>
          <w:kern w:val="0"/>
          <w:sz w:val="32"/>
          <w:szCs w:val="32"/>
        </w:rPr>
        <w:t> 个；全年因公出国（境）累计0人次。主要是</w:t>
      </w:r>
      <w:r>
        <w:rPr>
          <w:rFonts w:hint="eastAsia" w:ascii="仿宋" w:hAnsi="仿宋" w:eastAsia="仿宋" w:cs="仿宋"/>
          <w:color w:val="auto"/>
          <w:spacing w:val="0"/>
          <w:kern w:val="0"/>
          <w:sz w:val="32"/>
          <w:szCs w:val="32"/>
          <w:lang w:val="en-US" w:eastAsia="zh-CN"/>
        </w:rPr>
        <w:t>本单位没有组织出国团组及参加其他部</w:t>
      </w:r>
      <w:r>
        <w:rPr>
          <w:rFonts w:hint="default" w:ascii="仿宋" w:hAnsi="仿宋" w:eastAsia="仿宋" w:cs="仿宋"/>
          <w:color w:val="auto"/>
          <w:spacing w:val="0"/>
          <w:kern w:val="0"/>
          <w:sz w:val="32"/>
          <w:szCs w:val="32"/>
          <w:lang w:val="en-US" w:eastAsia="zh-CN"/>
        </w:rPr>
        <w:t>门出国团组。</w:t>
      </w:r>
      <w:r>
        <w:rPr>
          <w:rFonts w:hint="eastAsia" w:ascii="仿宋" w:hAnsi="仿宋" w:eastAsia="仿宋" w:cs="仿宋"/>
          <w:color w:val="auto"/>
          <w:spacing w:val="0"/>
          <w:kern w:val="0"/>
          <w:sz w:val="32"/>
          <w:szCs w:val="32"/>
          <w:lang w:val="en-US" w:eastAsia="zh-CN"/>
        </w:rPr>
        <w:t xml:space="preserve"> </w:t>
      </w:r>
      <w:r>
        <w:rPr>
          <w:rFonts w:hint="eastAsia" w:ascii="仿宋" w:hAnsi="仿宋" w:eastAsia="仿宋" w:cs="仿宋"/>
          <w:color w:val="auto"/>
          <w:kern w:val="0"/>
          <w:sz w:val="32"/>
          <w:szCs w:val="32"/>
          <w:lang w:val="en-US" w:eastAsia="zh-CN"/>
        </w:rPr>
        <w:t xml:space="preserve"> </w:t>
      </w:r>
    </w:p>
    <w:p>
      <w:pPr>
        <w:pStyle w:val="29"/>
        <w:keepNext w:val="0"/>
        <w:keepLines w:val="0"/>
        <w:pageBreakBefore w:val="0"/>
        <w:widowControl/>
        <w:numPr>
          <w:ilvl w:val="0"/>
          <w:numId w:val="0"/>
        </w:numPr>
        <w:kinsoku/>
        <w:wordWrap/>
        <w:overflowPunct/>
        <w:topLinePunct w:val="0"/>
        <w:autoSpaceDE/>
        <w:autoSpaceDN/>
        <w:bidi w:val="0"/>
        <w:adjustRightInd/>
        <w:snapToGrid/>
        <w:spacing w:before="240" w:after="240" w:line="520" w:lineRule="exact"/>
        <w:ind w:firstLine="640" w:firstLineChars="200"/>
        <w:jc w:val="both"/>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（二）公务用车购置及运行费支出0.00万元，</w:t>
      </w:r>
      <w:r>
        <w:rPr>
          <w:rFonts w:hint="eastAsia" w:ascii="仿宋" w:hAnsi="仿宋" w:eastAsia="仿宋" w:cs="仿宋"/>
          <w:color w:val="auto"/>
          <w:kern w:val="0"/>
          <w:sz w:val="32"/>
          <w:szCs w:val="32"/>
          <w:lang w:eastAsia="zh-CN"/>
        </w:rPr>
        <w:t>与</w:t>
      </w:r>
      <w:r>
        <w:rPr>
          <w:rFonts w:hint="eastAsia" w:ascii="仿宋" w:hAnsi="仿宋" w:eastAsia="仿宋" w:cs="仿宋"/>
          <w:color w:val="auto"/>
          <w:kern w:val="0"/>
          <w:sz w:val="32"/>
          <w:szCs w:val="32"/>
        </w:rPr>
        <w:t>全年预算</w:t>
      </w:r>
      <w:r>
        <w:rPr>
          <w:rFonts w:hint="eastAsia" w:ascii="仿宋" w:hAnsi="仿宋" w:eastAsia="仿宋" w:cs="仿宋"/>
          <w:color w:val="auto"/>
          <w:kern w:val="0"/>
          <w:sz w:val="32"/>
          <w:szCs w:val="32"/>
          <w:lang w:val="en-US" w:eastAsia="zh-CN"/>
        </w:rPr>
        <w:t>0.00万元持平，</w:t>
      </w:r>
      <w:r>
        <w:rPr>
          <w:rFonts w:hint="eastAsia" w:ascii="仿宋" w:hAnsi="仿宋" w:eastAsia="仿宋" w:cs="仿宋"/>
          <w:color w:val="auto"/>
          <w:kern w:val="0"/>
          <w:sz w:val="32"/>
          <w:szCs w:val="32"/>
        </w:rPr>
        <w:t>较上年</w:t>
      </w:r>
      <w:r>
        <w:rPr>
          <w:rFonts w:hint="eastAsia" w:ascii="仿宋" w:hAnsi="仿宋" w:eastAsia="仿宋" w:cs="仿宋"/>
          <w:color w:val="auto"/>
          <w:kern w:val="0"/>
          <w:sz w:val="32"/>
          <w:szCs w:val="32"/>
          <w:lang w:eastAsia="zh-CN"/>
        </w:rPr>
        <w:t>决算的</w:t>
      </w:r>
      <w:r>
        <w:rPr>
          <w:rFonts w:hint="eastAsia" w:ascii="仿宋" w:hAnsi="仿宋" w:eastAsia="仿宋" w:cs="仿宋"/>
          <w:color w:val="auto"/>
          <w:kern w:val="0"/>
          <w:sz w:val="32"/>
          <w:szCs w:val="32"/>
          <w:lang w:val="en-US" w:eastAsia="zh-CN"/>
        </w:rPr>
        <w:t>0.00万元相比持平。</w:t>
      </w:r>
      <w:r>
        <w:rPr>
          <w:rFonts w:hint="eastAsia" w:ascii="仿宋" w:hAnsi="仿宋" w:eastAsia="仿宋" w:cs="仿宋"/>
          <w:color w:val="auto"/>
          <w:kern w:val="0"/>
          <w:sz w:val="32"/>
          <w:szCs w:val="32"/>
          <w:shd w:val="clear" w:color="auto" w:fill="FFFFFF"/>
        </w:rPr>
        <w:t>主要是</w:t>
      </w:r>
      <w:r>
        <w:rPr>
          <w:rFonts w:hint="eastAsia" w:ascii="仿宋" w:hAnsi="仿宋" w:eastAsia="仿宋" w:cs="仿宋"/>
          <w:color w:val="auto"/>
          <w:kern w:val="0"/>
          <w:sz w:val="32"/>
          <w:szCs w:val="32"/>
          <w:lang w:val="en-US" w:eastAsia="zh-CN" w:bidi="ar"/>
        </w:rPr>
        <w:t>本单位没有购置</w:t>
      </w:r>
      <w:r>
        <w:rPr>
          <w:rFonts w:hint="default" w:ascii="仿宋" w:hAnsi="仿宋" w:eastAsia="仿宋" w:cs="仿宋"/>
          <w:color w:val="auto"/>
          <w:kern w:val="0"/>
          <w:sz w:val="32"/>
          <w:szCs w:val="32"/>
          <w:lang w:val="en-US" w:eastAsia="zh-CN" w:bidi="ar"/>
        </w:rPr>
        <w:t>公务用车及运行</w:t>
      </w:r>
      <w:r>
        <w:rPr>
          <w:rFonts w:hint="eastAsia" w:ascii="仿宋" w:hAnsi="仿宋" w:eastAsia="仿宋" w:cs="仿宋"/>
          <w:color w:val="auto"/>
          <w:kern w:val="0"/>
          <w:sz w:val="32"/>
          <w:szCs w:val="32"/>
          <w:lang w:val="en-US" w:eastAsia="zh-CN" w:bidi="ar"/>
        </w:rPr>
        <w:t>维护</w:t>
      </w:r>
      <w:r>
        <w:rPr>
          <w:rFonts w:hint="default" w:ascii="仿宋" w:hAnsi="仿宋" w:eastAsia="仿宋" w:cs="仿宋"/>
          <w:color w:val="auto"/>
          <w:kern w:val="0"/>
          <w:sz w:val="32"/>
          <w:szCs w:val="32"/>
          <w:lang w:val="en-US" w:eastAsia="zh-CN" w:bidi="ar"/>
        </w:rPr>
        <w:t>费支出。</w:t>
      </w:r>
      <w:r>
        <w:rPr>
          <w:rFonts w:hint="eastAsia" w:ascii="仿宋" w:hAnsi="仿宋" w:eastAsia="仿宋" w:cs="仿宋"/>
          <w:color w:val="auto"/>
          <w:kern w:val="0"/>
          <w:sz w:val="32"/>
          <w:szCs w:val="32"/>
        </w:rPr>
        <w:t>其中：</w:t>
      </w:r>
    </w:p>
    <w:p>
      <w:pPr>
        <w:pStyle w:val="29"/>
        <w:keepNext w:val="0"/>
        <w:keepLines w:val="0"/>
        <w:pageBreakBefore w:val="0"/>
        <w:widowControl/>
        <w:numPr>
          <w:ilvl w:val="0"/>
          <w:numId w:val="0"/>
        </w:numPr>
        <w:kinsoku/>
        <w:wordWrap/>
        <w:overflowPunct/>
        <w:topLinePunct w:val="0"/>
        <w:autoSpaceDE/>
        <w:autoSpaceDN/>
        <w:bidi w:val="0"/>
        <w:adjustRightInd/>
        <w:snapToGrid/>
        <w:spacing w:before="240" w:after="240" w:line="520" w:lineRule="exact"/>
        <w:ind w:firstLine="640" w:firstLineChars="200"/>
        <w:jc w:val="both"/>
        <w:textAlignment w:val="auto"/>
        <w:rPr>
          <w:rFonts w:hint="default"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公务用车购置费支出0.00万元，与全年预算0.00万元持平，较上年决算的0.00万元相比持平。2024年公务用车购置0 辆。主要是本</w:t>
      </w:r>
      <w:r>
        <w:rPr>
          <w:rFonts w:hint="eastAsia" w:ascii="仿宋" w:hAnsi="仿宋" w:eastAsia="仿宋" w:cs="仿宋"/>
          <w:color w:val="auto"/>
          <w:kern w:val="0"/>
          <w:sz w:val="32"/>
          <w:szCs w:val="32"/>
          <w:lang w:val="en-US" w:eastAsia="zh-CN" w:bidi="ar"/>
        </w:rPr>
        <w:t>单位</w:t>
      </w:r>
      <w:r>
        <w:rPr>
          <w:rFonts w:hint="default" w:ascii="仿宋" w:hAnsi="仿宋" w:eastAsia="仿宋" w:cs="仿宋"/>
          <w:color w:val="auto"/>
          <w:kern w:val="0"/>
          <w:sz w:val="32"/>
          <w:szCs w:val="32"/>
          <w:lang w:val="en-US" w:eastAsia="zh-CN"/>
        </w:rPr>
        <w:t>没有购置公务用车。</w:t>
      </w:r>
    </w:p>
    <w:p>
      <w:pPr>
        <w:pStyle w:val="29"/>
        <w:keepNext w:val="0"/>
        <w:keepLines w:val="0"/>
        <w:pageBreakBefore w:val="0"/>
        <w:widowControl/>
        <w:numPr>
          <w:ilvl w:val="0"/>
          <w:numId w:val="0"/>
        </w:numPr>
        <w:kinsoku/>
        <w:wordWrap/>
        <w:overflowPunct/>
        <w:topLinePunct w:val="0"/>
        <w:autoSpaceDE/>
        <w:autoSpaceDN/>
        <w:bidi w:val="0"/>
        <w:adjustRightInd/>
        <w:snapToGrid/>
        <w:spacing w:before="240" w:after="240" w:line="520" w:lineRule="exact"/>
        <w:ind w:firstLine="640" w:firstLineChars="200"/>
        <w:jc w:val="both"/>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公务用车运行费支出0.00万元，</w:t>
      </w:r>
      <w:r>
        <w:rPr>
          <w:rFonts w:hint="eastAsia" w:ascii="仿宋" w:hAnsi="仿宋" w:eastAsia="仿宋" w:cs="仿宋"/>
          <w:color w:val="auto"/>
          <w:kern w:val="0"/>
          <w:sz w:val="32"/>
          <w:szCs w:val="32"/>
          <w:lang w:eastAsia="zh-CN"/>
        </w:rPr>
        <w:t>与</w:t>
      </w:r>
      <w:r>
        <w:rPr>
          <w:rFonts w:hint="eastAsia" w:ascii="仿宋" w:hAnsi="仿宋" w:eastAsia="仿宋" w:cs="仿宋"/>
          <w:color w:val="auto"/>
          <w:kern w:val="0"/>
          <w:sz w:val="32"/>
          <w:szCs w:val="32"/>
        </w:rPr>
        <w:t>全年预算</w:t>
      </w:r>
      <w:r>
        <w:rPr>
          <w:rFonts w:hint="eastAsia" w:ascii="仿宋" w:hAnsi="仿宋" w:eastAsia="仿宋" w:cs="仿宋"/>
          <w:color w:val="auto"/>
          <w:kern w:val="0"/>
          <w:sz w:val="32"/>
          <w:szCs w:val="32"/>
          <w:lang w:val="en-US" w:eastAsia="zh-CN"/>
        </w:rPr>
        <w:t>0.00万元持平，</w:t>
      </w:r>
      <w:r>
        <w:rPr>
          <w:rFonts w:hint="eastAsia" w:ascii="仿宋" w:hAnsi="仿宋" w:eastAsia="仿宋" w:cs="仿宋"/>
          <w:color w:val="auto"/>
          <w:kern w:val="0"/>
          <w:sz w:val="32"/>
          <w:szCs w:val="32"/>
        </w:rPr>
        <w:t>较上年</w:t>
      </w:r>
      <w:r>
        <w:rPr>
          <w:rFonts w:hint="eastAsia" w:ascii="仿宋" w:hAnsi="仿宋" w:eastAsia="仿宋" w:cs="仿宋"/>
          <w:color w:val="auto"/>
          <w:kern w:val="0"/>
          <w:sz w:val="32"/>
          <w:szCs w:val="32"/>
          <w:lang w:eastAsia="zh-CN"/>
        </w:rPr>
        <w:t>决算的</w:t>
      </w:r>
      <w:r>
        <w:rPr>
          <w:rFonts w:hint="eastAsia" w:ascii="仿宋" w:hAnsi="仿宋" w:eastAsia="仿宋" w:cs="仿宋"/>
          <w:color w:val="auto"/>
          <w:kern w:val="0"/>
          <w:sz w:val="32"/>
          <w:szCs w:val="32"/>
          <w:lang w:val="en-US" w:eastAsia="zh-CN"/>
        </w:rPr>
        <w:t>0.00万元相比持平。</w:t>
      </w:r>
      <w:r>
        <w:rPr>
          <w:rFonts w:hint="eastAsia" w:ascii="仿宋" w:hAnsi="仿宋" w:eastAsia="仿宋" w:cs="仿宋"/>
          <w:color w:val="auto"/>
          <w:kern w:val="0"/>
          <w:sz w:val="32"/>
          <w:szCs w:val="32"/>
          <w:shd w:val="clear" w:color="auto" w:fill="FFFFFF"/>
        </w:rPr>
        <w:t>主要是</w:t>
      </w:r>
      <w:r>
        <w:rPr>
          <w:rFonts w:hint="eastAsia" w:ascii="仿宋" w:hAnsi="仿宋" w:eastAsia="仿宋" w:cs="仿宋"/>
          <w:color w:val="auto"/>
          <w:kern w:val="0"/>
          <w:sz w:val="32"/>
          <w:szCs w:val="32"/>
          <w:lang w:val="en-US" w:eastAsia="zh-CN" w:bidi="ar"/>
        </w:rPr>
        <w:t>本单位没有公务用车运行维护</w:t>
      </w:r>
      <w:r>
        <w:rPr>
          <w:rFonts w:hint="default" w:ascii="仿宋" w:hAnsi="仿宋" w:eastAsia="仿宋" w:cs="仿宋"/>
          <w:color w:val="auto"/>
          <w:kern w:val="0"/>
          <w:sz w:val="32"/>
          <w:szCs w:val="32"/>
          <w:lang w:val="en-US" w:eastAsia="zh-CN" w:bidi="ar"/>
        </w:rPr>
        <w:t>费的支出。</w:t>
      </w:r>
      <w:r>
        <w:rPr>
          <w:rFonts w:hint="eastAsia" w:ascii="仿宋" w:hAnsi="仿宋" w:eastAsia="仿宋" w:cs="仿宋"/>
          <w:color w:val="auto"/>
          <w:kern w:val="0"/>
          <w:sz w:val="32"/>
          <w:szCs w:val="32"/>
        </w:rPr>
        <w:t>截至20</w:t>
      </w:r>
      <w:r>
        <w:rPr>
          <w:rFonts w:hint="eastAsia" w:ascii="仿宋" w:hAnsi="仿宋" w:eastAsia="仿宋" w:cs="仿宋"/>
          <w:color w:val="auto"/>
          <w:kern w:val="0"/>
          <w:sz w:val="32"/>
          <w:szCs w:val="32"/>
          <w:lang w:val="en-US" w:eastAsia="zh-CN"/>
        </w:rPr>
        <w:t>24</w:t>
      </w:r>
      <w:r>
        <w:rPr>
          <w:rFonts w:hint="eastAsia" w:ascii="仿宋" w:hAnsi="仿宋" w:eastAsia="仿宋" w:cs="仿宋"/>
          <w:color w:val="auto"/>
          <w:kern w:val="0"/>
          <w:sz w:val="32"/>
          <w:szCs w:val="32"/>
        </w:rPr>
        <w:t>年12月31日，本</w:t>
      </w:r>
      <w:r>
        <w:rPr>
          <w:rFonts w:hint="eastAsia" w:ascii="仿宋" w:hAnsi="仿宋" w:eastAsia="仿宋" w:cs="仿宋"/>
          <w:color w:val="auto"/>
          <w:kern w:val="0"/>
          <w:sz w:val="32"/>
          <w:szCs w:val="32"/>
          <w:lang w:val="en-US" w:eastAsia="zh-CN" w:bidi="ar"/>
        </w:rPr>
        <w:t>单位</w:t>
      </w:r>
      <w:r>
        <w:rPr>
          <w:rFonts w:hint="eastAsia" w:ascii="仿宋" w:hAnsi="仿宋" w:eastAsia="仿宋" w:cs="仿宋"/>
          <w:color w:val="auto"/>
          <w:kern w:val="0"/>
          <w:sz w:val="32"/>
          <w:szCs w:val="32"/>
        </w:rPr>
        <w:t>公务用车保有量为0辆。</w:t>
      </w:r>
    </w:p>
    <w:p>
      <w:pPr>
        <w:pStyle w:val="29"/>
        <w:keepNext w:val="0"/>
        <w:keepLines w:val="0"/>
        <w:pageBreakBefore w:val="0"/>
        <w:widowControl/>
        <w:numPr>
          <w:ilvl w:val="0"/>
          <w:numId w:val="0"/>
        </w:numPr>
        <w:kinsoku/>
        <w:wordWrap/>
        <w:overflowPunct/>
        <w:topLinePunct w:val="0"/>
        <w:autoSpaceDE/>
        <w:autoSpaceDN/>
        <w:bidi w:val="0"/>
        <w:adjustRightInd/>
        <w:snapToGrid/>
        <w:spacing w:before="240" w:after="240" w:line="520" w:lineRule="exact"/>
        <w:ind w:firstLine="640" w:firstLineChars="200"/>
        <w:jc w:val="both"/>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lang w:eastAsia="zh-CN"/>
        </w:rPr>
        <w:t>（三）</w:t>
      </w:r>
      <w:r>
        <w:rPr>
          <w:rFonts w:hint="eastAsia" w:ascii="仿宋" w:hAnsi="仿宋" w:eastAsia="仿宋" w:cs="仿宋"/>
          <w:color w:val="auto"/>
          <w:kern w:val="0"/>
          <w:sz w:val="32"/>
          <w:szCs w:val="32"/>
        </w:rPr>
        <w:t>公务接待费支出0.00万元，</w:t>
      </w:r>
      <w:r>
        <w:rPr>
          <w:rFonts w:hint="eastAsia" w:ascii="仿宋" w:hAnsi="仿宋" w:eastAsia="仿宋" w:cs="仿宋"/>
          <w:color w:val="auto"/>
          <w:kern w:val="0"/>
          <w:sz w:val="32"/>
          <w:szCs w:val="32"/>
          <w:lang w:eastAsia="zh-CN"/>
        </w:rPr>
        <w:t>与</w:t>
      </w:r>
      <w:r>
        <w:rPr>
          <w:rFonts w:hint="eastAsia" w:ascii="仿宋" w:hAnsi="仿宋" w:eastAsia="仿宋" w:cs="仿宋"/>
          <w:color w:val="auto"/>
          <w:kern w:val="0"/>
          <w:sz w:val="32"/>
          <w:szCs w:val="32"/>
        </w:rPr>
        <w:t>全年预算</w:t>
      </w:r>
      <w:r>
        <w:rPr>
          <w:rFonts w:hint="eastAsia" w:ascii="仿宋" w:hAnsi="仿宋" w:eastAsia="仿宋" w:cs="仿宋"/>
          <w:color w:val="auto"/>
          <w:kern w:val="0"/>
          <w:sz w:val="32"/>
          <w:szCs w:val="32"/>
          <w:lang w:val="en-US" w:eastAsia="zh-CN"/>
        </w:rPr>
        <w:t>0.00万元持平，</w:t>
      </w:r>
      <w:r>
        <w:rPr>
          <w:rFonts w:hint="eastAsia" w:ascii="仿宋" w:hAnsi="仿宋" w:eastAsia="仿宋" w:cs="仿宋"/>
          <w:color w:val="auto"/>
          <w:kern w:val="0"/>
          <w:sz w:val="32"/>
          <w:szCs w:val="32"/>
        </w:rPr>
        <w:t>较上年</w:t>
      </w:r>
      <w:r>
        <w:rPr>
          <w:rFonts w:hint="eastAsia" w:ascii="仿宋" w:hAnsi="仿宋" w:eastAsia="仿宋" w:cs="仿宋"/>
          <w:color w:val="auto"/>
          <w:kern w:val="0"/>
          <w:sz w:val="32"/>
          <w:szCs w:val="32"/>
          <w:lang w:eastAsia="zh-CN"/>
        </w:rPr>
        <w:t>决算的</w:t>
      </w:r>
      <w:r>
        <w:rPr>
          <w:rFonts w:hint="eastAsia" w:ascii="仿宋" w:hAnsi="仿宋" w:eastAsia="仿宋" w:cs="仿宋"/>
          <w:color w:val="auto"/>
          <w:kern w:val="0"/>
          <w:sz w:val="32"/>
          <w:szCs w:val="32"/>
          <w:lang w:val="en-US" w:eastAsia="zh-CN"/>
        </w:rPr>
        <w:t>0.00万元相比持平。</w:t>
      </w:r>
      <w:r>
        <w:rPr>
          <w:rFonts w:hint="eastAsia" w:ascii="仿宋" w:hAnsi="仿宋" w:eastAsia="仿宋" w:cs="仿宋"/>
          <w:color w:val="auto"/>
          <w:kern w:val="0"/>
          <w:sz w:val="32"/>
          <w:szCs w:val="32"/>
          <w:shd w:val="clear" w:color="auto" w:fill="FFFFFF"/>
        </w:rPr>
        <w:t>主要是</w:t>
      </w:r>
      <w:r>
        <w:rPr>
          <w:rFonts w:hint="eastAsia" w:ascii="仿宋" w:hAnsi="仿宋" w:eastAsia="仿宋" w:cs="仿宋"/>
          <w:color w:val="auto"/>
          <w:kern w:val="0"/>
          <w:sz w:val="32"/>
          <w:szCs w:val="32"/>
          <w:lang w:val="en-US" w:eastAsia="zh-CN" w:bidi="ar"/>
        </w:rPr>
        <w:t>本单位没有公务接待活动。</w:t>
      </w:r>
      <w:r>
        <w:rPr>
          <w:rFonts w:hint="eastAsia" w:ascii="仿宋" w:hAnsi="仿宋" w:eastAsia="仿宋" w:cs="仿宋"/>
          <w:color w:val="auto"/>
          <w:kern w:val="0"/>
          <w:sz w:val="32"/>
          <w:szCs w:val="32"/>
        </w:rPr>
        <w:t>累计接待0 批次、0人次。</w:t>
      </w:r>
    </w:p>
    <w:p>
      <w:pPr>
        <w:pStyle w:val="6"/>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firstLineChars="0"/>
        <w:jc w:val="both"/>
        <w:textAlignment w:val="auto"/>
        <w:rPr>
          <w:rFonts w:ascii="Times New Roman" w:hAnsi="Times New Roman" w:eastAsia="Times New Roman" w:cs="Times New Roman"/>
          <w:b/>
          <w:bCs/>
          <w:color w:val="auto"/>
          <w:kern w:val="0"/>
          <w:sz w:val="28"/>
          <w:szCs w:val="28"/>
        </w:rPr>
      </w:pPr>
      <w:r>
        <w:rPr>
          <w:rFonts w:ascii="黑体" w:hAnsi="黑体" w:eastAsia="黑体" w:cs="黑体"/>
          <w:b/>
          <w:color w:val="auto"/>
          <w:spacing w:val="0"/>
        </w:rPr>
        <w:t>八、预算绩效情况说明</w:t>
      </w:r>
      <w:bookmarkEnd w:id="101"/>
      <w:bookmarkEnd w:id="102"/>
      <w:bookmarkEnd w:id="103"/>
      <w:bookmarkEnd w:id="104"/>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32"/>
          <w:szCs w:val="32"/>
        </w:rPr>
      </w:pPr>
      <w:r>
        <w:rPr>
          <w:rFonts w:ascii="仿宋" w:hAnsi="仿宋" w:eastAsia="仿宋" w:cs="仿宋"/>
          <w:color w:val="auto"/>
          <w:spacing w:val="0"/>
          <w:kern w:val="0"/>
          <w:sz w:val="32"/>
          <w:szCs w:val="32"/>
        </w:rPr>
        <w:t>根据预算绩效管理要求，本单位组织对2024年度</w:t>
      </w:r>
      <w:r>
        <w:rPr>
          <w:rFonts w:hint="eastAsia" w:ascii="仿宋" w:hAnsi="仿宋" w:eastAsia="仿宋" w:cs="仿宋"/>
          <w:color w:val="auto"/>
          <w:spacing w:val="0"/>
          <w:kern w:val="0"/>
          <w:sz w:val="32"/>
          <w:szCs w:val="32"/>
          <w:lang w:val="en-US" w:eastAsia="zh-CN"/>
        </w:rPr>
        <w:t>1</w:t>
      </w:r>
      <w:r>
        <w:rPr>
          <w:rFonts w:ascii="仿宋" w:hAnsi="仿宋" w:eastAsia="仿宋" w:cs="仿宋"/>
          <w:color w:val="auto"/>
          <w:spacing w:val="0"/>
          <w:kern w:val="0"/>
          <w:sz w:val="32"/>
          <w:szCs w:val="32"/>
        </w:rPr>
        <w:t>个项目实施单位自评，</w:t>
      </w:r>
      <w:r>
        <w:rPr>
          <w:rFonts w:hint="eastAsia" w:ascii="仿宋" w:hAnsi="仿宋" w:eastAsia="仿宋" w:cs="仿宋"/>
          <w:color w:val="auto"/>
          <w:spacing w:val="0"/>
          <w:kern w:val="0"/>
          <w:sz w:val="32"/>
          <w:szCs w:val="32"/>
          <w:lang w:eastAsia="zh-CN"/>
        </w:rPr>
        <w:t>项目名称为</w:t>
      </w:r>
      <w:r>
        <w:rPr>
          <w:rFonts w:hint="eastAsia" w:ascii="仿宋" w:hAnsi="仿宋" w:eastAsia="仿宋" w:cs="仿宋"/>
          <w:color w:val="auto"/>
          <w:spacing w:val="0"/>
          <w:kern w:val="0"/>
          <w:sz w:val="32"/>
          <w:szCs w:val="32"/>
        </w:rPr>
        <w:t>义务教育阶段家庭经济困难学生营养餐补助</w:t>
      </w:r>
      <w:r>
        <w:rPr>
          <w:rFonts w:ascii="仿宋" w:hAnsi="仿宋" w:eastAsia="仿宋" w:cs="仿宋"/>
          <w:color w:val="auto"/>
          <w:spacing w:val="0"/>
          <w:kern w:val="0"/>
          <w:sz w:val="32"/>
          <w:szCs w:val="32"/>
        </w:rPr>
        <w:t>，涉及财政拨款资金共计</w:t>
      </w:r>
      <w:r>
        <w:rPr>
          <w:rFonts w:hint="eastAsia" w:ascii="仿宋" w:hAnsi="仿宋" w:eastAsia="仿宋" w:cs="仿宋"/>
          <w:color w:val="auto"/>
          <w:spacing w:val="0"/>
          <w:kern w:val="0"/>
          <w:sz w:val="32"/>
          <w:szCs w:val="32"/>
        </w:rPr>
        <w:t>2.49</w:t>
      </w:r>
      <w:r>
        <w:rPr>
          <w:rFonts w:ascii="仿宋" w:hAnsi="仿宋" w:eastAsia="仿宋" w:cs="仿宋"/>
          <w:color w:val="auto"/>
          <w:spacing w:val="0"/>
          <w:kern w:val="0"/>
          <w:sz w:val="32"/>
          <w:szCs w:val="32"/>
        </w:rPr>
        <w:t>万元。（《项目支出绩效自评表》详见附件）</w:t>
      </w:r>
    </w:p>
    <w:p>
      <w:pPr>
        <w:pStyle w:val="6"/>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firstLineChars="0"/>
        <w:jc w:val="both"/>
        <w:textAlignment w:val="auto"/>
        <w:rPr>
          <w:rFonts w:ascii="Times New Roman" w:hAnsi="Times New Roman" w:eastAsia="Times New Roman" w:cs="Times New Roman"/>
          <w:b/>
          <w:bCs/>
          <w:color w:val="auto"/>
          <w:kern w:val="0"/>
          <w:sz w:val="28"/>
          <w:szCs w:val="28"/>
        </w:rPr>
      </w:pPr>
      <w:bookmarkStart w:id="105" w:name="_Toc256000088"/>
      <w:bookmarkStart w:id="106" w:name="_Toc256000119"/>
      <w:bookmarkStart w:id="107" w:name="_Toc256000057"/>
      <w:bookmarkStart w:id="108" w:name="_Toc256000026"/>
      <w:r>
        <w:rPr>
          <w:rFonts w:ascii="黑体" w:hAnsi="黑体" w:eastAsia="黑体" w:cs="黑体"/>
          <w:b/>
          <w:color w:val="auto"/>
          <w:spacing w:val="0"/>
        </w:rPr>
        <w:t>九、其他重要事项说明</w:t>
      </w:r>
      <w:bookmarkEnd w:id="105"/>
      <w:bookmarkEnd w:id="106"/>
      <w:bookmarkEnd w:id="107"/>
      <w:bookmarkEnd w:id="108"/>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3"/>
        <w:jc w:val="both"/>
        <w:textAlignment w:val="auto"/>
        <w:rPr>
          <w:rFonts w:ascii="Times New Roman" w:hAnsi="Times New Roman" w:eastAsia="Times New Roman" w:cs="Times New Roman"/>
          <w:color w:val="auto"/>
          <w:kern w:val="0"/>
          <w:sz w:val="24"/>
        </w:rPr>
      </w:pPr>
      <w:r>
        <w:rPr>
          <w:rStyle w:val="31"/>
          <w:rFonts w:ascii="楷体" w:hAnsi="楷体" w:eastAsia="楷体" w:cs="楷体"/>
          <w:b/>
          <w:bCs/>
          <w:color w:val="auto"/>
          <w:spacing w:val="0"/>
          <w:kern w:val="0"/>
          <w:sz w:val="32"/>
          <w:szCs w:val="32"/>
        </w:rPr>
        <w:t>（一）机关运行经费</w:t>
      </w:r>
      <w:r>
        <w:rPr>
          <w:rFonts w:ascii="宋体" w:hAnsi="宋体" w:cs="宋体"/>
          <w:color w:val="auto"/>
          <w:spacing w:val="0"/>
          <w:kern w:val="0"/>
          <w:sz w:val="32"/>
          <w:szCs w:val="32"/>
        </w:rPr>
        <w:t> </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2024年度机关运行经费支出0万元，比上年决算数增加（减少）</w:t>
      </w:r>
      <w:r>
        <w:rPr>
          <w:rFonts w:hint="eastAsia" w:ascii="仿宋" w:hAnsi="仿宋" w:eastAsia="仿宋" w:cs="仿宋"/>
          <w:color w:val="auto"/>
          <w:spacing w:val="0"/>
          <w:kern w:val="0"/>
          <w:sz w:val="32"/>
          <w:szCs w:val="32"/>
          <w:lang w:val="en-US" w:eastAsia="zh-CN"/>
        </w:rPr>
        <w:t>0</w:t>
      </w:r>
      <w:r>
        <w:rPr>
          <w:rFonts w:ascii="仿宋" w:hAnsi="仿宋" w:eastAsia="仿宋" w:cs="仿宋"/>
          <w:color w:val="auto"/>
          <w:spacing w:val="0"/>
          <w:kern w:val="0"/>
          <w:sz w:val="32"/>
          <w:szCs w:val="32"/>
        </w:rPr>
        <w:t>万元，增长（下降）</w:t>
      </w:r>
      <w:r>
        <w:rPr>
          <w:rFonts w:hint="eastAsia" w:ascii="仿宋" w:hAnsi="仿宋" w:eastAsia="仿宋" w:cs="仿宋"/>
          <w:color w:val="auto"/>
          <w:spacing w:val="0"/>
          <w:kern w:val="0"/>
          <w:sz w:val="32"/>
          <w:szCs w:val="32"/>
          <w:lang w:val="en-US" w:eastAsia="zh-CN"/>
        </w:rPr>
        <w:t>0</w:t>
      </w:r>
      <w:r>
        <w:rPr>
          <w:rFonts w:ascii="仿宋" w:hAnsi="仿宋" w:eastAsia="仿宋" w:cs="仿宋"/>
          <w:color w:val="auto"/>
          <w:spacing w:val="0"/>
          <w:kern w:val="0"/>
          <w:sz w:val="32"/>
          <w:szCs w:val="32"/>
        </w:rPr>
        <w:t>%，主要原因是:本单位为事业单位</w:t>
      </w:r>
      <w:r>
        <w:rPr>
          <w:rFonts w:hint="eastAsia" w:ascii="仿宋" w:hAnsi="仿宋" w:eastAsia="仿宋" w:cs="仿宋"/>
          <w:color w:val="auto"/>
          <w:spacing w:val="0"/>
          <w:kern w:val="0"/>
          <w:sz w:val="32"/>
          <w:szCs w:val="32"/>
          <w:lang w:eastAsia="zh-CN"/>
        </w:rPr>
        <w:t>，</w:t>
      </w:r>
      <w:r>
        <w:rPr>
          <w:rFonts w:ascii="仿宋" w:hAnsi="仿宋" w:eastAsia="仿宋" w:cs="仿宋"/>
          <w:color w:val="auto"/>
          <w:spacing w:val="0"/>
          <w:kern w:val="0"/>
          <w:sz w:val="32"/>
          <w:szCs w:val="32"/>
        </w:rPr>
        <w:t>没有机关运行经费。</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3"/>
        <w:jc w:val="both"/>
        <w:textAlignment w:val="auto"/>
        <w:rPr>
          <w:rFonts w:ascii="Times New Roman" w:hAnsi="Times New Roman" w:eastAsia="Times New Roman" w:cs="Times New Roman"/>
          <w:color w:val="auto"/>
          <w:kern w:val="0"/>
          <w:sz w:val="24"/>
        </w:rPr>
      </w:pPr>
      <w:r>
        <w:rPr>
          <w:rStyle w:val="31"/>
          <w:rFonts w:ascii="楷体" w:hAnsi="楷体" w:eastAsia="楷体" w:cs="楷体"/>
          <w:b/>
          <w:bCs/>
          <w:color w:val="auto"/>
          <w:spacing w:val="0"/>
          <w:kern w:val="0"/>
          <w:sz w:val="32"/>
          <w:szCs w:val="32"/>
        </w:rPr>
        <w:t>（二）政府采购情况</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Fonts w:ascii="仿宋" w:hAnsi="仿宋" w:eastAsia="仿宋" w:cs="仿宋"/>
          <w:color w:val="auto"/>
          <w:spacing w:val="0"/>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color w:val="auto"/>
          <w:spacing w:val="0"/>
          <w:kern w:val="0"/>
          <w:sz w:val="32"/>
          <w:szCs w:val="32"/>
          <w:lang w:val="en-US" w:eastAsia="zh-CN"/>
        </w:rPr>
        <w:t>0</w:t>
      </w:r>
      <w:r>
        <w:rPr>
          <w:rFonts w:ascii="仿宋" w:hAnsi="仿宋" w:eastAsia="仿宋" w:cs="仿宋"/>
          <w:color w:val="auto"/>
          <w:spacing w:val="0"/>
          <w:kern w:val="0"/>
          <w:sz w:val="32"/>
          <w:szCs w:val="32"/>
        </w:rPr>
        <w:t>%，工程采购授予中小企业合同金额占工程支出金额的</w:t>
      </w:r>
      <w:r>
        <w:rPr>
          <w:rFonts w:hint="eastAsia" w:ascii="仿宋" w:hAnsi="仿宋" w:eastAsia="仿宋" w:cs="仿宋"/>
          <w:color w:val="auto"/>
          <w:spacing w:val="0"/>
          <w:kern w:val="0"/>
          <w:sz w:val="32"/>
          <w:szCs w:val="32"/>
          <w:lang w:val="en-US" w:eastAsia="zh-CN"/>
        </w:rPr>
        <w:t>0</w:t>
      </w:r>
      <w:r>
        <w:rPr>
          <w:rFonts w:ascii="仿宋" w:hAnsi="仿宋" w:eastAsia="仿宋" w:cs="仿宋"/>
          <w:color w:val="auto"/>
          <w:spacing w:val="0"/>
          <w:kern w:val="0"/>
          <w:sz w:val="32"/>
          <w:szCs w:val="32"/>
        </w:rPr>
        <w:t>%，服务采购授予中小企业合同金额占服务支出金额的</w:t>
      </w:r>
      <w:r>
        <w:rPr>
          <w:rFonts w:hint="eastAsia" w:ascii="仿宋" w:hAnsi="仿宋" w:eastAsia="仿宋" w:cs="仿宋"/>
          <w:color w:val="auto"/>
          <w:kern w:val="0"/>
          <w:sz w:val="32"/>
          <w:szCs w:val="32"/>
          <w:lang w:val="en-US" w:eastAsia="zh-CN"/>
        </w:rPr>
        <w:t>0</w:t>
      </w:r>
      <w:r>
        <w:rPr>
          <w:rFonts w:hint="eastAsia" w:ascii="仿宋" w:hAnsi="仿宋" w:eastAsia="仿宋" w:cs="仿宋"/>
          <w:color w:val="auto"/>
          <w:kern w:val="0"/>
          <w:sz w:val="32"/>
          <w:szCs w:val="32"/>
        </w:rPr>
        <w:t>%。</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仿宋" w:hAnsi="仿宋" w:eastAsia="仿宋" w:cs="仿宋"/>
          <w:color w:val="auto"/>
          <w:spacing w:val="0"/>
          <w:kern w:val="0"/>
          <w:sz w:val="32"/>
          <w:szCs w:val="32"/>
        </w:rPr>
      </w:pPr>
      <w:r>
        <w:rPr>
          <w:rFonts w:ascii="仿宋" w:hAnsi="仿宋" w:eastAsia="仿宋" w:cs="仿宋"/>
          <w:color w:val="auto"/>
          <w:spacing w:val="0"/>
          <w:kern w:val="0"/>
          <w:sz w:val="32"/>
          <w:szCs w:val="32"/>
        </w:rPr>
        <w:t>本单位2024年度没有政府采购支出。</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07"/>
        <w:jc w:val="both"/>
        <w:textAlignment w:val="auto"/>
        <w:rPr>
          <w:rFonts w:ascii="Times New Roman" w:hAnsi="Times New Roman" w:eastAsia="Times New Roman" w:cs="Times New Roman"/>
          <w:color w:val="auto"/>
          <w:kern w:val="0"/>
          <w:sz w:val="24"/>
        </w:rPr>
      </w:pPr>
      <w:r>
        <w:rPr>
          <w:rStyle w:val="31"/>
          <w:rFonts w:ascii="楷体" w:hAnsi="楷体" w:eastAsia="楷体" w:cs="楷体"/>
          <w:b/>
          <w:bCs/>
          <w:color w:val="auto"/>
          <w:spacing w:val="0"/>
          <w:kern w:val="0"/>
          <w:sz w:val="32"/>
          <w:szCs w:val="32"/>
        </w:rPr>
        <w:t>（三）国有资产占用使用情况</w:t>
      </w:r>
      <w:r>
        <w:rPr>
          <w:rFonts w:ascii="宋体" w:hAnsi="宋体" w:cs="宋体"/>
          <w:color w:val="auto"/>
          <w:spacing w:val="0"/>
          <w:kern w:val="0"/>
          <w:sz w:val="32"/>
          <w:szCs w:val="32"/>
        </w:rPr>
        <w:t> </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04"/>
        <w:jc w:val="both"/>
        <w:textAlignment w:val="auto"/>
        <w:rPr>
          <w:rFonts w:ascii="Calibri" w:hAnsi="Calibri" w:eastAsia="Calibri" w:cs="Calibri"/>
          <w:color w:val="auto"/>
          <w:spacing w:val="0"/>
          <w:kern w:val="0"/>
          <w:sz w:val="32"/>
          <w:szCs w:val="32"/>
        </w:rPr>
      </w:pPr>
      <w:r>
        <w:rPr>
          <w:rFonts w:ascii="仿宋" w:hAnsi="仿宋" w:eastAsia="仿宋" w:cs="仿宋"/>
          <w:color w:val="auto"/>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r>
        <w:rPr>
          <w:rFonts w:ascii="Calibri" w:hAnsi="Calibri" w:eastAsia="Calibri" w:cs="Calibri"/>
          <w:color w:val="auto"/>
          <w:spacing w:val="0"/>
          <w:kern w:val="0"/>
          <w:sz w:val="32"/>
          <w:szCs w:val="32"/>
        </w:rPr>
        <w:t> </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right="0"/>
        <w:jc w:val="both"/>
        <w:textAlignment w:val="auto"/>
        <w:rPr>
          <w:rFonts w:ascii="Calibri" w:hAnsi="Calibri" w:eastAsia="Calibri" w:cs="Calibri"/>
          <w:color w:val="auto"/>
          <w:spacing w:val="0"/>
          <w:kern w:val="0"/>
          <w:sz w:val="32"/>
          <w:szCs w:val="32"/>
        </w:rPr>
      </w:pPr>
    </w:p>
    <w:p>
      <w:pPr>
        <w:pStyle w:val="4"/>
        <w:keepNext w:val="0"/>
        <w:keepLines w:val="0"/>
        <w:pageBreakBefore w:val="0"/>
        <w:widowControl/>
        <w:kinsoku/>
        <w:wordWrap/>
        <w:overflowPunct/>
        <w:topLinePunct w:val="0"/>
        <w:autoSpaceDE/>
        <w:autoSpaceDN/>
        <w:bidi w:val="0"/>
        <w:adjustRightInd/>
        <w:snapToGrid/>
        <w:spacing w:before="100" w:after="100" w:line="520" w:lineRule="exact"/>
        <w:ind w:left="0" w:right="0" w:firstLine="0" w:firstLineChars="0"/>
        <w:jc w:val="center"/>
        <w:textAlignment w:val="auto"/>
        <w:rPr>
          <w:rFonts w:ascii="Times New Roman" w:hAnsi="Times New Roman" w:eastAsia="Times New Roman" w:cs="Times New Roman"/>
          <w:vanish/>
          <w:color w:val="auto"/>
          <w:kern w:val="0"/>
          <w:sz w:val="24"/>
        </w:rPr>
      </w:pPr>
      <w:bookmarkStart w:id="109" w:name="_Toc256000027"/>
      <w:bookmarkStart w:id="110" w:name="_Toc256000120"/>
      <w:bookmarkStart w:id="111" w:name="_Toc256000058"/>
      <w:bookmarkStart w:id="112" w:name="_Toc256000089"/>
      <w:r>
        <w:rPr>
          <w:rFonts w:ascii="黑体" w:hAnsi="黑体" w:eastAsia="黑体" w:cs="黑体"/>
          <w:bCs w:val="0"/>
          <w:color w:val="auto"/>
          <w:kern w:val="0"/>
          <w:sz w:val="36"/>
          <w:szCs w:val="36"/>
          <w:lang w:val="en-US" w:eastAsia="zh-CN" w:bidi="ar-SA"/>
        </w:rPr>
        <w:t>第四部分</w:t>
      </w:r>
      <w:bookmarkEnd w:id="109"/>
      <w:bookmarkEnd w:id="110"/>
      <w:bookmarkEnd w:id="111"/>
      <w:bookmarkEnd w:id="112"/>
      <w:r>
        <w:rPr>
          <w:rFonts w:ascii="黑体" w:hAnsi="黑体" w:eastAsia="黑体" w:cs="黑体"/>
          <w:bCs w:val="0"/>
          <w:color w:val="auto"/>
          <w:kern w:val="0"/>
          <w:sz w:val="36"/>
          <w:szCs w:val="36"/>
          <w:lang w:val="en-US" w:eastAsia="zh-CN" w:bidi="ar-SA"/>
        </w:rPr>
        <w:t> </w:t>
      </w:r>
      <w:bookmarkStart w:id="113" w:name="_Toc256000121"/>
      <w:bookmarkStart w:id="114" w:name="_Toc256000059"/>
      <w:bookmarkStart w:id="115" w:name="_Toc256000028"/>
      <w:bookmarkStart w:id="116" w:name="_Toc256000090"/>
      <w:r>
        <w:rPr>
          <w:rFonts w:hint="eastAsia" w:ascii="黑体" w:hAnsi="黑体" w:eastAsia="黑体" w:cs="黑体"/>
          <w:bCs w:val="0"/>
          <w:color w:val="auto"/>
          <w:kern w:val="0"/>
          <w:sz w:val="36"/>
          <w:szCs w:val="36"/>
          <w:lang w:val="en-US" w:eastAsia="zh-CN" w:bidi="ar-SA"/>
        </w:rPr>
        <w:t xml:space="preserve"> </w:t>
      </w:r>
      <w:r>
        <w:rPr>
          <w:rFonts w:ascii="黑体" w:hAnsi="黑体" w:eastAsia="黑体" w:cs="黑体"/>
          <w:bCs w:val="0"/>
          <w:color w:val="auto"/>
          <w:kern w:val="0"/>
          <w:sz w:val="36"/>
          <w:szCs w:val="36"/>
          <w:lang w:val="en-US" w:eastAsia="zh-CN" w:bidi="ar-SA"/>
        </w:rPr>
        <w:t>名词解释</w:t>
      </w:r>
      <w:bookmarkEnd w:id="113"/>
      <w:bookmarkEnd w:id="114"/>
      <w:bookmarkEnd w:id="115"/>
      <w:bookmarkEnd w:id="116"/>
      <w:r>
        <w:rPr>
          <w:rFonts w:ascii="Times New Roman" w:hAnsi="Times New Roman" w:eastAsia="Times New Roman" w:cs="Times New Roman"/>
          <w:vanish/>
          <w:color w:val="auto"/>
          <w:kern w:val="0"/>
          <w:sz w:val="24"/>
        </w:rPr>
        <w:t>word page break</w:t>
      </w:r>
    </w:p>
    <w:p>
      <w:pPr>
        <w:keepNext w:val="0"/>
        <w:keepLines w:val="0"/>
        <w:pageBreakBefore w:val="0"/>
        <w:widowControl/>
        <w:kinsoku/>
        <w:wordWrap/>
        <w:overflowPunct/>
        <w:topLinePunct w:val="0"/>
        <w:autoSpaceDE/>
        <w:autoSpaceDN/>
        <w:bidi w:val="0"/>
        <w:adjustRightInd/>
        <w:snapToGrid/>
        <w:spacing w:before="240" w:after="240" w:line="520" w:lineRule="exact"/>
        <w:jc w:val="center"/>
        <w:textAlignment w:val="auto"/>
        <w:rPr>
          <w:rFonts w:ascii="Times New Roman" w:hAnsi="Times New Roman" w:eastAsia="Times New Roman" w:cs="Times New Roman"/>
          <w:color w:val="auto"/>
          <w:kern w:val="0"/>
          <w:sz w:val="24"/>
        </w:rPr>
      </w:pP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10"/>
        <w:jc w:val="both"/>
        <w:textAlignment w:val="auto"/>
        <w:rPr>
          <w:rFonts w:ascii="Times New Roman" w:hAnsi="Times New Roman" w:eastAsia="Times New Roman" w:cs="Times New Roman"/>
          <w:color w:val="auto"/>
          <w:kern w:val="0"/>
          <w:sz w:val="24"/>
        </w:rPr>
      </w:pPr>
      <w:r>
        <w:rPr>
          <w:rStyle w:val="31"/>
          <w:rFonts w:ascii="仿宋" w:hAnsi="仿宋" w:eastAsia="仿宋" w:cs="仿宋"/>
          <w:b/>
          <w:bCs/>
          <w:color w:val="auto"/>
          <w:spacing w:val="0"/>
          <w:kern w:val="0"/>
          <w:sz w:val="32"/>
          <w:szCs w:val="32"/>
        </w:rPr>
        <w:t>一、财政拨款收入：</w:t>
      </w:r>
      <w:r>
        <w:rPr>
          <w:rFonts w:ascii="仿宋" w:hAnsi="仿宋" w:eastAsia="仿宋" w:cs="仿宋"/>
          <w:color w:val="auto"/>
          <w:spacing w:val="0"/>
          <w:kern w:val="0"/>
          <w:sz w:val="32"/>
          <w:szCs w:val="32"/>
        </w:rPr>
        <w:t>指单位从本级财政单位取得的财政预算资金，包括一般公共预算财政拨款、政府性基金预算财政拨款和国有资本经营预算财政拨款。</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10"/>
        <w:jc w:val="both"/>
        <w:textAlignment w:val="auto"/>
        <w:rPr>
          <w:rFonts w:ascii="Times New Roman" w:hAnsi="Times New Roman" w:eastAsia="Times New Roman" w:cs="Times New Roman"/>
          <w:color w:val="auto"/>
          <w:kern w:val="0"/>
          <w:sz w:val="24"/>
        </w:rPr>
      </w:pPr>
      <w:r>
        <w:rPr>
          <w:rStyle w:val="31"/>
          <w:rFonts w:ascii="仿宋" w:hAnsi="仿宋" w:eastAsia="仿宋" w:cs="仿宋"/>
          <w:b/>
          <w:bCs/>
          <w:color w:val="auto"/>
          <w:spacing w:val="0"/>
          <w:kern w:val="0"/>
          <w:sz w:val="32"/>
          <w:szCs w:val="32"/>
        </w:rPr>
        <w:t>二、事业收入：</w:t>
      </w:r>
      <w:r>
        <w:rPr>
          <w:rFonts w:ascii="仿宋" w:hAnsi="仿宋" w:eastAsia="仿宋" w:cs="仿宋"/>
          <w:color w:val="auto"/>
          <w:spacing w:val="0"/>
          <w:kern w:val="0"/>
          <w:sz w:val="32"/>
          <w:szCs w:val="32"/>
        </w:rPr>
        <w:t>指事业单位开展专业业务活动及辅助活动所取得的收入。</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10"/>
        <w:jc w:val="both"/>
        <w:textAlignment w:val="auto"/>
        <w:rPr>
          <w:rFonts w:ascii="Times New Roman" w:hAnsi="Times New Roman" w:eastAsia="Times New Roman" w:cs="Times New Roman"/>
          <w:color w:val="auto"/>
          <w:kern w:val="0"/>
          <w:sz w:val="24"/>
        </w:rPr>
      </w:pPr>
      <w:r>
        <w:rPr>
          <w:rStyle w:val="31"/>
          <w:rFonts w:ascii="仿宋" w:hAnsi="仿宋" w:eastAsia="仿宋" w:cs="仿宋"/>
          <w:b/>
          <w:bCs/>
          <w:color w:val="auto"/>
          <w:spacing w:val="0"/>
          <w:kern w:val="0"/>
          <w:sz w:val="32"/>
          <w:szCs w:val="32"/>
        </w:rPr>
        <w:t>三、经营收入：</w:t>
      </w:r>
      <w:r>
        <w:rPr>
          <w:rFonts w:ascii="仿宋" w:hAnsi="仿宋" w:eastAsia="仿宋" w:cs="仿宋"/>
          <w:color w:val="auto"/>
          <w:spacing w:val="0"/>
          <w:kern w:val="0"/>
          <w:sz w:val="32"/>
          <w:szCs w:val="32"/>
        </w:rPr>
        <w:t>指事业单位在专业业务活动及其辅助活动之外开展非独立核算经营活动取得的收入。</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10"/>
        <w:jc w:val="both"/>
        <w:textAlignment w:val="auto"/>
        <w:rPr>
          <w:rFonts w:ascii="Times New Roman" w:hAnsi="Times New Roman" w:eastAsia="Times New Roman" w:cs="Times New Roman"/>
          <w:color w:val="auto"/>
          <w:kern w:val="0"/>
          <w:sz w:val="24"/>
        </w:rPr>
      </w:pPr>
      <w:r>
        <w:rPr>
          <w:rStyle w:val="31"/>
          <w:rFonts w:ascii="仿宋" w:hAnsi="仿宋" w:eastAsia="仿宋" w:cs="仿宋"/>
          <w:b/>
          <w:bCs/>
          <w:color w:val="auto"/>
          <w:spacing w:val="0"/>
          <w:kern w:val="0"/>
          <w:sz w:val="32"/>
          <w:szCs w:val="32"/>
        </w:rPr>
        <w:t>四、其他收入：</w:t>
      </w:r>
      <w:r>
        <w:rPr>
          <w:rFonts w:ascii="仿宋" w:hAnsi="仿宋" w:eastAsia="仿宋" w:cs="仿宋"/>
          <w:color w:val="auto"/>
          <w:spacing w:val="0"/>
          <w:kern w:val="0"/>
          <w:sz w:val="32"/>
          <w:szCs w:val="32"/>
        </w:rPr>
        <w:t>指除上述“财政拨款收入”“事业收入”</w:t>
      </w:r>
      <w:r>
        <w:rPr>
          <w:rFonts w:ascii="宋体" w:hAnsi="宋体" w:cs="宋体"/>
          <w:color w:val="auto"/>
          <w:spacing w:val="0"/>
          <w:kern w:val="0"/>
          <w:szCs w:val="21"/>
        </w:rPr>
        <w:t> </w:t>
      </w:r>
      <w:r>
        <w:rPr>
          <w:rFonts w:ascii="仿宋" w:hAnsi="仿宋" w:eastAsia="仿宋" w:cs="仿宋"/>
          <w:color w:val="auto"/>
          <w:spacing w:val="0"/>
          <w:kern w:val="0"/>
          <w:sz w:val="32"/>
          <w:szCs w:val="32"/>
        </w:rPr>
        <w:t>“上级补助收入”“附属单位上缴收入”“经营收入”等以外取得的各项收入。主要是事业单位固定资产出租收入等。</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10"/>
        <w:jc w:val="both"/>
        <w:textAlignment w:val="auto"/>
        <w:rPr>
          <w:rFonts w:ascii="Times New Roman" w:hAnsi="Times New Roman" w:eastAsia="Times New Roman" w:cs="Times New Roman"/>
          <w:color w:val="auto"/>
          <w:kern w:val="0"/>
          <w:sz w:val="24"/>
        </w:rPr>
      </w:pPr>
      <w:r>
        <w:rPr>
          <w:rStyle w:val="31"/>
          <w:rFonts w:ascii="仿宋" w:hAnsi="仿宋" w:eastAsia="仿宋" w:cs="仿宋"/>
          <w:b/>
          <w:bCs/>
          <w:color w:val="auto"/>
          <w:spacing w:val="0"/>
          <w:kern w:val="0"/>
          <w:sz w:val="32"/>
          <w:szCs w:val="32"/>
        </w:rPr>
        <w:t>五、使用非财政拨款结余：</w:t>
      </w:r>
      <w:r>
        <w:rPr>
          <w:rFonts w:ascii="仿宋" w:hAnsi="仿宋" w:eastAsia="仿宋" w:cs="仿宋"/>
          <w:color w:val="auto"/>
          <w:spacing w:val="0"/>
          <w:kern w:val="0"/>
          <w:sz w:val="32"/>
          <w:szCs w:val="32"/>
        </w:rPr>
        <w:t>指事业单位使用以前年度积累的非财政拨款结余弥补当年收支差额的金额。</w:t>
      </w:r>
    </w:p>
    <w:p>
      <w:pPr>
        <w:pStyle w:val="29"/>
        <w:keepNext w:val="0"/>
        <w:keepLines w:val="0"/>
        <w:pageBreakBefore w:val="0"/>
        <w:widowControl/>
        <w:kinsoku/>
        <w:wordWrap/>
        <w:overflowPunct/>
        <w:topLinePunct w:val="0"/>
        <w:autoSpaceDE/>
        <w:autoSpaceDN/>
        <w:bidi w:val="0"/>
        <w:adjustRightInd/>
        <w:snapToGrid/>
        <w:spacing w:before="100" w:after="100" w:line="520" w:lineRule="exact"/>
        <w:ind w:left="0" w:right="0" w:firstLine="710"/>
        <w:jc w:val="both"/>
        <w:textAlignment w:val="auto"/>
        <w:rPr>
          <w:rFonts w:ascii="Times New Roman" w:hAnsi="Times New Roman" w:eastAsia="Times New Roman" w:cs="Times New Roman"/>
          <w:color w:val="auto"/>
          <w:kern w:val="0"/>
          <w:sz w:val="24"/>
        </w:rPr>
      </w:pPr>
      <w:r>
        <w:rPr>
          <w:rStyle w:val="31"/>
          <w:rFonts w:ascii="仿宋" w:hAnsi="仿宋" w:eastAsia="仿宋" w:cs="仿宋"/>
          <w:b/>
          <w:bCs/>
          <w:color w:val="auto"/>
          <w:spacing w:val="0"/>
          <w:kern w:val="0"/>
          <w:sz w:val="32"/>
          <w:szCs w:val="32"/>
        </w:rPr>
        <w:t>六、年初结转和结余：</w:t>
      </w:r>
      <w:r>
        <w:rPr>
          <w:rFonts w:ascii="仿宋" w:hAnsi="仿宋" w:eastAsia="仿宋" w:cs="仿宋"/>
          <w:color w:val="auto"/>
          <w:spacing w:val="0"/>
          <w:kern w:val="0"/>
          <w:sz w:val="32"/>
          <w:szCs w:val="32"/>
        </w:rPr>
        <w:t>指单位以前年度尚未完成、结转到本年仍按原规定用途继续使用的资金，或项目已完成等产生的结余资金。</w:t>
      </w:r>
    </w:p>
    <w:p>
      <w:pPr>
        <w:pStyle w:val="30"/>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Style w:val="31"/>
          <w:rFonts w:ascii="仿宋" w:hAnsi="仿宋" w:eastAsia="仿宋" w:cs="仿宋"/>
          <w:b/>
          <w:bCs/>
          <w:color w:val="auto"/>
          <w:spacing w:val="0"/>
          <w:kern w:val="0"/>
          <w:sz w:val="32"/>
          <w:szCs w:val="32"/>
        </w:rPr>
        <w:t>七、结余分配：</w:t>
      </w:r>
      <w:r>
        <w:rPr>
          <w:rFonts w:ascii="仿宋" w:hAnsi="仿宋" w:eastAsia="仿宋" w:cs="仿宋"/>
          <w:color w:val="auto"/>
          <w:spacing w:val="0"/>
          <w:kern w:val="0"/>
          <w:sz w:val="32"/>
          <w:szCs w:val="32"/>
        </w:rPr>
        <w:t>指事业单位按照会计制度规定缴纳的所得税、提取的专用结余以及转入非财政拨款结余的金额等。</w:t>
      </w:r>
    </w:p>
    <w:p>
      <w:pPr>
        <w:pStyle w:val="30"/>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Style w:val="31"/>
          <w:rFonts w:ascii="仿宋" w:hAnsi="仿宋" w:eastAsia="仿宋" w:cs="仿宋"/>
          <w:b/>
          <w:bCs/>
          <w:color w:val="auto"/>
          <w:spacing w:val="0"/>
          <w:kern w:val="0"/>
          <w:sz w:val="32"/>
          <w:szCs w:val="32"/>
        </w:rPr>
        <w:t>八、年末结转和结余：</w:t>
      </w:r>
      <w:r>
        <w:rPr>
          <w:rFonts w:ascii="仿宋" w:hAnsi="仿宋" w:eastAsia="仿宋" w:cs="仿宋"/>
          <w:color w:val="auto"/>
          <w:spacing w:val="0"/>
          <w:kern w:val="0"/>
          <w:sz w:val="32"/>
          <w:szCs w:val="32"/>
        </w:rPr>
        <w:t>指单位按有关规定结转到下年或以后年度继续使用的资金，或项目已完成等产生的结余资金。</w:t>
      </w:r>
    </w:p>
    <w:p>
      <w:pPr>
        <w:pStyle w:val="30"/>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Style w:val="31"/>
          <w:rFonts w:ascii="仿宋" w:hAnsi="仿宋" w:eastAsia="仿宋" w:cs="仿宋"/>
          <w:b/>
          <w:bCs/>
          <w:color w:val="auto"/>
          <w:spacing w:val="0"/>
          <w:kern w:val="0"/>
          <w:sz w:val="32"/>
          <w:szCs w:val="32"/>
        </w:rPr>
        <w:t>九、基本支出：</w:t>
      </w:r>
      <w:r>
        <w:rPr>
          <w:rFonts w:ascii="仿宋" w:hAnsi="仿宋" w:eastAsia="仿宋" w:cs="仿宋"/>
          <w:color w:val="auto"/>
          <w:spacing w:val="0"/>
          <w:kern w:val="0"/>
          <w:sz w:val="32"/>
          <w:szCs w:val="32"/>
        </w:rPr>
        <w:t>指为保障机构正常运转、完成日常工作任务而发生的人员支出和公用支出。</w:t>
      </w:r>
    </w:p>
    <w:p>
      <w:pPr>
        <w:pStyle w:val="30"/>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Style w:val="31"/>
          <w:rFonts w:ascii="仿宋" w:hAnsi="仿宋" w:eastAsia="仿宋" w:cs="仿宋"/>
          <w:b/>
          <w:bCs/>
          <w:color w:val="auto"/>
          <w:spacing w:val="0"/>
          <w:kern w:val="0"/>
          <w:sz w:val="32"/>
          <w:szCs w:val="32"/>
        </w:rPr>
        <w:t>十、项目支出：</w:t>
      </w:r>
      <w:r>
        <w:rPr>
          <w:rFonts w:ascii="仿宋" w:hAnsi="仿宋" w:eastAsia="仿宋" w:cs="仿宋"/>
          <w:color w:val="auto"/>
          <w:spacing w:val="0"/>
          <w:kern w:val="0"/>
          <w:sz w:val="32"/>
          <w:szCs w:val="32"/>
        </w:rPr>
        <w:t>指在基本支出之外为完成特定行政任务和事业发展目标所发生的支出。</w:t>
      </w:r>
    </w:p>
    <w:p>
      <w:pPr>
        <w:pStyle w:val="30"/>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Style w:val="31"/>
          <w:rFonts w:ascii="仿宋" w:hAnsi="仿宋" w:eastAsia="仿宋" w:cs="仿宋"/>
          <w:b/>
          <w:bCs/>
          <w:color w:val="auto"/>
          <w:spacing w:val="0"/>
          <w:kern w:val="0"/>
          <w:sz w:val="32"/>
          <w:szCs w:val="32"/>
        </w:rPr>
        <w:t>十一、经营支出：</w:t>
      </w:r>
      <w:r>
        <w:rPr>
          <w:rFonts w:ascii="仿宋" w:hAnsi="仿宋" w:eastAsia="仿宋" w:cs="仿宋"/>
          <w:color w:val="auto"/>
          <w:spacing w:val="0"/>
          <w:kern w:val="0"/>
          <w:sz w:val="32"/>
          <w:szCs w:val="32"/>
        </w:rPr>
        <w:t>指事业单位在专业业务活动及其辅助活动之外开展非独立核算经营活动发生的支出。</w:t>
      </w:r>
    </w:p>
    <w:p>
      <w:pPr>
        <w:pStyle w:val="30"/>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color w:val="auto"/>
          <w:kern w:val="0"/>
          <w:sz w:val="24"/>
        </w:rPr>
      </w:pPr>
      <w:r>
        <w:rPr>
          <w:rStyle w:val="31"/>
          <w:rFonts w:ascii="仿宋" w:hAnsi="仿宋" w:eastAsia="仿宋" w:cs="仿宋"/>
          <w:b/>
          <w:bCs/>
          <w:color w:val="auto"/>
          <w:spacing w:val="0"/>
          <w:kern w:val="0"/>
          <w:sz w:val="32"/>
          <w:szCs w:val="32"/>
        </w:rPr>
        <w:t>十二、“三公”经费：</w:t>
      </w:r>
      <w:r>
        <w:rPr>
          <w:rFonts w:ascii="仿宋" w:hAnsi="仿宋" w:eastAsia="仿宋" w:cs="仿宋"/>
          <w:color w:val="auto"/>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0"/>
        <w:keepNext w:val="0"/>
        <w:keepLines w:val="0"/>
        <w:pageBreakBefore w:val="0"/>
        <w:widowControl/>
        <w:kinsoku/>
        <w:wordWrap/>
        <w:overflowPunct/>
        <w:topLinePunct w:val="0"/>
        <w:autoSpaceDE/>
        <w:autoSpaceDN/>
        <w:bidi w:val="0"/>
        <w:adjustRightInd/>
        <w:snapToGrid/>
        <w:spacing w:before="100" w:after="100" w:line="520" w:lineRule="exact"/>
        <w:ind w:left="0" w:right="0" w:firstLine="640"/>
        <w:jc w:val="both"/>
        <w:textAlignment w:val="auto"/>
        <w:rPr>
          <w:rFonts w:ascii="仿宋" w:hAnsi="仿宋" w:eastAsia="仿宋" w:cs="仿宋"/>
          <w:color w:val="auto"/>
          <w:spacing w:val="0"/>
          <w:kern w:val="0"/>
          <w:sz w:val="32"/>
          <w:szCs w:val="32"/>
        </w:rPr>
      </w:pPr>
      <w:r>
        <w:rPr>
          <w:rStyle w:val="31"/>
          <w:rFonts w:ascii="仿宋" w:hAnsi="仿宋" w:eastAsia="仿宋" w:cs="仿宋"/>
          <w:b/>
          <w:bCs/>
          <w:color w:val="auto"/>
          <w:spacing w:val="0"/>
          <w:kern w:val="0"/>
          <w:sz w:val="32"/>
          <w:szCs w:val="32"/>
        </w:rPr>
        <w:t>十三、机关运行经费：</w:t>
      </w:r>
      <w:r>
        <w:rPr>
          <w:rFonts w:ascii="仿宋" w:hAnsi="仿宋" w:eastAsia="仿宋" w:cs="仿宋"/>
          <w:color w:val="auto"/>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30"/>
        <w:widowControl/>
        <w:spacing w:before="100" w:after="100" w:line="600" w:lineRule="atLeast"/>
        <w:ind w:left="0" w:right="0" w:firstLine="640"/>
        <w:jc w:val="both"/>
        <w:rPr>
          <w:rFonts w:ascii="仿宋" w:hAnsi="仿宋" w:eastAsia="仿宋" w:cs="仿宋"/>
          <w:color w:val="auto"/>
          <w:spacing w:val="0"/>
          <w:kern w:val="0"/>
          <w:sz w:val="32"/>
          <w:szCs w:val="32"/>
        </w:rPr>
      </w:pPr>
    </w:p>
    <w:p>
      <w:pPr>
        <w:pStyle w:val="30"/>
        <w:widowControl/>
        <w:spacing w:before="100" w:after="100" w:line="600" w:lineRule="atLeast"/>
        <w:ind w:left="0" w:right="0" w:firstLine="640"/>
        <w:jc w:val="both"/>
        <w:rPr>
          <w:rFonts w:ascii="Times New Roman" w:hAnsi="Times New Roman" w:eastAsia="Times New Roman" w:cs="Times New Roman"/>
          <w:vanish/>
          <w:color w:val="auto"/>
          <w:kern w:val="0"/>
          <w:sz w:val="24"/>
        </w:rPr>
      </w:pPr>
      <w:r>
        <w:rPr>
          <w:rFonts w:ascii="Times New Roman" w:hAnsi="Times New Roman" w:eastAsia="Times New Roman" w:cs="Times New Roman"/>
          <w:vanish/>
          <w:color w:val="auto"/>
          <w:kern w:val="0"/>
          <w:sz w:val="24"/>
        </w:rPr>
        <w:t>word page break</w:t>
      </w:r>
    </w:p>
    <w:p>
      <w:pPr>
        <w:pStyle w:val="4"/>
        <w:keepNext w:val="0"/>
        <w:keepLines w:val="0"/>
        <w:spacing w:before="100" w:after="100" w:line="240" w:lineRule="auto"/>
        <w:ind w:left="0" w:right="0" w:firstLine="0" w:firstLineChars="0"/>
        <w:jc w:val="center"/>
        <w:rPr>
          <w:rFonts w:ascii="Times New Roman" w:hAnsi="Times New Roman" w:eastAsia="Times New Roman" w:cs="Times New Roman"/>
          <w:color w:val="auto"/>
          <w:kern w:val="0"/>
          <w:sz w:val="24"/>
        </w:rPr>
      </w:pPr>
      <w:bookmarkStart w:id="117" w:name="_Toc256000091"/>
      <w:bookmarkStart w:id="118" w:name="_Toc256000029"/>
      <w:bookmarkStart w:id="119" w:name="_Toc256000060"/>
      <w:bookmarkStart w:id="120" w:name="_Toc256000122"/>
      <w:r>
        <w:rPr>
          <w:rFonts w:ascii="黑体" w:hAnsi="黑体" w:eastAsia="黑体" w:cs="黑体"/>
          <w:bCs w:val="0"/>
          <w:color w:val="auto"/>
          <w:kern w:val="0"/>
          <w:sz w:val="36"/>
          <w:szCs w:val="36"/>
          <w:lang w:val="en-US" w:eastAsia="zh-CN" w:bidi="ar-SA"/>
        </w:rPr>
        <w:t>第五部分</w:t>
      </w:r>
      <w:bookmarkEnd w:id="117"/>
      <w:bookmarkEnd w:id="118"/>
      <w:bookmarkEnd w:id="119"/>
      <w:bookmarkEnd w:id="120"/>
      <w:bookmarkStart w:id="121" w:name="_Toc256000030"/>
      <w:bookmarkStart w:id="122" w:name="_Toc256000061"/>
      <w:bookmarkStart w:id="123" w:name="_Toc256000092"/>
      <w:bookmarkStart w:id="124" w:name="_Toc256000123"/>
      <w:r>
        <w:rPr>
          <w:rFonts w:hint="eastAsia" w:ascii="黑体" w:hAnsi="黑体" w:eastAsia="黑体" w:cs="黑体"/>
          <w:bCs w:val="0"/>
          <w:color w:val="auto"/>
          <w:kern w:val="0"/>
          <w:sz w:val="36"/>
          <w:szCs w:val="36"/>
          <w:lang w:val="en-US" w:eastAsia="zh-CN" w:bidi="ar-SA"/>
        </w:rPr>
        <w:t xml:space="preserve">  </w:t>
      </w:r>
      <w:r>
        <w:rPr>
          <w:rFonts w:ascii="黑体" w:hAnsi="黑体" w:eastAsia="黑体" w:cs="黑体"/>
          <w:bCs w:val="0"/>
          <w:color w:val="auto"/>
          <w:kern w:val="0"/>
          <w:sz w:val="36"/>
          <w:szCs w:val="36"/>
          <w:lang w:val="en-US" w:eastAsia="zh-CN" w:bidi="ar-SA"/>
        </w:rPr>
        <w:t>附件</w:t>
      </w:r>
      <w:bookmarkEnd w:id="4"/>
      <w:bookmarkEnd w:id="121"/>
      <w:bookmarkEnd w:id="122"/>
      <w:bookmarkEnd w:id="123"/>
      <w:bookmarkEnd w:id="124"/>
    </w:p>
    <w:tbl>
      <w:tblPr>
        <w:tblStyle w:val="23"/>
        <w:tblW w:w="9738" w:type="dxa"/>
        <w:tblInd w:w="0" w:type="dxa"/>
        <w:shd w:val="clear" w:color="auto" w:fill="auto"/>
        <w:tblLayout w:type="fixed"/>
        <w:tblCellMar>
          <w:top w:w="0" w:type="dxa"/>
          <w:left w:w="0" w:type="dxa"/>
          <w:bottom w:w="0" w:type="dxa"/>
          <w:right w:w="0" w:type="dxa"/>
        </w:tblCellMar>
      </w:tblPr>
      <w:tblGrid>
        <w:gridCol w:w="690"/>
        <w:gridCol w:w="1280"/>
        <w:gridCol w:w="1713"/>
        <w:gridCol w:w="970"/>
        <w:gridCol w:w="885"/>
        <w:gridCol w:w="690"/>
        <w:gridCol w:w="750"/>
        <w:gridCol w:w="675"/>
        <w:gridCol w:w="675"/>
        <w:gridCol w:w="600"/>
        <w:gridCol w:w="810"/>
      </w:tblGrid>
      <w:tr>
        <w:tblPrEx>
          <w:shd w:val="clear" w:color="auto" w:fill="auto"/>
          <w:tblLayout w:type="fixed"/>
          <w:tblCellMar>
            <w:top w:w="0" w:type="dxa"/>
            <w:left w:w="0" w:type="dxa"/>
            <w:bottom w:w="0" w:type="dxa"/>
            <w:right w:w="0" w:type="dxa"/>
          </w:tblCellMar>
        </w:tblPrEx>
        <w:trPr>
          <w:trHeight w:val="520" w:hRule="atLeast"/>
        </w:trPr>
        <w:tc>
          <w:tcPr>
            <w:tcW w:w="9738"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28"/>
                <w:szCs w:val="28"/>
                <w:u w:val="none"/>
              </w:rPr>
            </w:pPr>
            <w:r>
              <w:rPr>
                <w:rFonts w:hint="eastAsia" w:ascii="宋体" w:hAnsi="宋体" w:eastAsia="宋体" w:cs="宋体"/>
                <w:b/>
                <w:i w:val="0"/>
                <w:color w:val="auto"/>
                <w:kern w:val="0"/>
                <w:sz w:val="28"/>
                <w:szCs w:val="28"/>
                <w:u w:val="none"/>
                <w:lang w:val="en-US" w:eastAsia="zh-CN" w:bidi="ar"/>
              </w:rPr>
              <w:t>部门（单位）项目支出绩效自评表</w:t>
            </w:r>
          </w:p>
        </w:tc>
      </w:tr>
      <w:tr>
        <w:tblPrEx>
          <w:shd w:val="clear" w:color="auto" w:fill="auto"/>
          <w:tblLayout w:type="fixed"/>
          <w:tblCellMar>
            <w:top w:w="0" w:type="dxa"/>
            <w:left w:w="0" w:type="dxa"/>
            <w:bottom w:w="0" w:type="dxa"/>
            <w:right w:w="0" w:type="dxa"/>
          </w:tblCellMar>
        </w:tblPrEx>
        <w:trPr>
          <w:trHeight w:val="460" w:hRule="atLeast"/>
        </w:trPr>
        <w:tc>
          <w:tcPr>
            <w:tcW w:w="9738"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（2024年度）</w:t>
            </w:r>
          </w:p>
        </w:tc>
      </w:tr>
      <w:tr>
        <w:tblPrEx>
          <w:shd w:val="clear" w:color="auto" w:fill="auto"/>
          <w:tblLayout w:type="fixed"/>
          <w:tblCellMar>
            <w:top w:w="0" w:type="dxa"/>
            <w:left w:w="0" w:type="dxa"/>
            <w:bottom w:w="0" w:type="dxa"/>
            <w:right w:w="0" w:type="dxa"/>
          </w:tblCellMar>
        </w:tblPrEx>
        <w:trPr>
          <w:trHeight w:val="480" w:hRule="atLeast"/>
        </w:trPr>
        <w:tc>
          <w:tcPr>
            <w:tcW w:w="4653" w:type="dxa"/>
            <w:gridSpan w:val="4"/>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 xml:space="preserve">预算单位（盖章）：厦门市尚文实验学校                                                                                                  </w:t>
            </w:r>
          </w:p>
        </w:tc>
        <w:tc>
          <w:tcPr>
            <w:tcW w:w="885"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690" w:type="dxa"/>
            <w:tcBorders>
              <w:top w:val="nil"/>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750"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675"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2085" w:type="dxa"/>
            <w:gridSpan w:val="3"/>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 xml:space="preserve"> 单位：万元</w:t>
            </w:r>
          </w:p>
        </w:tc>
      </w:tr>
      <w:tr>
        <w:tblPrEx>
          <w:shd w:val="clear" w:color="auto" w:fill="auto"/>
          <w:tblLayout w:type="fixed"/>
          <w:tblCellMar>
            <w:top w:w="0" w:type="dxa"/>
            <w:left w:w="0" w:type="dxa"/>
            <w:bottom w:w="0" w:type="dxa"/>
            <w:right w:w="0" w:type="dxa"/>
          </w:tblCellMar>
        </w:tblPrEx>
        <w:trPr>
          <w:trHeight w:val="600" w:hRule="atLeast"/>
        </w:trPr>
        <w:tc>
          <w:tcPr>
            <w:tcW w:w="197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项目名称</w:t>
            </w:r>
          </w:p>
        </w:tc>
        <w:tc>
          <w:tcPr>
            <w:tcW w:w="4258"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义务教育阶段家庭经济困难学生营养餐补助</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自评</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年度</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2024年1月1日-2024年12月31日</w:t>
            </w:r>
          </w:p>
        </w:tc>
      </w:tr>
      <w:tr>
        <w:tblPrEx>
          <w:shd w:val="clear" w:color="auto" w:fill="auto"/>
          <w:tblLayout w:type="fixed"/>
          <w:tblCellMar>
            <w:top w:w="0" w:type="dxa"/>
            <w:left w:w="0" w:type="dxa"/>
            <w:bottom w:w="0" w:type="dxa"/>
            <w:right w:w="0" w:type="dxa"/>
          </w:tblCellMar>
        </w:tblPrEx>
        <w:trPr>
          <w:trHeight w:val="450" w:hRule="atLeast"/>
        </w:trPr>
        <w:tc>
          <w:tcPr>
            <w:tcW w:w="19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主管部门</w:t>
            </w:r>
          </w:p>
        </w:tc>
        <w:tc>
          <w:tcPr>
            <w:tcW w:w="425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湖里区教育局</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实施单位</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r>
              <w:rPr>
                <w:rFonts w:hint="eastAsia" w:ascii="宋体" w:hAnsi="宋体" w:eastAsia="宋体" w:cs="宋体"/>
                <w:b w:val="0"/>
                <w:bCs/>
                <w:i w:val="0"/>
                <w:color w:val="auto"/>
                <w:kern w:val="0"/>
                <w:sz w:val="18"/>
                <w:szCs w:val="18"/>
                <w:u w:val="none"/>
                <w:lang w:val="en-US" w:eastAsia="zh-CN" w:bidi="ar"/>
              </w:rPr>
              <w:t>厦门市尚文实验学校</w:t>
            </w:r>
          </w:p>
        </w:tc>
      </w:tr>
      <w:tr>
        <w:tblPrEx>
          <w:shd w:val="clear" w:color="auto" w:fill="auto"/>
          <w:tblLayout w:type="fixed"/>
          <w:tblCellMar>
            <w:top w:w="0" w:type="dxa"/>
            <w:left w:w="0" w:type="dxa"/>
            <w:bottom w:w="0" w:type="dxa"/>
            <w:right w:w="0" w:type="dxa"/>
          </w:tblCellMar>
        </w:tblPrEx>
        <w:trPr>
          <w:trHeight w:val="675" w:hRule="atLeast"/>
        </w:trPr>
        <w:tc>
          <w:tcPr>
            <w:tcW w:w="19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年度预算执行情况</w:t>
            </w: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年初预算数</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已调整数</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调整后预算数</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全年执行数</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执行率</w:t>
            </w: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设置分值</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得分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860" w:hRule="atLeast"/>
        </w:trPr>
        <w:tc>
          <w:tcPr>
            <w:tcW w:w="1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年度资金总额</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3.6</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2.49</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69.17%</w:t>
            </w: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困难学生未全部在校用餐</w:t>
            </w:r>
          </w:p>
        </w:tc>
      </w:tr>
      <w:tr>
        <w:tblPrEx>
          <w:shd w:val="clear" w:color="auto" w:fill="auto"/>
          <w:tblLayout w:type="fixed"/>
          <w:tblCellMar>
            <w:top w:w="0" w:type="dxa"/>
            <w:left w:w="0" w:type="dxa"/>
            <w:bottom w:w="0" w:type="dxa"/>
            <w:right w:w="0" w:type="dxa"/>
          </w:tblCellMar>
        </w:tblPrEx>
        <w:trPr>
          <w:trHeight w:val="270" w:hRule="atLeast"/>
        </w:trPr>
        <w:tc>
          <w:tcPr>
            <w:tcW w:w="1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其中：当年财政拨款</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3.6</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2.49</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69.17%</w:t>
            </w: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270" w:hRule="atLeast"/>
        </w:trPr>
        <w:tc>
          <w:tcPr>
            <w:tcW w:w="1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 xml:space="preserve">     上年结转资金</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r>
      <w:tr>
        <w:tblPrEx>
          <w:shd w:val="clear" w:color="auto" w:fill="auto"/>
          <w:tblLayout w:type="fixed"/>
          <w:tblCellMar>
            <w:top w:w="0" w:type="dxa"/>
            <w:left w:w="0" w:type="dxa"/>
            <w:bottom w:w="0" w:type="dxa"/>
            <w:right w:w="0" w:type="dxa"/>
          </w:tblCellMar>
        </w:tblPrEx>
        <w:trPr>
          <w:trHeight w:val="270" w:hRule="atLeast"/>
        </w:trPr>
        <w:tc>
          <w:tcPr>
            <w:tcW w:w="1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 xml:space="preserve">     其他资金</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r>
      <w:tr>
        <w:tblPrEx>
          <w:shd w:val="clear" w:color="auto" w:fill="auto"/>
          <w:tblLayout w:type="fixed"/>
          <w:tblCellMar>
            <w:top w:w="0" w:type="dxa"/>
            <w:left w:w="0" w:type="dxa"/>
            <w:bottom w:w="0" w:type="dxa"/>
            <w:right w:w="0" w:type="dxa"/>
          </w:tblCellMar>
        </w:tblPrEx>
        <w:trPr>
          <w:trHeight w:val="27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年度</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总体</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目标</w:t>
            </w:r>
          </w:p>
        </w:tc>
        <w:tc>
          <w:tcPr>
            <w:tcW w:w="553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预期目标</w:t>
            </w:r>
          </w:p>
        </w:tc>
        <w:tc>
          <w:tcPr>
            <w:tcW w:w="351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实际完成情况</w:t>
            </w:r>
          </w:p>
        </w:tc>
      </w:tr>
      <w:tr>
        <w:tblPrEx>
          <w:shd w:val="clear" w:color="auto" w:fill="auto"/>
          <w:tblLayout w:type="fixed"/>
          <w:tblCellMar>
            <w:top w:w="0" w:type="dxa"/>
            <w:left w:w="0" w:type="dxa"/>
            <w:bottom w:w="0" w:type="dxa"/>
            <w:right w:w="0" w:type="dxa"/>
          </w:tblCellMar>
        </w:tblPrEx>
        <w:trPr>
          <w:trHeight w:val="50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538"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351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2024年完成春、秋两季关于我区义务教育阶段公办校（学校提供午餐）家庭经济困难学生营养餐补助对象审核及资金下拨。</w:t>
            </w:r>
          </w:p>
        </w:tc>
      </w:tr>
      <w:tr>
        <w:tblPrEx>
          <w:shd w:val="clear" w:color="auto" w:fill="auto"/>
          <w:tblLayout w:type="fixed"/>
          <w:tblCellMar>
            <w:top w:w="0" w:type="dxa"/>
            <w:left w:w="0" w:type="dxa"/>
            <w:bottom w:w="0" w:type="dxa"/>
            <w:right w:w="0" w:type="dxa"/>
          </w:tblCellMar>
        </w:tblPrEx>
        <w:trPr>
          <w:trHeight w:val="62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53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auto"/>
                <w:sz w:val="18"/>
                <w:szCs w:val="18"/>
                <w:u w:val="none"/>
              </w:rPr>
            </w:pPr>
          </w:p>
        </w:tc>
        <w:tc>
          <w:tcPr>
            <w:tcW w:w="351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auto"/>
                <w:sz w:val="18"/>
                <w:szCs w:val="18"/>
                <w:u w:val="none"/>
              </w:rPr>
            </w:pPr>
          </w:p>
        </w:tc>
      </w:tr>
      <w:tr>
        <w:tblPrEx>
          <w:shd w:val="clear" w:color="auto" w:fill="auto"/>
          <w:tblLayout w:type="fixed"/>
          <w:tblCellMar>
            <w:top w:w="0" w:type="dxa"/>
            <w:left w:w="0" w:type="dxa"/>
            <w:bottom w:w="0" w:type="dxa"/>
            <w:right w:w="0" w:type="dxa"/>
          </w:tblCellMar>
        </w:tblPrEx>
        <w:trPr>
          <w:trHeight w:val="67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一级指标</w:t>
            </w: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二级指标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三级指标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指标类型</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绩效目标值</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实际完成值</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完成比例</w:t>
            </w:r>
          </w:p>
        </w:tc>
        <w:tc>
          <w:tcPr>
            <w:tcW w:w="67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设置分值</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得分</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45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绩</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效</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指</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标</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完</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成</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情</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况</w:t>
            </w:r>
          </w:p>
        </w:tc>
        <w:tc>
          <w:tcPr>
            <w:tcW w:w="12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产出指标</w:t>
            </w: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审核义务教育阶段受助学生</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auto"/>
                <w:sz w:val="18"/>
                <w:szCs w:val="18"/>
                <w:u w:val="none"/>
              </w:rPr>
            </w:pPr>
            <w:r>
              <w:rPr>
                <w:rFonts w:ascii="宋体" w:hAnsi="宋体" w:eastAsia="宋体" w:cs="宋体"/>
                <w:i w:val="0"/>
                <w:color w:val="auto"/>
                <w:kern w:val="0"/>
                <w:sz w:val="18"/>
                <w:szCs w:val="18"/>
                <w:u w:val="none"/>
                <w:lang w:val="en-US" w:eastAsia="zh-CN" w:bidi="ar"/>
              </w:rPr>
              <w:t>定量</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大于等于44人</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44人</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45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全年营养餐补助学生</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auto"/>
                <w:sz w:val="18"/>
                <w:szCs w:val="18"/>
                <w:u w:val="none"/>
              </w:rPr>
            </w:pPr>
            <w:r>
              <w:rPr>
                <w:rFonts w:ascii="宋体" w:hAnsi="宋体" w:eastAsia="宋体" w:cs="宋体"/>
                <w:i w:val="0"/>
                <w:color w:val="auto"/>
                <w:kern w:val="0"/>
                <w:sz w:val="18"/>
                <w:szCs w:val="18"/>
                <w:u w:val="none"/>
                <w:lang w:val="en-US" w:eastAsia="zh-CN" w:bidi="ar"/>
              </w:rPr>
              <w:t>定量</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大于等于44人</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44人</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0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成本指标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营养餐发放标准</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auto"/>
                <w:sz w:val="18"/>
                <w:szCs w:val="18"/>
                <w:u w:val="none"/>
              </w:rPr>
            </w:pPr>
            <w:r>
              <w:rPr>
                <w:rFonts w:ascii="宋体" w:hAnsi="宋体" w:eastAsia="宋体" w:cs="宋体"/>
                <w:i w:val="0"/>
                <w:color w:val="auto"/>
                <w:kern w:val="0"/>
                <w:sz w:val="18"/>
                <w:szCs w:val="18"/>
                <w:u w:val="none"/>
                <w:lang w:val="en-US" w:eastAsia="zh-CN" w:bidi="ar"/>
              </w:rPr>
              <w:t>定量</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6元元/餐</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6元元/餐</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74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2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时效指标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义务教育困难生资助资金下拨及时率</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auto"/>
                <w:sz w:val="18"/>
                <w:szCs w:val="18"/>
                <w:u w:val="none"/>
              </w:rPr>
            </w:pPr>
            <w:r>
              <w:rPr>
                <w:rFonts w:ascii="宋体" w:hAnsi="宋体" w:eastAsia="宋体" w:cs="宋体"/>
                <w:i w:val="0"/>
                <w:color w:val="auto"/>
                <w:kern w:val="0"/>
                <w:sz w:val="18"/>
                <w:szCs w:val="18"/>
                <w:u w:val="none"/>
                <w:lang w:val="en-US" w:eastAsia="zh-CN" w:bidi="ar"/>
              </w:rPr>
              <w:t>定量</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0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2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效益指标</w:t>
            </w: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社会效益指标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改善受助学生学习生活质量</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auto"/>
                <w:sz w:val="18"/>
                <w:szCs w:val="18"/>
                <w:u w:val="none"/>
              </w:rPr>
            </w:pPr>
            <w:r>
              <w:rPr>
                <w:rFonts w:ascii="宋体" w:hAnsi="宋体" w:eastAsia="宋体" w:cs="宋体"/>
                <w:i w:val="0"/>
                <w:color w:val="auto"/>
                <w:kern w:val="0"/>
                <w:sz w:val="18"/>
                <w:szCs w:val="18"/>
                <w:u w:val="none"/>
                <w:lang w:val="en-US" w:eastAsia="zh-CN" w:bidi="ar"/>
              </w:rPr>
              <w:t>定性</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有所改善</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有所改善</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0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2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满意度</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指标</w:t>
            </w:r>
          </w:p>
        </w:tc>
        <w:tc>
          <w:tcPr>
            <w:tcW w:w="17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服务对象满意度指标</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受资助对象满意度</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auto"/>
                <w:sz w:val="18"/>
                <w:szCs w:val="18"/>
                <w:u w:val="none"/>
              </w:rPr>
            </w:pPr>
            <w:r>
              <w:rPr>
                <w:rFonts w:ascii="宋体" w:hAnsi="宋体" w:eastAsia="宋体" w:cs="宋体"/>
                <w:i w:val="0"/>
                <w:color w:val="auto"/>
                <w:kern w:val="0"/>
                <w:sz w:val="18"/>
                <w:szCs w:val="18"/>
                <w:u w:val="none"/>
                <w:lang w:val="en-US" w:eastAsia="zh-CN" w:bidi="ar"/>
              </w:rPr>
              <w:t>定量</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大于等于90%</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95%</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270" w:hRule="atLeast"/>
        </w:trPr>
        <w:tc>
          <w:tcPr>
            <w:tcW w:w="765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总分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97</w:t>
            </w:r>
          </w:p>
        </w:tc>
        <w:tc>
          <w:tcPr>
            <w:tcW w:w="8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r>
      <w:tr>
        <w:tblPrEx>
          <w:shd w:val="clear" w:color="auto" w:fill="auto"/>
          <w:tblLayout w:type="fixed"/>
          <w:tblCellMar>
            <w:top w:w="0" w:type="dxa"/>
            <w:left w:w="0" w:type="dxa"/>
            <w:bottom w:w="0" w:type="dxa"/>
            <w:right w:w="0" w:type="dxa"/>
          </w:tblCellMar>
        </w:tblPrEx>
        <w:trPr>
          <w:trHeight w:val="1580" w:hRule="atLeast"/>
        </w:trPr>
        <w:tc>
          <w:tcPr>
            <w:tcW w:w="9738"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auto"/>
                <w:kern w:val="0"/>
                <w:sz w:val="18"/>
                <w:szCs w:val="18"/>
                <w:u w:val="none"/>
                <w:lang w:val="en-US" w:eastAsia="zh-CN" w:bidi="ar"/>
              </w:rPr>
              <w:br w:type="textWrapping"/>
            </w:r>
            <w:r>
              <w:rPr>
                <w:rFonts w:hint="eastAsia" w:ascii="宋体" w:hAnsi="宋体" w:eastAsia="宋体" w:cs="宋体"/>
                <w:i w:val="0"/>
                <w:color w:val="auto"/>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pStyle w:val="29"/>
        <w:widowControl/>
        <w:spacing w:before="240" w:after="240"/>
        <w:jc w:val="both"/>
        <w:rPr>
          <w:rFonts w:ascii="Times New Roman" w:hAnsi="Times New Roman" w:eastAsia="Times New Roman" w:cs="Times New Roman"/>
          <w:color w:val="auto"/>
          <w:kern w:val="0"/>
          <w:sz w:val="24"/>
        </w:rPr>
      </w:pPr>
    </w:p>
    <w:sectPr>
      <w:footerReference r:id="rId5" w:type="default"/>
      <w:pgSz w:w="11906" w:h="16838"/>
      <w:pgMar w:top="1984" w:right="1083" w:bottom="1984" w:left="1083"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44</w:t>
    </w:r>
    <w:r>
      <w:rPr>
        <w:rFonts w:ascii="宋体" w:hAnsi="宋体" w:eastAsia="宋体" w:cs="宋体"/>
        <w:sz w:val="1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84878"/>
    <w:rsid w:val="03EF1ACC"/>
    <w:rsid w:val="043154FC"/>
    <w:rsid w:val="04636DE2"/>
    <w:rsid w:val="05DE1DCA"/>
    <w:rsid w:val="09242BC9"/>
    <w:rsid w:val="0E5B7E83"/>
    <w:rsid w:val="0EC62198"/>
    <w:rsid w:val="123A623A"/>
    <w:rsid w:val="14EF4D71"/>
    <w:rsid w:val="197419D2"/>
    <w:rsid w:val="19753035"/>
    <w:rsid w:val="1AB30CDF"/>
    <w:rsid w:val="1D64660F"/>
    <w:rsid w:val="1D681FDD"/>
    <w:rsid w:val="1E8D62BD"/>
    <w:rsid w:val="23206A0A"/>
    <w:rsid w:val="25C6305A"/>
    <w:rsid w:val="26077598"/>
    <w:rsid w:val="266D6424"/>
    <w:rsid w:val="26924647"/>
    <w:rsid w:val="28387774"/>
    <w:rsid w:val="28D1718E"/>
    <w:rsid w:val="29D24721"/>
    <w:rsid w:val="2DC06D5B"/>
    <w:rsid w:val="2DFC1F45"/>
    <w:rsid w:val="3152324F"/>
    <w:rsid w:val="32F01EC5"/>
    <w:rsid w:val="353B12AD"/>
    <w:rsid w:val="36EE494D"/>
    <w:rsid w:val="394C74D5"/>
    <w:rsid w:val="3D1210DD"/>
    <w:rsid w:val="3DB36DA2"/>
    <w:rsid w:val="3DD649FA"/>
    <w:rsid w:val="45EC6DBD"/>
    <w:rsid w:val="471D4E4D"/>
    <w:rsid w:val="489D591E"/>
    <w:rsid w:val="4A1901BC"/>
    <w:rsid w:val="4C8254C2"/>
    <w:rsid w:val="4FFE7FE5"/>
    <w:rsid w:val="54B363A5"/>
    <w:rsid w:val="5756288E"/>
    <w:rsid w:val="59D762A6"/>
    <w:rsid w:val="5CE95B54"/>
    <w:rsid w:val="5E734862"/>
    <w:rsid w:val="614E31DB"/>
    <w:rsid w:val="61EB615B"/>
    <w:rsid w:val="64B61C28"/>
    <w:rsid w:val="66EC3826"/>
    <w:rsid w:val="66FB6363"/>
    <w:rsid w:val="6862231F"/>
    <w:rsid w:val="69237E9B"/>
    <w:rsid w:val="6A046CC6"/>
    <w:rsid w:val="6D2D0718"/>
    <w:rsid w:val="7B217850"/>
    <w:rsid w:val="7B844376"/>
    <w:rsid w:val="7BF60FB3"/>
    <w:rsid w:val="7E8931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28"/>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4"/>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 w:type="paragraph" w:styleId="5">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2">
    <w:name w:val="toc 8"/>
    <w:basedOn w:val="1"/>
    <w:next w:val="1"/>
    <w:qFormat/>
    <w:uiPriority w:val="0"/>
    <w:pPr>
      <w:ind w:left="1470"/>
      <w:jc w:val="left"/>
    </w:pPr>
    <w:rPr>
      <w:sz w:val="20"/>
      <w:szCs w:val="20"/>
    </w:rPr>
  </w:style>
  <w:style w:type="paragraph" w:styleId="13">
    <w:name w:val="footer"/>
    <w:basedOn w:val="1"/>
    <w:link w:val="26"/>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9">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character" w:customStyle="1" w:styleId="24">
    <w:name w:val="标题 4 字符"/>
    <w:basedOn w:val="20"/>
    <w:link w:val="7"/>
    <w:qFormat/>
    <w:uiPriority w:val="0"/>
    <w:rPr>
      <w:rFonts w:ascii="Cambria" w:hAnsi="Cambria" w:eastAsia="仿宋"/>
      <w:bCs/>
      <w:kern w:val="2"/>
      <w:sz w:val="32"/>
      <w:szCs w:val="28"/>
    </w:rPr>
  </w:style>
  <w:style w:type="character" w:customStyle="1" w:styleId="25">
    <w:name w:val="无间隔 字符"/>
    <w:link w:val="5"/>
    <w:qFormat/>
    <w:locked/>
    <w:uiPriority w:val="0"/>
    <w:rPr>
      <w:rFonts w:eastAsia="仿宋_GB2312"/>
      <w:sz w:val="30"/>
      <w:szCs w:val="22"/>
      <w:lang w:bidi="ar-SA"/>
    </w:rPr>
  </w:style>
  <w:style w:type="character" w:customStyle="1" w:styleId="26">
    <w:name w:val="页脚 字符"/>
    <w:basedOn w:val="20"/>
    <w:link w:val="13"/>
    <w:qFormat/>
    <w:uiPriority w:val="0"/>
    <w:rPr>
      <w:kern w:val="2"/>
      <w:sz w:val="18"/>
      <w:szCs w:val="18"/>
    </w:rPr>
  </w:style>
  <w:style w:type="paragraph" w:styleId="27">
    <w:name w:val="List Paragraph"/>
    <w:basedOn w:val="1"/>
    <w:link w:val="33"/>
    <w:qFormat/>
    <w:uiPriority w:val="0"/>
    <w:pPr>
      <w:ind w:firstLine="420" w:firstLineChars="200"/>
    </w:pPr>
  </w:style>
  <w:style w:type="character" w:customStyle="1" w:styleId="28">
    <w:name w:val="标题 3 字符"/>
    <w:basedOn w:val="20"/>
    <w:link w:val="6"/>
    <w:qFormat/>
    <w:uiPriority w:val="0"/>
    <w:rPr>
      <w:rFonts w:eastAsia="仿宋"/>
      <w:bCs/>
      <w:kern w:val="2"/>
      <w:sz w:val="32"/>
      <w:szCs w:val="32"/>
    </w:rPr>
  </w:style>
  <w:style w:type="paragraph" w:customStyle="1" w:styleId="29">
    <w:name w:val="MsoNormal"/>
    <w:basedOn w:val="1"/>
    <w:qFormat/>
    <w:uiPriority w:val="0"/>
  </w:style>
  <w:style w:type="paragraph" w:customStyle="1" w:styleId="30">
    <w:name w:val="p"/>
    <w:basedOn w:val="1"/>
    <w:qFormat/>
    <w:uiPriority w:val="0"/>
  </w:style>
  <w:style w:type="character" w:customStyle="1" w:styleId="31">
    <w:name w:val="15"/>
    <w:basedOn w:val="20"/>
    <w:qFormat/>
    <w:uiPriority w:val="0"/>
  </w:style>
  <w:style w:type="paragraph" w:customStyle="1" w:styleId="32">
    <w:name w:val="MsoBodyText"/>
    <w:basedOn w:val="1"/>
    <w:qFormat/>
    <w:uiPriority w:val="0"/>
  </w:style>
  <w:style w:type="character" w:customStyle="1" w:styleId="33">
    <w:name w:val="List Paragraph Char"/>
    <w:link w:val="27"/>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23</Pages>
  <Words>2659</Words>
  <Characters>3525</Characters>
  <Lines>1</Lines>
  <Paragraphs>1</Paragraphs>
  <TotalTime>0</TotalTime>
  <ScaleCrop>false</ScaleCrop>
  <LinksUpToDate>false</LinksUpToDate>
  <CharactersWithSpaces>4025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2025-09-16T05:12:35Z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7ADCD002338844CB92EF202956F5C538_13</vt:lpwstr>
  </property>
  <property fmtid="{D5CDD505-2E9C-101B-9397-08002B2CF9AE}" pid="3" name="KSOProductBuildVer">
    <vt:lpwstr>2052-11.8.2.8053</vt:lpwstr>
  </property>
  <property fmtid="{D5CDD505-2E9C-101B-9397-08002B2CF9AE}" pid="4" name="KSOTemplateDocerSaveRecord">
    <vt:lpwstr>eyJoZGlkIjoiMzM2YWI2NGRjZTIxYTQ4MTViZWRiZWM5MTVhNjRiNGQiLCJ1c2VySWQiOiI1NTQwOTk2OTcifQ==</vt:lpwstr>
  </property>
</Properties>
</file>