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widowControl/>
        <w:jc w:val="center"/>
        <w:rPr>
          <w:rFonts w:hint="eastAsia" w:ascii="仿宋" w:hAnsi="仿宋" w:eastAsia="仿宋" w:cs="仿宋"/>
          <w:sz w:val="32"/>
          <w:szCs w:val="32"/>
          <w:highlight w:val="none"/>
        </w:rPr>
      </w:pPr>
    </w:p>
    <w:p>
      <w:pPr>
        <w:widowControl/>
        <w:jc w:val="both"/>
        <w:rPr>
          <w:rFonts w:hint="eastAsia" w:ascii="仿宋" w:hAnsi="仿宋" w:eastAsia="仿宋" w:cs="仿宋"/>
          <w:sz w:val="32"/>
          <w:szCs w:val="32"/>
          <w:highlight w:val="none"/>
        </w:rPr>
      </w:pPr>
    </w:p>
    <w:p>
      <w:pPr>
        <w:widowControl/>
        <w:jc w:val="center"/>
        <w:rPr>
          <w:rFonts w:hint="eastAsia" w:ascii="仿宋" w:hAnsi="仿宋" w:eastAsia="仿宋" w:cs="仿宋"/>
          <w:b/>
          <w:bCs/>
          <w:sz w:val="72"/>
          <w:szCs w:val="72"/>
          <w:highlight w:val="none"/>
        </w:rPr>
      </w:pPr>
      <w:r>
        <w:rPr>
          <w:rFonts w:hint="eastAsia" w:ascii="仿宋" w:hAnsi="仿宋" w:eastAsia="仿宋" w:cs="仿宋"/>
          <w:b/>
          <w:bCs/>
          <w:sz w:val="72"/>
          <w:szCs w:val="72"/>
          <w:highlight w:val="none"/>
          <w:lang w:val="en-US" w:eastAsia="zh-CN"/>
        </w:rPr>
        <w:t>2024</w:t>
      </w:r>
      <w:r>
        <w:rPr>
          <w:rFonts w:hint="eastAsia" w:ascii="仿宋" w:hAnsi="仿宋" w:eastAsia="仿宋" w:cs="仿宋"/>
          <w:b/>
          <w:bCs/>
          <w:sz w:val="72"/>
          <w:szCs w:val="72"/>
          <w:highlight w:val="none"/>
        </w:rPr>
        <w:t>年度</w:t>
      </w:r>
    </w:p>
    <w:p>
      <w:pPr>
        <w:widowControl/>
        <w:jc w:val="center"/>
        <w:rPr>
          <w:rFonts w:hint="eastAsia" w:ascii="仿宋" w:hAnsi="仿宋" w:eastAsia="仿宋" w:cs="仿宋"/>
          <w:b/>
          <w:bCs/>
          <w:sz w:val="72"/>
          <w:szCs w:val="72"/>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仿宋" w:hAnsi="仿宋" w:eastAsia="仿宋" w:cs="仿宋"/>
          <w:b/>
          <w:bCs/>
          <w:sz w:val="72"/>
          <w:szCs w:val="72"/>
          <w:highlight w:val="none"/>
        </w:rPr>
        <w:t>厦门市康乐小学</w:t>
      </w:r>
      <w:r>
        <w:rPr>
          <w:rFonts w:hint="eastAsia" w:ascii="仿宋" w:hAnsi="仿宋" w:eastAsia="仿宋" w:cs="仿宋"/>
          <w:b/>
          <w:bCs/>
          <w:sz w:val="72"/>
          <w:szCs w:val="72"/>
          <w:highlight w:val="none"/>
          <w:lang w:val="en-US" w:eastAsia="zh-CN"/>
        </w:rPr>
        <w:t>单位</w:t>
      </w:r>
      <w:r>
        <w:rPr>
          <w:rFonts w:hint="eastAsia" w:ascii="仿宋" w:hAnsi="仿宋" w:eastAsia="仿宋" w:cs="仿宋"/>
          <w:b/>
          <w:bCs/>
          <w:sz w:val="72"/>
          <w:szCs w:val="72"/>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仿宋" w:hAnsi="仿宋" w:eastAsia="仿宋" w:cs="仿宋"/>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hint="eastAsia" w:ascii="仿宋" w:hAnsi="仿宋" w:eastAsia="仿宋" w:cs="仿宋"/>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第一部分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单位概况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_Toc256000094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一、单位主要职责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二、单位基本情况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_Toc256000096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三、单位主要工作总结</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_Toc256000097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第二部分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_Toc256000098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2024年度决算表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_Toc256000099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_Toc256000100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二、收入决算表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_Toc256000101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_Toc256000102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四、财政拨款收入支出决算总表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_Toc256000103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五、一般公共预算财政拨款支出决算表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_Toc256000104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_Toc256000105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七、一般公共预算财政拨款“三公”经费支出决算表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_Toc256000106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八、政府性基金预算财政拨款收入支出决算表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_Toc256000107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九、国有资本经营预算财政拨款支出决算表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_Toc256000108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第三部分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_Toc256000109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2024年度决算情况说明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_Toc256000110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_Toc256000111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_Toc256000112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三、一般公共预算拨款支出决算情况说明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_Toc256000113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_Toc256000114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_Toc256000115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_Toc256000116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_Toc256000117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_Toc256000118 \h </w:instrText>
          </w:r>
          <w:r>
            <w:rPr>
              <w:rFonts w:hint="eastAsia" w:ascii="仿宋" w:hAnsi="仿宋" w:eastAsia="仿宋" w:cs="仿宋"/>
              <w:sz w:val="32"/>
              <w:szCs w:val="32"/>
            </w:rPr>
            <w:fldChar w:fldCharType="separate"/>
          </w:r>
          <w:r>
            <w:rPr>
              <w:rFonts w:hint="eastAsia" w:ascii="仿宋" w:hAnsi="仿宋" w:eastAsia="仿宋" w:cs="仿宋"/>
              <w:sz w:val="32"/>
              <w:szCs w:val="32"/>
            </w:rPr>
            <w:t>24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九、其他重要事项说明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_Toc256000119 \h </w:instrText>
          </w:r>
          <w:r>
            <w:rPr>
              <w:rFonts w:hint="eastAsia" w:ascii="仿宋" w:hAnsi="仿宋" w:eastAsia="仿宋" w:cs="仿宋"/>
              <w:sz w:val="32"/>
              <w:szCs w:val="32"/>
            </w:rPr>
            <w:fldChar w:fldCharType="separate"/>
          </w:r>
          <w:r>
            <w:rPr>
              <w:rFonts w:hint="eastAsia" w:ascii="仿宋" w:hAnsi="仿宋" w:eastAsia="仿宋" w:cs="仿宋"/>
              <w:sz w:val="32"/>
              <w:szCs w:val="32"/>
            </w:rPr>
            <w:t>25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第四部分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_Toc256000120 \h </w:instrText>
          </w:r>
          <w:r>
            <w:rPr>
              <w:rFonts w:hint="eastAsia" w:ascii="仿宋" w:hAnsi="仿宋" w:eastAsia="仿宋" w:cs="仿宋"/>
              <w:sz w:val="32"/>
              <w:szCs w:val="32"/>
            </w:rPr>
            <w:fldChar w:fldCharType="separate"/>
          </w:r>
          <w:r>
            <w:rPr>
              <w:rFonts w:hint="eastAsia" w:ascii="仿宋" w:hAnsi="仿宋" w:eastAsia="仿宋" w:cs="仿宋"/>
              <w:sz w:val="32"/>
              <w:szCs w:val="32"/>
            </w:rPr>
            <w:t>25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_Toc256000121 \h </w:instrText>
          </w:r>
          <w:r>
            <w:rPr>
              <w:rFonts w:hint="eastAsia" w:ascii="仿宋" w:hAnsi="仿宋" w:eastAsia="仿宋" w:cs="仿宋"/>
              <w:sz w:val="32"/>
              <w:szCs w:val="32"/>
            </w:rPr>
            <w:fldChar w:fldCharType="separate"/>
          </w:r>
          <w:r>
            <w:rPr>
              <w:rFonts w:hint="eastAsia" w:ascii="仿宋" w:hAnsi="仿宋" w:eastAsia="仿宋" w:cs="仿宋"/>
              <w:sz w:val="32"/>
              <w:szCs w:val="32"/>
            </w:rPr>
            <w:t>26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第五部分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_Toc256000122 \h </w:instrText>
          </w:r>
          <w:r>
            <w:rPr>
              <w:rFonts w:hint="eastAsia" w:ascii="仿宋" w:hAnsi="仿宋" w:eastAsia="仿宋" w:cs="仿宋"/>
              <w:sz w:val="32"/>
              <w:szCs w:val="32"/>
            </w:rPr>
            <w:fldChar w:fldCharType="separate"/>
          </w:r>
          <w:r>
            <w:rPr>
              <w:rFonts w:hint="eastAsia" w:ascii="仿宋" w:hAnsi="仿宋" w:eastAsia="仿宋" w:cs="仿宋"/>
              <w:sz w:val="32"/>
              <w:szCs w:val="32"/>
            </w:rPr>
            <w:t>28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附件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_Toc256000123 \h </w:instrText>
          </w:r>
          <w:r>
            <w:rPr>
              <w:rFonts w:hint="eastAsia" w:ascii="仿宋" w:hAnsi="仿宋" w:eastAsia="仿宋" w:cs="仿宋"/>
              <w:sz w:val="32"/>
              <w:szCs w:val="32"/>
            </w:rPr>
            <w:fldChar w:fldCharType="separate"/>
          </w:r>
          <w:r>
            <w:rPr>
              <w:rFonts w:hint="eastAsia" w:ascii="仿宋" w:hAnsi="仿宋" w:eastAsia="仿宋" w:cs="仿宋"/>
              <w:sz w:val="32"/>
              <w:szCs w:val="32"/>
            </w:rPr>
            <w:t>28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pgBorders>
                <w:top w:val="none" w:sz="0" w:space="0"/>
                <w:left w:val="none" w:sz="0" w:space="0"/>
                <w:bottom w:val="none" w:sz="0" w:space="0"/>
                <w:right w:val="none" w:sz="0" w:space="0"/>
              </w:pgBorders>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0"/>
        <w:jc w:val="center"/>
        <w:rPr>
          <w:rFonts w:hint="eastAsia" w:ascii="仿宋" w:hAnsi="仿宋" w:eastAsia="仿宋" w:cs="仿宋"/>
          <w:b/>
          <w:bCs/>
          <w:kern w:val="0"/>
          <w:sz w:val="32"/>
          <w:szCs w:val="32"/>
        </w:rPr>
      </w:pPr>
      <w:bookmarkStart w:id="0" w:name="_Toc256000031"/>
      <w:bookmarkStart w:id="1" w:name="_Toc256000093"/>
      <w:bookmarkStart w:id="2" w:name="_Toc256000000"/>
      <w:bookmarkStart w:id="3" w:name="_Toc256000062"/>
      <w:bookmarkStart w:id="4" w:name="a000"/>
      <w:r>
        <w:rPr>
          <w:rFonts w:hint="eastAsia" w:ascii="仿宋" w:hAnsi="仿宋" w:eastAsia="仿宋" w:cs="仿宋"/>
          <w:b/>
          <w:spacing w:val="0"/>
          <w:sz w:val="32"/>
          <w:szCs w:val="32"/>
        </w:rPr>
        <w:t>第一部分</w:t>
      </w:r>
      <w:bookmarkEnd w:id="0"/>
      <w:bookmarkEnd w:id="1"/>
      <w:bookmarkEnd w:id="2"/>
      <w:bookmarkEnd w:id="3"/>
      <w:r>
        <w:rPr>
          <w:rFonts w:hint="eastAsia" w:ascii="仿宋" w:hAnsi="仿宋" w:eastAsia="仿宋" w:cs="仿宋"/>
          <w:b/>
          <w:spacing w:val="0"/>
          <w:sz w:val="32"/>
          <w:szCs w:val="32"/>
        </w:rPr>
        <w:t> </w:t>
      </w:r>
      <w:bookmarkStart w:id="5" w:name="_Toc256000063"/>
      <w:bookmarkStart w:id="6" w:name="_Toc256000001"/>
      <w:bookmarkStart w:id="7" w:name="_Toc256000032"/>
      <w:bookmarkStart w:id="8" w:name="_Toc256000094"/>
      <w:r>
        <w:rPr>
          <w:rFonts w:hint="eastAsia" w:ascii="仿宋" w:hAnsi="仿宋" w:eastAsia="仿宋" w:cs="仿宋"/>
          <w:b/>
          <w:spacing w:val="0"/>
          <w:sz w:val="32"/>
          <w:szCs w:val="32"/>
          <w:lang w:val="en-US" w:eastAsia="zh-CN"/>
        </w:rPr>
        <w:t xml:space="preserve">  </w:t>
      </w:r>
      <w:r>
        <w:rPr>
          <w:rFonts w:hint="eastAsia" w:ascii="仿宋" w:hAnsi="仿宋" w:eastAsia="仿宋" w:cs="仿宋"/>
          <w:b/>
          <w:spacing w:val="0"/>
          <w:sz w:val="32"/>
          <w:szCs w:val="32"/>
        </w:rPr>
        <w:t>单位概况</w:t>
      </w:r>
      <w:bookmarkEnd w:id="5"/>
      <w:bookmarkEnd w:id="6"/>
      <w:bookmarkEnd w:id="7"/>
      <w:bookmarkEnd w:id="8"/>
    </w:p>
    <w:p>
      <w:pPr>
        <w:pStyle w:val="6"/>
        <w:keepNext w:val="0"/>
        <w:keepLines w:val="0"/>
        <w:spacing w:before="100" w:after="100" w:line="240" w:lineRule="auto"/>
        <w:ind w:left="0" w:right="0" w:firstLine="643" w:firstLineChars="200"/>
        <w:jc w:val="both"/>
        <w:rPr>
          <w:rFonts w:hint="eastAsia" w:ascii="仿宋" w:hAnsi="仿宋" w:eastAsia="仿宋" w:cs="仿宋"/>
          <w:b/>
          <w:bCs/>
          <w:kern w:val="0"/>
          <w:sz w:val="32"/>
          <w:szCs w:val="32"/>
        </w:rPr>
      </w:pPr>
      <w:bookmarkStart w:id="9" w:name="_Toc256000033"/>
      <w:bookmarkStart w:id="10" w:name="_Toc256000064"/>
      <w:bookmarkStart w:id="11" w:name="_Toc256000095"/>
      <w:bookmarkStart w:id="12" w:name="_Toc256000002"/>
      <w:r>
        <w:rPr>
          <w:rFonts w:hint="eastAsia" w:ascii="仿宋" w:hAnsi="仿宋" w:eastAsia="仿宋" w:cs="仿宋"/>
          <w:b/>
          <w:spacing w:val="0"/>
          <w:sz w:val="32"/>
          <w:szCs w:val="32"/>
        </w:rPr>
        <w:t>一、单位主要职责</w:t>
      </w:r>
      <w:bookmarkEnd w:id="9"/>
      <w:bookmarkEnd w:id="10"/>
      <w:bookmarkEnd w:id="11"/>
      <w:bookmarkEnd w:id="12"/>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厦门市康乐小学单位的主要职责是：</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1、坚持正确的办学方向，全面贯彻党和国家的教育方针。</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2、坚持规范办学，认真执行上级教育</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的指示、决定。</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3、坚持人文立校，精心营造宽松、有序、和谐、公平、竞争的工作环境。</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4、坚持责任兴校，组织制订主要领导和各类人员的岗位职责、管理制度及评价办法</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5、坚持民主治校，对学校的重大工作提出思路，充分论证，形成最后的决策。</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6、坚持科研强校，深入教学一线与教师共同研讨课堂教学改革的途径与方法。</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7、坚持特色亮校，珍惜、利用好学校的资源优势，发展校本特色。</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8、坚持</w:t>
      </w:r>
      <w:r>
        <w:rPr>
          <w:rFonts w:hint="eastAsia" w:ascii="仿宋" w:hAnsi="仿宋" w:eastAsia="仿宋" w:cs="仿宋"/>
          <w:spacing w:val="0"/>
          <w:kern w:val="0"/>
          <w:sz w:val="32"/>
          <w:szCs w:val="32"/>
          <w:lang w:val="en-US" w:eastAsia="zh-CN"/>
        </w:rPr>
        <w:t>规范行为</w:t>
      </w:r>
      <w:r>
        <w:rPr>
          <w:rFonts w:hint="eastAsia" w:ascii="仿宋" w:hAnsi="仿宋" w:eastAsia="仿宋" w:cs="仿宋"/>
          <w:spacing w:val="0"/>
          <w:kern w:val="0"/>
          <w:sz w:val="32"/>
          <w:szCs w:val="32"/>
        </w:rPr>
        <w:t>，教师在行动上为</w:t>
      </w:r>
      <w:r>
        <w:rPr>
          <w:rFonts w:hint="eastAsia" w:ascii="仿宋" w:hAnsi="仿宋" w:eastAsia="仿宋" w:cs="仿宋"/>
          <w:spacing w:val="0"/>
          <w:kern w:val="0"/>
          <w:sz w:val="32"/>
          <w:szCs w:val="32"/>
          <w:lang w:val="en-US" w:eastAsia="zh-CN"/>
        </w:rPr>
        <w:t>学生</w:t>
      </w:r>
      <w:r>
        <w:rPr>
          <w:rFonts w:hint="eastAsia" w:ascii="仿宋" w:hAnsi="仿宋" w:eastAsia="仿宋" w:cs="仿宋"/>
          <w:spacing w:val="0"/>
          <w:kern w:val="0"/>
          <w:sz w:val="32"/>
          <w:szCs w:val="32"/>
        </w:rPr>
        <w:t>示范，在业务上</w:t>
      </w:r>
      <w:r>
        <w:rPr>
          <w:rFonts w:hint="eastAsia" w:ascii="仿宋" w:hAnsi="仿宋" w:eastAsia="仿宋" w:cs="仿宋"/>
          <w:spacing w:val="0"/>
          <w:kern w:val="0"/>
          <w:sz w:val="32"/>
          <w:szCs w:val="32"/>
          <w:lang w:val="en-US" w:eastAsia="zh-CN"/>
        </w:rPr>
        <w:t>优秀教师</w:t>
      </w:r>
      <w:r>
        <w:rPr>
          <w:rFonts w:hint="eastAsia" w:ascii="仿宋" w:hAnsi="仿宋" w:eastAsia="仿宋" w:cs="仿宋"/>
          <w:spacing w:val="0"/>
          <w:kern w:val="0"/>
          <w:sz w:val="32"/>
          <w:szCs w:val="32"/>
        </w:rPr>
        <w:t>引领，在生活上给教师关怀。</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9、重视指导、协调、督促、评价好各</w:t>
      </w:r>
      <w:r>
        <w:rPr>
          <w:rFonts w:hint="eastAsia" w:ascii="仿宋" w:hAnsi="仿宋" w:eastAsia="仿宋" w:cs="仿宋"/>
          <w:spacing w:val="0"/>
          <w:kern w:val="0"/>
          <w:sz w:val="32"/>
          <w:szCs w:val="32"/>
          <w:lang w:val="en-US" w:eastAsia="zh-CN"/>
        </w:rPr>
        <w:t>单位</w:t>
      </w:r>
      <w:r>
        <w:rPr>
          <w:rFonts w:hint="eastAsia" w:ascii="仿宋" w:hAnsi="仿宋" w:eastAsia="仿宋" w:cs="仿宋"/>
          <w:spacing w:val="0"/>
          <w:kern w:val="0"/>
          <w:sz w:val="32"/>
          <w:szCs w:val="32"/>
        </w:rPr>
        <w:t>的分管工作。</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10、重视全局管理，抓好整体工作的同时，突出抓好每一学期、每一时段的重点工作。</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11、重视计划管理，制定学校的发展规划及工作计划，做好工作的评价与总结。</w:t>
      </w:r>
    </w:p>
    <w:p>
      <w:pPr>
        <w:tabs>
          <w:tab w:val="left" w:pos="7513"/>
        </w:tabs>
        <w:adjustRightInd w:val="0"/>
        <w:snapToGrid w:val="0"/>
        <w:spacing w:line="560" w:lineRule="exact"/>
        <w:ind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12、重视合理理财，管理好、使用好办学经费和学校财产，改善办学条件。</w:t>
      </w:r>
    </w:p>
    <w:p>
      <w:pPr>
        <w:pStyle w:val="29"/>
        <w:widowControl/>
        <w:spacing w:before="100" w:after="100" w:line="600" w:lineRule="atLeast"/>
        <w:ind w:left="0" w:right="0" w:firstLine="640"/>
        <w:jc w:val="both"/>
        <w:rPr>
          <w:rFonts w:hint="eastAsia" w:ascii="仿宋" w:hAnsi="仿宋" w:eastAsia="仿宋" w:cs="仿宋"/>
          <w:kern w:val="0"/>
          <w:sz w:val="32"/>
          <w:szCs w:val="32"/>
        </w:rPr>
      </w:pP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13" w:name="_Toc256000096"/>
      <w:bookmarkStart w:id="14" w:name="_Toc256000003"/>
      <w:bookmarkStart w:id="15" w:name="_Toc256000065"/>
      <w:bookmarkStart w:id="16" w:name="_Toc256000034"/>
      <w:r>
        <w:rPr>
          <w:rFonts w:hint="eastAsia" w:ascii="仿宋" w:hAnsi="仿宋" w:eastAsia="仿宋" w:cs="仿宋"/>
          <w:b/>
          <w:spacing w:val="0"/>
          <w:sz w:val="32"/>
          <w:szCs w:val="32"/>
        </w:rPr>
        <w:t>二、单位基本情况</w:t>
      </w:r>
      <w:bookmarkEnd w:id="13"/>
      <w:bookmarkEnd w:id="14"/>
      <w:bookmarkEnd w:id="15"/>
      <w:bookmarkEnd w:id="16"/>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5</w:t>
      </w:r>
      <w:r>
        <w:rPr>
          <w:rFonts w:hint="eastAsia" w:ascii="仿宋" w:hAnsi="仿宋" w:eastAsia="仿宋" w:cs="仿宋"/>
          <w:spacing w:val="0"/>
          <w:kern w:val="0"/>
          <w:sz w:val="32"/>
          <w:szCs w:val="32"/>
        </w:rPr>
        <w:t>个内设机构，其中：列入2024年决算编制范围的单位详细情况见下表:</w:t>
      </w:r>
    </w:p>
    <w:tbl>
      <w:tblPr>
        <w:tblStyle w:val="23"/>
        <w:tblW w:w="9030" w:type="dxa"/>
        <w:jc w:val="center"/>
        <w:tblInd w:w="6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992"/>
        <w:gridCol w:w="6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0" w:hRule="atLeast"/>
          <w:tblHeader/>
          <w:jc w:val="center"/>
        </w:trPr>
        <w:tc>
          <w:tcPr>
            <w:tcW w:w="2992"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rPr>
            </w:pPr>
            <w:r>
              <w:rPr>
                <w:rFonts w:hint="eastAsia" w:ascii="仿宋" w:hAnsi="仿宋" w:eastAsia="仿宋" w:cs="仿宋"/>
                <w:b w:val="0"/>
                <w:bCs w:val="0"/>
                <w:i w:val="0"/>
                <w:iCs w:val="0"/>
                <w:smallCaps w:val="0"/>
                <w:color w:val="000000"/>
                <w:spacing w:val="0"/>
                <w:kern w:val="0"/>
                <w:sz w:val="32"/>
                <w:szCs w:val="32"/>
              </w:rPr>
              <w:t>序号</w:t>
            </w:r>
          </w:p>
        </w:tc>
        <w:tc>
          <w:tcPr>
            <w:tcW w:w="6038"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rPr>
            </w:pPr>
            <w:r>
              <w:rPr>
                <w:rFonts w:hint="eastAsia" w:ascii="仿宋" w:hAnsi="仿宋" w:eastAsia="仿宋" w:cs="仿宋"/>
                <w:b w:val="0"/>
                <w:bCs w:val="0"/>
                <w:i w:val="0"/>
                <w:iCs w:val="0"/>
                <w:smallCaps w:val="0"/>
                <w:color w:val="000000"/>
                <w:spacing w:val="0"/>
                <w:kern w:val="0"/>
                <w:sz w:val="32"/>
                <w:szCs w:val="32"/>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0" w:hRule="atLeast"/>
          <w:tblHeader/>
          <w:jc w:val="center"/>
        </w:trPr>
        <w:tc>
          <w:tcPr>
            <w:tcW w:w="2992"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1</w:t>
            </w:r>
          </w:p>
        </w:tc>
        <w:tc>
          <w:tcPr>
            <w:tcW w:w="6038" w:type="dxa"/>
            <w:noWrap w:val="0"/>
            <w:tcMar>
              <w:top w:w="22" w:type="dxa"/>
              <w:left w:w="22" w:type="dxa"/>
              <w:bottom w:w="22" w:type="dxa"/>
              <w:right w:w="22" w:type="dxa"/>
            </w:tcMar>
            <w:vAlign w:val="center"/>
          </w:tcPr>
          <w:p>
            <w:pPr>
              <w:widowControl/>
              <w:jc w:val="center"/>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厦门市康乐小学</w:t>
            </w:r>
          </w:p>
        </w:tc>
      </w:tr>
    </w:tbl>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17" w:name="_Toc256000066"/>
      <w:bookmarkStart w:id="18" w:name="_Toc256000097"/>
      <w:bookmarkStart w:id="19" w:name="_Toc256000035"/>
      <w:bookmarkStart w:id="20" w:name="_Toc256000004"/>
      <w:r>
        <w:rPr>
          <w:rFonts w:hint="eastAsia" w:ascii="仿宋" w:hAnsi="仿宋" w:eastAsia="仿宋" w:cs="仿宋"/>
          <w:b/>
          <w:spacing w:val="0"/>
          <w:sz w:val="32"/>
          <w:szCs w:val="32"/>
        </w:rPr>
        <w:t>三、单位主要工作总结</w:t>
      </w:r>
      <w:bookmarkEnd w:id="17"/>
      <w:bookmarkEnd w:id="18"/>
      <w:bookmarkEnd w:id="19"/>
      <w:bookmarkEnd w:id="20"/>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2024年，厦门市康乐小学单位主要任务是：</w:t>
      </w:r>
      <w:r>
        <w:rPr>
          <w:rFonts w:hint="eastAsia" w:ascii="仿宋" w:hAnsi="仿宋" w:eastAsia="仿宋" w:cs="仿宋"/>
          <w:spacing w:val="0"/>
          <w:kern w:val="0"/>
          <w:sz w:val="32"/>
          <w:szCs w:val="32"/>
          <w:lang w:val="en-US" w:eastAsia="zh-CN"/>
        </w:rPr>
        <w:t>贯彻党的教育方针，依法落实义务教育小学阶段教学任务。</w:t>
      </w:r>
      <w:r>
        <w:rPr>
          <w:rFonts w:hint="eastAsia" w:ascii="仿宋" w:hAnsi="仿宋" w:eastAsia="仿宋" w:cs="仿宋"/>
          <w:spacing w:val="0"/>
          <w:kern w:val="0"/>
          <w:sz w:val="32"/>
          <w:szCs w:val="32"/>
        </w:rPr>
        <w:t>围绕上述任务，重点完成了以下工作：</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深耕教学，提质增效显成果​</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“双减”深化落地​</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rPr>
        <w:t>学校优化课后服务模式，推出“基础托管+特色课程”体系，开设编程、航模、书法等36门社团课程，惠及学生800余人次。</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教学质量攀升​</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rPr>
        <w:t>在2024年</w:t>
      </w:r>
      <w:r>
        <w:rPr>
          <w:rFonts w:hint="eastAsia" w:ascii="仿宋" w:hAnsi="仿宋" w:eastAsia="仿宋" w:cs="仿宋"/>
          <w:sz w:val="32"/>
          <w:szCs w:val="32"/>
          <w:lang w:val="en-US" w:eastAsia="zh-CN"/>
        </w:rPr>
        <w:t>各级</w:t>
      </w:r>
      <w:r>
        <w:rPr>
          <w:rFonts w:hint="eastAsia" w:ascii="仿宋" w:hAnsi="仿宋" w:eastAsia="仿宋" w:cs="仿宋"/>
          <w:sz w:val="32"/>
          <w:szCs w:val="32"/>
        </w:rPr>
        <w:t>质量监测中，综合</w:t>
      </w:r>
      <w:r>
        <w:rPr>
          <w:rFonts w:hint="eastAsia" w:ascii="仿宋" w:hAnsi="仿宋" w:eastAsia="仿宋" w:cs="仿宋"/>
          <w:sz w:val="32"/>
          <w:szCs w:val="32"/>
          <w:lang w:val="en-US" w:eastAsia="zh-CN"/>
        </w:rPr>
        <w:t>表现</w:t>
      </w:r>
      <w:r>
        <w:rPr>
          <w:rFonts w:hint="eastAsia" w:ascii="仿宋" w:hAnsi="仿宋" w:eastAsia="仿宋" w:cs="仿宋"/>
          <w:sz w:val="32"/>
          <w:szCs w:val="32"/>
        </w:rPr>
        <w:t>位列前茅；学生在区级以上学科竞赛中斩获佳绩，如数学思维挑战赛金奖3人次、作文竞赛一等奖5名。</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五育融合，打造特色品牌​</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科技教育创新突破​</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rPr>
        <w:t>校园科技节，开展无人机编程、机器人对抗赛等活动，学生作品《智能垃圾分类装置》获福建省青少年科技创新大赛二等奖。</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体育美育双开花​</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rPr>
        <w:t>校园足球队蝉联思明区小学生联赛冠军；啦啦操队在全国比赛中摘得铜牌。美术组组织“童绘鹭岛”主题画展，作品入选市级美术馆巡展。</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家校社协同，构建育人共同体​</w:t>
      </w:r>
    </w:p>
    <w:p>
      <w:pPr>
        <w:shd w:val="clear" w:color="auto" w:fill="FFFFFF"/>
        <w:spacing w:before="240" w:after="240" w:line="600" w:lineRule="atLeast"/>
        <w:ind w:firstLine="640"/>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成立“家长成长学院”，举办家庭教育讲座、亲子研学等活动20余场，覆盖家长1500人次。</w:t>
      </w:r>
    </w:p>
    <w:p>
      <w:pPr>
        <w:widowControl/>
        <w:spacing w:before="240" w:after="240"/>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与</w:t>
      </w:r>
      <w:r>
        <w:rPr>
          <w:rFonts w:hint="eastAsia" w:ascii="仿宋" w:hAnsi="仿宋" w:eastAsia="仿宋" w:cs="仿宋"/>
          <w:sz w:val="32"/>
          <w:szCs w:val="32"/>
          <w:lang w:val="en-US" w:eastAsia="zh-CN"/>
        </w:rPr>
        <w:t>社会机构共建，开展</w:t>
      </w:r>
      <w:r>
        <w:rPr>
          <w:rFonts w:hint="eastAsia" w:ascii="仿宋" w:hAnsi="仿宋" w:eastAsia="仿宋" w:cs="仿宋"/>
          <w:sz w:val="32"/>
          <w:szCs w:val="32"/>
        </w:rPr>
        <w:t>“海丝文化研学”等项目。</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bookmarkStart w:id="21" w:name="_Toc256000005"/>
      <w:bookmarkStart w:id="22" w:name="_Toc256000067"/>
      <w:bookmarkStart w:id="23" w:name="_Toc256000098"/>
      <w:bookmarkStart w:id="24" w:name="_Toc256000036"/>
      <w:r>
        <w:rPr>
          <w:rFonts w:hint="eastAsia" w:ascii="仿宋" w:hAnsi="仿宋" w:eastAsia="仿宋" w:cs="仿宋"/>
          <w:b/>
          <w:spacing w:val="0"/>
          <w:sz w:val="32"/>
          <w:szCs w:val="32"/>
        </w:rPr>
        <w:t>第二部分</w:t>
      </w:r>
      <w:bookmarkEnd w:id="21"/>
      <w:bookmarkEnd w:id="22"/>
      <w:bookmarkEnd w:id="23"/>
      <w:bookmarkEnd w:id="24"/>
      <w:r>
        <w:rPr>
          <w:rFonts w:hint="eastAsia" w:ascii="仿宋" w:hAnsi="仿宋" w:eastAsia="仿宋" w:cs="仿宋"/>
          <w:b/>
          <w:spacing w:val="0"/>
          <w:sz w:val="32"/>
          <w:szCs w:val="32"/>
        </w:rPr>
        <w:t> </w:t>
      </w:r>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2024年度决算表</w:t>
      </w:r>
    </w:p>
    <w:p>
      <w:pPr>
        <w:pStyle w:val="6"/>
        <w:keepNext w:val="0"/>
        <w:keepLines w:val="0"/>
        <w:spacing w:before="100" w:after="100" w:line="240" w:lineRule="auto"/>
        <w:ind w:left="0" w:leftChars="0" w:right="0" w:firstLine="0" w:firstLineChars="0"/>
        <w:rPr>
          <w:rFonts w:hint="eastAsia" w:ascii="仿宋" w:hAnsi="仿宋" w:eastAsia="仿宋" w:cs="仿宋"/>
          <w:sz w:val="32"/>
          <w:szCs w:val="32"/>
        </w:rPr>
      </w:pPr>
      <w:bookmarkStart w:id="25" w:name="_Toc256000007"/>
      <w:bookmarkStart w:id="26" w:name="_Toc256000069"/>
      <w:bookmarkStart w:id="27" w:name="_Toc256000038"/>
      <w:bookmarkStart w:id="28" w:name="_Toc256000100"/>
      <w:r>
        <w:rPr>
          <w:rFonts w:hint="eastAsia" w:ascii="仿宋" w:hAnsi="仿宋" w:eastAsia="仿宋" w:cs="仿宋"/>
          <w:b/>
          <w:spacing w:val="0"/>
          <w:sz w:val="32"/>
          <w:szCs w:val="32"/>
        </w:rPr>
        <w:t>一、收入支出决算总表</w:t>
      </w:r>
      <w:bookmarkEnd w:id="25"/>
      <w:bookmarkEnd w:id="26"/>
      <w:bookmarkEnd w:id="27"/>
      <w:bookmarkEnd w:id="28"/>
    </w:p>
    <w:tbl>
      <w:tblPr>
        <w:tblStyle w:val="23"/>
        <w:tblpPr w:leftFromText="180" w:rightFromText="180" w:vertAnchor="text" w:horzAnchor="page" w:tblpXSpec="center" w:tblpY="504"/>
        <w:tblOverlap w:val="never"/>
        <w:tblW w:w="10506" w:type="dxa"/>
        <w:jc w:val="center"/>
        <w:tblInd w:w="0" w:type="dxa"/>
        <w:tblLayout w:type="fixed"/>
        <w:tblCellMar>
          <w:top w:w="15" w:type="dxa"/>
          <w:left w:w="15" w:type="dxa"/>
          <w:bottom w:w="15" w:type="dxa"/>
          <w:right w:w="15" w:type="dxa"/>
        </w:tblCellMar>
      </w:tblPr>
      <w:tblGrid>
        <w:gridCol w:w="1752"/>
        <w:gridCol w:w="1750"/>
        <w:gridCol w:w="1751"/>
        <w:gridCol w:w="2271"/>
        <w:gridCol w:w="1231"/>
        <w:gridCol w:w="1751"/>
      </w:tblGrid>
      <w:tr>
        <w:tblPrEx>
          <w:tblLayout w:type="fixed"/>
          <w:tblCellMar>
            <w:top w:w="15" w:type="dxa"/>
            <w:left w:w="15" w:type="dxa"/>
            <w:bottom w:w="15" w:type="dxa"/>
            <w:right w:w="15" w:type="dxa"/>
          </w:tblCellMar>
        </w:tblPrEx>
        <w:trPr>
          <w:trHeight w:val="0" w:hRule="atLeast"/>
          <w:tblHeader/>
          <w:jc w:val="center"/>
        </w:trPr>
        <w:tc>
          <w:tcPr>
            <w:tcW w:w="10506" w:type="dxa"/>
            <w:gridSpan w:val="6"/>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bookmarkStart w:id="29" w:name="_Toc256000068"/>
            <w:bookmarkStart w:id="30" w:name="_Toc256000037"/>
            <w:bookmarkStart w:id="31" w:name="_Toc256000099"/>
            <w:bookmarkStart w:id="32" w:name="_Toc256000006"/>
            <w:r>
              <w:rPr>
                <w:rFonts w:hint="eastAsia" w:ascii="仿宋" w:hAnsi="仿宋" w:eastAsia="仿宋" w:cs="仿宋"/>
                <w:b w:val="0"/>
                <w:bCs w:val="0"/>
                <w:i w:val="0"/>
                <w:iCs w:val="0"/>
                <w:smallCaps w:val="0"/>
                <w:color w:val="000000"/>
                <w:kern w:val="0"/>
                <w:sz w:val="28"/>
                <w:szCs w:val="28"/>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525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单位：厦门市康乐小学</w:t>
            </w:r>
          </w:p>
        </w:tc>
        <w:tc>
          <w:tcPr>
            <w:tcW w:w="227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298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金额单位：万元</w:t>
            </w:r>
          </w:p>
        </w:tc>
      </w:tr>
      <w:tr>
        <w:tblPrEx>
          <w:tblLayout w:type="fixed"/>
          <w:tblCellMar>
            <w:top w:w="15" w:type="dxa"/>
            <w:left w:w="15" w:type="dxa"/>
            <w:bottom w:w="15" w:type="dxa"/>
            <w:right w:w="15" w:type="dxa"/>
          </w:tblCellMar>
        </w:tblPrEx>
        <w:trPr>
          <w:trHeight w:val="0" w:hRule="atLeast"/>
          <w:jc w:val="center"/>
        </w:trPr>
        <w:tc>
          <w:tcPr>
            <w:tcW w:w="525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收入</w:t>
            </w:r>
          </w:p>
        </w:tc>
        <w:tc>
          <w:tcPr>
            <w:tcW w:w="525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支出</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行次</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金额</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行次</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金额</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一、一般公共预算财政拨款收入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一、一般公共服务支出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二、政府性基金预算财政拨款收入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二、外交支出 </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三、国有资本经营预算财政拨款收入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三、国防支出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四、上级补助收入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四、公共安全支出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五、事业收入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五、教育支出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2,532.58</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六、经营收入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六、科学技术支出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七、附属单位上缴收入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七、文化旅游体育与传媒支出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八、其他收入</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八、社会保障和就业支出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九、卫生健康支出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十、节能环保支出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十一、城乡社区支出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十二、农林水支出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十三、交通运输支出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十四、资源勘探工业信息等支出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十五、商业服务业等支出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十六、金融支出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十七、援助其他地区支出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十八、自然资源海洋气象等支出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十九、住房保障支出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二十、粮油物资储备支出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二十一、国有资本经营预算支出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二十二、灾害防治及应急管理支出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二十三、其他支出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二十四、债务还本支出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二十五、债务付息支出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二十六、抗疫特别国债安排的支出</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本年收入合计</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本年支出合计</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使用非财政拨款结余（含专用结余）</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结余分配</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年初结转和结余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年末结转和结余 </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7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总计</w:t>
            </w:r>
          </w:p>
        </w:tc>
        <w:tc>
          <w:tcPr>
            <w:tcW w:w="1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c>
          <w:tcPr>
            <w:tcW w:w="22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总计</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r>
      <w:tr>
        <w:tblPrEx>
          <w:tblLayout w:type="fixed"/>
          <w:tblCellMar>
            <w:top w:w="15" w:type="dxa"/>
            <w:left w:w="15" w:type="dxa"/>
            <w:bottom w:w="15" w:type="dxa"/>
            <w:right w:w="15" w:type="dxa"/>
          </w:tblCellMar>
        </w:tblPrEx>
        <w:trPr>
          <w:trHeight w:val="0" w:hRule="atLeast"/>
          <w:jc w:val="center"/>
        </w:trPr>
        <w:tc>
          <w:tcPr>
            <w:tcW w:w="10506" w:type="dxa"/>
            <w:gridSpan w:val="6"/>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注：1.本表反映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10506" w:type="dxa"/>
            <w:gridSpan w:val="6"/>
            <w:noWrap w:val="0"/>
            <w:tcMar>
              <w:top w:w="20" w:type="dxa"/>
              <w:left w:w="485"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2.本套报表金额单位转换时可能存在尾数误差。</w:t>
            </w:r>
          </w:p>
        </w:tc>
      </w:tr>
      <w:bookmarkEnd w:id="29"/>
      <w:bookmarkEnd w:id="30"/>
      <w:bookmarkEnd w:id="31"/>
      <w:bookmarkEnd w:id="32"/>
    </w:tbl>
    <w:p>
      <w:pPr>
        <w:rPr>
          <w:rFonts w:hint="eastAsia" w:ascii="仿宋" w:hAnsi="仿宋" w:eastAsia="仿宋" w:cs="仿宋"/>
          <w:sz w:val="32"/>
          <w:szCs w:val="32"/>
        </w:rPr>
        <w:sectPr>
          <w:footerReference r:id="rId5" w:type="default"/>
          <w:pgSz w:w="11906" w:h="16838"/>
          <w:pgMar w:top="1440" w:right="720" w:bottom="1440" w:left="720" w:header="720" w:footer="720" w:gutter="0"/>
          <w:pgBorders>
            <w:top w:val="none" w:sz="0" w:space="0"/>
            <w:left w:val="none" w:sz="0" w:space="0"/>
            <w:bottom w:val="none" w:sz="0" w:space="0"/>
            <w:right w:val="none" w:sz="0" w:space="0"/>
          </w:pgBorders>
          <w:cols w:space="720" w:num="1"/>
        </w:sectPr>
      </w:pPr>
    </w:p>
    <w:p>
      <w:pPr>
        <w:widowControl/>
        <w:jc w:val="left"/>
        <w:rPr>
          <w:rFonts w:hint="eastAsia" w:ascii="仿宋" w:hAnsi="仿宋" w:eastAsia="仿宋" w:cs="仿宋"/>
          <w:b/>
          <w:bCs/>
          <w:kern w:val="0"/>
          <w:sz w:val="32"/>
          <w:szCs w:val="32"/>
        </w:rPr>
      </w:pPr>
      <w:bookmarkStart w:id="33" w:name="_Toc256000070"/>
      <w:bookmarkStart w:id="34" w:name="_Toc256000008"/>
      <w:bookmarkStart w:id="35" w:name="_Toc256000039"/>
      <w:bookmarkStart w:id="36" w:name="_Toc256000101"/>
      <w:r>
        <w:rPr>
          <w:rFonts w:hint="eastAsia" w:ascii="仿宋" w:hAnsi="仿宋" w:eastAsia="仿宋" w:cs="仿宋"/>
          <w:b/>
          <w:spacing w:val="0"/>
          <w:sz w:val="32"/>
          <w:szCs w:val="32"/>
        </w:rPr>
        <w:t>二、收入决算表</w:t>
      </w:r>
      <w:bookmarkEnd w:id="33"/>
      <w:bookmarkEnd w:id="34"/>
      <w:bookmarkEnd w:id="35"/>
      <w:bookmarkEnd w:id="36"/>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007"/>
        <w:gridCol w:w="1189"/>
        <w:gridCol w:w="1307"/>
        <w:gridCol w:w="1328"/>
        <w:gridCol w:w="1072"/>
        <w:gridCol w:w="750"/>
        <w:gridCol w:w="857"/>
        <w:gridCol w:w="814"/>
        <w:gridCol w:w="742"/>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jc w:val="center"/>
        </w:trPr>
        <w:tc>
          <w:tcPr>
            <w:tcW w:w="483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单位：厦门市康乐小学</w:t>
            </w:r>
          </w:p>
        </w:tc>
        <w:tc>
          <w:tcPr>
            <w:tcW w:w="182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241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tblHeader/>
          <w:jc w:val="center"/>
        </w:trPr>
        <w:tc>
          <w:tcPr>
            <w:tcW w:w="219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13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本年收入合计</w:t>
            </w:r>
          </w:p>
        </w:tc>
        <w:tc>
          <w:tcPr>
            <w:tcW w:w="13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财政拨款收入 </w:t>
            </w:r>
          </w:p>
        </w:tc>
        <w:tc>
          <w:tcPr>
            <w:tcW w:w="107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上级补助收入</w:t>
            </w:r>
          </w:p>
        </w:tc>
        <w:tc>
          <w:tcPr>
            <w:tcW w:w="7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事业收入</w:t>
            </w:r>
          </w:p>
        </w:tc>
        <w:tc>
          <w:tcPr>
            <w:tcW w:w="8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经营收入</w:t>
            </w:r>
          </w:p>
        </w:tc>
        <w:tc>
          <w:tcPr>
            <w:tcW w:w="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附属单位上缴收入</w:t>
            </w:r>
          </w:p>
        </w:tc>
        <w:tc>
          <w:tcPr>
            <w:tcW w:w="74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其他收入</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科目代码</w:t>
            </w:r>
          </w:p>
        </w:tc>
        <w:tc>
          <w:tcPr>
            <w:tcW w:w="118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科目名称</w:t>
            </w:r>
          </w:p>
        </w:tc>
        <w:tc>
          <w:tcPr>
            <w:tcW w:w="13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07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8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8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4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8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07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8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8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4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jc w:val="center"/>
        </w:trPr>
        <w:tc>
          <w:tcPr>
            <w:tcW w:w="219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w:t>
            </w:r>
          </w:p>
        </w:tc>
      </w:tr>
      <w:tr>
        <w:tblPrEx>
          <w:tblLayout w:type="fixed"/>
          <w:tblCellMar>
            <w:top w:w="15" w:type="dxa"/>
            <w:left w:w="15" w:type="dxa"/>
            <w:bottom w:w="15" w:type="dxa"/>
            <w:right w:w="15" w:type="dxa"/>
          </w:tblCellMar>
        </w:tblPrEx>
        <w:trPr>
          <w:trHeight w:val="0" w:hRule="atLeast"/>
          <w:jc w:val="center"/>
        </w:trPr>
        <w:tc>
          <w:tcPr>
            <w:tcW w:w="219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2,532.58</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2,532.58</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普通教育</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2,219.91</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2,219.91</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2050202</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小学教育</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2,043.69</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2,043.69</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2050299</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其他普通教育支出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176.22</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176.22</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教育费附加安排的支出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2050999</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其他教育费附加安排的支出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社会保障和就业支出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行政事业单位养老支出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2080502</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事业单位离退休</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2080505</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机关事业单位基本养老保险缴费支出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166.71</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166.71</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2080506</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机关事业单位职业年金缴费支出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110.03</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110.03</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卫生健康支出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行政事业单位医疗</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2101102</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事业单位医疗</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71.37</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71.37</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2101199</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其他行政事业单位医疗支出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36.47</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36.47</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住房保障支出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住房改革支出</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2210203</w:t>
            </w:r>
          </w:p>
        </w:tc>
        <w:tc>
          <w:tcPr>
            <w:tcW w:w="11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购房补贴</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本年度取得的各项收入情况。</w:t>
            </w:r>
          </w:p>
        </w:tc>
      </w:tr>
    </w:tbl>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p>
    <w:p>
      <w:pPr>
        <w:rPr>
          <w:rFonts w:hint="eastAsia" w:ascii="仿宋" w:hAnsi="仿宋" w:eastAsia="仿宋" w:cs="仿宋"/>
          <w:sz w:val="32"/>
          <w:szCs w:val="32"/>
        </w:rPr>
        <w:sectPr>
          <w:footerReference r:id="rId6"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37" w:name="_Toc256000040"/>
      <w:bookmarkStart w:id="38" w:name="_Toc256000071"/>
      <w:bookmarkStart w:id="39" w:name="_Toc256000102"/>
      <w:bookmarkStart w:id="40" w:name="_Toc256000009"/>
      <w:r>
        <w:rPr>
          <w:rFonts w:hint="eastAsia" w:ascii="仿宋" w:hAnsi="仿宋" w:eastAsia="仿宋" w:cs="仿宋"/>
          <w:b/>
          <w:spacing w:val="0"/>
          <w:sz w:val="32"/>
          <w:szCs w:val="32"/>
        </w:rPr>
        <w:t>三、支出决算表</w:t>
      </w:r>
      <w:bookmarkEnd w:id="37"/>
      <w:bookmarkEnd w:id="38"/>
      <w:bookmarkEnd w:id="39"/>
      <w:bookmarkEnd w:id="40"/>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574"/>
        <w:gridCol w:w="1629"/>
        <w:gridCol w:w="1252"/>
        <w:gridCol w:w="1233"/>
        <w:gridCol w:w="986"/>
        <w:gridCol w:w="793"/>
        <w:gridCol w:w="677"/>
        <w:gridCol w:w="922"/>
      </w:tblGrid>
      <w:tr>
        <w:tblPrEx>
          <w:tblLayout w:type="fixed"/>
          <w:tblCellMar>
            <w:top w:w="15" w:type="dxa"/>
            <w:left w:w="15" w:type="dxa"/>
            <w:bottom w:w="15" w:type="dxa"/>
            <w:right w:w="15" w:type="dxa"/>
          </w:tblCellMar>
        </w:tblPrEx>
        <w:trPr>
          <w:trHeight w:val="0" w:hRule="atLeast"/>
          <w:tblHeader/>
          <w:jc w:val="center"/>
        </w:trPr>
        <w:tc>
          <w:tcPr>
            <w:tcW w:w="9066" w:type="dxa"/>
            <w:gridSpan w:val="8"/>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jc w:val="center"/>
        </w:trPr>
        <w:tc>
          <w:tcPr>
            <w:tcW w:w="4455"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单位：厦门市康乐小学</w:t>
            </w:r>
          </w:p>
        </w:tc>
        <w:tc>
          <w:tcPr>
            <w:tcW w:w="2219"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239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tblHeader/>
          <w:jc w:val="center"/>
        </w:trPr>
        <w:tc>
          <w:tcPr>
            <w:tcW w:w="320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125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本年支出合计</w:t>
            </w:r>
          </w:p>
        </w:tc>
        <w:tc>
          <w:tcPr>
            <w:tcW w:w="12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基本支出</w:t>
            </w:r>
          </w:p>
        </w:tc>
        <w:tc>
          <w:tcPr>
            <w:tcW w:w="98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项目支出</w:t>
            </w:r>
          </w:p>
        </w:tc>
        <w:tc>
          <w:tcPr>
            <w:tcW w:w="7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上缴上级支出</w:t>
            </w:r>
          </w:p>
        </w:tc>
        <w:tc>
          <w:tcPr>
            <w:tcW w:w="6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对附属单位补助支出</w:t>
            </w:r>
          </w:p>
        </w:tc>
      </w:tr>
      <w:tr>
        <w:tblPrEx>
          <w:tblLayout w:type="fixed"/>
          <w:tblCellMar>
            <w:top w:w="15" w:type="dxa"/>
            <w:left w:w="15" w:type="dxa"/>
            <w:bottom w:w="15" w:type="dxa"/>
            <w:right w:w="15" w:type="dxa"/>
          </w:tblCellMar>
        </w:tblPrEx>
        <w:trPr>
          <w:trHeight w:val="312" w:hRule="atLeast"/>
          <w:tblHeader/>
          <w:jc w:val="center"/>
        </w:trPr>
        <w:tc>
          <w:tcPr>
            <w:tcW w:w="157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科目代码</w:t>
            </w:r>
          </w:p>
        </w:tc>
        <w:tc>
          <w:tcPr>
            <w:tcW w:w="162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科目名称</w:t>
            </w:r>
          </w:p>
        </w:tc>
        <w:tc>
          <w:tcPr>
            <w:tcW w:w="125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98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67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312" w:hRule="atLeast"/>
          <w:tblHeader/>
          <w:jc w:val="center"/>
        </w:trPr>
        <w:tc>
          <w:tcPr>
            <w:tcW w:w="157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62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25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98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67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jc w:val="center"/>
        </w:trPr>
        <w:tc>
          <w:tcPr>
            <w:tcW w:w="320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r>
      <w:tr>
        <w:tblPrEx>
          <w:tblLayout w:type="fixed"/>
          <w:tblCellMar>
            <w:top w:w="15" w:type="dxa"/>
            <w:left w:w="15" w:type="dxa"/>
            <w:bottom w:w="15" w:type="dxa"/>
            <w:right w:w="15" w:type="dxa"/>
          </w:tblCellMar>
        </w:tblPrEx>
        <w:trPr>
          <w:trHeight w:val="0" w:hRule="atLeast"/>
          <w:jc w:val="center"/>
        </w:trPr>
        <w:tc>
          <w:tcPr>
            <w:tcW w:w="320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2,636.51</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435.96</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2,532.58</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2,096.63</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435.96</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普通教育</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2,219.91</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2,096.63</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123.28</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2050202</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小学教育</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2,043.69</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2,043.69</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2050299</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其他普通教育支出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176.22</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52.94</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123.28</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教育费附加安排的支出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2050999</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其他教育费附加安排的支出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社会保障和就业支出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行政事业单位养老支出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2080502</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事业单位离退休</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2080505</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机关事业单位基本养老保险缴费支出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166.71</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166.71</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2080506</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机关事业单位职业年金缴费支出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110.03</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110.03</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卫生健康支出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行政事业单位医疗</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2101102</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事业单位医疗</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71.37</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71.37</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2101199</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其他行政事业单位医疗支出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36.47</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36.47</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住房保障支出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住房改革支出</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5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2210203</w:t>
            </w:r>
          </w:p>
        </w:tc>
        <w:tc>
          <w:tcPr>
            <w:tcW w:w="1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购房补贴</w:t>
            </w:r>
          </w:p>
        </w:tc>
        <w:tc>
          <w:tcPr>
            <w:tcW w:w="12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9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本年度各项支出情况。</w:t>
            </w:r>
          </w:p>
        </w:tc>
      </w:tr>
    </w:tbl>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41" w:name="_Toc256000072"/>
      <w:bookmarkStart w:id="42" w:name="_Toc256000103"/>
      <w:bookmarkStart w:id="43" w:name="_Toc256000010"/>
      <w:bookmarkStart w:id="44" w:name="_Toc256000041"/>
      <w:r>
        <w:rPr>
          <w:rFonts w:hint="eastAsia" w:ascii="仿宋" w:hAnsi="仿宋" w:eastAsia="仿宋" w:cs="仿宋"/>
          <w:b/>
          <w:spacing w:val="0"/>
          <w:sz w:val="32"/>
          <w:szCs w:val="32"/>
        </w:rPr>
        <w:t>四、财政拨款收入支出决算总表</w:t>
      </w:r>
      <w:bookmarkEnd w:id="41"/>
      <w:bookmarkEnd w:id="42"/>
      <w:bookmarkEnd w:id="43"/>
      <w:bookmarkEnd w:id="44"/>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007"/>
        <w:gridCol w:w="1007"/>
        <w:gridCol w:w="1007"/>
        <w:gridCol w:w="1007"/>
        <w:gridCol w:w="1"/>
        <w:gridCol w:w="1007"/>
        <w:gridCol w:w="1007"/>
        <w:gridCol w:w="1"/>
        <w:gridCol w:w="1007"/>
        <w:gridCol w:w="1007"/>
        <w:gridCol w:w="1008"/>
      </w:tblGrid>
      <w:tr>
        <w:tblPrEx>
          <w:tblLayout w:type="fixed"/>
          <w:tblCellMar>
            <w:top w:w="15" w:type="dxa"/>
            <w:left w:w="15" w:type="dxa"/>
            <w:bottom w:w="15" w:type="dxa"/>
            <w:right w:w="15" w:type="dxa"/>
          </w:tblCellMar>
        </w:tblPrEx>
        <w:trPr>
          <w:trHeight w:val="0" w:hRule="atLeast"/>
          <w:tblHeader/>
          <w:jc w:val="center"/>
        </w:trPr>
        <w:tc>
          <w:tcPr>
            <w:tcW w:w="9066" w:type="dxa"/>
            <w:gridSpan w:val="11"/>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4029"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单位：厦门市康乐小学</w:t>
            </w:r>
          </w:p>
        </w:tc>
        <w:tc>
          <w:tcPr>
            <w:tcW w:w="2015"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2024年度</w:t>
            </w:r>
          </w:p>
        </w:tc>
        <w:tc>
          <w:tcPr>
            <w:tcW w:w="302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金额单位：万元</w:t>
            </w:r>
          </w:p>
        </w:tc>
      </w:tr>
      <w:tr>
        <w:tblPrEx>
          <w:tblLayout w:type="fixed"/>
          <w:tblCellMar>
            <w:top w:w="15" w:type="dxa"/>
            <w:left w:w="15" w:type="dxa"/>
            <w:bottom w:w="15" w:type="dxa"/>
            <w:right w:w="15" w:type="dxa"/>
          </w:tblCellMar>
        </w:tblPrEx>
        <w:trPr>
          <w:trHeight w:val="0" w:hRule="atLeast"/>
          <w:jc w:val="center"/>
        </w:trPr>
        <w:tc>
          <w:tcPr>
            <w:tcW w:w="30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收入</w:t>
            </w:r>
          </w:p>
        </w:tc>
        <w:tc>
          <w:tcPr>
            <w:tcW w:w="6045" w:type="dxa"/>
            <w:gridSpan w:val="8"/>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支出</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项目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金额</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项目</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政府性基金预算财政拨款</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栏次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一、一般公共预算财政拨款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3,072.47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2,532.58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2,532.58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417.74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417.74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107.84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107.84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14.3</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14.3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本年收入合计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3,072.47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3,072.47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3,072.47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年初财政拨款结转和结余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年末财政拨款结转和结余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总计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3,072.47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总计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3,072.47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3,072.47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9066" w:type="dxa"/>
            <w:gridSpan w:val="11"/>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注：本表反映</w:t>
            </w:r>
            <w:r>
              <w:rPr>
                <w:rFonts w:hint="eastAsia" w:ascii="仿宋" w:hAnsi="仿宋" w:eastAsia="仿宋" w:cs="仿宋"/>
                <w:b w:val="0"/>
                <w:bCs w:val="0"/>
                <w:i w:val="0"/>
                <w:iCs w:val="0"/>
                <w:smallCaps w:val="0"/>
                <w:color w:val="000000"/>
                <w:kern w:val="0"/>
                <w:sz w:val="21"/>
                <w:szCs w:val="21"/>
                <w:lang w:eastAsia="zh-CN"/>
              </w:rPr>
              <w:t>单位</w:t>
            </w:r>
            <w:r>
              <w:rPr>
                <w:rFonts w:hint="eastAsia" w:ascii="仿宋" w:hAnsi="仿宋" w:eastAsia="仿宋" w:cs="仿宋"/>
                <w:b w:val="0"/>
                <w:bCs w:val="0"/>
                <w:i w:val="0"/>
                <w:iCs w:val="0"/>
                <w:smallCaps w:val="0"/>
                <w:color w:val="000000"/>
                <w:kern w:val="0"/>
                <w:sz w:val="21"/>
                <w:szCs w:val="21"/>
              </w:rPr>
              <w:t>本年度一般公共预算财政拨款、政府性基金预算财政拨款和国有资本经营预算财政拨款的总收支和年末结转结余情况。</w:t>
            </w:r>
          </w:p>
        </w:tc>
      </w:tr>
    </w:tbl>
    <w:p>
      <w:pPr>
        <w:rPr>
          <w:rFonts w:hint="eastAsia" w:ascii="仿宋" w:hAnsi="仿宋" w:eastAsia="仿宋" w:cs="仿宋"/>
          <w:sz w:val="32"/>
          <w:szCs w:val="32"/>
        </w:rPr>
        <w:sectPr>
          <w:footerReference r:id="rId7"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45" w:name="_Toc256000073"/>
      <w:bookmarkStart w:id="46" w:name="_Toc256000011"/>
      <w:bookmarkStart w:id="47" w:name="_Toc256000104"/>
      <w:bookmarkStart w:id="48" w:name="_Toc256000042"/>
      <w:r>
        <w:rPr>
          <w:rFonts w:hint="eastAsia" w:ascii="仿宋" w:hAnsi="仿宋" w:eastAsia="仿宋" w:cs="仿宋"/>
          <w:b/>
          <w:spacing w:val="0"/>
          <w:sz w:val="32"/>
          <w:szCs w:val="32"/>
        </w:rPr>
        <w:t>五、一般公共预算财政拨款支出决算表</w:t>
      </w:r>
      <w:bookmarkEnd w:id="45"/>
      <w:bookmarkEnd w:id="46"/>
      <w:bookmarkEnd w:id="47"/>
      <w:bookmarkEnd w:id="48"/>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328"/>
        <w:gridCol w:w="2640"/>
        <w:gridCol w:w="1337"/>
        <w:gridCol w:w="1560"/>
        <w:gridCol w:w="2201"/>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jc w:val="center"/>
        </w:trPr>
        <w:tc>
          <w:tcPr>
            <w:tcW w:w="5305"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单位：厦门市康乐小学</w:t>
            </w:r>
          </w:p>
        </w:tc>
        <w:tc>
          <w:tcPr>
            <w:tcW w:w="15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220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金额单位：万元</w:t>
            </w:r>
          </w:p>
        </w:tc>
      </w:tr>
      <w:tr>
        <w:tblPrEx>
          <w:tblLayout w:type="fixed"/>
          <w:tblCellMar>
            <w:top w:w="15" w:type="dxa"/>
            <w:left w:w="15" w:type="dxa"/>
            <w:bottom w:w="15" w:type="dxa"/>
            <w:right w:w="15" w:type="dxa"/>
          </w:tblCellMar>
        </w:tblPrEx>
        <w:trPr>
          <w:trHeight w:val="0" w:hRule="atLeast"/>
          <w:jc w:val="center"/>
        </w:trPr>
        <w:tc>
          <w:tcPr>
            <w:tcW w:w="39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509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本年支出</w:t>
            </w:r>
          </w:p>
        </w:tc>
      </w:tr>
      <w:tr>
        <w:tblPrEx>
          <w:tblLayout w:type="fixed"/>
          <w:tblCellMar>
            <w:top w:w="15" w:type="dxa"/>
            <w:left w:w="15" w:type="dxa"/>
            <w:bottom w:w="15" w:type="dxa"/>
            <w:right w:w="15" w:type="dxa"/>
          </w:tblCellMar>
        </w:tblPrEx>
        <w:trPr>
          <w:trHeight w:val="312" w:hRule="atLeast"/>
          <w:tblHeader/>
          <w:jc w:val="center"/>
        </w:trPr>
        <w:tc>
          <w:tcPr>
            <w:tcW w:w="13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科目代码</w:t>
            </w:r>
          </w:p>
        </w:tc>
        <w:tc>
          <w:tcPr>
            <w:tcW w:w="264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科目名称</w:t>
            </w:r>
          </w:p>
        </w:tc>
        <w:tc>
          <w:tcPr>
            <w:tcW w:w="133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小计</w:t>
            </w:r>
          </w:p>
        </w:tc>
        <w:tc>
          <w:tcPr>
            <w:tcW w:w="15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基本支出</w:t>
            </w:r>
          </w:p>
        </w:tc>
        <w:tc>
          <w:tcPr>
            <w:tcW w:w="220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项目支出</w:t>
            </w:r>
          </w:p>
        </w:tc>
      </w:tr>
      <w:tr>
        <w:tblPrEx>
          <w:tblLayout w:type="fixed"/>
          <w:tblCellMar>
            <w:top w:w="15" w:type="dxa"/>
            <w:left w:w="15" w:type="dxa"/>
            <w:bottom w:w="15" w:type="dxa"/>
            <w:right w:w="15" w:type="dxa"/>
          </w:tblCellMar>
        </w:tblPrEx>
        <w:trPr>
          <w:trHeight w:val="312" w:hRule="atLeast"/>
          <w:tblHeader/>
          <w:jc w:val="center"/>
        </w:trPr>
        <w:tc>
          <w:tcPr>
            <w:tcW w:w="13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264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3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56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2201"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tblHeader/>
          <w:jc w:val="center"/>
        </w:trPr>
        <w:tc>
          <w:tcPr>
            <w:tcW w:w="13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264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r>
      <w:tr>
        <w:tblPrEx>
          <w:tblLayout w:type="fixed"/>
          <w:tblCellMar>
            <w:top w:w="15" w:type="dxa"/>
            <w:left w:w="15" w:type="dxa"/>
            <w:bottom w:w="15" w:type="dxa"/>
            <w:right w:w="15" w:type="dxa"/>
          </w:tblCellMar>
        </w:tblPrEx>
        <w:trPr>
          <w:trHeight w:val="0" w:hRule="atLeast"/>
          <w:jc w:val="center"/>
        </w:trPr>
        <w:tc>
          <w:tcPr>
            <w:tcW w:w="39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3,072.47</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2,636.51</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435.96</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2,532.58</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2,096.63</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435.96</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普通教育</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2,219.91</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2,096.63</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123.28</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2050202</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小学教育</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2,043.69</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2,043.69</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2050299</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其他普通教育支出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176.22</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52.94</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123.28</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教育费附加安排的支出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2050999</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其他教育费附加安排的支出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312.67</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社会保障和就业支出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行政事业单位养老支出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417.74</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2080502</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事业单位离退休</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2080505</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机关事业单位基本养老保险缴费支出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166.71</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166.71</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2080506</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机关事业单位职业年金缴费支出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110.03</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110.03</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卫生健康支出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行政事业单位医疗</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107.84</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2101102</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事业单位医疗</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71.37</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71.37</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2101199</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其他行政事业单位医疗支出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36.47</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36.47</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住房保障支出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住房改革支出</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3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2210203</w:t>
            </w:r>
          </w:p>
        </w:tc>
        <w:tc>
          <w:tcPr>
            <w:tcW w:w="26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购房补贴</w:t>
            </w:r>
          </w:p>
        </w:tc>
        <w:tc>
          <w:tcPr>
            <w:tcW w:w="13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15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14.3</w:t>
            </w:r>
          </w:p>
        </w:tc>
        <w:tc>
          <w:tcPr>
            <w:tcW w:w="22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本年度一般公共预算财政拨款支出情况。</w:t>
            </w:r>
          </w:p>
        </w:tc>
      </w:tr>
    </w:tbl>
    <w:p>
      <w:pPr>
        <w:rPr>
          <w:rFonts w:hint="eastAsia" w:ascii="仿宋" w:hAnsi="仿宋" w:eastAsia="仿宋" w:cs="仿宋"/>
          <w:sz w:val="32"/>
          <w:szCs w:val="32"/>
        </w:rPr>
        <w:sectPr>
          <w:footerReference r:id="rId8"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49" w:name="_Toc256000074"/>
      <w:bookmarkStart w:id="50" w:name="_Toc256000012"/>
      <w:bookmarkStart w:id="51" w:name="_Toc256000043"/>
      <w:bookmarkStart w:id="52" w:name="_Toc256000105"/>
      <w:r>
        <w:rPr>
          <w:rFonts w:hint="eastAsia" w:ascii="仿宋" w:hAnsi="仿宋" w:eastAsia="仿宋" w:cs="仿宋"/>
          <w:b/>
          <w:spacing w:val="0"/>
          <w:sz w:val="32"/>
          <w:szCs w:val="32"/>
        </w:rPr>
        <w:t>六、一般公共预算财政拨款基本支出决算表</w:t>
      </w:r>
      <w:bookmarkEnd w:id="49"/>
      <w:bookmarkEnd w:id="50"/>
      <w:bookmarkEnd w:id="51"/>
      <w:bookmarkEnd w:id="52"/>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单位：厦门市康乐小学</w:t>
            </w:r>
          </w:p>
        </w:tc>
        <w:tc>
          <w:tcPr>
            <w:tcW w:w="201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302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金额单位：万元</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2,250.12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200.67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国内债务发行费用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基本工资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311.43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77.27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国外债务发行费用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津贴补贴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428.56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39.68</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奖金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696.15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房屋建筑物购建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伙食补助费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办公设备购置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39.68</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绩效工资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118.71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166.71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基础设施建设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职业年金缴费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大型修缮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职工基本医疗保险缴费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71.37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公务员医疗补助缴费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物资储备</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其他社会保障缴费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49.14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土地补偿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住房公积金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安置补助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医疗费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27.15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地上附着物和青苗补偿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117.22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拆迁补偿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146.04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公务用车购置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离休费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15.01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其他交通工具购置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退休费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31021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文物和陈列品购置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退职（役）费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无形资产购置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抚恤金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7.31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生活补助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救济费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资本金注入</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医疗费补助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政府投资基金股权投资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助学金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41.54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费用补贴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奖励金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利息补贴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个人农业生产补贴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其他资本性补助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代缴社会保险费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133.7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8.4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国家赔偿费用支出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经常性赠与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人员经费合计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2,396.16</w:t>
            </w:r>
          </w:p>
        </w:tc>
        <w:tc>
          <w:tcPr>
            <w:tcW w:w="403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240.35</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本年度一般公共预算财政拨款基本支出明细情况。</w:t>
            </w:r>
          </w:p>
        </w:tc>
      </w:tr>
    </w:tbl>
    <w:tbl>
      <w:tblPr>
        <w:tblStyle w:val="23"/>
        <w:tblpPr w:leftFromText="180" w:rightFromText="180" w:vertAnchor="text" w:horzAnchor="page" w:tblpX="1483" w:tblpY="535"/>
        <w:tblOverlap w:val="never"/>
        <w:tblW w:w="9066" w:type="dxa"/>
        <w:tblInd w:w="0" w:type="dxa"/>
        <w:tblLayout w:type="fixed"/>
        <w:tblCellMar>
          <w:top w:w="15" w:type="dxa"/>
          <w:left w:w="15" w:type="dxa"/>
          <w:bottom w:w="15" w:type="dxa"/>
          <w:right w:w="15" w:type="dxa"/>
        </w:tblCellMar>
      </w:tblPr>
      <w:tblGrid>
        <w:gridCol w:w="755"/>
        <w:gridCol w:w="755"/>
        <w:gridCol w:w="755"/>
        <w:gridCol w:w="755"/>
        <w:gridCol w:w="756"/>
        <w:gridCol w:w="755"/>
        <w:gridCol w:w="755"/>
        <w:gridCol w:w="756"/>
        <w:gridCol w:w="1"/>
        <w:gridCol w:w="755"/>
        <w:gridCol w:w="1"/>
        <w:gridCol w:w="755"/>
        <w:gridCol w:w="755"/>
        <w:gridCol w:w="757"/>
      </w:tblGrid>
      <w:tr>
        <w:tblPrEx>
          <w:tblLayout w:type="fixed"/>
          <w:tblCellMar>
            <w:top w:w="15" w:type="dxa"/>
            <w:left w:w="15" w:type="dxa"/>
            <w:bottom w:w="15" w:type="dxa"/>
            <w:right w:w="15" w:type="dxa"/>
          </w:tblCellMar>
        </w:tblPrEx>
        <w:trPr>
          <w:trHeight w:val="0" w:hRule="atLeast"/>
          <w:tblHeader/>
        </w:trPr>
        <w:tc>
          <w:tcPr>
            <w:tcW w:w="9066" w:type="dxa"/>
            <w:gridSpan w:val="14"/>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bookmarkStart w:id="53" w:name="_Toc256000106"/>
            <w:bookmarkStart w:id="54" w:name="_Toc256000044"/>
            <w:bookmarkStart w:id="55" w:name="_Toc256000075"/>
            <w:bookmarkStart w:id="56" w:name="_Toc256000013"/>
            <w:r>
              <w:rPr>
                <w:rFonts w:hint="eastAsia" w:ascii="仿宋" w:hAnsi="仿宋" w:eastAsia="仿宋" w:cs="仿宋"/>
                <w:b w:val="0"/>
                <w:bCs w:val="0"/>
                <w:i w:val="0"/>
                <w:iCs w:val="0"/>
                <w:smallCaps w:val="0"/>
                <w:color w:val="000000"/>
                <w:kern w:val="0"/>
                <w:sz w:val="32"/>
                <w:szCs w:val="32"/>
              </w:rPr>
              <w:t>一般公共预算财政拨款“三公”经费支出决算</w:t>
            </w:r>
          </w:p>
        </w:tc>
      </w:tr>
      <w:tr>
        <w:tblPrEx>
          <w:tblLayout w:type="fixed"/>
          <w:tblCellMar>
            <w:top w:w="15" w:type="dxa"/>
            <w:left w:w="15" w:type="dxa"/>
            <w:bottom w:w="15" w:type="dxa"/>
            <w:right w:w="15" w:type="dxa"/>
          </w:tblCellMar>
        </w:tblPrEx>
        <w:trPr>
          <w:trHeight w:val="0" w:hRule="atLeast"/>
        </w:trPr>
        <w:tc>
          <w:tcPr>
            <w:tcW w:w="4531"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单位：厦门市康乐小学</w:t>
            </w:r>
          </w:p>
        </w:tc>
        <w:tc>
          <w:tcPr>
            <w:tcW w:w="151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67"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trPr>
        <w:tc>
          <w:tcPr>
            <w:tcW w:w="4531"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预算数</w:t>
            </w:r>
          </w:p>
        </w:tc>
        <w:tc>
          <w:tcPr>
            <w:tcW w:w="4535" w:type="dxa"/>
            <w:gridSpan w:val="8"/>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决算数</w:t>
            </w:r>
          </w:p>
        </w:tc>
      </w:tr>
      <w:tr>
        <w:tblPrEx>
          <w:tblLayout w:type="fixed"/>
          <w:tblCellMar>
            <w:top w:w="15" w:type="dxa"/>
            <w:left w:w="15" w:type="dxa"/>
            <w:bottom w:w="15" w:type="dxa"/>
            <w:right w:w="15" w:type="dxa"/>
          </w:tblCellMar>
        </w:tblPrEx>
        <w:trPr>
          <w:trHeight w:val="0" w:hRule="atLeast"/>
          <w:tblHead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因公出国 （境）费</w:t>
            </w:r>
          </w:p>
        </w:tc>
        <w:tc>
          <w:tcPr>
            <w:tcW w:w="22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因公出国 （境）费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公务用车购置及运行维护费</w:t>
            </w:r>
          </w:p>
        </w:tc>
        <w:tc>
          <w:tcPr>
            <w:tcW w:w="7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公务接待费</w:t>
            </w:r>
          </w:p>
        </w:tc>
      </w:tr>
      <w:tr>
        <w:tblPrEx>
          <w:tblLayout w:type="fixed"/>
          <w:tblCellMar>
            <w:top w:w="15" w:type="dxa"/>
            <w:left w:w="15" w:type="dxa"/>
            <w:bottom w:w="15" w:type="dxa"/>
            <w:right w:w="15" w:type="dxa"/>
          </w:tblCellMar>
        </w:tblPrEx>
        <w:trPr>
          <w:trHeight w:val="312" w:hRule="atLeast"/>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小计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公务用车购置费</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小计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公务用车运行维护费</w:t>
            </w:r>
          </w:p>
        </w:tc>
        <w:tc>
          <w:tcPr>
            <w:tcW w:w="7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312" w:hRule="atLeast"/>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w:t>
            </w:r>
          </w:p>
        </w:tc>
      </w:tr>
      <w:tr>
        <w:tblPrEx>
          <w:tblLayout w:type="fixed"/>
          <w:tblCellMar>
            <w:top w:w="15" w:type="dxa"/>
            <w:left w:w="15" w:type="dxa"/>
            <w:bottom w:w="15" w:type="dxa"/>
            <w:right w:w="15" w:type="dxa"/>
          </w:tblCellMar>
        </w:tblPrEx>
        <w:trPr>
          <w:trHeight w:val="0" w:hRule="atLeast"/>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bookmarkStart w:id="125" w:name="_GoBack" w:colFirst="1" w:colLast="11"/>
            <w:r>
              <w:rPr>
                <w:rFonts w:hint="eastAsia" w:ascii="仿宋" w:hAnsi="仿宋" w:eastAsia="仿宋" w:cs="仿宋"/>
                <w:b w:val="0"/>
                <w:bCs w:val="0"/>
                <w:i w:val="0"/>
                <w:iCs w:val="0"/>
                <w:smallCaps w:val="0"/>
                <w:color w:val="000000"/>
                <w:kern w:val="0"/>
                <w:sz w:val="28"/>
                <w:szCs w:val="28"/>
                <w:lang w:val="en-US" w:eastAsia="zh-CN"/>
              </w:rPr>
              <w:t>0</w:t>
            </w:r>
            <w:r>
              <w:rPr>
                <w:rFonts w:hint="eastAsia" w:ascii="仿宋" w:hAnsi="仿宋" w:eastAsia="仿宋" w:cs="仿宋"/>
                <w:b w:val="0"/>
                <w:bCs w:val="0"/>
                <w:i w:val="0"/>
                <w:iCs w:val="0"/>
                <w:smallCaps w:val="0"/>
                <w:color w:val="000000"/>
                <w:kern w:val="0"/>
                <w:sz w:val="28"/>
                <w:szCs w:val="2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r>
      <w:bookmarkEnd w:id="125"/>
      <w:tr>
        <w:tblPrEx>
          <w:tblLayout w:type="fixed"/>
          <w:tblCellMar>
            <w:top w:w="15" w:type="dxa"/>
            <w:left w:w="15" w:type="dxa"/>
            <w:bottom w:w="15" w:type="dxa"/>
            <w:right w:w="15" w:type="dxa"/>
          </w:tblCellMar>
        </w:tblPrEx>
        <w:trPr>
          <w:trHeight w:val="0" w:hRule="atLeast"/>
        </w:trPr>
        <w:tc>
          <w:tcPr>
            <w:tcW w:w="9066" w:type="dxa"/>
            <w:gridSpan w:val="14"/>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本年度财政拨款“三公”经费支出预决算情况。其中，预算数为“三公”经费全年预算数，反映按规定程序调整后的预算数；决算数是包括当年财政拨款和以前年度结转资金安排的实际支出。</w:t>
            </w:r>
          </w:p>
        </w:tc>
      </w:tr>
    </w:tbl>
    <w:p>
      <w:pPr>
        <w:widowControl/>
        <w:jc w:val="left"/>
        <w:rPr>
          <w:rFonts w:hint="eastAsia" w:ascii="仿宋" w:hAnsi="仿宋" w:eastAsia="仿宋" w:cs="仿宋"/>
          <w:b/>
          <w:spacing w:val="0"/>
          <w:sz w:val="32"/>
          <w:szCs w:val="32"/>
        </w:rPr>
      </w:pPr>
      <w:r>
        <w:rPr>
          <w:rFonts w:hint="eastAsia" w:ascii="仿宋" w:hAnsi="仿宋" w:eastAsia="仿宋" w:cs="仿宋"/>
          <w:b/>
          <w:spacing w:val="0"/>
          <w:sz w:val="32"/>
          <w:szCs w:val="32"/>
        </w:rPr>
        <w:t>七、一般公共预算财政拨款“三公”经费支出决算表</w:t>
      </w:r>
      <w:bookmarkEnd w:id="53"/>
      <w:bookmarkEnd w:id="54"/>
      <w:bookmarkEnd w:id="55"/>
      <w:bookmarkEnd w:id="56"/>
    </w:p>
    <w:p>
      <w:pPr>
        <w:pStyle w:val="29"/>
        <w:widowControl/>
        <w:spacing w:before="100" w:after="100"/>
        <w:ind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b w:val="0"/>
          <w:bCs w:val="0"/>
          <w:i w:val="0"/>
          <w:iCs w:val="0"/>
          <w:smallCaps w:val="0"/>
          <w:color w:val="000000"/>
          <w:kern w:val="0"/>
          <w:sz w:val="32"/>
          <w:szCs w:val="32"/>
          <w:lang w:eastAsia="zh-CN"/>
        </w:rPr>
        <w:t>本单位</w:t>
      </w:r>
      <w:r>
        <w:rPr>
          <w:rFonts w:hint="eastAsia" w:ascii="仿宋" w:hAnsi="仿宋" w:eastAsia="仿宋" w:cs="仿宋"/>
          <w:b w:val="0"/>
          <w:bCs w:val="0"/>
          <w:i w:val="0"/>
          <w:iCs w:val="0"/>
          <w:smallCaps w:val="0"/>
          <w:color w:val="000000"/>
          <w:kern w:val="0"/>
          <w:sz w:val="32"/>
          <w:szCs w:val="32"/>
          <w:lang w:val="en-US" w:eastAsia="zh-CN"/>
        </w:rPr>
        <w:t>2024年度没有使用一般公共预算财政拨款安排的“三公”经费支出。</w:t>
      </w:r>
    </w:p>
    <w:p>
      <w:pPr>
        <w:widowControl/>
        <w:jc w:val="left"/>
        <w:rPr>
          <w:rFonts w:hint="eastAsia" w:ascii="仿宋" w:hAnsi="仿宋" w:eastAsia="仿宋" w:cs="仿宋"/>
          <w:sz w:val="32"/>
          <w:szCs w:val="32"/>
          <w:lang w:val="en-US" w:eastAsia="zh-CN"/>
        </w:rPr>
      </w:pPr>
      <w:r>
        <w:rPr>
          <w:rFonts w:hint="eastAsia" w:ascii="仿宋" w:hAnsi="仿宋" w:eastAsia="仿宋" w:cs="仿宋"/>
          <w:b/>
          <w:spacing w:val="0"/>
          <w:sz w:val="32"/>
          <w:szCs w:val="32"/>
        </w:rPr>
        <w:t>八、政府性基金预算财政拨款收入支出决算表</w:t>
      </w:r>
    </w:p>
    <w:tbl>
      <w:tblPr>
        <w:tblStyle w:val="23"/>
        <w:tblpPr w:leftFromText="180" w:rightFromText="180" w:vertAnchor="text" w:horzAnchor="page" w:tblpX="1414" w:tblpY="93"/>
        <w:tblOverlap w:val="never"/>
        <w:tblW w:w="9066" w:type="dxa"/>
        <w:tblInd w:w="0" w:type="dxa"/>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Layout w:type="fixed"/>
          <w:tblCellMar>
            <w:top w:w="15" w:type="dxa"/>
            <w:left w:w="15" w:type="dxa"/>
            <w:bottom w:w="15" w:type="dxa"/>
            <w:right w:w="15" w:type="dxa"/>
          </w:tblCellMar>
        </w:tblPrEx>
        <w:trPr>
          <w:trHeight w:val="0" w:hRule="atLeast"/>
          <w:tblHeader/>
        </w:trPr>
        <w:tc>
          <w:tcPr>
            <w:tcW w:w="9066" w:type="dxa"/>
            <w:gridSpan w:val="8"/>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bookmarkStart w:id="57" w:name="_Toc256000045"/>
            <w:bookmarkStart w:id="58" w:name="_Toc256000014"/>
            <w:bookmarkStart w:id="59" w:name="_Toc256000107"/>
            <w:bookmarkStart w:id="60" w:name="_Toc256000076"/>
            <w:r>
              <w:rPr>
                <w:rFonts w:hint="eastAsia" w:ascii="仿宋" w:hAnsi="仿宋" w:eastAsia="仿宋" w:cs="仿宋"/>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rHeight w:val="0" w:hRule="atLeast"/>
        </w:trPr>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单位：厦门市康乐小学</w:t>
            </w:r>
          </w:p>
        </w:tc>
        <w:tc>
          <w:tcPr>
            <w:tcW w:w="226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226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tblHead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年初结转和结余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年末结转和结余</w:t>
            </w:r>
          </w:p>
        </w:tc>
      </w:tr>
      <w:tr>
        <w:tblPrEx>
          <w:tblLayout w:type="fixed"/>
          <w:tblCellMar>
            <w:top w:w="15" w:type="dxa"/>
            <w:left w:w="15" w:type="dxa"/>
            <w:bottom w:w="15" w:type="dxa"/>
            <w:right w:w="15" w:type="dxa"/>
          </w:tblCellMar>
        </w:tblPrEx>
        <w:trPr>
          <w:trHeight w:val="312" w:hRule="atLeast"/>
          <w:tblHead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基本支出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312" w:hRule="atLeast"/>
          <w:tblHead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r>
      <w:tr>
        <w:tblPrEx>
          <w:tblLayout w:type="fixed"/>
          <w:tblCellMar>
            <w:top w:w="15" w:type="dxa"/>
            <w:left w:w="15" w:type="dxa"/>
            <w:bottom w:w="15" w:type="dxa"/>
            <w:right w:w="15" w:type="dxa"/>
          </w:tblCellMar>
        </w:tblPrEx>
        <w:trPr>
          <w:trHeight w:val="0" w:hRule="atLeast"/>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trPr>
        <w:tc>
          <w:tcPr>
            <w:tcW w:w="9066" w:type="dxa"/>
            <w:gridSpan w:val="8"/>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本年度政府性基金预算财政拨款收入、支出及结转和结余情况。</w:t>
            </w:r>
          </w:p>
        </w:tc>
      </w:tr>
    </w:tbl>
    <w:p>
      <w:pPr>
        <w:pStyle w:val="29"/>
        <w:widowControl/>
        <w:numPr>
          <w:ilvl w:val="0"/>
          <w:numId w:val="0"/>
        </w:numPr>
        <w:spacing w:before="240" w:after="240"/>
        <w:ind w:firstLine="640" w:firstLineChars="200"/>
        <w:jc w:val="both"/>
        <w:rPr>
          <w:rFonts w:hint="eastAsia" w:ascii="仿宋" w:hAnsi="仿宋" w:eastAsia="仿宋" w:cs="仿宋"/>
          <w:kern w:val="0"/>
          <w:sz w:val="32"/>
          <w:szCs w:val="32"/>
          <w:lang w:eastAsia="zh-CN"/>
        </w:rPr>
      </w:pPr>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年度没有使用政府性基金预算拨款安排的收支</w:t>
      </w:r>
      <w:r>
        <w:rPr>
          <w:rFonts w:hint="eastAsia" w:ascii="仿宋" w:hAnsi="仿宋" w:eastAsia="仿宋" w:cs="仿宋"/>
          <w:kern w:val="0"/>
          <w:sz w:val="32"/>
          <w:szCs w:val="32"/>
          <w:lang w:eastAsia="zh-CN"/>
        </w:rPr>
        <w:t>。</w:t>
      </w:r>
    </w:p>
    <w:bookmarkEnd w:id="57"/>
    <w:bookmarkEnd w:id="58"/>
    <w:bookmarkEnd w:id="59"/>
    <w:bookmarkEnd w:id="60"/>
    <w:p>
      <w:pPr>
        <w:rPr>
          <w:rFonts w:hint="eastAsia" w:ascii="仿宋" w:hAnsi="仿宋" w:eastAsia="仿宋" w:cs="仿宋"/>
          <w:sz w:val="32"/>
          <w:szCs w:val="32"/>
        </w:rPr>
        <w:sectPr>
          <w:footerReference r:id="rId9"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kern w:val="0"/>
          <w:sz w:val="32"/>
          <w:szCs w:val="32"/>
        </w:rPr>
      </w:pPr>
      <w:bookmarkStart w:id="61" w:name="_Toc256000015"/>
      <w:bookmarkStart w:id="62" w:name="_Toc256000108"/>
      <w:bookmarkStart w:id="63" w:name="_Toc256000077"/>
      <w:bookmarkStart w:id="64" w:name="_Toc256000046"/>
      <w:r>
        <w:rPr>
          <w:rFonts w:hint="eastAsia" w:ascii="仿宋" w:hAnsi="仿宋" w:eastAsia="仿宋" w:cs="仿宋"/>
          <w:b/>
          <w:spacing w:val="0"/>
          <w:sz w:val="32"/>
          <w:szCs w:val="32"/>
        </w:rPr>
        <w:t>九、国有资本经营预算财政拨款支出决算</w:t>
      </w:r>
      <w:bookmarkEnd w:id="61"/>
      <w:bookmarkEnd w:id="62"/>
      <w:bookmarkEnd w:id="63"/>
      <w:bookmarkEnd w:id="64"/>
    </w:p>
    <w:tbl>
      <w:tblPr>
        <w:tblStyle w:val="23"/>
        <w:tblW w:w="9066" w:type="dxa"/>
        <w:jc w:val="center"/>
        <w:tblInd w:w="0" w:type="dxa"/>
        <w:tblLayout w:type="fixed"/>
        <w:tblCellMar>
          <w:top w:w="15" w:type="dxa"/>
          <w:left w:w="15" w:type="dxa"/>
          <w:bottom w:w="15" w:type="dxa"/>
          <w:right w:w="15" w:type="dxa"/>
        </w:tblCellMar>
      </w:tblPr>
      <w:tblGrid>
        <w:gridCol w:w="1813"/>
        <w:gridCol w:w="1976"/>
        <w:gridCol w:w="1650"/>
        <w:gridCol w:w="1814"/>
        <w:gridCol w:w="1813"/>
      </w:tblGrid>
      <w:tr>
        <w:tblPrEx>
          <w:tblLayout w:type="fixed"/>
          <w:tblCellMar>
            <w:top w:w="15" w:type="dxa"/>
            <w:left w:w="15" w:type="dxa"/>
            <w:bottom w:w="15" w:type="dxa"/>
            <w:right w:w="15" w:type="dxa"/>
          </w:tblCellMar>
        </w:tblPrEx>
        <w:trPr>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jc w:val="center"/>
        </w:trPr>
        <w:tc>
          <w:tcPr>
            <w:tcW w:w="3789"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单位：厦门市康乐小学</w:t>
            </w:r>
          </w:p>
        </w:tc>
        <w:tc>
          <w:tcPr>
            <w:tcW w:w="165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2024年度</w:t>
            </w:r>
          </w:p>
        </w:tc>
        <w:tc>
          <w:tcPr>
            <w:tcW w:w="362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金额单位：万元</w:t>
            </w:r>
          </w:p>
        </w:tc>
      </w:tr>
      <w:tr>
        <w:tblPrEx>
          <w:tblLayout w:type="fixed"/>
          <w:tblCellMar>
            <w:top w:w="15" w:type="dxa"/>
            <w:left w:w="15" w:type="dxa"/>
            <w:bottom w:w="15" w:type="dxa"/>
            <w:right w:w="15" w:type="dxa"/>
          </w:tblCellMar>
        </w:tblPrEx>
        <w:trPr>
          <w:jc w:val="center"/>
        </w:trPr>
        <w:tc>
          <w:tcPr>
            <w:tcW w:w="378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w:t>
            </w:r>
          </w:p>
        </w:tc>
        <w:tc>
          <w:tcPr>
            <w:tcW w:w="52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本年支出</w:t>
            </w:r>
          </w:p>
        </w:tc>
      </w:tr>
      <w:tr>
        <w:tblPrEx>
          <w:tblLayout w:type="fixed"/>
          <w:tblCellMar>
            <w:top w:w="15" w:type="dxa"/>
            <w:left w:w="15" w:type="dxa"/>
            <w:bottom w:w="15" w:type="dxa"/>
            <w:right w:w="15" w:type="dxa"/>
          </w:tblCellMar>
        </w:tblPrEx>
        <w:trPr>
          <w:tblHeader/>
          <w:jc w:val="cent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科目代码</w:t>
            </w:r>
          </w:p>
        </w:tc>
        <w:tc>
          <w:tcPr>
            <w:tcW w:w="197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科目名称</w:t>
            </w:r>
          </w:p>
        </w:tc>
        <w:tc>
          <w:tcPr>
            <w:tcW w:w="16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项目支出</w:t>
            </w:r>
          </w:p>
        </w:tc>
      </w:tr>
      <w:tr>
        <w:tblPrEx>
          <w:tblLayout w:type="fixed"/>
          <w:tblCellMar>
            <w:top w:w="15" w:type="dxa"/>
            <w:left w:w="15" w:type="dxa"/>
            <w:bottom w:w="15" w:type="dxa"/>
            <w:right w:w="15" w:type="dxa"/>
          </w:tblCellMar>
        </w:tblPrEx>
        <w:trPr>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97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65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97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65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jc w:val="center"/>
        </w:trPr>
        <w:tc>
          <w:tcPr>
            <w:tcW w:w="378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栏次</w:t>
            </w:r>
          </w:p>
        </w:tc>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w:t>
            </w:r>
          </w:p>
        </w:tc>
      </w:tr>
      <w:tr>
        <w:tblPrEx>
          <w:tblLayout w:type="fixed"/>
          <w:tblCellMar>
            <w:top w:w="15" w:type="dxa"/>
            <w:left w:w="15" w:type="dxa"/>
            <w:bottom w:w="15" w:type="dxa"/>
            <w:right w:w="15" w:type="dxa"/>
          </w:tblCellMar>
        </w:tblPrEx>
        <w:trPr>
          <w:jc w:val="center"/>
        </w:trPr>
        <w:tc>
          <w:tcPr>
            <w:tcW w:w="378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jc w:val="center"/>
        </w:trPr>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9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注：本表反映</w:t>
            </w:r>
            <w:r>
              <w:rPr>
                <w:rFonts w:hint="eastAsia" w:ascii="仿宋" w:hAnsi="仿宋" w:eastAsia="仿宋" w:cs="仿宋"/>
                <w:b w:val="0"/>
                <w:bCs w:val="0"/>
                <w:i w:val="0"/>
                <w:iCs w:val="0"/>
                <w:smallCaps w:val="0"/>
                <w:color w:val="000000"/>
                <w:kern w:val="0"/>
                <w:sz w:val="32"/>
                <w:szCs w:val="32"/>
                <w:lang w:eastAsia="zh-CN"/>
              </w:rPr>
              <w:t>单位</w:t>
            </w:r>
            <w:r>
              <w:rPr>
                <w:rFonts w:hint="eastAsia" w:ascii="仿宋" w:hAnsi="仿宋" w:eastAsia="仿宋" w:cs="仿宋"/>
                <w:b w:val="0"/>
                <w:bCs w:val="0"/>
                <w:i w:val="0"/>
                <w:iCs w:val="0"/>
                <w:smallCaps w:val="0"/>
                <w:color w:val="000000"/>
                <w:kern w:val="0"/>
                <w:sz w:val="32"/>
                <w:szCs w:val="32"/>
              </w:rPr>
              <w:t>本年度国有资本经营预算财政拨款支出情况。</w:t>
            </w:r>
          </w:p>
        </w:tc>
      </w:tr>
    </w:tbl>
    <w:p>
      <w:pPr>
        <w:pStyle w:val="4"/>
        <w:keepNext w:val="0"/>
        <w:keepLines w:val="0"/>
        <w:spacing w:before="100" w:after="100" w:line="240" w:lineRule="auto"/>
        <w:ind w:left="0" w:right="0" w:firstLine="640" w:firstLineChars="200"/>
        <w:jc w:val="both"/>
        <w:rPr>
          <w:rFonts w:hint="eastAsia" w:ascii="仿宋" w:hAnsi="仿宋" w:eastAsia="仿宋" w:cs="仿宋"/>
          <w:b w:val="0"/>
          <w:bCs w:val="0"/>
          <w:i w:val="0"/>
          <w:iCs w:val="0"/>
          <w:smallCaps w:val="0"/>
          <w:color w:val="000000"/>
          <w:kern w:val="0"/>
          <w:sz w:val="32"/>
          <w:szCs w:val="32"/>
          <w:lang w:val="en-US" w:eastAsia="zh-CN"/>
        </w:rPr>
      </w:pPr>
      <w:bookmarkStart w:id="65" w:name="_Toc256000016"/>
      <w:bookmarkStart w:id="66" w:name="_Toc256000109"/>
      <w:bookmarkStart w:id="67" w:name="_Toc256000047"/>
      <w:bookmarkStart w:id="68" w:name="_Toc256000078"/>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w:t>
      </w:r>
      <w:r>
        <w:rPr>
          <w:rFonts w:hint="eastAsia" w:ascii="仿宋" w:hAnsi="仿宋" w:eastAsia="仿宋" w:cs="仿宋"/>
          <w:b w:val="0"/>
          <w:bCs w:val="0"/>
          <w:i w:val="0"/>
          <w:iCs w:val="0"/>
          <w:smallCaps w:val="0"/>
          <w:color w:val="000000"/>
          <w:kern w:val="0"/>
          <w:sz w:val="32"/>
          <w:szCs w:val="32"/>
        </w:rPr>
        <w:t>国有资本经营预算财政拨款</w:t>
      </w:r>
      <w:r>
        <w:rPr>
          <w:rFonts w:hint="eastAsia" w:ascii="仿宋" w:hAnsi="仿宋" w:cs="仿宋"/>
          <w:b w:val="0"/>
          <w:bCs w:val="0"/>
          <w:i w:val="0"/>
          <w:iCs w:val="0"/>
          <w:smallCaps w:val="0"/>
          <w:color w:val="000000"/>
          <w:kern w:val="0"/>
          <w:sz w:val="32"/>
          <w:szCs w:val="32"/>
          <w:lang w:eastAsia="zh-CN"/>
        </w:rPr>
        <w:t>安排的</w:t>
      </w:r>
      <w:r>
        <w:rPr>
          <w:rFonts w:hint="eastAsia" w:ascii="仿宋" w:hAnsi="仿宋" w:eastAsia="仿宋" w:cs="仿宋"/>
          <w:b w:val="0"/>
          <w:bCs w:val="0"/>
          <w:i w:val="0"/>
          <w:iCs w:val="0"/>
          <w:smallCaps w:val="0"/>
          <w:color w:val="000000"/>
          <w:kern w:val="0"/>
          <w:sz w:val="32"/>
          <w:szCs w:val="32"/>
        </w:rPr>
        <w:t>支出</w:t>
      </w:r>
      <w:r>
        <w:rPr>
          <w:rFonts w:hint="eastAsia" w:ascii="仿宋" w:hAnsi="仿宋" w:cs="仿宋"/>
          <w:b w:val="0"/>
          <w:bCs w:val="0"/>
          <w:i w:val="0"/>
          <w:iCs w:val="0"/>
          <w:smallCaps w:val="0"/>
          <w:color w:val="000000"/>
          <w:kern w:val="0"/>
          <w:sz w:val="32"/>
          <w:szCs w:val="32"/>
          <w:lang w:eastAsia="zh-CN"/>
        </w:rPr>
        <w:t>。</w:t>
      </w:r>
    </w:p>
    <w:p>
      <w:pPr>
        <w:pStyle w:val="5"/>
        <w:ind w:left="0" w:leftChars="0" w:firstLine="0" w:firstLineChars="0"/>
        <w:rPr>
          <w:rFonts w:hint="eastAsia"/>
        </w:r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r>
        <w:rPr>
          <w:rFonts w:hint="eastAsia" w:ascii="仿宋" w:hAnsi="仿宋" w:eastAsia="仿宋" w:cs="仿宋"/>
          <w:b/>
          <w:spacing w:val="0"/>
          <w:sz w:val="32"/>
          <w:szCs w:val="32"/>
        </w:rPr>
        <w:t>第三部分</w:t>
      </w:r>
      <w:bookmarkEnd w:id="65"/>
      <w:bookmarkEnd w:id="66"/>
      <w:bookmarkEnd w:id="67"/>
      <w:bookmarkEnd w:id="68"/>
      <w:r>
        <w:rPr>
          <w:rFonts w:hint="eastAsia" w:ascii="仿宋" w:hAnsi="仿宋" w:eastAsia="仿宋" w:cs="仿宋"/>
          <w:b/>
          <w:spacing w:val="0"/>
          <w:sz w:val="32"/>
          <w:szCs w:val="32"/>
        </w:rPr>
        <w:t> </w:t>
      </w:r>
      <w:bookmarkStart w:id="69" w:name="_Toc256000048"/>
      <w:bookmarkStart w:id="70" w:name="_Toc256000079"/>
      <w:bookmarkStart w:id="71" w:name="_Toc256000110"/>
      <w:bookmarkStart w:id="72" w:name="_Toc256000017"/>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2024年度决算情况说明</w:t>
      </w:r>
      <w:bookmarkEnd w:id="69"/>
      <w:bookmarkEnd w:id="70"/>
      <w:bookmarkEnd w:id="71"/>
      <w:bookmarkEnd w:id="72"/>
    </w:p>
    <w:p>
      <w:pPr>
        <w:pStyle w:val="6"/>
        <w:keepNext w:val="0"/>
        <w:keepLines w:val="0"/>
        <w:spacing w:before="100" w:after="100" w:line="600" w:lineRule="atLeast"/>
        <w:ind w:left="0" w:leftChars="0" w:right="0" w:firstLine="643" w:firstLineChars="200"/>
        <w:jc w:val="both"/>
        <w:rPr>
          <w:rFonts w:hint="eastAsia" w:ascii="仿宋" w:hAnsi="仿宋" w:eastAsia="仿宋" w:cs="仿宋"/>
          <w:b/>
          <w:bCs/>
          <w:kern w:val="0"/>
          <w:sz w:val="32"/>
          <w:szCs w:val="32"/>
        </w:rPr>
      </w:pPr>
      <w:bookmarkStart w:id="73" w:name="_Toc256000111"/>
      <w:bookmarkStart w:id="74" w:name="_Toc256000049"/>
      <w:bookmarkStart w:id="75" w:name="_Toc256000018"/>
      <w:bookmarkStart w:id="76" w:name="_Toc256000080"/>
      <w:r>
        <w:rPr>
          <w:rFonts w:hint="eastAsia" w:ascii="仿宋" w:hAnsi="仿宋" w:eastAsia="仿宋" w:cs="仿宋"/>
          <w:b/>
          <w:spacing w:val="0"/>
          <w:sz w:val="32"/>
          <w:szCs w:val="32"/>
        </w:rPr>
        <w:t>一、收入支出决算总体情况说明</w:t>
      </w:r>
      <w:bookmarkEnd w:id="73"/>
      <w:bookmarkEnd w:id="74"/>
      <w:bookmarkEnd w:id="75"/>
      <w:bookmarkEnd w:id="76"/>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（一）收入支出决算总体情况说明</w:t>
      </w:r>
    </w:p>
    <w:p>
      <w:pPr>
        <w:pStyle w:val="29"/>
        <w:widowControl/>
        <w:spacing w:before="100" w:after="100" w:line="600" w:lineRule="atLeast"/>
        <w:ind w:left="0" w:right="0" w:firstLine="640"/>
        <w:jc w:val="both"/>
        <w:rPr>
          <w:rFonts w:hint="default" w:ascii="仿宋" w:hAnsi="仿宋" w:eastAsia="仿宋" w:cs="仿宋"/>
          <w:kern w:val="0"/>
          <w:sz w:val="32"/>
          <w:szCs w:val="32"/>
          <w:lang w:val="en-US" w:eastAsia="zh-CN"/>
        </w:rPr>
      </w:pPr>
      <w:r>
        <w:rPr>
          <w:rFonts w:hint="eastAsia" w:ascii="仿宋" w:hAnsi="仿宋" w:eastAsia="仿宋" w:cs="仿宋"/>
          <w:spacing w:val="0"/>
          <w:kern w:val="0"/>
          <w:sz w:val="32"/>
          <w:szCs w:val="32"/>
        </w:rPr>
        <w:t>2024年度本单位收入总计3072.47万元，支出总计3072.47万元，与上年决算数相比，各增加157.51万元，各增长5.40%。主要是</w:t>
      </w:r>
      <w:r>
        <w:rPr>
          <w:rFonts w:hint="eastAsia" w:ascii="仿宋" w:hAnsi="仿宋" w:eastAsia="仿宋" w:cs="仿宋"/>
          <w:spacing w:val="0"/>
          <w:kern w:val="0"/>
          <w:sz w:val="32"/>
          <w:szCs w:val="32"/>
          <w:lang w:eastAsia="zh-CN"/>
        </w:rPr>
        <w:t>学校环境建设相关支出增加</w:t>
      </w:r>
      <w:r>
        <w:rPr>
          <w:rFonts w:hint="eastAsia" w:ascii="仿宋" w:hAnsi="仿宋" w:eastAsia="仿宋" w:cs="仿宋"/>
          <w:spacing w:val="0"/>
          <w:kern w:val="0"/>
          <w:sz w:val="32"/>
          <w:szCs w:val="32"/>
          <w:lang w:val="en-US" w:eastAsia="zh-CN"/>
        </w:rPr>
        <w:t>。</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（二）收入决算情况说明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2024年度收入3072.47万元，比上年决算数</w:t>
      </w:r>
      <w:r>
        <w:rPr>
          <w:rFonts w:hint="eastAsia" w:ascii="仿宋" w:hAnsi="仿宋" w:eastAsia="仿宋" w:cs="仿宋"/>
          <w:kern w:val="0"/>
          <w:sz w:val="32"/>
          <w:szCs w:val="32"/>
        </w:rPr>
        <w:t>增加</w:t>
      </w:r>
      <w:r>
        <w:rPr>
          <w:rFonts w:hint="eastAsia" w:ascii="仿宋" w:hAnsi="仿宋" w:eastAsia="仿宋" w:cs="仿宋"/>
          <w:spacing w:val="0"/>
          <w:kern w:val="0"/>
          <w:sz w:val="32"/>
          <w:szCs w:val="32"/>
        </w:rPr>
        <w:t>157.51万元，</w:t>
      </w:r>
      <w:r>
        <w:rPr>
          <w:rFonts w:hint="eastAsia" w:ascii="仿宋" w:hAnsi="仿宋" w:eastAsia="仿宋" w:cs="仿宋"/>
          <w:kern w:val="0"/>
          <w:sz w:val="32"/>
          <w:szCs w:val="32"/>
        </w:rPr>
        <w:t>增长</w:t>
      </w:r>
      <w:r>
        <w:rPr>
          <w:rFonts w:hint="eastAsia" w:ascii="仿宋" w:hAnsi="仿宋" w:eastAsia="仿宋" w:cs="仿宋"/>
          <w:spacing w:val="0"/>
          <w:kern w:val="0"/>
          <w:sz w:val="32"/>
          <w:szCs w:val="32"/>
        </w:rPr>
        <w:t>5.40%，具体情况如下：</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1.一般公共预算财政拨款收入3072.47万元。</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2.政府性基金预算财政拨款收入0万元。</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3.国有资本经营预算财政拨款收入0万元。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4.上级补助收入0万元。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5.事业收入0万元。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6.经营收入0万元。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7.附属单位上缴收入0万元。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8.其他收入0万元。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（三）支出决算情况说明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2024年度支出3072.47万元，比上年决算数增加157.51万元，增长5.40%，具体情况如下：</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1.基本支出2636.51万元。其中，人员支出2396.16万元，公用支出240.35万元。</w:t>
      </w:r>
    </w:p>
    <w:p>
      <w:pPr>
        <w:pStyle w:val="29"/>
        <w:widowControl/>
        <w:spacing w:before="240" w:after="240"/>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2.项目支出435.96万元。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3.上缴上级支出0万元。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4.经营支出0万元。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5.对附属单位补助支出0万元。</w:t>
      </w:r>
    </w:p>
    <w:p>
      <w:pPr>
        <w:pStyle w:val="6"/>
        <w:keepNext w:val="0"/>
        <w:keepLines w:val="0"/>
        <w:spacing w:before="100" w:after="100" w:line="240" w:lineRule="auto"/>
        <w:ind w:left="0" w:right="0" w:firstLine="480" w:firstLineChars="0"/>
        <w:jc w:val="both"/>
        <w:rPr>
          <w:rFonts w:hint="eastAsia" w:ascii="仿宋" w:hAnsi="仿宋" w:eastAsia="仿宋" w:cs="仿宋"/>
          <w:b/>
          <w:bCs/>
          <w:kern w:val="0"/>
          <w:sz w:val="32"/>
          <w:szCs w:val="32"/>
        </w:rPr>
      </w:pPr>
      <w:bookmarkStart w:id="77" w:name="_Toc256000050"/>
      <w:bookmarkStart w:id="78" w:name="_Toc256000112"/>
      <w:bookmarkStart w:id="79" w:name="_Toc256000081"/>
      <w:bookmarkStart w:id="80" w:name="_Toc256000019"/>
      <w:r>
        <w:rPr>
          <w:rFonts w:hint="eastAsia" w:ascii="仿宋" w:hAnsi="仿宋" w:eastAsia="仿宋" w:cs="仿宋"/>
          <w:b/>
          <w:spacing w:val="0"/>
          <w:sz w:val="32"/>
          <w:szCs w:val="32"/>
        </w:rPr>
        <w:t>二、财政拨款收入支出决算总体情况说明</w:t>
      </w:r>
      <w:bookmarkEnd w:id="77"/>
      <w:bookmarkEnd w:id="78"/>
      <w:bookmarkEnd w:id="79"/>
      <w:bookmarkEnd w:id="80"/>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2024年度财政拨款收入总计3072.47万元，支出总计3072.47万元，与上年决算数相比，各增加157.51万元，增长5.40%，主要是：</w:t>
      </w:r>
      <w:r>
        <w:rPr>
          <w:rFonts w:hint="eastAsia" w:ascii="仿宋" w:hAnsi="仿宋" w:eastAsia="仿宋" w:cs="仿宋"/>
          <w:spacing w:val="0"/>
          <w:kern w:val="0"/>
          <w:sz w:val="32"/>
          <w:szCs w:val="32"/>
          <w:lang w:eastAsia="zh-CN"/>
        </w:rPr>
        <w:t>学校环境建设相关支出增加</w:t>
      </w:r>
      <w:r>
        <w:rPr>
          <w:rFonts w:hint="eastAsia" w:ascii="仿宋" w:hAnsi="仿宋" w:eastAsia="仿宋" w:cs="仿宋"/>
          <w:spacing w:val="0"/>
          <w:kern w:val="0"/>
          <w:sz w:val="32"/>
          <w:szCs w:val="32"/>
          <w:lang w:val="en-US" w:eastAsia="zh-CN"/>
        </w:rPr>
        <w:t>。</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1" w:name="_Toc256000113"/>
      <w:bookmarkStart w:id="82" w:name="_Toc256000082"/>
      <w:bookmarkStart w:id="83" w:name="_Toc256000020"/>
      <w:bookmarkStart w:id="84" w:name="_Toc256000051"/>
      <w:r>
        <w:rPr>
          <w:rFonts w:hint="eastAsia" w:ascii="仿宋" w:hAnsi="仿宋" w:eastAsia="仿宋" w:cs="仿宋"/>
          <w:b/>
          <w:spacing w:val="0"/>
          <w:sz w:val="32"/>
          <w:szCs w:val="32"/>
        </w:rPr>
        <w:t>三、一般公共预算拨款支出决算情况说明</w:t>
      </w:r>
      <w:bookmarkEnd w:id="81"/>
      <w:bookmarkEnd w:id="82"/>
      <w:bookmarkEnd w:id="83"/>
      <w:bookmarkEnd w:id="84"/>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2024年一般公共预算支出3072.47万元，比上年决算数增加176.56万元，增长6.10%，具体情况如下(按</w:t>
      </w:r>
      <w:r>
        <w:rPr>
          <w:rStyle w:val="31"/>
          <w:rFonts w:hint="eastAsia" w:ascii="仿宋" w:hAnsi="仿宋" w:eastAsia="仿宋" w:cs="仿宋"/>
          <w:spacing w:val="0"/>
          <w:kern w:val="0"/>
          <w:sz w:val="32"/>
          <w:szCs w:val="32"/>
        </w:rPr>
        <w:t>项级科目</w:t>
      </w:r>
      <w:r>
        <w:rPr>
          <w:rFonts w:hint="eastAsia" w:ascii="仿宋" w:hAnsi="仿宋" w:eastAsia="仿宋" w:cs="仿宋"/>
          <w:spacing w:val="0"/>
          <w:kern w:val="0"/>
          <w:sz w:val="32"/>
          <w:szCs w:val="32"/>
        </w:rPr>
        <w:t>分类统计)：</w:t>
      </w:r>
    </w:p>
    <w:p>
      <w:pPr>
        <w:pStyle w:val="29"/>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（一）2050202 小学教育2,043.69万元，较上年决算数减少77.39万元，下降3.65%。主要原因是</w:t>
      </w:r>
      <w:r>
        <w:rPr>
          <w:rFonts w:hint="eastAsia" w:ascii="仿宋" w:hAnsi="仿宋" w:eastAsia="仿宋" w:cs="仿宋"/>
          <w:spacing w:val="0"/>
          <w:kern w:val="0"/>
          <w:sz w:val="32"/>
          <w:szCs w:val="32"/>
          <w:lang w:val="en-US" w:eastAsia="zh-CN"/>
        </w:rPr>
        <w:t>人员变动及业务支出减少。</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（二）2050299 其他普通教育支出176.22万元，较上年决算数增加26.20万元，增长17.46%。主要原因是</w:t>
      </w:r>
      <w:r>
        <w:rPr>
          <w:rFonts w:hint="eastAsia" w:ascii="仿宋" w:hAnsi="仿宋" w:eastAsia="仿宋" w:cs="仿宋"/>
          <w:spacing w:val="0"/>
          <w:kern w:val="0"/>
          <w:sz w:val="32"/>
          <w:szCs w:val="32"/>
          <w:lang w:val="en-US" w:eastAsia="zh-CN"/>
        </w:rPr>
        <w:t>项目支出增加。</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（三）2050999 其他教育费附加安排的支出312.67万元，较上年决算数增加193.59万元，增长162.57%。主要原因是</w:t>
      </w:r>
      <w:r>
        <w:rPr>
          <w:rFonts w:hint="eastAsia" w:ascii="仿宋" w:hAnsi="仿宋" w:eastAsia="仿宋" w:cs="仿宋"/>
          <w:spacing w:val="0"/>
          <w:kern w:val="0"/>
          <w:sz w:val="32"/>
          <w:szCs w:val="32"/>
          <w:lang w:val="en-US" w:eastAsia="zh-CN"/>
        </w:rPr>
        <w:t>修缮采购项目支出增加。</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（四）2080502 事业单位离退休141.00万元，较上年决算数增加19.82万元，增长16.3</w:t>
      </w:r>
      <w:r>
        <w:rPr>
          <w:rFonts w:hint="eastAsia" w:ascii="仿宋" w:hAnsi="仿宋" w:eastAsia="仿宋" w:cs="仿宋"/>
          <w:spacing w:val="0"/>
          <w:kern w:val="0"/>
          <w:sz w:val="32"/>
          <w:szCs w:val="32"/>
          <w:lang w:val="en-US" w:eastAsia="zh-CN"/>
        </w:rPr>
        <w:t>6</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退休人员增加。</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（五）2080505 机关事业单位基本养老保险缴费支出166.71万元，较上年决算数减少3.61万元，下降2.12%。主要原因是</w:t>
      </w:r>
      <w:r>
        <w:rPr>
          <w:rFonts w:hint="eastAsia" w:ascii="仿宋" w:hAnsi="仿宋" w:eastAsia="仿宋" w:cs="仿宋"/>
          <w:spacing w:val="0"/>
          <w:kern w:val="0"/>
          <w:sz w:val="32"/>
          <w:szCs w:val="32"/>
          <w:lang w:val="en-US" w:eastAsia="zh-CN"/>
        </w:rPr>
        <w:t>人员变动及缴费基数调整。</w:t>
      </w:r>
    </w:p>
    <w:p>
      <w:pPr>
        <w:pStyle w:val="29"/>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（六）2080506 机关事业单位职业年金缴费支出110.03万元，较上年决算数增加5.98万元，增长5.75%。主要原因是</w:t>
      </w:r>
      <w:r>
        <w:rPr>
          <w:rFonts w:hint="eastAsia" w:ascii="仿宋" w:hAnsi="仿宋" w:eastAsia="仿宋" w:cs="仿宋"/>
          <w:spacing w:val="0"/>
          <w:kern w:val="0"/>
          <w:sz w:val="32"/>
          <w:szCs w:val="32"/>
          <w:lang w:val="en-US" w:eastAsia="zh-CN"/>
        </w:rPr>
        <w:t>退休人员职业年金记实支出增加等。</w:t>
      </w:r>
    </w:p>
    <w:p>
      <w:pPr>
        <w:pStyle w:val="29"/>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hint="default" w:ascii="仿宋" w:hAnsi="仿宋" w:eastAsia="仿宋" w:cs="仿宋"/>
          <w:kern w:val="0"/>
          <w:sz w:val="32"/>
          <w:szCs w:val="32"/>
          <w:lang w:val="en-US" w:eastAsia="zh-CN"/>
        </w:rPr>
      </w:pP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lang w:val="en-US" w:eastAsia="zh-CN"/>
        </w:rPr>
        <w:t>七）</w:t>
      </w:r>
      <w:r>
        <w:rPr>
          <w:rFonts w:hint="eastAsia" w:ascii="仿宋" w:hAnsi="仿宋" w:eastAsia="仿宋" w:cs="仿宋"/>
          <w:spacing w:val="0"/>
          <w:kern w:val="0"/>
          <w:sz w:val="32"/>
          <w:szCs w:val="32"/>
        </w:rPr>
        <w:t>2101102 事业单位医疗71.37万元，较上年决算数减少1.5</w:t>
      </w:r>
      <w:r>
        <w:rPr>
          <w:rFonts w:hint="eastAsia" w:ascii="仿宋" w:hAnsi="仿宋" w:eastAsia="仿宋" w:cs="仿宋"/>
          <w:spacing w:val="0"/>
          <w:kern w:val="0"/>
          <w:sz w:val="32"/>
          <w:szCs w:val="32"/>
          <w:lang w:val="en-US" w:eastAsia="zh-CN"/>
        </w:rPr>
        <w:t>5</w:t>
      </w:r>
      <w:r>
        <w:rPr>
          <w:rFonts w:hint="eastAsia" w:ascii="仿宋" w:hAnsi="仿宋" w:eastAsia="仿宋" w:cs="仿宋"/>
          <w:spacing w:val="0"/>
          <w:kern w:val="0"/>
          <w:sz w:val="32"/>
          <w:szCs w:val="32"/>
        </w:rPr>
        <w:t>万元，下降2.1</w:t>
      </w:r>
      <w:r>
        <w:rPr>
          <w:rFonts w:hint="eastAsia" w:ascii="仿宋" w:hAnsi="仿宋" w:eastAsia="仿宋" w:cs="仿宋"/>
          <w:spacing w:val="0"/>
          <w:kern w:val="0"/>
          <w:sz w:val="32"/>
          <w:szCs w:val="32"/>
          <w:lang w:val="en-US" w:eastAsia="zh-CN"/>
        </w:rPr>
        <w:t>3</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 xml:space="preserve">人员变动及缴费基数调整。                                      </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（八）2101199 其他行政事业单位医疗支出36.47万元，较上年决算数减少0.79万元，下降2.12%。主要原因是</w:t>
      </w:r>
      <w:r>
        <w:rPr>
          <w:rFonts w:hint="eastAsia" w:ascii="仿宋" w:hAnsi="仿宋" w:eastAsia="仿宋" w:cs="仿宋"/>
          <w:spacing w:val="0"/>
          <w:kern w:val="0"/>
          <w:sz w:val="32"/>
          <w:szCs w:val="32"/>
          <w:lang w:val="en-US" w:eastAsia="zh-CN"/>
        </w:rPr>
        <w:t>人员变动及缴费基数调整。</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（九）2210203 购房补贴14.30万元，较上年决算数增加14.30万元，增长100%。主要原因是</w:t>
      </w:r>
      <w:r>
        <w:rPr>
          <w:rFonts w:hint="eastAsia" w:ascii="仿宋" w:hAnsi="仿宋" w:eastAsia="仿宋" w:cs="仿宋"/>
          <w:spacing w:val="0"/>
          <w:kern w:val="0"/>
          <w:sz w:val="32"/>
          <w:szCs w:val="32"/>
          <w:lang w:val="en-US" w:eastAsia="zh-CN"/>
        </w:rPr>
        <w:t>2024年新增教师购房补贴。</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5" w:name="_Toc256000052"/>
      <w:bookmarkStart w:id="86" w:name="_Toc256000083"/>
      <w:bookmarkStart w:id="87" w:name="_Toc256000114"/>
      <w:bookmarkStart w:id="88" w:name="_Toc256000021"/>
      <w:r>
        <w:rPr>
          <w:rFonts w:hint="eastAsia" w:ascii="仿宋" w:hAnsi="仿宋" w:eastAsia="仿宋" w:cs="仿宋"/>
          <w:b/>
          <w:spacing w:val="0"/>
          <w:sz w:val="32"/>
          <w:szCs w:val="32"/>
        </w:rPr>
        <w:t>四、政府性基金预算财政拨款支出决算情况说明</w:t>
      </w:r>
      <w:bookmarkEnd w:id="85"/>
      <w:bookmarkEnd w:id="86"/>
      <w:bookmarkEnd w:id="87"/>
      <w:bookmarkEnd w:id="88"/>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eastAsia="zh-CN"/>
        </w:rPr>
      </w:pPr>
      <w:bookmarkStart w:id="89" w:name="_Toc256000084"/>
      <w:bookmarkStart w:id="90" w:name="_Toc256000115"/>
      <w:bookmarkStart w:id="91" w:name="_Toc256000053"/>
      <w:bookmarkStart w:id="92" w:name="_Toc256000022"/>
      <w:r>
        <w:rPr>
          <w:rFonts w:hint="eastAsia" w:ascii="仿宋" w:hAnsi="仿宋" w:eastAsia="仿宋" w:cs="仿宋"/>
          <w:spacing w:val="0"/>
          <w:kern w:val="0"/>
          <w:sz w:val="32"/>
          <w:szCs w:val="32"/>
        </w:rPr>
        <w:t>2024年度政府性基金支出0万元，比上年决算数增加0万元，增长0%</w:t>
      </w:r>
      <w:r>
        <w:rPr>
          <w:rFonts w:hint="eastAsia" w:ascii="仿宋" w:hAnsi="仿宋" w:eastAsia="仿宋" w:cs="仿宋"/>
          <w:spacing w:val="0"/>
          <w:kern w:val="0"/>
          <w:sz w:val="32"/>
          <w:szCs w:val="32"/>
          <w:lang w:eastAsia="zh-CN"/>
        </w:rPr>
        <w:t>。</w:t>
      </w:r>
    </w:p>
    <w:p>
      <w:pPr>
        <w:pStyle w:val="29"/>
        <w:widowControl/>
        <w:spacing w:before="100" w:after="100" w:line="600" w:lineRule="atLeast"/>
        <w:ind w:left="0" w:right="0" w:firstLine="640"/>
        <w:jc w:val="both"/>
        <w:rPr>
          <w:rFonts w:ascii="仿宋" w:hAnsi="仿宋" w:eastAsia="仿宋" w:cs="仿宋"/>
          <w:spacing w:val="0"/>
          <w:kern w:val="0"/>
          <w:sz w:val="32"/>
          <w:szCs w:val="32"/>
        </w:rPr>
      </w:pPr>
      <w:r>
        <w:rPr>
          <w:rFonts w:hint="eastAsia" w:ascii="仿宋" w:hAnsi="仿宋" w:eastAsia="仿宋" w:cs="仿宋"/>
          <w:spacing w:val="0"/>
          <w:kern w:val="0"/>
          <w:sz w:val="32"/>
          <w:szCs w:val="32"/>
        </w:rPr>
        <w:t>本单位2024年度没有使用政府性基金预算拨款安排的支出。</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五、国有资本经营预算财政拨款支出决算情况说明</w:t>
      </w:r>
      <w:bookmarkEnd w:id="89"/>
      <w:bookmarkEnd w:id="90"/>
      <w:bookmarkEnd w:id="91"/>
      <w:bookmarkEnd w:id="92"/>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eastAsia="zh-CN"/>
        </w:rPr>
      </w:pPr>
      <w:bookmarkStart w:id="93" w:name="_Toc256000054"/>
      <w:bookmarkStart w:id="94" w:name="_Toc256000023"/>
      <w:bookmarkStart w:id="95" w:name="_Toc256000085"/>
      <w:bookmarkStart w:id="96" w:name="_Toc256000116"/>
      <w:r>
        <w:rPr>
          <w:rFonts w:hint="eastAsia"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本单位2024年度没有使用国有资本经营预算财政拨款安排的支出。</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六、一般公共预算财政拨款基本支出决算情况说明</w:t>
      </w:r>
      <w:bookmarkEnd w:id="93"/>
      <w:bookmarkEnd w:id="94"/>
      <w:bookmarkEnd w:id="95"/>
      <w:bookmarkEnd w:id="96"/>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2024年度一般公共预算财政拨款基本支出2636.51万元，其中：</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一）人员经费2396.16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二）公用经费240.35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97" w:name="_Toc256000086"/>
      <w:bookmarkStart w:id="98" w:name="_Toc256000055"/>
      <w:bookmarkStart w:id="99" w:name="_Toc256000024"/>
      <w:bookmarkStart w:id="100" w:name="_Toc256000117"/>
      <w:r>
        <w:rPr>
          <w:rFonts w:hint="eastAsia" w:ascii="仿宋" w:hAnsi="仿宋" w:eastAsia="仿宋" w:cs="仿宋"/>
          <w:b/>
          <w:spacing w:val="0"/>
          <w:sz w:val="32"/>
          <w:szCs w:val="32"/>
        </w:rPr>
        <w:t>七、一般公共预算拨款“三公”经费支出决算情况说明</w:t>
      </w:r>
      <w:bookmarkEnd w:id="97"/>
      <w:bookmarkEnd w:id="98"/>
      <w:bookmarkEnd w:id="99"/>
      <w:bookmarkEnd w:id="100"/>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bookmarkStart w:id="101" w:name="_Toc256000087"/>
      <w:bookmarkStart w:id="102" w:name="_Toc256000056"/>
      <w:bookmarkStart w:id="103" w:name="_Toc256000118"/>
      <w:bookmarkStart w:id="104" w:name="_Toc256000025"/>
      <w:r>
        <w:rPr>
          <w:rFonts w:hint="eastAsia" w:ascii="仿宋" w:hAnsi="仿宋" w:eastAsia="仿宋" w:cs="仿宋"/>
          <w:spacing w:val="0"/>
          <w:kern w:val="0"/>
          <w:sz w:val="32"/>
          <w:szCs w:val="32"/>
        </w:rPr>
        <w:t>2024年度一般公共预算拨款“三公”经费支出0万元，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本单位没有使用“三公”经费支出</w:t>
      </w:r>
      <w:r>
        <w:rPr>
          <w:rFonts w:hint="eastAsia" w:ascii="仿宋" w:hAnsi="仿宋" w:eastAsia="仿宋" w:cs="仿宋"/>
          <w:spacing w:val="0"/>
          <w:kern w:val="0"/>
          <w:sz w:val="32"/>
          <w:szCs w:val="32"/>
        </w:rPr>
        <w:t>。具体情况如下：</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eastAsia="zh-CN"/>
        </w:rPr>
        <w:t>（一）</w:t>
      </w:r>
      <w:r>
        <w:rPr>
          <w:rFonts w:hint="eastAsia" w:ascii="仿宋" w:hAnsi="仿宋" w:eastAsia="仿宋" w:cs="仿宋"/>
          <w:spacing w:val="0"/>
          <w:kern w:val="0"/>
          <w:sz w:val="32"/>
          <w:szCs w:val="32"/>
        </w:rPr>
        <w:t>因公出国（境）费支出0.00万元，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全年安排本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组织的出国团组0 个，参加其他</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出国团组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 个；全年因公出国（境）累计0人次。主要是</w:t>
      </w:r>
      <w:r>
        <w:rPr>
          <w:rFonts w:hint="eastAsia" w:ascii="仿宋" w:hAnsi="仿宋" w:eastAsia="仿宋" w:cs="仿宋"/>
          <w:spacing w:val="0"/>
          <w:kern w:val="0"/>
          <w:sz w:val="32"/>
          <w:szCs w:val="32"/>
          <w:lang w:val="en-US" w:eastAsia="zh-CN"/>
        </w:rPr>
        <w:t>本单位没有组织出国团组及参加其他部</w:t>
      </w:r>
      <w:r>
        <w:rPr>
          <w:rFonts w:hint="default" w:ascii="仿宋" w:hAnsi="仿宋" w:eastAsia="仿宋" w:cs="仿宋"/>
          <w:spacing w:val="0"/>
          <w:kern w:val="0"/>
          <w:sz w:val="32"/>
          <w:szCs w:val="32"/>
          <w:lang w:val="en-US" w:eastAsia="zh-CN"/>
        </w:rPr>
        <w:t>门出国团组。</w:t>
      </w:r>
      <w:r>
        <w:rPr>
          <w:rFonts w:hint="eastAsia" w:ascii="仿宋" w:hAnsi="仿宋" w:eastAsia="仿宋" w:cs="仿宋"/>
          <w:spacing w:val="0"/>
          <w:kern w:val="0"/>
          <w:sz w:val="32"/>
          <w:szCs w:val="32"/>
          <w:lang w:val="en-US" w:eastAsia="zh-CN"/>
        </w:rPr>
        <w:t xml:space="preserve">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（二）公务用车购置及运行费支出0.00万元，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hint="eastAsia" w:ascii="仿宋" w:hAnsi="仿宋" w:eastAsia="仿宋" w:cs="仿宋"/>
          <w:spacing w:val="0"/>
          <w:kern w:val="0"/>
          <w:sz w:val="32"/>
          <w:szCs w:val="32"/>
        </w:rPr>
        <w:t>其中：</w:t>
      </w:r>
    </w:p>
    <w:p>
      <w:pPr>
        <w:pStyle w:val="29"/>
        <w:widowControl/>
        <w:spacing w:before="100" w:after="100" w:line="600" w:lineRule="atLeast"/>
        <w:ind w:left="0" w:right="0" w:firstLine="640"/>
        <w:jc w:val="both"/>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公务用车购置费支出0.00万元，与全年预算0.00万元持平，较上年决算的0.00万元相比持平。2024年公务用车购置0 辆。主要是本单位</w:t>
      </w:r>
      <w:r>
        <w:rPr>
          <w:rFonts w:hint="default" w:ascii="仿宋" w:hAnsi="仿宋" w:eastAsia="仿宋" w:cs="仿宋"/>
          <w:spacing w:val="0"/>
          <w:kern w:val="0"/>
          <w:sz w:val="32"/>
          <w:szCs w:val="32"/>
          <w:lang w:val="en-US" w:eastAsia="zh-CN"/>
        </w:rPr>
        <w:t>没有购置公务用车。</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本单位没有公务用车运行而维护</w:t>
      </w:r>
      <w:r>
        <w:rPr>
          <w:rFonts w:hint="default" w:ascii="仿宋" w:hAnsi="仿宋" w:eastAsia="仿宋" w:cs="仿宋"/>
          <w:spacing w:val="0"/>
          <w:kern w:val="0"/>
          <w:sz w:val="32"/>
          <w:szCs w:val="32"/>
          <w:lang w:val="en-US" w:eastAsia="zh-CN"/>
        </w:rPr>
        <w:t>费的支出。</w:t>
      </w:r>
      <w:r>
        <w:rPr>
          <w:rFonts w:hint="eastAsia" w:ascii="仿宋" w:hAnsi="仿宋" w:eastAsia="仿宋" w:cs="仿宋"/>
          <w:spacing w:val="0"/>
          <w:kern w:val="0"/>
          <w:sz w:val="32"/>
          <w:szCs w:val="32"/>
        </w:rPr>
        <w:t>截至20</w:t>
      </w:r>
      <w:r>
        <w:rPr>
          <w:rFonts w:hint="eastAsia" w:ascii="仿宋" w:hAnsi="仿宋" w:eastAsia="仿宋" w:cs="仿宋"/>
          <w:spacing w:val="0"/>
          <w:kern w:val="0"/>
          <w:sz w:val="32"/>
          <w:szCs w:val="32"/>
          <w:lang w:val="en-US" w:eastAsia="zh-CN"/>
        </w:rPr>
        <w:t>24</w:t>
      </w:r>
      <w:r>
        <w:rPr>
          <w:rFonts w:hint="eastAsia" w:ascii="仿宋" w:hAnsi="仿宋" w:eastAsia="仿宋" w:cs="仿宋"/>
          <w:spacing w:val="0"/>
          <w:kern w:val="0"/>
          <w:sz w:val="32"/>
          <w:szCs w:val="32"/>
        </w:rPr>
        <w:t>年12月31日，本</w:t>
      </w:r>
      <w:r>
        <w:rPr>
          <w:rFonts w:hint="eastAsia" w:ascii="仿宋" w:hAnsi="仿宋" w:eastAsia="仿宋" w:cs="仿宋"/>
          <w:spacing w:val="0"/>
          <w:kern w:val="0"/>
          <w:sz w:val="32"/>
          <w:szCs w:val="32"/>
          <w:lang w:val="en-US" w:eastAsia="zh-CN"/>
        </w:rPr>
        <w:t>单位</w:t>
      </w:r>
      <w:r>
        <w:rPr>
          <w:rFonts w:hint="eastAsia" w:ascii="仿宋" w:hAnsi="仿宋" w:eastAsia="仿宋" w:cs="仿宋"/>
          <w:spacing w:val="0"/>
          <w:kern w:val="0"/>
          <w:sz w:val="32"/>
          <w:szCs w:val="32"/>
        </w:rPr>
        <w:t>公务用车保有量为0辆。</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eastAsia="zh-CN"/>
        </w:rPr>
        <w:t>（三）</w:t>
      </w:r>
      <w:r>
        <w:rPr>
          <w:rFonts w:hint="eastAsia" w:ascii="仿宋" w:hAnsi="仿宋" w:eastAsia="仿宋" w:cs="仿宋"/>
          <w:spacing w:val="0"/>
          <w:kern w:val="0"/>
          <w:sz w:val="32"/>
          <w:szCs w:val="32"/>
        </w:rPr>
        <w:t>公务接待费支出0.00万元，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本单位没有公务接待活动。</w:t>
      </w:r>
      <w:r>
        <w:rPr>
          <w:rFonts w:hint="eastAsia" w:ascii="仿宋" w:hAnsi="仿宋" w:eastAsia="仿宋" w:cs="仿宋"/>
          <w:spacing w:val="0"/>
          <w:kern w:val="0"/>
          <w:sz w:val="32"/>
          <w:szCs w:val="32"/>
        </w:rPr>
        <w:t>累计接待0 批次、0人次。</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八、预算绩效情况说明</w:t>
      </w:r>
      <w:bookmarkEnd w:id="101"/>
      <w:bookmarkEnd w:id="102"/>
      <w:bookmarkEnd w:id="103"/>
      <w:bookmarkEnd w:id="104"/>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hint="eastAsia"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义务教育阶段家庭经济困难学生营养餐补助，涉及财政拨款资金共计</w:t>
      </w:r>
      <w:r>
        <w:rPr>
          <w:rFonts w:hint="eastAsia" w:ascii="仿宋" w:hAnsi="仿宋" w:eastAsia="仿宋" w:cs="仿宋"/>
          <w:spacing w:val="0"/>
          <w:kern w:val="0"/>
          <w:sz w:val="32"/>
          <w:szCs w:val="32"/>
          <w:lang w:val="en-US" w:eastAsia="zh-CN"/>
        </w:rPr>
        <w:t>0.03</w:t>
      </w:r>
      <w:r>
        <w:rPr>
          <w:rFonts w:hint="eastAsia" w:ascii="仿宋" w:hAnsi="仿宋" w:eastAsia="仿宋" w:cs="仿宋"/>
          <w:spacing w:val="0"/>
          <w:kern w:val="0"/>
          <w:sz w:val="32"/>
          <w:szCs w:val="32"/>
        </w:rPr>
        <w:t>万元。（《项目支出绩效自评表》详见附件）</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105" w:name="_Toc256000057"/>
      <w:bookmarkStart w:id="106" w:name="_Toc256000119"/>
      <w:bookmarkStart w:id="107" w:name="_Toc256000026"/>
      <w:bookmarkStart w:id="108" w:name="_Toc256000088"/>
      <w:r>
        <w:rPr>
          <w:rFonts w:hint="eastAsia" w:ascii="仿宋" w:hAnsi="仿宋" w:eastAsia="仿宋" w:cs="仿宋"/>
          <w:b/>
          <w:spacing w:val="0"/>
          <w:sz w:val="32"/>
          <w:szCs w:val="32"/>
        </w:rPr>
        <w:t>九、其他重要事项说明</w:t>
      </w:r>
      <w:bookmarkEnd w:id="105"/>
      <w:bookmarkEnd w:id="106"/>
      <w:bookmarkEnd w:id="107"/>
      <w:bookmarkEnd w:id="108"/>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4"/>
        </w:rPr>
      </w:pPr>
      <w:bookmarkStart w:id="109" w:name="_Toc256000027"/>
      <w:bookmarkStart w:id="110" w:name="_Toc256000089"/>
      <w:bookmarkStart w:id="111" w:name="_Toc256000120"/>
      <w:bookmarkStart w:id="112" w:name="_Toc256000058"/>
      <w:r>
        <w:rPr>
          <w:rStyle w:val="31"/>
          <w:rFonts w:ascii="楷体" w:hAnsi="楷体" w:eastAsia="楷体" w:cs="楷体"/>
          <w:b/>
          <w:bCs/>
          <w:spacing w:val="0"/>
          <w:kern w:val="0"/>
          <w:sz w:val="32"/>
          <w:szCs w:val="32"/>
        </w:rPr>
        <w:t>（一）机关运行经费</w:t>
      </w:r>
      <w:r>
        <w:rPr>
          <w:rFonts w:ascii="宋体" w:hAnsi="宋体" w:cs="宋体"/>
          <w:spacing w:val="0"/>
          <w:kern w:val="0"/>
          <w:sz w:val="32"/>
          <w:szCs w:val="32"/>
        </w:rPr>
        <w:t>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2024年度机关运行经费支出0万元，比上年决算数增加（减少）</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rPr>
        <w:t>没有机关运行经费。</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（二）政府采购情况</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本单位2024年度没有政府采购支出。</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7"/>
        <w:jc w:val="both"/>
        <w:textAlignment w:val="auto"/>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both"/>
        <w:textAlignment w:val="auto"/>
        <w:rPr>
          <w:rFonts w:ascii="Calibri" w:hAnsi="Calibri" w:eastAsia="Calibri" w:cs="Calibri"/>
          <w:spacing w:val="0"/>
          <w:kern w:val="0"/>
          <w:sz w:val="32"/>
          <w:szCs w:val="32"/>
        </w:rPr>
      </w:pPr>
      <w:r>
        <w:rPr>
          <w:rFonts w:hint="eastAsia"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p>
    <w:p>
      <w:pPr>
        <w:pStyle w:val="4"/>
        <w:keepNext w:val="0"/>
        <w:keepLines w:val="0"/>
        <w:spacing w:before="100" w:after="100" w:line="240" w:lineRule="auto"/>
        <w:ind w:left="0" w:right="0" w:firstLine="0" w:firstLineChars="0"/>
        <w:rPr>
          <w:rFonts w:hint="eastAsia" w:ascii="仿宋" w:hAnsi="仿宋" w:eastAsia="仿宋" w:cs="仿宋"/>
          <w:b/>
          <w:spacing w:val="0"/>
          <w:sz w:val="32"/>
          <w:szCs w:val="32"/>
        </w:r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r>
        <w:rPr>
          <w:rFonts w:hint="eastAsia" w:ascii="仿宋" w:hAnsi="仿宋" w:eastAsia="仿宋" w:cs="仿宋"/>
          <w:b/>
          <w:spacing w:val="0"/>
          <w:sz w:val="32"/>
          <w:szCs w:val="32"/>
        </w:rPr>
        <w:t>第四部分</w:t>
      </w:r>
      <w:bookmarkEnd w:id="109"/>
      <w:bookmarkEnd w:id="110"/>
      <w:bookmarkEnd w:id="111"/>
      <w:bookmarkEnd w:id="112"/>
      <w:r>
        <w:rPr>
          <w:rFonts w:hint="eastAsia" w:ascii="仿宋" w:hAnsi="仿宋" w:eastAsia="仿宋" w:cs="仿宋"/>
          <w:b/>
          <w:spacing w:val="0"/>
          <w:sz w:val="32"/>
          <w:szCs w:val="32"/>
        </w:rPr>
        <w:t> </w:t>
      </w:r>
      <w:bookmarkStart w:id="113" w:name="_Toc256000059"/>
      <w:bookmarkStart w:id="114" w:name="_Toc256000090"/>
      <w:bookmarkStart w:id="115" w:name="_Toc256000028"/>
      <w:bookmarkStart w:id="116" w:name="_Toc256000121"/>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名词解释</w:t>
      </w:r>
      <w:bookmarkEnd w:id="113"/>
      <w:bookmarkEnd w:id="114"/>
      <w:bookmarkEnd w:id="115"/>
      <w:bookmarkEnd w:id="116"/>
    </w:p>
    <w:p>
      <w:pPr>
        <w:pStyle w:val="29"/>
        <w:widowControl/>
        <w:spacing w:before="100" w:after="100" w:line="600" w:lineRule="atLeast"/>
        <w:ind w:right="0" w:firstLine="643" w:firstLineChars="20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一、财政拨款收入：</w:t>
      </w:r>
      <w:r>
        <w:rPr>
          <w:rFonts w:hint="eastAsia"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9"/>
        <w:widowControl/>
        <w:spacing w:before="100" w:after="100" w:line="600" w:lineRule="atLeast"/>
        <w:ind w:left="0" w:right="0" w:firstLine="71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二、事业收入：</w:t>
      </w:r>
      <w:r>
        <w:rPr>
          <w:rFonts w:hint="eastAsia" w:ascii="仿宋" w:hAnsi="仿宋" w:eastAsia="仿宋" w:cs="仿宋"/>
          <w:spacing w:val="0"/>
          <w:kern w:val="0"/>
          <w:sz w:val="32"/>
          <w:szCs w:val="32"/>
        </w:rPr>
        <w:t>指事业单位开展专业业务活动及辅助活动所取得的收入。</w:t>
      </w:r>
    </w:p>
    <w:p>
      <w:pPr>
        <w:pStyle w:val="29"/>
        <w:widowControl/>
        <w:spacing w:before="100" w:after="100" w:line="600" w:lineRule="atLeast"/>
        <w:ind w:left="0" w:right="0" w:firstLine="71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三、经营收入：</w:t>
      </w:r>
      <w:r>
        <w:rPr>
          <w:rFonts w:hint="eastAsia" w:ascii="仿宋" w:hAnsi="仿宋" w:eastAsia="仿宋" w:cs="仿宋"/>
          <w:spacing w:val="0"/>
          <w:kern w:val="0"/>
          <w:sz w:val="32"/>
          <w:szCs w:val="32"/>
        </w:rPr>
        <w:t>指事业单位在专业业务活动及其辅助活动之外开展非独立核算经营活动取得的收入。</w:t>
      </w:r>
    </w:p>
    <w:p>
      <w:pPr>
        <w:pStyle w:val="29"/>
        <w:widowControl/>
        <w:spacing w:before="100" w:after="100" w:line="600" w:lineRule="atLeast"/>
        <w:ind w:left="0" w:right="0" w:firstLine="71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四、其他收入：</w:t>
      </w:r>
      <w:r>
        <w:rPr>
          <w:rFonts w:hint="eastAsia" w:ascii="仿宋" w:hAnsi="仿宋" w:eastAsia="仿宋" w:cs="仿宋"/>
          <w:spacing w:val="0"/>
          <w:kern w:val="0"/>
          <w:sz w:val="32"/>
          <w:szCs w:val="32"/>
        </w:rPr>
        <w:t>指除上述“财政拨款收入”“事业收入” “上级补助收入”“附属单位上缴收入”“经营收入”等以外取得的各项收入。主要是事业单位固定资产出租收入等。</w:t>
      </w:r>
    </w:p>
    <w:p>
      <w:pPr>
        <w:pStyle w:val="29"/>
        <w:widowControl/>
        <w:spacing w:before="100" w:after="100" w:line="600" w:lineRule="atLeast"/>
        <w:ind w:left="0" w:right="0" w:firstLine="71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五、使用非财政拨款结余：</w:t>
      </w:r>
      <w:r>
        <w:rPr>
          <w:rFonts w:hint="eastAsia" w:ascii="仿宋" w:hAnsi="仿宋" w:eastAsia="仿宋" w:cs="仿宋"/>
          <w:spacing w:val="0"/>
          <w:kern w:val="0"/>
          <w:sz w:val="32"/>
          <w:szCs w:val="32"/>
        </w:rPr>
        <w:t>指事业单位使用以前年度积累的非财政拨款结余弥补当年收支差额的金额。</w:t>
      </w:r>
    </w:p>
    <w:p>
      <w:pPr>
        <w:pStyle w:val="29"/>
        <w:widowControl/>
        <w:spacing w:before="100" w:after="100" w:line="600" w:lineRule="atLeast"/>
        <w:ind w:left="0" w:right="0" w:firstLine="71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六、年初结转和结余：</w:t>
      </w:r>
      <w:r>
        <w:rPr>
          <w:rFonts w:hint="eastAsia" w:ascii="仿宋" w:hAnsi="仿宋" w:eastAsia="仿宋" w:cs="仿宋"/>
          <w:spacing w:val="0"/>
          <w:kern w:val="0"/>
          <w:sz w:val="32"/>
          <w:szCs w:val="32"/>
        </w:rPr>
        <w:t>指单位以前年度尚未完成、结转到本年仍按原规定用途继续使用的资金，或项目已完成等产生的结余资金。</w:t>
      </w:r>
    </w:p>
    <w:p>
      <w:pPr>
        <w:pStyle w:val="30"/>
        <w:widowControl/>
        <w:spacing w:before="100" w:after="100" w:line="600" w:lineRule="atLeast"/>
        <w:ind w:left="0" w:right="0" w:firstLine="64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七、结余分配：</w:t>
      </w:r>
      <w:r>
        <w:rPr>
          <w:rFonts w:hint="eastAsia" w:ascii="仿宋" w:hAnsi="仿宋" w:eastAsia="仿宋" w:cs="仿宋"/>
          <w:spacing w:val="0"/>
          <w:kern w:val="0"/>
          <w:sz w:val="32"/>
          <w:szCs w:val="32"/>
        </w:rPr>
        <w:t>指事业单位按照会计制度规定缴纳的所得税、提取的专用结余以及转入非财政拨款结余的金额等。</w:t>
      </w:r>
    </w:p>
    <w:p>
      <w:pPr>
        <w:pStyle w:val="30"/>
        <w:widowControl/>
        <w:spacing w:before="100" w:after="100" w:line="600" w:lineRule="atLeast"/>
        <w:ind w:left="0" w:right="0" w:firstLine="64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八、年末结转和结余：</w:t>
      </w:r>
      <w:r>
        <w:rPr>
          <w:rFonts w:hint="eastAsia" w:ascii="仿宋" w:hAnsi="仿宋" w:eastAsia="仿宋" w:cs="仿宋"/>
          <w:spacing w:val="0"/>
          <w:kern w:val="0"/>
          <w:sz w:val="32"/>
          <w:szCs w:val="32"/>
        </w:rPr>
        <w:t>指单位按有关规定结转到下年或以后年度继续使用的资金，或项目已完成等产生的结余资金。</w:t>
      </w:r>
    </w:p>
    <w:p>
      <w:pPr>
        <w:pStyle w:val="30"/>
        <w:widowControl/>
        <w:spacing w:before="100" w:after="100" w:line="600" w:lineRule="atLeast"/>
        <w:ind w:left="0" w:right="0" w:firstLine="64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九、基本支出：</w:t>
      </w:r>
      <w:r>
        <w:rPr>
          <w:rFonts w:hint="eastAsia" w:ascii="仿宋" w:hAnsi="仿宋" w:eastAsia="仿宋" w:cs="仿宋"/>
          <w:spacing w:val="0"/>
          <w:kern w:val="0"/>
          <w:sz w:val="32"/>
          <w:szCs w:val="32"/>
        </w:rPr>
        <w:t>指为保障机构正常运转、完成日常工作任务而发生的人员支出和公用支出。</w:t>
      </w:r>
    </w:p>
    <w:p>
      <w:pPr>
        <w:pStyle w:val="30"/>
        <w:widowControl/>
        <w:spacing w:before="100" w:after="100" w:line="600" w:lineRule="atLeast"/>
        <w:ind w:left="0" w:right="0" w:firstLine="64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十、项目支出：</w:t>
      </w:r>
      <w:r>
        <w:rPr>
          <w:rFonts w:hint="eastAsia" w:ascii="仿宋" w:hAnsi="仿宋" w:eastAsia="仿宋" w:cs="仿宋"/>
          <w:spacing w:val="0"/>
          <w:kern w:val="0"/>
          <w:sz w:val="32"/>
          <w:szCs w:val="32"/>
        </w:rPr>
        <w:t>指在基本支出之外为完成特定行政任务和事业发展目标所发生的支出。</w:t>
      </w:r>
    </w:p>
    <w:p>
      <w:pPr>
        <w:pStyle w:val="30"/>
        <w:widowControl/>
        <w:spacing w:before="100" w:after="100" w:line="600" w:lineRule="atLeast"/>
        <w:ind w:left="0" w:right="0" w:firstLine="64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十一、经营支出：</w:t>
      </w:r>
      <w:r>
        <w:rPr>
          <w:rFonts w:hint="eastAsia" w:ascii="仿宋" w:hAnsi="仿宋" w:eastAsia="仿宋" w:cs="仿宋"/>
          <w:spacing w:val="0"/>
          <w:kern w:val="0"/>
          <w:sz w:val="32"/>
          <w:szCs w:val="32"/>
        </w:rPr>
        <w:t>指事业单位在专业业务活动及其辅助活动之外开展非独立核算经营活动发生的支出。</w:t>
      </w:r>
    </w:p>
    <w:p>
      <w:pPr>
        <w:pStyle w:val="30"/>
        <w:widowControl/>
        <w:spacing w:before="100" w:after="100" w:line="600" w:lineRule="atLeast"/>
        <w:ind w:left="0" w:right="0" w:firstLine="640"/>
        <w:jc w:val="left"/>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十二、“三公”经费：</w:t>
      </w:r>
      <w:r>
        <w:rPr>
          <w:rFonts w:hint="eastAsia"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Style w:val="31"/>
          <w:rFonts w:hint="eastAsia" w:ascii="仿宋" w:hAnsi="仿宋" w:eastAsia="仿宋" w:cs="仿宋"/>
          <w:b/>
          <w:bCs/>
          <w:spacing w:val="0"/>
          <w:kern w:val="0"/>
          <w:sz w:val="32"/>
          <w:szCs w:val="32"/>
        </w:rPr>
        <w:t>十三、机关运行经费：</w:t>
      </w:r>
      <w:r>
        <w:rPr>
          <w:rFonts w:hint="eastAsia"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4"/>
        <w:keepNext w:val="0"/>
        <w:keepLines w:val="0"/>
        <w:spacing w:before="299" w:after="299" w:line="240" w:lineRule="auto"/>
        <w:ind w:firstLine="0" w:firstLineChars="0"/>
        <w:jc w:val="center"/>
        <w:rPr>
          <w:rFonts w:hint="eastAsia" w:ascii="仿宋" w:hAnsi="仿宋" w:eastAsia="仿宋" w:cs="仿宋"/>
          <w:b/>
          <w:bCs/>
          <w:kern w:val="0"/>
          <w:sz w:val="32"/>
          <w:szCs w:val="32"/>
        </w:rPr>
      </w:pPr>
      <w:bookmarkStart w:id="117" w:name="_Toc256000060"/>
      <w:bookmarkStart w:id="118" w:name="_Toc256000029"/>
      <w:bookmarkStart w:id="119" w:name="_Toc256000122"/>
      <w:bookmarkStart w:id="120" w:name="_Toc256000091"/>
      <w:r>
        <w:rPr>
          <w:rFonts w:hint="eastAsia" w:ascii="仿宋" w:hAnsi="仿宋" w:eastAsia="仿宋" w:cs="仿宋"/>
          <w:b/>
          <w:sz w:val="32"/>
          <w:szCs w:val="32"/>
        </w:rPr>
        <w:t>第五部分</w:t>
      </w:r>
      <w:bookmarkEnd w:id="117"/>
      <w:bookmarkEnd w:id="118"/>
      <w:bookmarkEnd w:id="119"/>
      <w:bookmarkEnd w:id="120"/>
      <w:r>
        <w:rPr>
          <w:rFonts w:hint="eastAsia" w:ascii="仿宋" w:hAnsi="仿宋" w:eastAsia="仿宋" w:cs="仿宋"/>
          <w:b/>
          <w:sz w:val="32"/>
          <w:szCs w:val="32"/>
        </w:rPr>
        <w:t> </w:t>
      </w:r>
      <w:bookmarkStart w:id="121" w:name="_Toc256000092"/>
      <w:bookmarkStart w:id="122" w:name="_Toc256000030"/>
      <w:bookmarkStart w:id="123" w:name="_Toc256000123"/>
      <w:bookmarkStart w:id="124" w:name="_Toc256000061"/>
      <w:r>
        <w:rPr>
          <w:rFonts w:hint="eastAsia" w:ascii="仿宋" w:hAnsi="仿宋" w:cs="仿宋"/>
          <w:b/>
          <w:sz w:val="32"/>
          <w:szCs w:val="32"/>
          <w:lang w:val="en-US" w:eastAsia="zh-CN"/>
        </w:rPr>
        <w:t xml:space="preserve">  </w:t>
      </w:r>
      <w:r>
        <w:rPr>
          <w:rFonts w:hint="eastAsia" w:ascii="仿宋" w:hAnsi="仿宋" w:eastAsia="仿宋" w:cs="仿宋"/>
          <w:b/>
          <w:sz w:val="32"/>
          <w:szCs w:val="32"/>
        </w:rPr>
        <w:t>附件</w:t>
      </w:r>
      <w:bookmarkEnd w:id="121"/>
      <w:bookmarkEnd w:id="122"/>
      <w:bookmarkEnd w:id="123"/>
      <w:bookmarkEnd w:id="124"/>
    </w:p>
    <w:tbl>
      <w:tblPr>
        <w:tblStyle w:val="23"/>
        <w:tblW w:w="99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3"/>
        <w:gridCol w:w="571"/>
        <w:gridCol w:w="1278"/>
        <w:gridCol w:w="964"/>
        <w:gridCol w:w="900"/>
        <w:gridCol w:w="1093"/>
        <w:gridCol w:w="1007"/>
        <w:gridCol w:w="728"/>
        <w:gridCol w:w="703"/>
        <w:gridCol w:w="392"/>
        <w:gridCol w:w="20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56"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32"/>
                <w:szCs w:val="32"/>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9956"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2152" w:type="dxa"/>
            <w:gridSpan w:val="3"/>
            <w:tcBorders>
              <w:top w:val="nil"/>
              <w:left w:val="nil"/>
              <w:bottom w:val="single" w:color="000000" w:sz="4" w:space="0"/>
              <w:right w:val="nil"/>
            </w:tcBorders>
            <w:shd w:val="clear" w:color="auto" w:fill="auto"/>
            <w:noWrap/>
            <w:vAlign w:val="center"/>
          </w:tcPr>
          <w:p>
            <w:pP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预算单位（盖章）：                                                                                                  </w:t>
            </w:r>
          </w:p>
        </w:tc>
        <w:tc>
          <w:tcPr>
            <w:tcW w:w="964" w:type="dxa"/>
            <w:tcBorders>
              <w:top w:val="nil"/>
              <w:left w:val="nil"/>
              <w:bottom w:val="single" w:color="000000" w:sz="4" w:space="0"/>
              <w:right w:val="nil"/>
            </w:tcBorders>
            <w:shd w:val="clear" w:color="auto" w:fill="auto"/>
            <w:noWrap/>
            <w:vAlign w:val="center"/>
          </w:tcPr>
          <w:p>
            <w:pPr>
              <w:rPr>
                <w:rFonts w:hint="eastAsia" w:ascii="仿宋" w:hAnsi="仿宋" w:eastAsia="仿宋" w:cs="仿宋"/>
                <w:i w:val="0"/>
                <w:iCs w:val="0"/>
                <w:color w:val="auto"/>
                <w:sz w:val="21"/>
                <w:szCs w:val="21"/>
                <w:u w:val="none"/>
              </w:rPr>
            </w:pPr>
          </w:p>
        </w:tc>
        <w:tc>
          <w:tcPr>
            <w:tcW w:w="900" w:type="dxa"/>
            <w:tcBorders>
              <w:top w:val="nil"/>
              <w:left w:val="nil"/>
              <w:bottom w:val="single" w:color="000000" w:sz="4" w:space="0"/>
              <w:right w:val="nil"/>
            </w:tcBorders>
            <w:shd w:val="clear" w:color="auto" w:fill="auto"/>
            <w:noWrap/>
            <w:vAlign w:val="center"/>
          </w:tcPr>
          <w:p>
            <w:pPr>
              <w:rPr>
                <w:rFonts w:hint="eastAsia" w:ascii="仿宋" w:hAnsi="仿宋" w:eastAsia="仿宋" w:cs="仿宋"/>
                <w:i w:val="0"/>
                <w:iCs w:val="0"/>
                <w:color w:val="auto"/>
                <w:sz w:val="21"/>
                <w:szCs w:val="21"/>
                <w:u w:val="none"/>
              </w:rPr>
            </w:pPr>
          </w:p>
        </w:tc>
        <w:tc>
          <w:tcPr>
            <w:tcW w:w="1093" w:type="dxa"/>
            <w:tcBorders>
              <w:top w:val="nil"/>
              <w:left w:val="nil"/>
              <w:bottom w:val="single" w:color="000000" w:sz="4" w:space="0"/>
              <w:right w:val="nil"/>
            </w:tcBorders>
            <w:shd w:val="clear" w:color="auto" w:fill="auto"/>
            <w:noWrap/>
            <w:vAlign w:val="center"/>
          </w:tcPr>
          <w:p>
            <w:pPr>
              <w:jc w:val="center"/>
              <w:rPr>
                <w:rFonts w:hint="eastAsia" w:ascii="仿宋" w:hAnsi="仿宋" w:eastAsia="仿宋" w:cs="仿宋"/>
                <w:i w:val="0"/>
                <w:iCs w:val="0"/>
                <w:color w:val="auto"/>
                <w:sz w:val="21"/>
                <w:szCs w:val="21"/>
                <w:u w:val="none"/>
              </w:rPr>
            </w:pPr>
          </w:p>
        </w:tc>
        <w:tc>
          <w:tcPr>
            <w:tcW w:w="1007" w:type="dxa"/>
            <w:tcBorders>
              <w:top w:val="nil"/>
              <w:left w:val="nil"/>
              <w:bottom w:val="single" w:color="000000" w:sz="4" w:space="0"/>
              <w:right w:val="nil"/>
            </w:tcBorders>
            <w:shd w:val="clear" w:color="auto" w:fill="auto"/>
            <w:noWrap/>
            <w:vAlign w:val="center"/>
          </w:tcPr>
          <w:p>
            <w:pPr>
              <w:rPr>
                <w:rFonts w:hint="eastAsia" w:ascii="仿宋" w:hAnsi="仿宋" w:eastAsia="仿宋" w:cs="仿宋"/>
                <w:i w:val="0"/>
                <w:iCs w:val="0"/>
                <w:color w:val="auto"/>
                <w:sz w:val="21"/>
                <w:szCs w:val="21"/>
                <w:u w:val="none"/>
              </w:rPr>
            </w:pPr>
          </w:p>
        </w:tc>
        <w:tc>
          <w:tcPr>
            <w:tcW w:w="728" w:type="dxa"/>
            <w:tcBorders>
              <w:top w:val="nil"/>
              <w:left w:val="nil"/>
              <w:bottom w:val="single" w:color="000000" w:sz="4" w:space="0"/>
              <w:right w:val="nil"/>
            </w:tcBorders>
            <w:shd w:val="clear" w:color="auto" w:fill="auto"/>
            <w:noWrap/>
            <w:vAlign w:val="center"/>
          </w:tcPr>
          <w:p>
            <w:pPr>
              <w:rPr>
                <w:rFonts w:hint="eastAsia" w:ascii="仿宋" w:hAnsi="仿宋" w:eastAsia="仿宋" w:cs="仿宋"/>
                <w:i w:val="0"/>
                <w:iCs w:val="0"/>
                <w:color w:val="auto"/>
                <w:sz w:val="21"/>
                <w:szCs w:val="21"/>
                <w:u w:val="none"/>
              </w:rPr>
            </w:pPr>
          </w:p>
        </w:tc>
        <w:tc>
          <w:tcPr>
            <w:tcW w:w="703" w:type="dxa"/>
            <w:tcBorders>
              <w:top w:val="nil"/>
              <w:left w:val="nil"/>
              <w:bottom w:val="single" w:color="000000" w:sz="4" w:space="0"/>
              <w:right w:val="nil"/>
            </w:tcBorders>
            <w:shd w:val="clear" w:color="auto" w:fill="auto"/>
            <w:noWrap/>
            <w:vAlign w:val="center"/>
          </w:tcPr>
          <w:p>
            <w:pPr>
              <w:rPr>
                <w:rFonts w:hint="eastAsia" w:ascii="仿宋" w:hAnsi="仿宋" w:eastAsia="仿宋" w:cs="仿宋"/>
                <w:i w:val="0"/>
                <w:iCs w:val="0"/>
                <w:color w:val="auto"/>
                <w:sz w:val="21"/>
                <w:szCs w:val="21"/>
                <w:u w:val="none"/>
              </w:rPr>
            </w:pPr>
          </w:p>
        </w:tc>
        <w:tc>
          <w:tcPr>
            <w:tcW w:w="392" w:type="dxa"/>
            <w:tcBorders>
              <w:top w:val="nil"/>
              <w:left w:val="nil"/>
              <w:bottom w:val="single" w:color="000000" w:sz="4" w:space="0"/>
              <w:right w:val="nil"/>
            </w:tcBorders>
            <w:shd w:val="clear" w:color="auto" w:fill="auto"/>
            <w:noWrap/>
            <w:vAlign w:val="center"/>
          </w:tcPr>
          <w:p>
            <w:pPr>
              <w:rPr>
                <w:rFonts w:hint="eastAsia" w:ascii="仿宋" w:hAnsi="仿宋" w:eastAsia="仿宋" w:cs="仿宋"/>
                <w:i w:val="0"/>
                <w:iCs w:val="0"/>
                <w:color w:val="auto"/>
                <w:sz w:val="21"/>
                <w:szCs w:val="21"/>
                <w:u w:val="none"/>
              </w:rPr>
            </w:pPr>
          </w:p>
        </w:tc>
        <w:tc>
          <w:tcPr>
            <w:tcW w:w="2017" w:type="dxa"/>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874"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项目名称</w:t>
            </w:r>
          </w:p>
        </w:tc>
        <w:tc>
          <w:tcPr>
            <w:tcW w:w="4235" w:type="dxa"/>
            <w:gridSpan w:val="4"/>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义务教育阶段家庭经济困难学生营养餐补助</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自评年度</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主管部门</w:t>
            </w:r>
          </w:p>
        </w:tc>
        <w:tc>
          <w:tcPr>
            <w:tcW w:w="423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湖里区教育局</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实施单位</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厦门市康乐小学</w:t>
            </w:r>
          </w:p>
        </w:tc>
        <w:tc>
          <w:tcPr>
            <w:tcW w:w="2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0" w:hRule="atLeast"/>
        </w:trPr>
        <w:tc>
          <w:tcPr>
            <w:tcW w:w="8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年度预算执行情况</w:t>
            </w: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年初预算数</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已调整数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调整后预算数</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全年执行数</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执行率</w:t>
            </w:r>
          </w:p>
        </w:tc>
        <w:tc>
          <w:tcPr>
            <w:tcW w:w="703"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设置分值</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得分</w:t>
            </w:r>
          </w:p>
        </w:tc>
        <w:tc>
          <w:tcPr>
            <w:tcW w:w="2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年度资金总额</w:t>
            </w:r>
          </w:p>
        </w:tc>
        <w:tc>
          <w:tcPr>
            <w:tcW w:w="9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shd w:val="clear" w:color="auto" w:fill="auto"/>
              </w:rPr>
            </w:pPr>
            <w:r>
              <w:rPr>
                <w:rFonts w:hint="eastAsia" w:ascii="仿宋" w:hAnsi="仿宋" w:eastAsia="仿宋" w:cs="仿宋"/>
                <w:i w:val="0"/>
                <w:iCs w:val="0"/>
                <w:color w:val="auto"/>
                <w:kern w:val="0"/>
                <w:sz w:val="21"/>
                <w:szCs w:val="21"/>
                <w:u w:val="none"/>
                <w:shd w:val="clear" w:color="auto" w:fill="auto"/>
                <w:lang w:val="en-US" w:eastAsia="zh-CN" w:bidi="ar"/>
              </w:rPr>
              <w:t>0.36</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shd w:val="clear" w:color="auto" w:fill="auto"/>
              </w:rPr>
            </w:pPr>
            <w:r>
              <w:rPr>
                <w:rFonts w:hint="eastAsia" w:ascii="仿宋" w:hAnsi="仿宋" w:eastAsia="仿宋" w:cs="仿宋"/>
                <w:i w:val="0"/>
                <w:iCs w:val="0"/>
                <w:color w:val="auto"/>
                <w:kern w:val="0"/>
                <w:sz w:val="21"/>
                <w:szCs w:val="21"/>
                <w:u w:val="none"/>
                <w:shd w:val="clear" w:color="auto" w:fill="auto"/>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shd w:val="clear" w:color="auto" w:fill="auto"/>
              </w:rPr>
            </w:pPr>
            <w:r>
              <w:rPr>
                <w:rFonts w:hint="eastAsia" w:ascii="仿宋" w:hAnsi="仿宋" w:eastAsia="仿宋" w:cs="仿宋"/>
                <w:i w:val="0"/>
                <w:iCs w:val="0"/>
                <w:color w:val="auto"/>
                <w:kern w:val="0"/>
                <w:sz w:val="21"/>
                <w:szCs w:val="21"/>
                <w:u w:val="none"/>
                <w:shd w:val="clear" w:color="auto" w:fill="auto"/>
                <w:lang w:val="en-US" w:eastAsia="zh-CN" w:bidi="ar"/>
              </w:rPr>
              <w:t>0.36</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0.03</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w:t>
            </w:r>
          </w:p>
        </w:tc>
        <w:tc>
          <w:tcPr>
            <w:tcW w:w="703"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2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2024年秋季家庭经济困难学生放弃营养餐补助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其中：当年财政拨款</w:t>
            </w:r>
          </w:p>
        </w:tc>
        <w:tc>
          <w:tcPr>
            <w:tcW w:w="9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shd w:val="clear" w:color="auto" w:fill="auto"/>
              </w:rPr>
            </w:pPr>
            <w:r>
              <w:rPr>
                <w:rFonts w:hint="eastAsia" w:ascii="仿宋" w:hAnsi="仿宋" w:eastAsia="仿宋" w:cs="仿宋"/>
                <w:i w:val="0"/>
                <w:iCs w:val="0"/>
                <w:color w:val="auto"/>
                <w:kern w:val="0"/>
                <w:sz w:val="21"/>
                <w:szCs w:val="21"/>
                <w:u w:val="none"/>
                <w:shd w:val="clear" w:color="auto" w:fill="auto"/>
                <w:lang w:val="en-US" w:eastAsia="zh-CN" w:bidi="ar"/>
              </w:rPr>
              <w:t>0.36</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shd w:val="clear" w:color="auto" w:fill="auto"/>
              </w:rPr>
            </w:pPr>
            <w:r>
              <w:rPr>
                <w:rFonts w:hint="eastAsia" w:ascii="仿宋" w:hAnsi="仿宋" w:eastAsia="仿宋" w:cs="仿宋"/>
                <w:i w:val="0"/>
                <w:iCs w:val="0"/>
                <w:color w:val="auto"/>
                <w:kern w:val="0"/>
                <w:sz w:val="21"/>
                <w:szCs w:val="21"/>
                <w:u w:val="none"/>
                <w:shd w:val="clear" w:color="auto" w:fill="auto"/>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shd w:val="clear" w:color="auto" w:fill="auto"/>
              </w:rPr>
            </w:pPr>
            <w:r>
              <w:rPr>
                <w:rFonts w:hint="eastAsia" w:ascii="仿宋" w:hAnsi="仿宋" w:eastAsia="仿宋" w:cs="仿宋"/>
                <w:i w:val="0"/>
                <w:iCs w:val="0"/>
                <w:color w:val="auto"/>
                <w:kern w:val="0"/>
                <w:sz w:val="21"/>
                <w:szCs w:val="21"/>
                <w:u w:val="none"/>
                <w:shd w:val="clear" w:color="auto" w:fill="auto"/>
                <w:lang w:val="en-US" w:eastAsia="zh-CN" w:bidi="ar"/>
              </w:rPr>
              <w:t>0.36</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0.03</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w:t>
            </w:r>
          </w:p>
        </w:tc>
        <w:tc>
          <w:tcPr>
            <w:tcW w:w="703"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w:t>
            </w:r>
          </w:p>
        </w:tc>
        <w:tc>
          <w:tcPr>
            <w:tcW w:w="2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2024年秋季家庭经济困难学生放弃营养餐补助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 xml:space="preserve">     上年结转资金</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1"/>
                <w:szCs w:val="21"/>
                <w:u w:val="none"/>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1"/>
                <w:szCs w:val="21"/>
                <w:u w:val="none"/>
              </w:rPr>
            </w:pPr>
          </w:p>
        </w:tc>
        <w:tc>
          <w:tcPr>
            <w:tcW w:w="70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w:t>
            </w:r>
          </w:p>
        </w:tc>
        <w:tc>
          <w:tcPr>
            <w:tcW w:w="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w:t>
            </w:r>
          </w:p>
        </w:tc>
        <w:tc>
          <w:tcPr>
            <w:tcW w:w="2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 xml:space="preserve">     其他资金</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1"/>
                <w:szCs w:val="21"/>
                <w:u w:val="none"/>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1"/>
                <w:szCs w:val="21"/>
                <w:u w:val="none"/>
              </w:rPr>
            </w:pPr>
          </w:p>
        </w:tc>
        <w:tc>
          <w:tcPr>
            <w:tcW w:w="70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w:t>
            </w:r>
          </w:p>
        </w:tc>
        <w:tc>
          <w:tcPr>
            <w:tcW w:w="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w:t>
            </w:r>
          </w:p>
        </w:tc>
        <w:tc>
          <w:tcPr>
            <w:tcW w:w="2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3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年度</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总体</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目标</w:t>
            </w:r>
          </w:p>
        </w:tc>
        <w:tc>
          <w:tcPr>
            <w:tcW w:w="480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预期目标</w:t>
            </w:r>
          </w:p>
        </w:tc>
        <w:tc>
          <w:tcPr>
            <w:tcW w:w="484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480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4847"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60" w:hRule="atLeast"/>
        </w:trPr>
        <w:tc>
          <w:tcPr>
            <w:tcW w:w="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480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484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75" w:hRule="atLeast"/>
        </w:trPr>
        <w:tc>
          <w:tcPr>
            <w:tcW w:w="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一级指标</w:t>
            </w: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二级指标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指标类型</w:t>
            </w: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绩效目标值</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实际完成值</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完成比例</w:t>
            </w:r>
          </w:p>
        </w:tc>
        <w:tc>
          <w:tcPr>
            <w:tcW w:w="70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设置分值</w:t>
            </w:r>
          </w:p>
        </w:tc>
        <w:tc>
          <w:tcPr>
            <w:tcW w:w="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得分</w:t>
            </w:r>
          </w:p>
        </w:tc>
        <w:tc>
          <w:tcPr>
            <w:tcW w:w="2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3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绩</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效</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指</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标</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完</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成</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情</w:t>
            </w:r>
            <w:r>
              <w:rPr>
                <w:rFonts w:hint="eastAsia" w:ascii="仿宋" w:hAnsi="仿宋" w:eastAsia="仿宋" w:cs="仿宋"/>
                <w:b/>
                <w:bCs/>
                <w:i w:val="0"/>
                <w:iCs w:val="0"/>
                <w:color w:val="auto"/>
                <w:kern w:val="0"/>
                <w:sz w:val="21"/>
                <w:szCs w:val="21"/>
                <w:u w:val="none"/>
                <w:lang w:val="en-US" w:eastAsia="zh-CN" w:bidi="ar"/>
              </w:rPr>
              <w:br w:type="textWrapping"/>
            </w:r>
            <w:r>
              <w:rPr>
                <w:rFonts w:hint="eastAsia" w:ascii="仿宋" w:hAnsi="仿宋" w:eastAsia="仿宋" w:cs="仿宋"/>
                <w:b/>
                <w:bCs/>
                <w:i w:val="0"/>
                <w:iCs w:val="0"/>
                <w:color w:val="auto"/>
                <w:kern w:val="0"/>
                <w:sz w:val="21"/>
                <w:szCs w:val="21"/>
                <w:u w:val="none"/>
                <w:lang w:val="en-US" w:eastAsia="zh-CN" w:bidi="ar"/>
              </w:rPr>
              <w:t>况</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产出指标</w:t>
            </w: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数量指标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审核义务教育阶段受助学生</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定量</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大于等于2人</w:t>
            </w:r>
          </w:p>
        </w:tc>
        <w:tc>
          <w:tcPr>
            <w:tcW w:w="10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2人</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100.00%</w:t>
            </w:r>
          </w:p>
        </w:tc>
        <w:tc>
          <w:tcPr>
            <w:tcW w:w="70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20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auto"/>
                <w:sz w:val="21"/>
                <w:szCs w:val="21"/>
                <w:u w:val="none"/>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数量指标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全年营养餐补助学生</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定量</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大于等于1人</w:t>
            </w:r>
          </w:p>
        </w:tc>
        <w:tc>
          <w:tcPr>
            <w:tcW w:w="10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1人</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100.00%</w:t>
            </w:r>
          </w:p>
        </w:tc>
        <w:tc>
          <w:tcPr>
            <w:tcW w:w="70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20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2024年秋季家庭经济困难学生放弃营养餐补助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auto"/>
                <w:sz w:val="21"/>
                <w:szCs w:val="21"/>
                <w:u w:val="none"/>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成本指标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营养餐发放标准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定量</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6元/餐</w:t>
            </w:r>
          </w:p>
        </w:tc>
        <w:tc>
          <w:tcPr>
            <w:tcW w:w="10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6元/餐</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100.00%</w:t>
            </w:r>
          </w:p>
        </w:tc>
        <w:tc>
          <w:tcPr>
            <w:tcW w:w="70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20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5" w:hRule="atLeast"/>
        </w:trPr>
        <w:tc>
          <w:tcPr>
            <w:tcW w:w="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auto"/>
                <w:sz w:val="21"/>
                <w:szCs w:val="21"/>
                <w:u w:val="none"/>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时效指标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义务教育困难生资助资金下拨及时率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定量</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100.00%</w:t>
            </w:r>
          </w:p>
        </w:tc>
        <w:tc>
          <w:tcPr>
            <w:tcW w:w="70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20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5" w:hRule="atLeast"/>
        </w:trPr>
        <w:tc>
          <w:tcPr>
            <w:tcW w:w="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57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效益指标</w:t>
            </w:r>
          </w:p>
        </w:tc>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社会效益指标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改善受助学生学习生活质量</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定性</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有所改善</w:t>
            </w:r>
          </w:p>
        </w:tc>
        <w:tc>
          <w:tcPr>
            <w:tcW w:w="10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有所改善</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100.00%</w:t>
            </w:r>
          </w:p>
        </w:tc>
        <w:tc>
          <w:tcPr>
            <w:tcW w:w="70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30</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30</w:t>
            </w:r>
          </w:p>
        </w:tc>
        <w:tc>
          <w:tcPr>
            <w:tcW w:w="20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5" w:hRule="atLeast"/>
        </w:trPr>
        <w:tc>
          <w:tcPr>
            <w:tcW w:w="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21"/>
                <w:szCs w:val="21"/>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满意度</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指标</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服务对象满意度指标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受资助对象满意度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定量</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大于等于90%</w:t>
            </w:r>
          </w:p>
        </w:tc>
        <w:tc>
          <w:tcPr>
            <w:tcW w:w="10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w:t>
            </w:r>
          </w:p>
        </w:tc>
        <w:tc>
          <w:tcPr>
            <w:tcW w:w="7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100.00%</w:t>
            </w:r>
          </w:p>
        </w:tc>
        <w:tc>
          <w:tcPr>
            <w:tcW w:w="70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20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684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总分</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91</w:t>
            </w:r>
          </w:p>
        </w:tc>
        <w:tc>
          <w:tcPr>
            <w:tcW w:w="2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15" w:hRule="atLeast"/>
        </w:trPr>
        <w:tc>
          <w:tcPr>
            <w:tcW w:w="99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填表说明：1.年度总体目标和绩效指标中的“具体指标”“年度指标值”按照部门预算批复的绩效目标填写，必须有量化指标。</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keepNext w:val="0"/>
        <w:keepLines w:val="0"/>
        <w:pageBreakBefore w:val="0"/>
        <w:widowControl w:val="0"/>
        <w:tabs>
          <w:tab w:val="left" w:pos="8415"/>
        </w:tabs>
        <w:kinsoku/>
        <w:wordWrap/>
        <w:overflowPunct/>
        <w:topLinePunct w:val="0"/>
        <w:autoSpaceDE/>
        <w:autoSpaceDN/>
        <w:bidi w:val="0"/>
        <w:adjustRightInd/>
        <w:snapToGrid/>
        <w:textAlignment w:val="auto"/>
        <w:rPr>
          <w:rFonts w:hint="eastAsia" w:ascii="仿宋" w:hAnsi="仿宋" w:eastAsia="仿宋" w:cs="仿宋"/>
          <w:sz w:val="32"/>
          <w:szCs w:val="32"/>
        </w:rPr>
      </w:pPr>
    </w:p>
    <w:sectPr>
      <w:footerReference r:id="rId10" w:type="default"/>
      <w:pgSz w:w="11906" w:h="16838"/>
      <w:pgMar w:top="1984" w:right="1083" w:bottom="1984" w:left="1083" w:header="0" w:footer="720" w:gutter="0"/>
      <w:pgBorders>
        <w:top w:val="none" w:sz="0" w:space="0"/>
        <w:left w:val="none" w:sz="0" w:space="0"/>
        <w:bottom w:val="none" w:sz="0" w:space="0"/>
        <w:right w:val="none" w:sz="0" w:space="0"/>
      </w:pgBorders>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17</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22</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28</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Y2E0NGRmYTUxOGFhZmU2MmQ3YTU3NWU4MTFlZjhkZDMifQ=="/>
  </w:docVars>
  <w:rsids>
    <w:rsidRoot w:val="00000000"/>
    <w:rsid w:val="08750492"/>
    <w:rsid w:val="0A717628"/>
    <w:rsid w:val="0CF25612"/>
    <w:rsid w:val="0D610414"/>
    <w:rsid w:val="0EFD6AC5"/>
    <w:rsid w:val="0F98295B"/>
    <w:rsid w:val="1110207C"/>
    <w:rsid w:val="18093FA1"/>
    <w:rsid w:val="1C074838"/>
    <w:rsid w:val="1DCF3D53"/>
    <w:rsid w:val="2075650C"/>
    <w:rsid w:val="3418455F"/>
    <w:rsid w:val="352763EC"/>
    <w:rsid w:val="39CD140B"/>
    <w:rsid w:val="3AC76D4D"/>
    <w:rsid w:val="47642E04"/>
    <w:rsid w:val="517F3B71"/>
    <w:rsid w:val="51E97488"/>
    <w:rsid w:val="594034B9"/>
    <w:rsid w:val="5D7B43C7"/>
    <w:rsid w:val="5DC234AF"/>
    <w:rsid w:val="5DD74D22"/>
    <w:rsid w:val="60F1603A"/>
    <w:rsid w:val="64C6400D"/>
    <w:rsid w:val="65F868D8"/>
    <w:rsid w:val="6FB631D3"/>
    <w:rsid w:val="75BF190B"/>
    <w:rsid w:val="7618202B"/>
    <w:rsid w:val="7B923A2F"/>
    <w:rsid w:val="7CEC5241"/>
    <w:rsid w:val="7F2B2B67"/>
    <w:rsid w:val="7FFA61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rPr>
      <w:rFonts w:ascii="仿宋_GB2312" w:hAnsi="Calibri"/>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20</Words>
  <Characters>35</Characters>
  <Lines>1</Lines>
  <Paragraphs>1</Paragraphs>
  <TotalTime>0</TotalTime>
  <ScaleCrop>false</ScaleCrop>
  <LinksUpToDate>false</LinksUpToDate>
  <CharactersWithSpaces>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2025-09-16T05:10:09Z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