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48"/>
          <w:szCs w:val="48"/>
          <w:highlight w:val="none"/>
        </w:rPr>
      </w:pPr>
    </w:p>
    <w:p>
      <w:pPr>
        <w:widowControl/>
        <w:jc w:val="center"/>
        <w:rPr>
          <w:rFonts w:hint="eastAsia" w:ascii="方正小标宋简体" w:eastAsia="方正小标宋简体"/>
          <w:b/>
          <w:bCs/>
          <w:sz w:val="48"/>
          <w:szCs w:val="48"/>
          <w:highlight w:val="none"/>
        </w:rPr>
      </w:pPr>
      <w:r>
        <w:rPr>
          <w:rFonts w:hint="eastAsia" w:ascii="方正小标宋简体" w:eastAsia="方正小标宋简体"/>
          <w:b/>
          <w:bCs/>
          <w:sz w:val="48"/>
          <w:szCs w:val="48"/>
          <w:highlight w:val="none"/>
          <w:lang w:val="en-US" w:eastAsia="zh-CN"/>
        </w:rPr>
        <w:t>2024</w:t>
      </w:r>
      <w:r>
        <w:rPr>
          <w:rFonts w:hint="eastAsia" w:ascii="方正小标宋简体" w:eastAsia="方正小标宋简体"/>
          <w:b/>
          <w:bCs/>
          <w:sz w:val="48"/>
          <w:szCs w:val="48"/>
          <w:highlight w:val="none"/>
        </w:rPr>
        <w:t>年度</w:t>
      </w:r>
    </w:p>
    <w:p>
      <w:pPr>
        <w:widowControl/>
        <w:jc w:val="center"/>
        <w:rPr>
          <w:rFonts w:hint="eastAsia" w:ascii="方正小标宋简体" w:eastAsia="方正小标宋简体"/>
          <w:b/>
          <w:bCs/>
          <w:sz w:val="48"/>
          <w:szCs w:val="48"/>
          <w:highlight w:val="none"/>
        </w:rPr>
      </w:pPr>
      <w:r>
        <w:rPr>
          <w:rFonts w:hint="eastAsia" w:ascii="方正小标宋简体" w:eastAsia="方正小标宋简体"/>
          <w:b/>
          <w:bCs/>
          <w:sz w:val="48"/>
          <w:szCs w:val="48"/>
          <w:highlight w:val="none"/>
        </w:rPr>
        <w:t>厦门市康乐第二小学</w:t>
      </w:r>
    </w:p>
    <w:p>
      <w:pPr>
        <w:widowControl/>
        <w:jc w:val="center"/>
        <w:rPr>
          <w:rFonts w:hint="eastAsia" w:ascii="方正小标宋简体" w:eastAsia="方正小标宋简体"/>
          <w:b/>
          <w:bCs/>
          <w:sz w:val="48"/>
          <w:szCs w:val="48"/>
          <w:highlight w:val="none"/>
          <w:lang w:val="en-US" w:eastAsia="zh-CN"/>
        </w:rPr>
        <w:sectPr>
          <w:pgSz w:w="11906" w:h="16838"/>
          <w:pgMar w:top="1440" w:right="1080" w:bottom="1440" w:left="1080"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48"/>
          <w:szCs w:val="48"/>
          <w:highlight w:val="none"/>
          <w:lang w:val="en-US" w:eastAsia="zh-CN"/>
        </w:rPr>
        <w:t>单位</w:t>
      </w:r>
      <w:r>
        <w:rPr>
          <w:rFonts w:hint="eastAsia" w:ascii="方正小标宋简体" w:eastAsia="方正小标宋简体"/>
          <w:b/>
          <w:bCs/>
          <w:sz w:val="48"/>
          <w:szCs w:val="48"/>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hint="eastAsia" w:ascii="仿宋" w:hAnsi="仿宋" w:eastAsia="仿宋" w:cs="仿宋"/>
              <w:sz w:val="32"/>
              <w:szCs w:val="3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第一部分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单位概况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_Toc256000093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一、单位主要职责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_Toc256000095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二、单位基本情况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_Toc256000096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三、单位主要工作总结</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_Toc256000097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第二部分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2024年度决算表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_Toc256000098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_Toc256000100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二、收入决算表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_Toc256000101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_Toc256000102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四、财政拨款收入支出决算总表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_Toc256000103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五、一般公共预算财政拨款支出决算表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_Toc256000104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_Toc256000105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七、一般公共预算财政拨款“三公”经费支出决算表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_Toc256000106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八、政府性基金预算财政拨款收入支出决算表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_Toc256000107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九、国有资本经营预算财政拨款支出决算表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_Toc256000108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第三部分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2024年度决算情况说明</w:t>
          </w:r>
          <w:r>
            <w:rPr>
              <w:rStyle w:val="22"/>
              <w:rFonts w:hint="eastAsia" w:ascii="仿宋" w:hAnsi="仿宋" w:cs="仿宋"/>
              <w:sz w:val="32"/>
              <w:szCs w:val="32"/>
              <w:lang w:val="en-US"/>
            </w:rPr>
            <w:t xml:space="preserve"> </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_Toc256000109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_Toc256000111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_Toc256000112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三、一般公共预算拨款支出决算情况说明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_Toc256000113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_Toc256000114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_Toc256000115 \h </w:instrText>
          </w:r>
          <w:r>
            <w:rPr>
              <w:rFonts w:hint="eastAsia" w:ascii="仿宋" w:hAnsi="仿宋" w:eastAsia="仿宋" w:cs="仿宋"/>
              <w:sz w:val="32"/>
              <w:szCs w:val="32"/>
            </w:rPr>
            <w:fldChar w:fldCharType="separate"/>
          </w:r>
          <w:r>
            <w:rPr>
              <w:rFonts w:hint="eastAsia" w:ascii="仿宋" w:hAnsi="仿宋" w:eastAsia="仿宋" w:cs="仿宋"/>
              <w:sz w:val="32"/>
              <w:szCs w:val="32"/>
            </w:rPr>
            <w:t>15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_Toc256000116 \h </w:instrText>
          </w:r>
          <w:r>
            <w:rPr>
              <w:rFonts w:hint="eastAsia" w:ascii="仿宋" w:hAnsi="仿宋" w:eastAsia="仿宋" w:cs="仿宋"/>
              <w:sz w:val="32"/>
              <w:szCs w:val="32"/>
            </w:rPr>
            <w:fldChar w:fldCharType="separate"/>
          </w:r>
          <w:r>
            <w:rPr>
              <w:rFonts w:hint="eastAsia" w:ascii="仿宋" w:hAnsi="仿宋" w:eastAsia="仿宋" w:cs="仿宋"/>
              <w:sz w:val="32"/>
              <w:szCs w:val="32"/>
            </w:rPr>
            <w:t>15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_Toc256000117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_Toc256000118 \h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九、其他重要事项说明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_Toc256000119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第四部分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_Toc256000120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第五部分</w:t>
          </w:r>
          <w:r>
            <w:rPr>
              <w:rStyle w:val="22"/>
              <w:rFonts w:hint="eastAsia" w:ascii="仿宋" w:hAnsi="仿宋" w:cs="仿宋"/>
              <w:sz w:val="32"/>
              <w:szCs w:val="32"/>
              <w:lang w:val="en-US"/>
            </w:rPr>
            <w:t xml:space="preserve">  </w:t>
          </w:r>
          <w:r>
            <w:rPr>
              <w:rStyle w:val="22"/>
              <w:rFonts w:hint="eastAsia" w:ascii="仿宋" w:hAnsi="仿宋" w:eastAsia="仿宋" w:cs="仿宋"/>
              <w:sz w:val="32"/>
              <w:szCs w:val="32"/>
            </w:rPr>
            <w:t>附件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_Toc256000122 \h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3" w:type="default"/>
              <w:pgSz w:w="11906" w:h="16838"/>
              <w:pgMar w:top="1440" w:right="1080" w:bottom="1440" w:left="1080"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4"/>
        <w:keepNext w:val="0"/>
        <w:keepLines w:val="0"/>
        <w:pageBreakBefore w:val="0"/>
        <w:widowControl/>
        <w:kinsoku/>
        <w:wordWrap/>
        <w:overflowPunct/>
        <w:topLinePunct w:val="0"/>
        <w:autoSpaceDE/>
        <w:autoSpaceDN/>
        <w:bidi w:val="0"/>
        <w:adjustRightInd/>
        <w:snapToGrid/>
        <w:spacing w:before="100" w:after="100" w:line="360" w:lineRule="auto"/>
        <w:ind w:left="0" w:right="0" w:firstLine="0" w:firstLineChars="0"/>
        <w:jc w:val="center"/>
        <w:textAlignment w:val="auto"/>
        <w:rPr>
          <w:rFonts w:ascii="Times New Roman" w:hAnsi="Times New Roman" w:eastAsia="Times New Roman" w:cs="Times New Roman"/>
          <w:b/>
          <w:bCs/>
          <w:kern w:val="0"/>
          <w:sz w:val="32"/>
          <w:szCs w:val="32"/>
        </w:rPr>
      </w:pPr>
      <w:bookmarkStart w:id="0" w:name="_Toc256000093"/>
      <w:bookmarkStart w:id="1" w:name="_Toc256000000"/>
      <w:bookmarkStart w:id="2" w:name="_Toc256000031"/>
      <w:bookmarkStart w:id="3" w:name="_Toc256000062"/>
      <w:bookmarkStart w:id="4" w:name="a000"/>
      <w:r>
        <w:rPr>
          <w:rFonts w:ascii="黑体" w:hAnsi="黑体" w:eastAsia="黑体" w:cs="黑体"/>
          <w:b/>
          <w:spacing w:val="0"/>
          <w:sz w:val="32"/>
          <w:szCs w:val="32"/>
        </w:rPr>
        <w:t>第一部分</w:t>
      </w:r>
      <w:bookmarkEnd w:id="0"/>
      <w:bookmarkEnd w:id="1"/>
      <w:bookmarkEnd w:id="2"/>
      <w:bookmarkEnd w:id="3"/>
      <w:bookmarkStart w:id="5" w:name="_Toc256000032"/>
      <w:bookmarkStart w:id="6" w:name="_Toc256000001"/>
      <w:bookmarkStart w:id="7" w:name="_Toc256000094"/>
      <w:bookmarkStart w:id="8" w:name="_Toc256000063"/>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单位概况</w:t>
      </w:r>
      <w:bookmarkEnd w:id="5"/>
      <w:bookmarkEnd w:id="6"/>
      <w:bookmarkEnd w:id="7"/>
      <w:bookmarkEnd w:id="8"/>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b/>
          <w:bCs/>
          <w:kern w:val="0"/>
          <w:sz w:val="32"/>
          <w:szCs w:val="32"/>
        </w:rPr>
      </w:pPr>
      <w:r>
        <w:rPr>
          <w:rFonts w:ascii="Calibri" w:hAnsi="Calibri" w:eastAsia="Calibri" w:cs="Calibri"/>
          <w:b/>
          <w:spacing w:val="0"/>
          <w:sz w:val="32"/>
          <w:szCs w:val="32"/>
        </w:rPr>
        <w:t> </w:t>
      </w:r>
      <w:bookmarkStart w:id="9" w:name="_Toc256000033"/>
      <w:bookmarkStart w:id="10" w:name="_Toc256000064"/>
      <w:bookmarkStart w:id="11" w:name="_Toc256000002"/>
      <w:bookmarkStart w:id="12" w:name="_Toc256000095"/>
      <w:r>
        <w:rPr>
          <w:rFonts w:ascii="黑体" w:hAnsi="黑体" w:eastAsia="黑体" w:cs="黑体"/>
          <w:b/>
          <w:spacing w:val="0"/>
          <w:sz w:val="32"/>
          <w:szCs w:val="32"/>
        </w:rPr>
        <w:t>一、单位主要职责</w:t>
      </w:r>
      <w:bookmarkEnd w:id="9"/>
      <w:bookmarkEnd w:id="10"/>
      <w:bookmarkEnd w:id="11"/>
      <w:bookmarkEnd w:id="12"/>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 w:hAnsi="仿宋" w:eastAsia="仿宋" w:cs="仿宋"/>
          <w:spacing w:val="0"/>
          <w:kern w:val="0"/>
          <w:sz w:val="32"/>
          <w:szCs w:val="32"/>
        </w:rPr>
      </w:pPr>
      <w:r>
        <w:rPr>
          <w:rFonts w:ascii="仿宋" w:hAnsi="仿宋" w:eastAsia="仿宋" w:cs="仿宋"/>
          <w:spacing w:val="0"/>
          <w:kern w:val="0"/>
          <w:sz w:val="32"/>
          <w:szCs w:val="32"/>
        </w:rPr>
        <w:t>厦门市康乐第二小学单位的主要职责是：</w:t>
      </w:r>
      <w:r>
        <w:rPr>
          <w:rFonts w:hint="eastAsia" w:ascii="仿宋" w:hAnsi="仿宋" w:eastAsia="仿宋" w:cs="仿宋"/>
          <w:spacing w:val="0"/>
          <w:kern w:val="0"/>
          <w:sz w:val="32"/>
          <w:szCs w:val="32"/>
        </w:rPr>
        <w:t>引领全体教师做教育路上的追梦人,深化育人方式改革，坚持立德树人，着力改革创新，注重内涵建设，落实增效减负，落实立德树人根本任务，进一步落实“成长学生、成就教师、成功学校”的办学目标，办好人民满意的好学校。</w:t>
      </w:r>
    </w:p>
    <w:p>
      <w:pPr>
        <w:pStyle w:val="29"/>
        <w:keepNext w:val="0"/>
        <w:keepLines w:val="0"/>
        <w:pageBreakBefore w:val="0"/>
        <w:widowControl/>
        <w:numPr>
          <w:ilvl w:val="0"/>
          <w:numId w:val="1"/>
        </w:numPr>
        <w:kinsoku/>
        <w:wordWrap/>
        <w:overflowPunct/>
        <w:topLinePunct w:val="0"/>
        <w:autoSpaceDE/>
        <w:autoSpaceDN/>
        <w:bidi w:val="0"/>
        <w:adjustRightInd/>
        <w:snapToGrid/>
        <w:spacing w:before="100" w:after="100" w:line="360" w:lineRule="auto"/>
        <w:ind w:right="0"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 xml:space="preserve">加强师德师风建设，以“四有教师”为标准，牢固树立“四个意识”、坚决做到“两个维护”，用好“学习强国”、厦门“党建E家”平台，提升全体教师思想政治素质。                                                                                                                 </w:t>
      </w:r>
      <w:r>
        <w:rPr>
          <w:rFonts w:hint="eastAsia" w:ascii="仿宋" w:hAnsi="仿宋" w:eastAsia="仿宋" w:cs="仿宋"/>
          <w:spacing w:val="0"/>
          <w:kern w:val="0"/>
          <w:sz w:val="32"/>
          <w:szCs w:val="32"/>
          <w:lang w:val="en-US" w:eastAsia="zh-CN"/>
        </w:rPr>
        <w:t xml:space="preserve">   </w:t>
      </w:r>
    </w:p>
    <w:p>
      <w:pPr>
        <w:pStyle w:val="29"/>
        <w:keepNext w:val="0"/>
        <w:keepLines w:val="0"/>
        <w:pageBreakBefore w:val="0"/>
        <w:widowControl/>
        <w:numPr>
          <w:ilvl w:val="0"/>
          <w:numId w:val="1"/>
        </w:numPr>
        <w:kinsoku/>
        <w:wordWrap/>
        <w:overflowPunct/>
        <w:topLinePunct w:val="0"/>
        <w:autoSpaceDE/>
        <w:autoSpaceDN/>
        <w:bidi w:val="0"/>
        <w:adjustRightInd/>
        <w:snapToGrid/>
        <w:spacing w:before="100" w:after="100" w:line="360" w:lineRule="auto"/>
        <w:ind w:right="0" w:firstLine="640" w:firstLineChars="200"/>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结合我校的“成长·赏识”教改项目，继续校本化地全面推进各项教学管理工作。</w:t>
      </w:r>
    </w:p>
    <w:p>
      <w:pPr>
        <w:pStyle w:val="29"/>
        <w:keepNext w:val="0"/>
        <w:keepLines w:val="0"/>
        <w:pageBreakBefore w:val="0"/>
        <w:widowControl/>
        <w:numPr>
          <w:ilvl w:val="0"/>
          <w:numId w:val="1"/>
        </w:numPr>
        <w:kinsoku/>
        <w:wordWrap/>
        <w:overflowPunct/>
        <w:topLinePunct w:val="0"/>
        <w:autoSpaceDE/>
        <w:autoSpaceDN/>
        <w:bidi w:val="0"/>
        <w:adjustRightInd/>
        <w:snapToGrid/>
        <w:spacing w:before="100" w:after="100" w:line="360" w:lineRule="auto"/>
        <w:ind w:right="0" w:firstLine="640" w:firstLineChars="200"/>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围绕“二心”“两点”，扎实开展各项工作，切实提高办学质量，推进教学改革，培育学生的核心素养。</w:t>
      </w:r>
    </w:p>
    <w:p>
      <w:pPr>
        <w:pStyle w:val="6"/>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13" w:name="_Toc256000096"/>
      <w:bookmarkStart w:id="14" w:name="_Toc256000065"/>
      <w:bookmarkStart w:id="15" w:name="_Toc256000003"/>
      <w:bookmarkStart w:id="16" w:name="_Toc256000034"/>
      <w:r>
        <w:rPr>
          <w:rFonts w:ascii="黑体" w:hAnsi="黑体" w:eastAsia="黑体" w:cs="黑体"/>
          <w:b/>
          <w:spacing w:val="0"/>
        </w:rPr>
        <w:t>二、单位基本情况</w:t>
      </w:r>
      <w:bookmarkEnd w:id="13"/>
      <w:bookmarkEnd w:id="14"/>
      <w:bookmarkEnd w:id="15"/>
      <w:bookmarkEnd w:id="16"/>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5</w:t>
      </w:r>
      <w:r>
        <w:rPr>
          <w:rFonts w:ascii="仿宋" w:hAnsi="仿宋" w:eastAsia="仿宋" w:cs="仿宋"/>
          <w:spacing w:val="0"/>
          <w:kern w:val="0"/>
          <w:sz w:val="32"/>
          <w:szCs w:val="32"/>
        </w:rPr>
        <w:t>个内设机构，其中：列入2024年决算编制范围的单位详细情况见下表:</w:t>
      </w:r>
    </w:p>
    <w:tbl>
      <w:tblPr>
        <w:tblStyle w:val="23"/>
        <w:tblW w:w="9032" w:type="dxa"/>
        <w:jc w:val="center"/>
        <w:tblInd w:w="758"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083"/>
        <w:gridCol w:w="694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rPr>
          <w:tblHeader/>
          <w:jc w:val="center"/>
        </w:trPr>
        <w:tc>
          <w:tcPr>
            <w:tcW w:w="2083"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序号</w:t>
            </w:r>
          </w:p>
        </w:tc>
        <w:tc>
          <w:tcPr>
            <w:tcW w:w="6949"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jc w:val="center"/>
        </w:trPr>
        <w:tc>
          <w:tcPr>
            <w:tcW w:w="2083"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hint="eastAsia" w:ascii="仿宋" w:hAnsi="仿宋" w:eastAsia="仿宋" w:cs="仿宋"/>
                <w:b w:val="0"/>
                <w:bCs w:val="0"/>
                <w:i w:val="0"/>
                <w:iCs w:val="0"/>
                <w:smallCaps w:val="0"/>
                <w:color w:val="000000"/>
                <w:spacing w:val="0"/>
                <w:kern w:val="0"/>
                <w:sz w:val="32"/>
                <w:szCs w:val="32"/>
                <w:lang w:val="en-US" w:eastAsia="zh-CN"/>
              </w:rPr>
            </w:pPr>
            <w:bookmarkStart w:id="17" w:name="_Toc256000004"/>
            <w:bookmarkStart w:id="18" w:name="_Toc256000097"/>
            <w:bookmarkStart w:id="19" w:name="_Toc256000035"/>
            <w:bookmarkStart w:id="20" w:name="_Toc256000066"/>
            <w:r>
              <w:rPr>
                <w:rFonts w:hint="eastAsia" w:ascii="仿宋" w:hAnsi="仿宋" w:eastAsia="仿宋" w:cs="仿宋"/>
                <w:b w:val="0"/>
                <w:bCs w:val="0"/>
                <w:i w:val="0"/>
                <w:iCs w:val="0"/>
                <w:smallCaps w:val="0"/>
                <w:color w:val="000000"/>
                <w:spacing w:val="0"/>
                <w:kern w:val="0"/>
                <w:sz w:val="32"/>
                <w:szCs w:val="32"/>
                <w:lang w:val="en-US" w:eastAsia="zh-CN"/>
              </w:rPr>
              <w:t>1</w:t>
            </w:r>
          </w:p>
        </w:tc>
        <w:tc>
          <w:tcPr>
            <w:tcW w:w="6949"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0"/>
              <w:jc w:val="center"/>
              <w:textAlignment w:val="auto"/>
              <w:rPr>
                <w:rFonts w:hint="eastAsia" w:ascii="仿宋" w:hAnsi="仿宋" w:eastAsia="仿宋" w:cs="仿宋"/>
                <w:b w:val="0"/>
                <w:bCs w:val="0"/>
                <w:i w:val="0"/>
                <w:iCs w:val="0"/>
                <w:smallCaps w:val="0"/>
                <w:color w:val="000000"/>
                <w:spacing w:val="0"/>
                <w:kern w:val="0"/>
                <w:sz w:val="32"/>
                <w:szCs w:val="32"/>
                <w:lang w:eastAsia="zh-CN"/>
              </w:rPr>
            </w:pPr>
            <w:r>
              <w:rPr>
                <w:rFonts w:hint="eastAsia" w:ascii="仿宋" w:hAnsi="仿宋" w:eastAsia="仿宋" w:cs="仿宋"/>
                <w:b w:val="0"/>
                <w:bCs w:val="0"/>
                <w:i w:val="0"/>
                <w:iCs w:val="0"/>
                <w:smallCaps w:val="0"/>
                <w:color w:val="000000"/>
                <w:spacing w:val="0"/>
                <w:kern w:val="0"/>
                <w:sz w:val="32"/>
                <w:szCs w:val="32"/>
                <w:lang w:eastAsia="zh-CN"/>
              </w:rPr>
              <w:t>厦门市康乐第二小学</w:t>
            </w:r>
          </w:p>
        </w:tc>
      </w:tr>
    </w:tbl>
    <w:p>
      <w:pPr>
        <w:pStyle w:val="6"/>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0"/>
        <w:textAlignment w:val="auto"/>
        <w:rPr>
          <w:rFonts w:ascii="黑体" w:hAnsi="黑体" w:eastAsia="黑体" w:cs="黑体"/>
          <w:b/>
          <w:spacing w:val="0"/>
        </w:rPr>
      </w:pPr>
    </w:p>
    <w:p>
      <w:pPr>
        <w:pStyle w:val="6"/>
        <w:keepNext w:val="0"/>
        <w:keepLines w:val="0"/>
        <w:pageBreakBefore w:val="0"/>
        <w:widowControl/>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三、单位主要工作总结</w:t>
      </w:r>
      <w:bookmarkEnd w:id="17"/>
      <w:bookmarkEnd w:id="18"/>
      <w:bookmarkEnd w:id="19"/>
      <w:bookmarkEnd w:id="20"/>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2024年，厦门市康乐第二小学围绕上述任务，重点完成了以下工作：</w:t>
      </w:r>
    </w:p>
    <w:p>
      <w:pPr>
        <w:pStyle w:val="29"/>
        <w:keepNext w:val="0"/>
        <w:keepLines w:val="0"/>
        <w:pageBreakBefore w:val="0"/>
        <w:widowControl/>
        <w:numPr>
          <w:ilvl w:val="0"/>
          <w:numId w:val="0"/>
        </w:numPr>
        <w:kinsoku/>
        <w:wordWrap/>
        <w:overflowPunct/>
        <w:topLinePunct w:val="0"/>
        <w:autoSpaceDE/>
        <w:autoSpaceDN/>
        <w:bidi w:val="0"/>
        <w:adjustRightInd/>
        <w:snapToGrid/>
        <w:spacing w:before="100" w:after="100" w:line="360" w:lineRule="auto"/>
        <w:ind w:right="0" w:rightChars="0"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一年来，学生五育并举，全面开花：在区级专项抽测和统考中成绩进步显著，均位居区前列；学生参加区级以上各类比赛391人次获奖，学校女篮队蝉联三年省赛冠军，14次市赛冠军，市级青少年足球锦标赛儿童组荣获二等奖，女子足球队获季军；区级合唱展演和舞蹈比赛均获银奖。</w:t>
      </w:r>
    </w:p>
    <w:p>
      <w:pPr>
        <w:pStyle w:val="29"/>
        <w:keepNext w:val="0"/>
        <w:keepLines w:val="0"/>
        <w:pageBreakBefore w:val="0"/>
        <w:widowControl/>
        <w:numPr>
          <w:ilvl w:val="0"/>
          <w:numId w:val="0"/>
        </w:numPr>
        <w:kinsoku/>
        <w:wordWrap/>
        <w:overflowPunct/>
        <w:topLinePunct w:val="0"/>
        <w:autoSpaceDE/>
        <w:autoSpaceDN/>
        <w:bidi w:val="0"/>
        <w:adjustRightInd/>
        <w:snapToGrid/>
        <w:spacing w:before="100" w:after="100" w:line="360" w:lineRule="auto"/>
        <w:ind w:right="0" w:rightChars="0"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学校教师也取得喜人的成就：教师参加区级以上各类比赛获奖91人次，开展区级以上公开课讲座36节，撰写案例汇编11篇，发表CN论文26篇。新增1位市专家型教师、4位区学科带头人等多位优秀教师。区视导课优良率高达92.5%，学校荣获“全国优秀少先队大队”、“厦门市儿童友好学校”、“厦门市三星级智慧校园达标校”、“全国义务教育教改实验区基地校”等荣誉称号，实现学校“成长学生、成就教师、成功学校”的办学目标。</w:t>
      </w: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keepNext w:val="0"/>
        <w:keepLines w:val="0"/>
        <w:pageBreakBefore w:val="0"/>
        <w:widowControl/>
        <w:kinsoku/>
        <w:wordWrap/>
        <w:overflowPunct/>
        <w:topLinePunct w:val="0"/>
        <w:autoSpaceDE/>
        <w:autoSpaceDN/>
        <w:bidi w:val="0"/>
        <w:adjustRightInd/>
        <w:snapToGrid/>
        <w:spacing w:before="240" w:after="240" w:line="360" w:lineRule="auto"/>
        <w:jc w:val="left"/>
        <w:textAlignment w:val="auto"/>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2"/>
          <w:szCs w:val="32"/>
        </w:rPr>
      </w:pPr>
      <w:bookmarkStart w:id="21" w:name="_Toc256000098"/>
      <w:bookmarkStart w:id="22" w:name="_Toc256000036"/>
      <w:bookmarkStart w:id="23" w:name="_Toc256000067"/>
      <w:bookmarkStart w:id="24" w:name="_Toc256000005"/>
      <w:r>
        <w:rPr>
          <w:rFonts w:ascii="黑体" w:hAnsi="黑体" w:eastAsia="黑体" w:cs="黑体"/>
          <w:b/>
          <w:spacing w:val="0"/>
          <w:sz w:val="32"/>
          <w:szCs w:val="32"/>
        </w:rPr>
        <w:t>第二部分</w:t>
      </w:r>
      <w:bookmarkEnd w:id="21"/>
      <w:bookmarkEnd w:id="22"/>
      <w:bookmarkEnd w:id="23"/>
      <w:bookmarkEnd w:id="24"/>
      <w:bookmarkStart w:id="25" w:name="_Toc256000037"/>
      <w:bookmarkStart w:id="26" w:name="_Toc256000099"/>
      <w:bookmarkStart w:id="27" w:name="_Toc256000006"/>
      <w:bookmarkStart w:id="28" w:name="_Toc256000068"/>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2024年度决算表</w:t>
      </w:r>
      <w:bookmarkEnd w:id="25"/>
      <w:bookmarkEnd w:id="26"/>
      <w:bookmarkEnd w:id="27"/>
      <w:bookmarkEnd w:id="28"/>
    </w:p>
    <w:p>
      <w:pPr>
        <w:widowControl/>
        <w:spacing w:before="240" w:after="240"/>
        <w:ind w:firstLine="643" w:firstLineChars="200"/>
        <w:jc w:val="left"/>
        <w:rPr>
          <w:rFonts w:ascii="Times New Roman" w:hAnsi="Times New Roman" w:eastAsia="Times New Roman" w:cs="Times New Roman"/>
          <w:vanish/>
          <w:kern w:val="0"/>
          <w:sz w:val="24"/>
        </w:rPr>
      </w:pPr>
      <w:bookmarkStart w:id="29" w:name="_Toc256000069"/>
      <w:bookmarkStart w:id="30" w:name="_Toc256000007"/>
      <w:bookmarkStart w:id="31" w:name="_Toc256000100"/>
      <w:bookmarkStart w:id="32" w:name="_Toc256000038"/>
      <w:r>
        <w:rPr>
          <w:rFonts w:ascii="黑体" w:hAnsi="黑体" w:eastAsia="黑体" w:cs="黑体"/>
          <w:b/>
          <w:bCs/>
          <w:spacing w:val="0"/>
          <w:kern w:val="0"/>
          <w:sz w:val="32"/>
          <w:szCs w:val="32"/>
          <w:lang w:val="en-US" w:eastAsia="zh-CN" w:bidi="ar-SA"/>
        </w:rPr>
        <w:t>一、收入支出决算总表</w:t>
      </w:r>
      <w:bookmarkEnd w:id="29"/>
      <w:bookmarkEnd w:id="30"/>
      <w:bookmarkEnd w:id="31"/>
      <w:bookmarkEnd w:id="32"/>
      <w:r>
        <w:rPr>
          <w:rFonts w:ascii="Times New Roman" w:hAnsi="Times New Roman" w:eastAsia="Times New Roman" w:cs="Times New Roman"/>
          <w:vanish/>
          <w:kern w:val="0"/>
          <w:sz w:val="24"/>
        </w:rPr>
        <w:t>word horizontal layout</w:t>
      </w:r>
    </w:p>
    <w:tbl>
      <w:tblPr>
        <w:tblStyle w:val="23"/>
        <w:tblW w:w="9062" w:type="dxa"/>
        <w:tblInd w:w="20" w:type="dxa"/>
        <w:tblLayout w:type="fixed"/>
        <w:tblCellMar>
          <w:top w:w="15" w:type="dxa"/>
          <w:left w:w="15" w:type="dxa"/>
          <w:bottom w:w="15" w:type="dxa"/>
          <w:right w:w="15" w:type="dxa"/>
        </w:tblCellMar>
      </w:tblPr>
      <w:tblGrid>
        <w:gridCol w:w="3122"/>
        <w:gridCol w:w="435"/>
        <w:gridCol w:w="1050"/>
        <w:gridCol w:w="2835"/>
        <w:gridCol w:w="465"/>
        <w:gridCol w:w="1155"/>
      </w:tblGrid>
      <w:tr>
        <w:tblPrEx>
          <w:tblLayout w:type="fixed"/>
        </w:tblPrEx>
        <w:trPr>
          <w:tblHeader/>
        </w:trPr>
        <w:tc>
          <w:tcPr>
            <w:tcW w:w="9062"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blHeader/>
        </w:trPr>
        <w:tc>
          <w:tcPr>
            <w:tcW w:w="355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5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8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6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PrEx>
        <w:trPr>
          <w:tblHeader/>
        </w:trPr>
        <w:tc>
          <w:tcPr>
            <w:tcW w:w="4607"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单位：厦门市康乐第二小学</w:t>
            </w:r>
          </w:p>
        </w:tc>
        <w:tc>
          <w:tcPr>
            <w:tcW w:w="28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62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60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445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4,339.81</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3,504.93</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1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c>
          <w:tcPr>
            <w:tcW w:w="28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6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r>
      <w:tr>
        <w:tblPrEx>
          <w:tblLayout w:type="fixed"/>
          <w:tblCellMar>
            <w:top w:w="15" w:type="dxa"/>
            <w:left w:w="15" w:type="dxa"/>
            <w:bottom w:w="15" w:type="dxa"/>
            <w:right w:w="15" w:type="dxa"/>
          </w:tblCellMar>
        </w:tblPrEx>
        <w:tc>
          <w:tcPr>
            <w:tcW w:w="9062"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本表反映部门本年度的总收支和年末结转结余情况。</w:t>
            </w:r>
          </w:p>
        </w:tc>
      </w:tr>
      <w:tr>
        <w:tblPrEx>
          <w:tblLayout w:type="fixed"/>
          <w:tblCellMar>
            <w:top w:w="15" w:type="dxa"/>
            <w:left w:w="15" w:type="dxa"/>
            <w:bottom w:w="15" w:type="dxa"/>
            <w:right w:w="15" w:type="dxa"/>
          </w:tblCellMar>
        </w:tblPrEx>
        <w:tc>
          <w:tcPr>
            <w:tcW w:w="9062"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jc w:val="left"/>
        <w:rPr>
          <w:rFonts w:ascii="黑体" w:hAnsi="黑体" w:eastAsia="黑体" w:cs="黑体"/>
          <w:b/>
          <w:spacing w:val="0"/>
          <w:sz w:val="32"/>
          <w:szCs w:val="32"/>
        </w:rPr>
      </w:pPr>
      <w:bookmarkStart w:id="33" w:name="_Toc256000101"/>
      <w:bookmarkStart w:id="34" w:name="_Toc256000070"/>
      <w:bookmarkStart w:id="35" w:name="_Toc256000039"/>
      <w:bookmarkStart w:id="36" w:name="_Toc256000008"/>
    </w:p>
    <w:p>
      <w:pPr>
        <w:widowControl/>
        <w:ind w:firstLine="643" w:firstLineChars="200"/>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二、收入决算表</w:t>
      </w:r>
      <w:bookmarkEnd w:id="33"/>
      <w:bookmarkEnd w:id="34"/>
      <w:bookmarkEnd w:id="35"/>
      <w:bookmarkEnd w:id="3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2" w:type="dxa"/>
        <w:jc w:val="center"/>
        <w:tblInd w:w="2" w:type="dxa"/>
        <w:tblLayout w:type="fixed"/>
        <w:tblCellMar>
          <w:top w:w="15" w:type="dxa"/>
          <w:left w:w="15" w:type="dxa"/>
          <w:bottom w:w="15" w:type="dxa"/>
          <w:right w:w="15" w:type="dxa"/>
        </w:tblCellMar>
      </w:tblPr>
      <w:tblGrid>
        <w:gridCol w:w="738"/>
        <w:gridCol w:w="2104"/>
        <w:gridCol w:w="989"/>
        <w:gridCol w:w="989"/>
        <w:gridCol w:w="906"/>
        <w:gridCol w:w="601"/>
        <w:gridCol w:w="601"/>
        <w:gridCol w:w="1102"/>
        <w:gridCol w:w="1032"/>
      </w:tblGrid>
      <w:tr>
        <w:tblPrEx>
          <w:tblLayout w:type="fixed"/>
        </w:tblPrEx>
        <w:trPr>
          <w:tblHeader/>
          <w:jc w:val="center"/>
        </w:trPr>
        <w:tc>
          <w:tcPr>
            <w:tcW w:w="9062"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blHeader/>
          <w:jc w:val="center"/>
        </w:trPr>
        <w:tc>
          <w:tcPr>
            <w:tcW w:w="73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1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8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8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PrEx>
        <w:trPr>
          <w:jc w:val="center"/>
        </w:trPr>
        <w:tc>
          <w:tcPr>
            <w:tcW w:w="4820"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单位：厦门市康乐第二小学</w:t>
            </w:r>
          </w:p>
        </w:tc>
        <w:tc>
          <w:tcPr>
            <w:tcW w:w="150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6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134"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jc w:val="center"/>
        </w:trPr>
        <w:tc>
          <w:tcPr>
            <w:tcW w:w="284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98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98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90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60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60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10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0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blHeader/>
          <w:jc w:val="center"/>
        </w:trPr>
        <w:tc>
          <w:tcPr>
            <w:tcW w:w="73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1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8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8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jc w:val="center"/>
        </w:trPr>
        <w:tc>
          <w:tcPr>
            <w:tcW w:w="73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1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8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8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84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rPr>
          <w:jc w:val="center"/>
        </w:trPr>
        <w:tc>
          <w:tcPr>
            <w:tcW w:w="284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一般公共服务支出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20136</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其他共产党事务支出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2013602</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一般行政管理事务</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3,504.93</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3,504.93</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教育管理事务</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其他教育管理事务支出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3,192.03</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3,192.03</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2,980.73</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2,980.73</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211.3</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211.3</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206.42</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206.42</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236.24</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236.24</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173.29</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173.29</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101.14</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101.14</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51.68</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51.68</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2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8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9062"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注：本表反映部门本年度取得的各项收入情况。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720" w:right="0" w:firstLine="0"/>
        <w:jc w:val="left"/>
        <w:rPr>
          <w:rFonts w:ascii="Times New Roman" w:hAnsi="Times New Roman" w:eastAsia="Times New Roman" w:cs="Times New Roman"/>
          <w:kern w:val="0"/>
          <w:sz w:val="24"/>
        </w:rPr>
      </w:pPr>
      <w:r>
        <w:rPr>
          <w:rFonts w:ascii="宋体" w:hAnsi="宋体" w:cs="宋体"/>
          <w:spacing w:val="0"/>
          <w:kern w:val="0"/>
          <w:sz w:val="32"/>
          <w:szCs w:val="32"/>
        </w:rPr>
        <w:t> </w:t>
      </w:r>
    </w:p>
    <w:p>
      <w:pPr>
        <w:pStyle w:val="6"/>
        <w:keepNext w:val="0"/>
        <w:keepLines w:val="0"/>
        <w:spacing w:before="100" w:after="100" w:line="240" w:lineRule="auto"/>
        <w:ind w:left="0" w:leftChars="0" w:right="0" w:firstLine="0" w:firstLineChars="0"/>
        <w:rPr>
          <w:rFonts w:ascii="黑体" w:hAnsi="黑体" w:eastAsia="黑体" w:cs="黑体"/>
          <w:b/>
          <w:spacing w:val="0"/>
        </w:rPr>
      </w:pPr>
      <w:bookmarkStart w:id="37" w:name="_Toc256000102"/>
      <w:bookmarkStart w:id="38" w:name="_Toc256000071"/>
      <w:bookmarkStart w:id="39" w:name="_Toc256000009"/>
      <w:bookmarkStart w:id="40" w:name="_Toc256000040"/>
    </w:p>
    <w:p>
      <w:pPr>
        <w:pStyle w:val="6"/>
        <w:keepNext w:val="0"/>
        <w:keepLines w:val="0"/>
        <w:spacing w:before="100" w:after="100" w:line="240" w:lineRule="auto"/>
        <w:ind w:left="0" w:leftChars="0" w:right="0" w:firstLine="643" w:firstLineChars="200"/>
        <w:rPr>
          <w:rFonts w:ascii="Times New Roman" w:hAnsi="Times New Roman" w:eastAsia="Times New Roman" w:cs="Times New Roman"/>
          <w:vanish/>
          <w:kern w:val="0"/>
          <w:sz w:val="24"/>
        </w:rPr>
      </w:pPr>
      <w:r>
        <w:rPr>
          <w:rFonts w:ascii="黑体" w:hAnsi="黑体" w:eastAsia="黑体" w:cs="黑体"/>
          <w:b/>
          <w:spacing w:val="0"/>
        </w:rPr>
        <w:t>三、支出决算表</w:t>
      </w:r>
      <w:bookmarkEnd w:id="37"/>
      <w:bookmarkEnd w:id="38"/>
      <w:bookmarkEnd w:id="39"/>
      <w:bookmarkEnd w:id="40"/>
      <w:r>
        <w:rPr>
          <w:rFonts w:ascii="Times New Roman" w:hAnsi="Times New Roman" w:eastAsia="Times New Roman" w:cs="Times New Roman"/>
          <w:vanish/>
          <w:kern w:val="0"/>
          <w:sz w:val="24"/>
        </w:rPr>
        <w:t>word horizontal layout</w:t>
      </w:r>
    </w:p>
    <w:tbl>
      <w:tblPr>
        <w:tblStyle w:val="23"/>
        <w:tblW w:w="9059" w:type="dxa"/>
        <w:tblInd w:w="20" w:type="dxa"/>
        <w:tblLayout w:type="fixed"/>
        <w:tblCellMar>
          <w:top w:w="15" w:type="dxa"/>
          <w:left w:w="15" w:type="dxa"/>
          <w:bottom w:w="15" w:type="dxa"/>
          <w:right w:w="15" w:type="dxa"/>
        </w:tblCellMar>
      </w:tblPr>
      <w:tblGrid>
        <w:gridCol w:w="233"/>
        <w:gridCol w:w="233"/>
        <w:gridCol w:w="234"/>
        <w:gridCol w:w="2570"/>
        <w:gridCol w:w="1066"/>
        <w:gridCol w:w="785"/>
        <w:gridCol w:w="736"/>
        <w:gridCol w:w="1007"/>
        <w:gridCol w:w="695"/>
        <w:gridCol w:w="1500"/>
      </w:tblGrid>
      <w:tr>
        <w:tblPrEx>
          <w:tblLayout w:type="fixed"/>
          <w:tblCellMar>
            <w:top w:w="15" w:type="dxa"/>
            <w:left w:w="15" w:type="dxa"/>
            <w:bottom w:w="15" w:type="dxa"/>
            <w:right w:w="15" w:type="dxa"/>
          </w:tblCellMar>
        </w:tblPrEx>
        <w:trPr>
          <w:tblHeader/>
        </w:trPr>
        <w:tc>
          <w:tcPr>
            <w:tcW w:w="9059" w:type="dxa"/>
            <w:gridSpan w:val="1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blHeader/>
        </w:trPr>
        <w:tc>
          <w:tcPr>
            <w:tcW w:w="2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3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57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6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8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5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336"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单位：厦门市康乐第二小学</w:t>
            </w:r>
          </w:p>
        </w:tc>
        <w:tc>
          <w:tcPr>
            <w:tcW w:w="152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19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327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6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78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73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69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15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blHeader/>
        </w:trPr>
        <w:tc>
          <w:tcPr>
            <w:tcW w:w="700"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57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6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3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700"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57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6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3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27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327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3,877.88</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464.91</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一般公共服务支出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20136</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其他共产党事务支出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2013602</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一般行政管理事务</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3,504.93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3,062.28</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442.65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教育管理事务</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其他教育管理事务支出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3,192.03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3,062.28</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129.75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2,980.73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2,980.73</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211.3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81.55</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129.75</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206.42</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206.42</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236.24</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236.24</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173.29</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173.29</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101.14</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101.14</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51.68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51.68</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0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25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0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7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59"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注：本表反映部门本年度各项支出情况。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720" w:right="0" w:hanging="720" w:firstLineChars="0"/>
        <w:rPr>
          <w:rFonts w:ascii="黑体" w:hAnsi="黑体" w:eastAsia="黑体" w:cs="黑体"/>
          <w:b/>
          <w:spacing w:val="0"/>
        </w:rPr>
      </w:pPr>
      <w:bookmarkStart w:id="41" w:name="_Toc256000103"/>
      <w:bookmarkStart w:id="42" w:name="_Toc256000072"/>
      <w:bookmarkStart w:id="43" w:name="_Toc256000041"/>
      <w:bookmarkStart w:id="44" w:name="_Toc256000010"/>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720" w:right="0" w:hanging="720" w:firstLineChars="0"/>
        <w:rPr>
          <w:rFonts w:ascii="黑体" w:hAnsi="黑体" w:eastAsia="黑体" w:cs="黑体"/>
          <w:b/>
          <w:spacing w:val="0"/>
        </w:rPr>
      </w:pP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四、财政拨款收入支出决算总表</w:t>
      </w:r>
      <w:bookmarkEnd w:id="41"/>
      <w:bookmarkEnd w:id="42"/>
      <w:bookmarkEnd w:id="43"/>
      <w:bookmarkEnd w:id="4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1" w:type="dxa"/>
        <w:tblInd w:w="20" w:type="dxa"/>
        <w:tblLayout w:type="fixed"/>
        <w:tblCellMar>
          <w:top w:w="15" w:type="dxa"/>
          <w:left w:w="15" w:type="dxa"/>
          <w:bottom w:w="15" w:type="dxa"/>
          <w:right w:w="15" w:type="dxa"/>
        </w:tblCellMar>
      </w:tblPr>
      <w:tblGrid>
        <w:gridCol w:w="1285"/>
        <w:gridCol w:w="378"/>
        <w:gridCol w:w="955"/>
        <w:gridCol w:w="1324"/>
        <w:gridCol w:w="744"/>
        <w:gridCol w:w="955"/>
        <w:gridCol w:w="1269"/>
        <w:gridCol w:w="988"/>
        <w:gridCol w:w="1163"/>
      </w:tblGrid>
      <w:tr>
        <w:tblPrEx>
          <w:tblLayout w:type="fixed"/>
          <w:tblCellMar>
            <w:top w:w="15" w:type="dxa"/>
            <w:left w:w="15" w:type="dxa"/>
            <w:bottom w:w="15" w:type="dxa"/>
            <w:right w:w="15" w:type="dxa"/>
          </w:tblCellMar>
        </w:tblPrEx>
        <w:trPr>
          <w:tblHeader/>
        </w:trPr>
        <w:tc>
          <w:tcPr>
            <w:tcW w:w="9061"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blHeader/>
        </w:trPr>
        <w:tc>
          <w:tcPr>
            <w:tcW w:w="1663"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2618"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单位：厦门市康乐第二小学</w:t>
            </w:r>
          </w:p>
        </w:tc>
        <w:tc>
          <w:tcPr>
            <w:tcW w:w="132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699"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2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15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261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6443"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4,339.81</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3,504.93</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3,504.93</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4,339.81</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37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c>
          <w:tcPr>
            <w:tcW w:w="132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4,342.79</w:t>
            </w:r>
          </w:p>
        </w:tc>
        <w:tc>
          <w:tcPr>
            <w:tcW w:w="12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4,339.81</w:t>
            </w:r>
          </w:p>
        </w:tc>
        <w:tc>
          <w:tcPr>
            <w:tcW w:w="9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1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1"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bookmarkStart w:id="45" w:name="_Toc256000011"/>
      <w:bookmarkStart w:id="46" w:name="_Toc256000042"/>
      <w:bookmarkStart w:id="47" w:name="_Toc256000073"/>
      <w:bookmarkStart w:id="48" w:name="_Toc256000104"/>
      <w:r>
        <w:rPr>
          <w:rFonts w:ascii="黑体" w:hAnsi="黑体" w:eastAsia="黑体" w:cs="黑体"/>
          <w:b/>
          <w:spacing w:val="0"/>
        </w:rPr>
        <w:t>五、一般公共预算财政拨款支出决算表</w:t>
      </w:r>
      <w:bookmarkEnd w:id="45"/>
      <w:bookmarkEnd w:id="46"/>
      <w:bookmarkEnd w:id="47"/>
      <w:bookmarkEnd w:id="4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3" w:type="dxa"/>
        <w:tblInd w:w="20" w:type="dxa"/>
        <w:tblLayout w:type="fixed"/>
        <w:tblCellMar>
          <w:top w:w="15" w:type="dxa"/>
          <w:left w:w="15" w:type="dxa"/>
          <w:bottom w:w="15" w:type="dxa"/>
          <w:right w:w="15" w:type="dxa"/>
        </w:tblCellMar>
      </w:tblPr>
      <w:tblGrid>
        <w:gridCol w:w="341"/>
        <w:gridCol w:w="341"/>
        <w:gridCol w:w="341"/>
        <w:gridCol w:w="3881"/>
        <w:gridCol w:w="956"/>
        <w:gridCol w:w="1237"/>
        <w:gridCol w:w="1966"/>
      </w:tblGrid>
      <w:tr>
        <w:tblPrEx>
          <w:tblLayout w:type="fixed"/>
          <w:tblCellMar>
            <w:top w:w="15" w:type="dxa"/>
            <w:left w:w="15" w:type="dxa"/>
            <w:bottom w:w="15" w:type="dxa"/>
            <w:right w:w="15" w:type="dxa"/>
          </w:tblCellMar>
        </w:tblPrEx>
        <w:trPr>
          <w:tblHeader/>
        </w:trPr>
        <w:tc>
          <w:tcPr>
            <w:tcW w:w="9063" w:type="dxa"/>
            <w:gridSpan w:val="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blHeader/>
        </w:trPr>
        <w:tc>
          <w:tcPr>
            <w:tcW w:w="3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4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88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3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5860"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单位：厦门市康乐第二小学</w:t>
            </w:r>
          </w:p>
        </w:tc>
        <w:tc>
          <w:tcPr>
            <w:tcW w:w="123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96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904"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1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1023"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388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5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23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96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1023"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3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96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23"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8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4904"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4,339.81</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3,877.88</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461.93</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一般公共服务支出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20136</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其他共产党事务支出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2013602</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一般行政管理事务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19.28</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3,504.93</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3,062.28</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442.65</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教育管理事务</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其他教育管理事务支出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3,192.03</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3,062.28</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129.75</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2,980.73</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2,980.73</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211.3</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81.55</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129.75</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311.4</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615.95</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206.42</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206.42</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236.24</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236.24</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173.29</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173.29</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152.82</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101.14</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101.14</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51.68</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51.68</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388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12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46.83</w:t>
            </w:r>
          </w:p>
        </w:tc>
        <w:tc>
          <w:tcPr>
            <w:tcW w:w="1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3" w:type="dxa"/>
            <w:gridSpan w:val="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ascii="Times New Roman" w:hAnsi="Times New Roman" w:eastAsia="Times New Roman" w:cs="Times New Roman"/>
          <w:kern w:val="0"/>
          <w:sz w:val="24"/>
        </w:rPr>
      </w:pPr>
      <w:r>
        <w:rPr>
          <w:rFonts w:ascii="宋体" w:hAnsi="宋体" w:cs="宋体"/>
          <w:spacing w:val="0"/>
          <w:kern w:val="0"/>
          <w:sz w:val="24"/>
        </w:rPr>
        <w:t> </w:t>
      </w: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b/>
          <w:bCs/>
          <w:kern w:val="0"/>
          <w:sz w:val="28"/>
          <w:szCs w:val="28"/>
        </w:rPr>
      </w:pPr>
      <w:bookmarkStart w:id="49" w:name="_Toc256000043"/>
      <w:bookmarkStart w:id="50" w:name="_Toc256000105"/>
      <w:bookmarkStart w:id="51" w:name="_Toc256000074"/>
      <w:bookmarkStart w:id="52" w:name="_Toc256000012"/>
      <w:r>
        <w:rPr>
          <w:rFonts w:ascii="黑体" w:hAnsi="黑体" w:eastAsia="黑体" w:cs="黑体"/>
          <w:b/>
          <w:spacing w:val="0"/>
        </w:rPr>
        <w:t>六、一般公共预算财政拨款基本支出决算表</w:t>
      </w:r>
      <w:bookmarkEnd w:id="49"/>
      <w:bookmarkEnd w:id="50"/>
      <w:bookmarkEnd w:id="51"/>
      <w:bookmarkEnd w:id="52"/>
    </w:p>
    <w:tbl>
      <w:tblPr>
        <w:tblStyle w:val="23"/>
        <w:tblW w:w="9058" w:type="dxa"/>
        <w:tblInd w:w="0" w:type="dxa"/>
        <w:tblLayout w:type="fixed"/>
        <w:tblCellMar>
          <w:top w:w="15" w:type="dxa"/>
          <w:left w:w="15" w:type="dxa"/>
          <w:bottom w:w="15" w:type="dxa"/>
          <w:right w:w="15" w:type="dxa"/>
        </w:tblCellMar>
      </w:tblPr>
      <w:tblGrid>
        <w:gridCol w:w="957"/>
        <w:gridCol w:w="1350"/>
        <w:gridCol w:w="956"/>
        <w:gridCol w:w="957"/>
        <w:gridCol w:w="1111"/>
        <w:gridCol w:w="760"/>
        <w:gridCol w:w="957"/>
        <w:gridCol w:w="1116"/>
        <w:gridCol w:w="894"/>
      </w:tblGrid>
      <w:tr>
        <w:tblPrEx>
          <w:tblLayout w:type="fixed"/>
          <w:tblCellMar>
            <w:top w:w="15" w:type="dxa"/>
            <w:left w:w="15" w:type="dxa"/>
            <w:bottom w:w="15" w:type="dxa"/>
            <w:right w:w="15" w:type="dxa"/>
          </w:tblCellMar>
        </w:tblPrEx>
        <w:trPr>
          <w:trHeight w:val="0" w:hRule="atLeast"/>
          <w:tblHeader/>
        </w:trPr>
        <w:tc>
          <w:tcPr>
            <w:tcW w:w="9058"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5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1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9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tblHeader/>
        </w:trPr>
        <w:tc>
          <w:tcPr>
            <w:tcW w:w="4220"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单位：厦门市康乐第二小学</w:t>
            </w:r>
          </w:p>
        </w:tc>
        <w:tc>
          <w:tcPr>
            <w:tcW w:w="11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76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1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rHeight w:val="312" w:hRule="atLeast"/>
          <w:tblHeader/>
        </w:trPr>
        <w:tc>
          <w:tcPr>
            <w:tcW w:w="95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35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5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95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11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7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95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11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89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312" w:hRule="atLeast"/>
          <w:tblHeader/>
        </w:trPr>
        <w:tc>
          <w:tcPr>
            <w:tcW w:w="95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5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1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5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1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9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3,283.7</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343.53</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424.78</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107.2</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621.87</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32.42</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984.16</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32.42</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175.73</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1.18</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236.24</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9.59</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173.29</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0.58</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101.14</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70.57</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253.75</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74.89</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242.17</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218.23</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24.34</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25.71</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69.55</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7.88</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7.95</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210.35</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18.42</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5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11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8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trPr>
        <w:tc>
          <w:tcPr>
            <w:tcW w:w="230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95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3,501.93</w:t>
            </w:r>
          </w:p>
        </w:tc>
        <w:tc>
          <w:tcPr>
            <w:tcW w:w="3785"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01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375.95</w:t>
            </w:r>
          </w:p>
        </w:tc>
      </w:tr>
      <w:tr>
        <w:tblPrEx>
          <w:tblLayout w:type="fixed"/>
          <w:tblCellMar>
            <w:top w:w="15" w:type="dxa"/>
            <w:left w:w="15" w:type="dxa"/>
            <w:bottom w:w="15" w:type="dxa"/>
            <w:right w:w="15" w:type="dxa"/>
          </w:tblCellMar>
        </w:tblPrEx>
        <w:trPr>
          <w:trHeight w:val="0" w:hRule="atLeast"/>
          <w:tblHeader/>
        </w:trPr>
        <w:tc>
          <w:tcPr>
            <w:tcW w:w="9058"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注：本表反映部门本年度一般公共预算财政拨款基本支出明细情况。</w:t>
            </w:r>
          </w:p>
        </w:tc>
      </w:tr>
    </w:tbl>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6"/>
        <w:keepNext w:val="0"/>
        <w:keepLines w:val="0"/>
        <w:spacing w:before="100" w:after="100" w:line="240" w:lineRule="auto"/>
        <w:ind w:left="0" w:leftChars="0" w:right="0" w:firstLine="643" w:firstLineChars="200"/>
        <w:rPr>
          <w:rFonts w:ascii="Times New Roman" w:hAnsi="Times New Roman" w:eastAsia="Times New Roman" w:cs="Times New Roman"/>
          <w:vanish/>
          <w:kern w:val="0"/>
          <w:sz w:val="24"/>
        </w:rPr>
      </w:pPr>
      <w:bookmarkStart w:id="53" w:name="_Toc256000013"/>
      <w:bookmarkStart w:id="54" w:name="_Toc256000106"/>
      <w:bookmarkStart w:id="55" w:name="_Toc256000044"/>
      <w:bookmarkStart w:id="56" w:name="_Toc256000075"/>
      <w:r>
        <w:rPr>
          <w:rFonts w:ascii="黑体" w:hAnsi="黑体" w:eastAsia="黑体" w:cs="黑体"/>
          <w:b/>
          <w:spacing w:val="0"/>
        </w:rPr>
        <w:t>七、一般公共预算财政拨款“三公”经费支出决算表</w:t>
      </w:r>
      <w:bookmarkEnd w:id="53"/>
      <w:bookmarkEnd w:id="54"/>
      <w:bookmarkEnd w:id="55"/>
      <w:bookmarkEnd w:id="56"/>
      <w:r>
        <w:rPr>
          <w:rFonts w:ascii="Times New Roman" w:hAnsi="Times New Roman" w:eastAsia="Times New Roman" w:cs="Times New Roman"/>
          <w:vanish/>
          <w:kern w:val="0"/>
          <w:sz w:val="24"/>
        </w:rPr>
        <w:t>word horizontal layout</w:t>
      </w:r>
    </w:p>
    <w:tbl>
      <w:tblPr>
        <w:tblStyle w:val="23"/>
        <w:tblW w:w="9062" w:type="dxa"/>
        <w:tblInd w:w="20" w:type="dxa"/>
        <w:tblLayout w:type="fixed"/>
        <w:tblCellMar>
          <w:top w:w="15" w:type="dxa"/>
          <w:left w:w="15" w:type="dxa"/>
          <w:bottom w:w="15" w:type="dxa"/>
          <w:right w:w="15" w:type="dxa"/>
        </w:tblCellMar>
      </w:tblPr>
      <w:tblGrid>
        <w:gridCol w:w="375"/>
        <w:gridCol w:w="1190"/>
        <w:gridCol w:w="375"/>
        <w:gridCol w:w="722"/>
        <w:gridCol w:w="861"/>
        <w:gridCol w:w="583"/>
        <w:gridCol w:w="796"/>
        <w:gridCol w:w="1190"/>
        <w:gridCol w:w="375"/>
        <w:gridCol w:w="722"/>
        <w:gridCol w:w="861"/>
        <w:gridCol w:w="1012"/>
      </w:tblGrid>
      <w:tr>
        <w:tblPrEx>
          <w:tblLayout w:type="fixed"/>
          <w:tblCellMar>
            <w:top w:w="15" w:type="dxa"/>
            <w:left w:w="15" w:type="dxa"/>
            <w:bottom w:w="15" w:type="dxa"/>
            <w:right w:w="15" w:type="dxa"/>
          </w:tblCellMar>
        </w:tblPrEx>
        <w:trPr>
          <w:tblHeader/>
        </w:trPr>
        <w:tc>
          <w:tcPr>
            <w:tcW w:w="9062" w:type="dxa"/>
            <w:gridSpan w:val="12"/>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blHeader/>
        </w:trPr>
        <w:tc>
          <w:tcPr>
            <w:tcW w:w="3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9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6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9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9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6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106"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单位：厦门市康乐第二小学</w:t>
            </w:r>
          </w:p>
        </w:tc>
        <w:tc>
          <w:tcPr>
            <w:tcW w:w="198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3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873"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106"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4956"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blHeader/>
        </w:trPr>
        <w:tc>
          <w:tcPr>
            <w:tcW w:w="3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19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19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58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79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19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195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10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blHeader/>
        </w:trPr>
        <w:tc>
          <w:tcPr>
            <w:tcW w:w="3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9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86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58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9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9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2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86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10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3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9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6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9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9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6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3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5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1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3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c>
          <w:tcPr>
            <w:tcW w:w="3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25"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11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3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58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11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3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2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86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10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125"/>
      <w:tr>
        <w:tblPrEx>
          <w:tblLayout w:type="fixed"/>
          <w:tblCellMar>
            <w:top w:w="15" w:type="dxa"/>
            <w:left w:w="15" w:type="dxa"/>
            <w:bottom w:w="15" w:type="dxa"/>
            <w:right w:w="15" w:type="dxa"/>
          </w:tblCellMar>
        </w:tblPrEx>
        <w:tc>
          <w:tcPr>
            <w:tcW w:w="9062" w:type="dxa"/>
            <w:gridSpan w:val="12"/>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eastAsia="zh-CN"/>
        </w:rPr>
        <w:t>本单位</w:t>
      </w:r>
      <w:r>
        <w:rPr>
          <w:rFonts w:hint="eastAsia" w:ascii="仿宋_GB2312" w:hAnsi="仿宋_GB2312" w:eastAsia="仿宋_GB2312" w:cs="仿宋_GB2312"/>
          <w:kern w:val="0"/>
          <w:sz w:val="32"/>
          <w:szCs w:val="32"/>
          <w:lang w:val="en-US" w:eastAsia="zh-CN"/>
        </w:rPr>
        <w:t>2024年度没有使用一般公共预算财政拨款安排的“三公”经费支出。</w:t>
      </w:r>
    </w:p>
    <w:p>
      <w:pPr>
        <w:pStyle w:val="29"/>
        <w:widowControl/>
        <w:spacing w:before="100" w:after="100"/>
        <w:ind w:left="0" w:right="0" w:firstLine="0"/>
        <w:jc w:val="left"/>
        <w:rPr>
          <w:rFonts w:ascii="宋体" w:hAnsi="宋体" w:cs="宋体"/>
          <w:spacing w:val="0"/>
          <w:kern w:val="0"/>
          <w:sz w:val="32"/>
          <w:szCs w:val="32"/>
        </w:rPr>
      </w:pPr>
    </w:p>
    <w:p>
      <w:pPr>
        <w:pStyle w:val="29"/>
        <w:widowControl/>
        <w:spacing w:before="100" w:after="100"/>
        <w:ind w:left="0" w:right="0" w:firstLine="0"/>
        <w:jc w:val="left"/>
        <w:rPr>
          <w:rFonts w:ascii="宋体" w:hAnsi="宋体" w:cs="宋体"/>
          <w:spacing w:val="0"/>
          <w:kern w:val="0"/>
          <w:sz w:val="32"/>
          <w:szCs w:val="32"/>
        </w:rPr>
      </w:pPr>
    </w:p>
    <w:p>
      <w:pPr>
        <w:pStyle w:val="6"/>
        <w:keepNext w:val="0"/>
        <w:keepLines w:val="0"/>
        <w:spacing w:before="100" w:after="100" w:line="240" w:lineRule="auto"/>
        <w:ind w:left="0" w:right="0" w:firstLine="643" w:firstLineChars="200"/>
        <w:rPr>
          <w:rFonts w:ascii="Times New Roman" w:hAnsi="Times New Roman" w:eastAsia="Times New Roman" w:cs="Times New Roman"/>
          <w:b/>
          <w:bCs/>
          <w:kern w:val="0"/>
          <w:sz w:val="28"/>
          <w:szCs w:val="28"/>
        </w:rPr>
      </w:pPr>
      <w:bookmarkStart w:id="57" w:name="_Toc256000045"/>
      <w:bookmarkStart w:id="58" w:name="_Toc256000076"/>
      <w:bookmarkStart w:id="59" w:name="_Toc256000014"/>
      <w:bookmarkStart w:id="60" w:name="_Toc256000107"/>
      <w:r>
        <w:rPr>
          <w:rFonts w:ascii="黑体" w:hAnsi="黑体" w:eastAsia="黑体" w:cs="黑体"/>
          <w:b/>
          <w:spacing w:val="0"/>
        </w:rPr>
        <w:t>八、政府性基金预算财政拨款收入支出决算表</w:t>
      </w:r>
      <w:bookmarkEnd w:id="57"/>
      <w:bookmarkEnd w:id="58"/>
      <w:bookmarkEnd w:id="59"/>
      <w:bookmarkEnd w:id="6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3" w:type="dxa"/>
        <w:tblInd w:w="20" w:type="dxa"/>
        <w:tblLayout w:type="fixed"/>
        <w:tblCellMar>
          <w:top w:w="15" w:type="dxa"/>
          <w:left w:w="15" w:type="dxa"/>
          <w:bottom w:w="15" w:type="dxa"/>
          <w:right w:w="15" w:type="dxa"/>
        </w:tblCellMar>
      </w:tblPr>
      <w:tblGrid>
        <w:gridCol w:w="1738"/>
        <w:gridCol w:w="1870"/>
        <w:gridCol w:w="1028"/>
        <w:gridCol w:w="771"/>
        <w:gridCol w:w="921"/>
        <w:gridCol w:w="667"/>
        <w:gridCol w:w="771"/>
        <w:gridCol w:w="1297"/>
      </w:tblGrid>
      <w:tr>
        <w:tblPrEx>
          <w:tblLayout w:type="fixed"/>
          <w:tblCellMar>
            <w:top w:w="15" w:type="dxa"/>
            <w:left w:w="15" w:type="dxa"/>
            <w:bottom w:w="15" w:type="dxa"/>
            <w:right w:w="15" w:type="dxa"/>
          </w:tblCellMar>
        </w:tblPrEx>
        <w:trPr>
          <w:tblHeader/>
        </w:trPr>
        <w:tc>
          <w:tcPr>
            <w:tcW w:w="9063"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blHeader/>
        </w:trPr>
        <w:tc>
          <w:tcPr>
            <w:tcW w:w="173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87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7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5407"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单位：厦门市康乐第二小学</w:t>
            </w:r>
          </w:p>
        </w:tc>
        <w:tc>
          <w:tcPr>
            <w:tcW w:w="158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206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36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2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77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235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129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blHeader/>
        </w:trPr>
        <w:tc>
          <w:tcPr>
            <w:tcW w:w="173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187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7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6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77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29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73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7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2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7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7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9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6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6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2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360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6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2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8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6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2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8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0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6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2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73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8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0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9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6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2.98</w:t>
            </w:r>
          </w:p>
        </w:tc>
        <w:tc>
          <w:tcPr>
            <w:tcW w:w="12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3"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注：本表反映部门本年度政府性基金预算财政拨款收入、支出及结转和结余情况。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6"/>
        <w:keepNext w:val="0"/>
        <w:keepLines w:val="0"/>
        <w:spacing w:before="100" w:after="100" w:line="240" w:lineRule="auto"/>
        <w:ind w:left="0" w:right="0" w:firstLine="643" w:firstLineChars="200"/>
        <w:rPr>
          <w:rFonts w:ascii="黑体" w:hAnsi="黑体" w:eastAsia="黑体" w:cs="黑体"/>
          <w:b/>
          <w:spacing w:val="0"/>
        </w:rPr>
      </w:pPr>
      <w:bookmarkStart w:id="61" w:name="_Toc256000015"/>
      <w:bookmarkStart w:id="62" w:name="_Toc256000077"/>
      <w:bookmarkStart w:id="63" w:name="_Toc256000108"/>
      <w:bookmarkStart w:id="64" w:name="_Toc256000046"/>
    </w:p>
    <w:p>
      <w:pPr>
        <w:pStyle w:val="5"/>
        <w:rPr>
          <w:rFonts w:ascii="黑体" w:hAnsi="黑体" w:eastAsia="黑体" w:cs="黑体"/>
          <w:b/>
          <w:spacing w:val="0"/>
        </w:rPr>
      </w:pPr>
    </w:p>
    <w:p>
      <w:pPr>
        <w:pStyle w:val="5"/>
        <w:rPr>
          <w:rFonts w:ascii="黑体" w:hAnsi="黑体" w:eastAsia="黑体" w:cs="黑体"/>
          <w:b/>
          <w:spacing w:val="0"/>
        </w:rPr>
      </w:pPr>
    </w:p>
    <w:p>
      <w:pPr>
        <w:pStyle w:val="6"/>
        <w:keepNext w:val="0"/>
        <w:keepLines w:val="0"/>
        <w:spacing w:before="100" w:after="100" w:line="240" w:lineRule="auto"/>
        <w:ind w:left="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九、国有资本经营预算财政拨款支出决算表</w:t>
      </w:r>
      <w:bookmarkEnd w:id="61"/>
      <w:bookmarkEnd w:id="62"/>
      <w:bookmarkEnd w:id="63"/>
      <w:bookmarkEnd w:id="6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6" w:type="dxa"/>
        <w:tblInd w:w="0" w:type="dxa"/>
        <w:tblLayout w:type="fixed"/>
        <w:tblCellMar>
          <w:top w:w="15" w:type="dxa"/>
          <w:left w:w="15" w:type="dxa"/>
          <w:bottom w:w="15" w:type="dxa"/>
          <w:right w:w="15" w:type="dxa"/>
        </w:tblCellMar>
      </w:tblPr>
      <w:tblGrid>
        <w:gridCol w:w="2173"/>
        <w:gridCol w:w="2172"/>
        <w:gridCol w:w="1313"/>
        <w:gridCol w:w="1253"/>
        <w:gridCol w:w="2155"/>
      </w:tblGrid>
      <w:tr>
        <w:tblPrEx>
          <w:tblLayout w:type="fixed"/>
          <w:tblCellMar>
            <w:top w:w="15" w:type="dxa"/>
            <w:left w:w="15" w:type="dxa"/>
            <w:bottom w:w="15" w:type="dxa"/>
            <w:right w:w="15" w:type="dxa"/>
          </w:tblCellMar>
        </w:tblPrEx>
        <w:trPr>
          <w:tblHeader/>
        </w:trPr>
        <w:tc>
          <w:tcPr>
            <w:tcW w:w="9066" w:type="dxa"/>
            <w:gridSpan w:val="5"/>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blHeader/>
        </w:trPr>
        <w:tc>
          <w:tcPr>
            <w:tcW w:w="21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17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5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1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434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单位：厦门市康乐第二小学</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125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1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c>
          <w:tcPr>
            <w:tcW w:w="434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72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217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17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3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25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21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217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17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5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1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217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17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25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1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434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2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2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434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1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17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25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1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5"/>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注：本表反映部门本年度国有资本经营预算财政拨款支出情况。</w:t>
            </w:r>
          </w:p>
        </w:tc>
      </w:tr>
    </w:tbl>
    <w:p>
      <w:pPr>
        <w:keepNext w:val="0"/>
        <w:keepLines w:val="0"/>
        <w:pageBreakBefore w:val="0"/>
        <w:widowControl/>
        <w:tabs>
          <w:tab w:val="left" w:pos="406"/>
        </w:tabs>
        <w:kinsoku/>
        <w:wordWrap/>
        <w:overflowPunct/>
        <w:topLinePunct w:val="0"/>
        <w:autoSpaceDE/>
        <w:autoSpaceDN/>
        <w:bidi w:val="0"/>
        <w:adjustRightInd/>
        <w:snapToGrid/>
        <w:spacing w:line="360" w:lineRule="auto"/>
        <w:ind w:firstLine="640" w:firstLineChars="200"/>
        <w:jc w:val="both"/>
        <w:textAlignment w:val="auto"/>
        <w:outlineLvl w:val="9"/>
        <w:rPr>
          <w:rFonts w:hint="eastAsia" w:ascii="Times New Roman" w:hAnsi="Times New Roman" w:eastAsia="宋体" w:cs="Times New Roman"/>
          <w:kern w:val="0"/>
          <w:sz w:val="24"/>
          <w:lang w:eastAsia="zh-CN"/>
        </w:rPr>
      </w:pPr>
      <w:r>
        <w:rPr>
          <w:rFonts w:ascii="仿宋" w:hAnsi="仿宋" w:eastAsia="仿宋" w:cs="仿宋"/>
          <w:kern w:val="0"/>
          <w:sz w:val="32"/>
          <w:szCs w:val="32"/>
        </w:rPr>
        <w:t>本</w:t>
      </w:r>
      <w:r>
        <w:rPr>
          <w:rFonts w:hint="eastAsia" w:ascii="仿宋" w:hAnsi="仿宋" w:eastAsia="仿宋" w:cs="仿宋"/>
          <w:kern w:val="0"/>
          <w:sz w:val="32"/>
          <w:szCs w:val="32"/>
          <w:lang w:eastAsia="zh-CN"/>
        </w:rPr>
        <w:t>单位</w:t>
      </w: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w:t>
      </w:r>
      <w:r>
        <w:rPr>
          <w:rFonts w:hint="eastAsia" w:ascii="仿宋" w:hAnsi="仿宋" w:eastAsia="仿宋" w:cs="仿宋"/>
          <w:kern w:val="0"/>
          <w:sz w:val="32"/>
          <w:szCs w:val="32"/>
          <w:lang w:eastAsia="zh-CN"/>
        </w:rPr>
        <w:t>支出。</w:t>
      </w:r>
    </w:p>
    <w:p>
      <w:pPr>
        <w:pStyle w:val="29"/>
        <w:widowControl/>
        <w:spacing w:before="240" w:after="240"/>
        <w:jc w:val="left"/>
        <w:rPr>
          <w:rFonts w:ascii="Times New Roman" w:hAnsi="Times New Roman" w:eastAsia="Times New Roman" w:cs="Times New Roman"/>
          <w:kern w:val="0"/>
          <w:sz w:val="24"/>
        </w:rPr>
      </w:pPr>
      <w:r>
        <w:rPr>
          <w:rFonts w:ascii="Calibri" w:hAnsi="Calibri" w:eastAsia="Calibri" w:cs="Calibri"/>
          <w:spacing w:val="0"/>
          <w:kern w:val="0"/>
          <w:sz w:val="56"/>
          <w:szCs w:val="56"/>
        </w:rPr>
        <w:t> </w:t>
      </w:r>
    </w:p>
    <w:p>
      <w:pPr>
        <w:pStyle w:val="29"/>
        <w:widowControl/>
        <w:spacing w:before="240" w:after="240"/>
        <w:jc w:val="left"/>
        <w:rPr>
          <w:rFonts w:ascii="Times New Roman" w:hAnsi="Times New Roman" w:eastAsia="Times New Roman" w:cs="Times New Roman"/>
          <w:kern w:val="0"/>
          <w:sz w:val="24"/>
        </w:rPr>
        <w:sectPr>
          <w:footerReference r:id="rId4" w:type="default"/>
          <w:pgSz w:w="11906" w:h="16383"/>
          <w:pgMar w:top="1080" w:right="1440" w:bottom="1080" w:left="1440" w:header="720" w:footer="720" w:gutter="0"/>
          <w:pgNumType w:start="1"/>
          <w:cols w:space="720" w:num="1"/>
        </w:sect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Times New Roman" w:hAnsi="Times New Roman" w:eastAsia="Times New Roman" w:cs="Times New Roman"/>
          <w:vanish/>
          <w:kern w:val="0"/>
          <w:sz w:val="24"/>
        </w:rPr>
      </w:pPr>
      <w:bookmarkStart w:id="65" w:name="_Toc256000078"/>
      <w:bookmarkStart w:id="66" w:name="_Toc256000047"/>
      <w:bookmarkStart w:id="67" w:name="_Toc256000016"/>
      <w:bookmarkStart w:id="68" w:name="_Toc256000109"/>
      <w:r>
        <w:rPr>
          <w:rFonts w:ascii="黑体" w:hAnsi="黑体" w:eastAsia="黑体" w:cs="黑体"/>
          <w:b/>
          <w:spacing w:val="0"/>
          <w:sz w:val="32"/>
          <w:szCs w:val="32"/>
        </w:rPr>
        <w:t>第三部分</w:t>
      </w:r>
      <w:bookmarkEnd w:id="65"/>
      <w:bookmarkEnd w:id="66"/>
      <w:bookmarkEnd w:id="67"/>
      <w:bookmarkEnd w:id="68"/>
      <w:bookmarkStart w:id="69" w:name="_Toc256000110"/>
      <w:bookmarkStart w:id="70" w:name="_Toc256000079"/>
      <w:bookmarkStart w:id="71" w:name="_Toc256000048"/>
      <w:bookmarkStart w:id="72" w:name="_Toc256000017"/>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2024年度决算情况说明</w:t>
      </w:r>
      <w:bookmarkEnd w:id="69"/>
      <w:bookmarkEnd w:id="70"/>
      <w:bookmarkEnd w:id="71"/>
      <w:bookmarkEnd w:id="72"/>
      <w:r>
        <w:rPr>
          <w:rFonts w:ascii="Times New Roman" w:hAnsi="Times New Roman" w:eastAsia="Times New Roman" w:cs="Times New Roman"/>
          <w:vanish/>
          <w:kern w:val="0"/>
          <w:sz w:val="24"/>
        </w:rPr>
        <w:t>word page break</w:t>
      </w:r>
    </w:p>
    <w:p>
      <w:pPr>
        <w:keepNext w:val="0"/>
        <w:keepLines w:val="0"/>
        <w:pageBreakBefore w:val="0"/>
        <w:widowControl/>
        <w:kinsoku/>
        <w:wordWrap/>
        <w:overflowPunct/>
        <w:topLinePunct w:val="0"/>
        <w:autoSpaceDE/>
        <w:autoSpaceDN/>
        <w:bidi w:val="0"/>
        <w:adjustRightInd/>
        <w:spacing w:before="240" w:after="240" w:line="360" w:lineRule="auto"/>
        <w:jc w:val="left"/>
        <w:textAlignment w:val="auto"/>
        <w:rPr>
          <w:rFonts w:ascii="Times New Roman" w:hAnsi="Times New Roman" w:eastAsia="Times New Roman" w:cs="Times New Roman"/>
          <w:kern w:val="0"/>
          <w:sz w:val="24"/>
        </w:rPr>
      </w:pPr>
    </w:p>
    <w:p>
      <w:pPr>
        <w:pStyle w:val="6"/>
        <w:keepNext w:val="0"/>
        <w:keepLines w:val="0"/>
        <w:pageBreakBefore w:val="0"/>
        <w:kinsoku/>
        <w:wordWrap/>
        <w:overflowPunct/>
        <w:topLinePunct w:val="0"/>
        <w:autoSpaceDE/>
        <w:autoSpaceDN/>
        <w:bidi w:val="0"/>
        <w:adjustRightIn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73" w:name="_Toc256000049"/>
      <w:bookmarkStart w:id="74" w:name="_Toc256000018"/>
      <w:bookmarkStart w:id="75" w:name="_Toc256000080"/>
      <w:bookmarkStart w:id="76" w:name="_Toc256000111"/>
      <w:r>
        <w:rPr>
          <w:rFonts w:ascii="黑体" w:hAnsi="黑体" w:eastAsia="黑体" w:cs="黑体"/>
          <w:b/>
          <w:spacing w:val="0"/>
        </w:rPr>
        <w:t>一、收入支出决算总体情况说明</w:t>
      </w:r>
      <w:bookmarkEnd w:id="73"/>
      <w:bookmarkEnd w:id="74"/>
      <w:bookmarkEnd w:id="75"/>
      <w:bookmarkEnd w:id="76"/>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2024年度本单位收入总计4342.79万元，支出总计4342.79万元，与上年决算数相比，各增加472.26万元，各增长12.20%。主要是</w:t>
      </w:r>
      <w:r>
        <w:rPr>
          <w:rFonts w:hint="eastAsia" w:ascii="仿宋" w:hAnsi="仿宋" w:eastAsia="仿宋" w:cs="仿宋"/>
          <w:spacing w:val="0"/>
          <w:kern w:val="0"/>
          <w:sz w:val="32"/>
          <w:szCs w:val="32"/>
          <w:lang w:eastAsia="zh-CN"/>
        </w:rPr>
        <w:t>项目经费增加等。</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2024年度收入4342.79万元，比上年决算数</w:t>
      </w:r>
      <w:r>
        <w:rPr>
          <w:rFonts w:ascii="仿宋" w:hAnsi="仿宋" w:eastAsia="仿宋" w:cs="仿宋"/>
          <w:kern w:val="0"/>
          <w:sz w:val="32"/>
          <w:szCs w:val="32"/>
        </w:rPr>
        <w:t>增加</w:t>
      </w:r>
      <w:r>
        <w:rPr>
          <w:rFonts w:ascii="仿宋" w:hAnsi="仿宋" w:eastAsia="仿宋" w:cs="仿宋"/>
          <w:spacing w:val="0"/>
          <w:kern w:val="0"/>
          <w:sz w:val="32"/>
          <w:szCs w:val="32"/>
        </w:rPr>
        <w:t>472.26万元，</w:t>
      </w:r>
      <w:r>
        <w:rPr>
          <w:rFonts w:ascii="仿宋" w:hAnsi="仿宋" w:eastAsia="仿宋" w:cs="仿宋"/>
          <w:kern w:val="0"/>
          <w:sz w:val="32"/>
          <w:szCs w:val="32"/>
        </w:rPr>
        <w:t>增长</w:t>
      </w:r>
      <w:r>
        <w:rPr>
          <w:rFonts w:ascii="仿宋" w:hAnsi="仿宋" w:eastAsia="仿宋" w:cs="仿宋"/>
          <w:spacing w:val="0"/>
          <w:kern w:val="0"/>
          <w:sz w:val="32"/>
          <w:szCs w:val="32"/>
        </w:rPr>
        <w:t>12.20%，具体情况如下：</w:t>
      </w:r>
    </w:p>
    <w:p>
      <w:pPr>
        <w:pStyle w:val="29"/>
        <w:keepNext w:val="0"/>
        <w:keepLines w:val="0"/>
        <w:pageBreakBefore w:val="0"/>
        <w:widowControl/>
        <w:kinsoku/>
        <w:wordWrap/>
        <w:overflowPunct/>
        <w:topLinePunct w:val="0"/>
        <w:autoSpaceDE/>
        <w:autoSpaceDN/>
        <w:bidi w:val="0"/>
        <w:adjustRightInd/>
        <w:spacing w:before="100" w:after="100" w:line="360" w:lineRule="auto"/>
        <w:ind w:left="160" w:right="0" w:firstLine="48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1.一般公共预算财政拨款收入4339.81万元。</w:t>
      </w:r>
    </w:p>
    <w:p>
      <w:pPr>
        <w:pStyle w:val="29"/>
        <w:keepNext w:val="0"/>
        <w:keepLines w:val="0"/>
        <w:pageBreakBefore w:val="0"/>
        <w:widowControl/>
        <w:kinsoku/>
        <w:wordWrap/>
        <w:overflowPunct/>
        <w:topLinePunct w:val="0"/>
        <w:autoSpaceDE/>
        <w:autoSpaceDN/>
        <w:bidi w:val="0"/>
        <w:adjustRightInd/>
        <w:spacing w:before="100" w:after="100" w:line="360" w:lineRule="auto"/>
        <w:ind w:left="160" w:right="0" w:firstLine="48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2.政府性基金预算财政拨款收入2.98万元。</w:t>
      </w:r>
    </w:p>
    <w:p>
      <w:pPr>
        <w:pStyle w:val="29"/>
        <w:keepNext w:val="0"/>
        <w:keepLines w:val="0"/>
        <w:pageBreakBefore w:val="0"/>
        <w:widowControl/>
        <w:kinsoku/>
        <w:wordWrap/>
        <w:overflowPunct/>
        <w:topLinePunct w:val="0"/>
        <w:autoSpaceDE/>
        <w:autoSpaceDN/>
        <w:bidi w:val="0"/>
        <w:adjustRightInd/>
        <w:spacing w:before="100" w:after="100" w:line="360" w:lineRule="auto"/>
        <w:ind w:left="160" w:right="0" w:firstLine="48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2024年度支出4342.79万元，比上年决算数增加472.26万元，增长12.20%，具体情况如下：</w:t>
      </w:r>
    </w:p>
    <w:p>
      <w:pPr>
        <w:pStyle w:val="29"/>
        <w:keepNext w:val="0"/>
        <w:keepLines w:val="0"/>
        <w:pageBreakBefore w:val="0"/>
        <w:widowControl/>
        <w:kinsoku/>
        <w:wordWrap/>
        <w:overflowPunct/>
        <w:topLinePunct w:val="0"/>
        <w:autoSpaceDE/>
        <w:autoSpaceDN/>
        <w:bidi w:val="0"/>
        <w:adjustRightInd/>
        <w:spacing w:before="100" w:after="10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1.基本支出3877.88万元。其中，人员支出3501.93万元，公用支出375.95万元。</w:t>
      </w:r>
    </w:p>
    <w:p>
      <w:pPr>
        <w:pStyle w:val="29"/>
        <w:keepNext w:val="0"/>
        <w:keepLines w:val="0"/>
        <w:pageBreakBefore w:val="0"/>
        <w:widowControl/>
        <w:kinsoku/>
        <w:wordWrap/>
        <w:overflowPunct/>
        <w:topLinePunct w:val="0"/>
        <w:autoSpaceDE/>
        <w:autoSpaceDN/>
        <w:bidi w:val="0"/>
        <w:adjustRightInd/>
        <w:spacing w:before="240" w:after="24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2.项目支出464.91万元。</w:t>
      </w:r>
    </w:p>
    <w:p>
      <w:pPr>
        <w:pStyle w:val="29"/>
        <w:keepNext w:val="0"/>
        <w:keepLines w:val="0"/>
        <w:pageBreakBefore w:val="0"/>
        <w:widowControl/>
        <w:kinsoku/>
        <w:wordWrap/>
        <w:overflowPunct/>
        <w:topLinePunct w:val="0"/>
        <w:autoSpaceDE/>
        <w:autoSpaceDN/>
        <w:bidi w:val="0"/>
        <w:adjustRightInd/>
        <w:spacing w:before="100" w:after="10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9"/>
        <w:keepNext w:val="0"/>
        <w:keepLines w:val="0"/>
        <w:pageBreakBefore w:val="0"/>
        <w:widowControl/>
        <w:kinsoku/>
        <w:wordWrap/>
        <w:overflowPunct/>
        <w:topLinePunct w:val="0"/>
        <w:autoSpaceDE/>
        <w:autoSpaceDN/>
        <w:bidi w:val="0"/>
        <w:adjustRightInd/>
        <w:spacing w:before="100" w:after="10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9"/>
        <w:keepNext w:val="0"/>
        <w:keepLines w:val="0"/>
        <w:pageBreakBefore w:val="0"/>
        <w:widowControl/>
        <w:kinsoku/>
        <w:wordWrap/>
        <w:overflowPunct/>
        <w:topLinePunct w:val="0"/>
        <w:autoSpaceDE/>
        <w:autoSpaceDN/>
        <w:bidi w:val="0"/>
        <w:adjustRightInd/>
        <w:spacing w:before="100" w:after="100" w:line="360" w:lineRule="auto"/>
        <w:ind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6"/>
        <w:keepNext w:val="0"/>
        <w:keepLines w:val="0"/>
        <w:pageBreakBefore w:val="0"/>
        <w:kinsoku/>
        <w:wordWrap/>
        <w:overflowPunct/>
        <w:topLinePunct w:val="0"/>
        <w:autoSpaceDE/>
        <w:autoSpaceDN/>
        <w:bidi w:val="0"/>
        <w:adjustRightInd/>
        <w:spacing w:before="100" w:after="100" w:line="360" w:lineRule="auto"/>
        <w:ind w:right="0"/>
        <w:textAlignment w:val="auto"/>
        <w:rPr>
          <w:rFonts w:ascii="Times New Roman" w:hAnsi="Times New Roman" w:eastAsia="Times New Roman" w:cs="Times New Roman"/>
          <w:b/>
          <w:bCs/>
          <w:kern w:val="0"/>
          <w:sz w:val="28"/>
          <w:szCs w:val="28"/>
        </w:rPr>
      </w:pPr>
      <w:bookmarkStart w:id="77" w:name="_Toc256000081"/>
      <w:bookmarkStart w:id="78" w:name="_Toc256000050"/>
      <w:bookmarkStart w:id="79" w:name="_Toc256000019"/>
      <w:bookmarkStart w:id="80" w:name="_Toc256000112"/>
      <w:r>
        <w:rPr>
          <w:rFonts w:ascii="黑体" w:hAnsi="黑体" w:eastAsia="黑体" w:cs="黑体"/>
          <w:b/>
          <w:spacing w:val="0"/>
        </w:rPr>
        <w:t>二、财政拨款收入支出决算总体情况说明</w:t>
      </w:r>
      <w:bookmarkEnd w:id="77"/>
      <w:bookmarkEnd w:id="78"/>
      <w:bookmarkEnd w:id="79"/>
      <w:bookmarkEnd w:id="80"/>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2024年度财政拨款收入总计4342.79万元，支出总计4342.79万元，与上年决算数相比，各增加472.26万元，增长12.20%，主要是：</w:t>
      </w:r>
      <w:r>
        <w:rPr>
          <w:rFonts w:hint="eastAsia" w:ascii="仿宋" w:hAnsi="仿宋" w:eastAsia="仿宋" w:cs="仿宋"/>
          <w:spacing w:val="0"/>
          <w:kern w:val="0"/>
          <w:sz w:val="32"/>
          <w:szCs w:val="32"/>
          <w:lang w:eastAsia="zh-CN"/>
        </w:rPr>
        <w:t>项目经费增加等。</w:t>
      </w:r>
    </w:p>
    <w:p>
      <w:pPr>
        <w:pStyle w:val="6"/>
        <w:keepNext w:val="0"/>
        <w:keepLines w:val="0"/>
        <w:pageBreakBefore w:val="0"/>
        <w:kinsoku/>
        <w:wordWrap/>
        <w:overflowPunct/>
        <w:topLinePunct w:val="0"/>
        <w:autoSpaceDE/>
        <w:autoSpaceDN/>
        <w:bidi w:val="0"/>
        <w:adjustRightIn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81" w:name="_Toc256000020"/>
      <w:bookmarkStart w:id="82" w:name="_Toc256000051"/>
      <w:bookmarkStart w:id="83" w:name="_Toc256000113"/>
      <w:bookmarkStart w:id="84" w:name="_Toc256000082"/>
      <w:r>
        <w:rPr>
          <w:rFonts w:ascii="黑体" w:hAnsi="黑体" w:eastAsia="黑体" w:cs="黑体"/>
          <w:b/>
          <w:spacing w:val="0"/>
        </w:rPr>
        <w:t>三、一般公共预算拨款支出决算情况说明</w:t>
      </w:r>
      <w:bookmarkEnd w:id="81"/>
      <w:bookmarkEnd w:id="82"/>
      <w:bookmarkEnd w:id="83"/>
      <w:bookmarkEnd w:id="84"/>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2024年一般公共预算支出4339.81万元，比上年决算数增加518.93万元，增长13.58%，具体情况如下(按</w:t>
      </w:r>
      <w:r>
        <w:rPr>
          <w:rStyle w:val="31"/>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（一）2013602 一般行政管理事务19.28万元，较上年决算数增加19.28万元，增长100%。主要原因是</w:t>
      </w:r>
      <w:r>
        <w:rPr>
          <w:rFonts w:hint="eastAsia" w:ascii="仿宋" w:hAnsi="仿宋" w:eastAsia="仿宋" w:cs="仿宋"/>
          <w:spacing w:val="0"/>
          <w:kern w:val="0"/>
          <w:sz w:val="32"/>
          <w:szCs w:val="32"/>
          <w:lang w:eastAsia="zh-CN"/>
        </w:rPr>
        <w:t>项目经费增加等。</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（二）2050199 其他教育管理事务支出1.50万元，较上年决算数增加1.50万元，增长100%。主要原因是</w:t>
      </w:r>
      <w:r>
        <w:rPr>
          <w:rFonts w:hint="eastAsia" w:ascii="仿宋" w:hAnsi="仿宋" w:eastAsia="仿宋" w:cs="仿宋"/>
          <w:spacing w:val="0"/>
          <w:kern w:val="0"/>
          <w:sz w:val="32"/>
          <w:szCs w:val="32"/>
          <w:lang w:eastAsia="zh-CN"/>
        </w:rPr>
        <w:t>项目经费增加等。</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firstLineChars="200"/>
        <w:jc w:val="both"/>
        <w:textAlignment w:val="auto"/>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（三）2050202 小学教育2,980.73万元，较上年决算数增加97.79万元，增长3.39%。主要原因是</w:t>
      </w:r>
      <w:r>
        <w:rPr>
          <w:rFonts w:hint="eastAsia" w:ascii="仿宋" w:hAnsi="仿宋" w:eastAsia="仿宋" w:cs="仿宋"/>
          <w:spacing w:val="0"/>
          <w:kern w:val="0"/>
          <w:sz w:val="32"/>
          <w:szCs w:val="32"/>
          <w:lang w:eastAsia="zh-CN"/>
        </w:rPr>
        <w:t>项目经费增加等。</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（四）2050299 其他普通教育支出211.30万元，较上年决算数增加10.18万元，增长5.06%。主要原因是</w:t>
      </w:r>
      <w:r>
        <w:rPr>
          <w:rFonts w:hint="eastAsia" w:ascii="仿宋" w:hAnsi="仿宋" w:eastAsia="仿宋" w:cs="仿宋"/>
          <w:spacing w:val="0"/>
          <w:kern w:val="0"/>
          <w:sz w:val="32"/>
          <w:szCs w:val="32"/>
          <w:lang w:eastAsia="zh-CN"/>
        </w:rPr>
        <w:t>项目经费增加等。</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（五）2050999 其他教育费附加安排的支出311.40万元，较上年决算数增加234.88万元，增长306.96%。主要原因是</w:t>
      </w:r>
      <w:r>
        <w:rPr>
          <w:rFonts w:hint="eastAsia" w:ascii="仿宋" w:hAnsi="仿宋" w:eastAsia="仿宋" w:cs="仿宋"/>
          <w:spacing w:val="0"/>
          <w:kern w:val="0"/>
          <w:sz w:val="32"/>
          <w:szCs w:val="32"/>
          <w:lang w:eastAsia="zh-CN"/>
        </w:rPr>
        <w:t>项目经费增加等。</w:t>
      </w:r>
      <w:r>
        <w:rPr>
          <w:rFonts w:hint="eastAsia" w:ascii="仿宋" w:hAnsi="仿宋" w:eastAsia="仿宋" w:cs="仿宋"/>
          <w:spacing w:val="0"/>
          <w:kern w:val="0"/>
          <w:sz w:val="32"/>
          <w:szCs w:val="32"/>
          <w:lang w:val="en-US" w:eastAsia="zh-CN"/>
        </w:rPr>
        <w:t xml:space="preserve">    </w:t>
      </w:r>
    </w:p>
    <w:p>
      <w:pPr>
        <w:pStyle w:val="29"/>
        <w:keepNext w:val="0"/>
        <w:keepLines w:val="0"/>
        <w:pageBreakBefore w:val="0"/>
        <w:widowControl/>
        <w:kinsoku/>
        <w:wordWrap/>
        <w:overflowPunct/>
        <w:topLinePunct w:val="0"/>
        <w:autoSpaceDE/>
        <w:autoSpaceDN/>
        <w:bidi w:val="0"/>
        <w:adjustRightInd/>
        <w:spacing w:before="100" w:after="100" w:line="360" w:lineRule="auto"/>
        <w:ind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（六）2080502 事业单位离退休206.42万元，较上年决算数增加31.06万元，增长17.71%。主要原因是</w:t>
      </w:r>
      <w:r>
        <w:rPr>
          <w:rFonts w:hint="eastAsia" w:ascii="仿宋" w:hAnsi="仿宋" w:eastAsia="仿宋" w:cs="仿宋"/>
          <w:spacing w:val="0"/>
          <w:kern w:val="0"/>
          <w:sz w:val="32"/>
          <w:szCs w:val="32"/>
          <w:lang w:eastAsia="zh-CN"/>
        </w:rPr>
        <w:t>退休人员变动等。</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（七）2080505 机关事业单位基本养老保险缴费支出236.24万元，较上年决算数增加14.69万元，增长6.63%。主要原因是</w:t>
      </w:r>
      <w:r>
        <w:rPr>
          <w:rFonts w:hint="eastAsia" w:ascii="仿宋" w:hAnsi="仿宋" w:eastAsia="仿宋" w:cs="仿宋"/>
          <w:spacing w:val="0"/>
          <w:kern w:val="0"/>
          <w:sz w:val="32"/>
          <w:szCs w:val="32"/>
          <w:lang w:eastAsia="zh-CN"/>
        </w:rPr>
        <w:t>人员变动等。</w:t>
      </w:r>
    </w:p>
    <w:p>
      <w:pPr>
        <w:pStyle w:val="29"/>
        <w:keepNext w:val="0"/>
        <w:keepLines w:val="0"/>
        <w:pageBreakBefore w:val="0"/>
        <w:widowControl/>
        <w:kinsoku/>
        <w:wordWrap/>
        <w:overflowPunct/>
        <w:topLinePunct w:val="0"/>
        <w:autoSpaceDE/>
        <w:autoSpaceDN/>
        <w:bidi w:val="0"/>
        <w:adjustRightInd/>
        <w:spacing w:before="100" w:after="100" w:line="360" w:lineRule="auto"/>
        <w:ind w:right="0" w:firstLine="640" w:firstLineChars="200"/>
        <w:jc w:val="both"/>
        <w:textAlignment w:val="auto"/>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（八）2080506 机关事业单位职业年金缴费支出173.29万元，较上年决算数增加53.22万元，增长44.33%。主要原因是</w:t>
      </w:r>
      <w:r>
        <w:rPr>
          <w:rFonts w:hint="eastAsia" w:ascii="仿宋" w:hAnsi="仿宋" w:eastAsia="仿宋" w:cs="仿宋"/>
          <w:spacing w:val="0"/>
          <w:kern w:val="0"/>
          <w:sz w:val="32"/>
          <w:szCs w:val="32"/>
          <w:lang w:eastAsia="zh-CN"/>
        </w:rPr>
        <w:t>人员变动等。</w:t>
      </w:r>
      <w:r>
        <w:rPr>
          <w:rFonts w:hint="eastAsia" w:ascii="仿宋" w:hAnsi="仿宋" w:eastAsia="仿宋" w:cs="仿宋"/>
          <w:spacing w:val="0"/>
          <w:kern w:val="0"/>
          <w:sz w:val="32"/>
          <w:szCs w:val="32"/>
          <w:lang w:val="en-US" w:eastAsia="zh-CN"/>
        </w:rPr>
        <w:t xml:space="preserve">  </w:t>
      </w:r>
    </w:p>
    <w:p>
      <w:pPr>
        <w:pStyle w:val="29"/>
        <w:keepNext w:val="0"/>
        <w:keepLines w:val="0"/>
        <w:pageBreakBefore w:val="0"/>
        <w:widowControl/>
        <w:kinsoku/>
        <w:wordWrap/>
        <w:overflowPunct/>
        <w:topLinePunct w:val="0"/>
        <w:autoSpaceDE/>
        <w:autoSpaceDN/>
        <w:bidi w:val="0"/>
        <w:adjustRightInd/>
        <w:spacing w:before="100" w:after="100" w:line="360" w:lineRule="auto"/>
        <w:ind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（九）2101102 事业单位医疗101.14万元，较上年决算数增加6.29万元，增长6.63%。主要原因是</w:t>
      </w:r>
      <w:r>
        <w:rPr>
          <w:rFonts w:hint="eastAsia" w:ascii="仿宋" w:hAnsi="仿宋" w:eastAsia="仿宋" w:cs="仿宋"/>
          <w:spacing w:val="0"/>
          <w:kern w:val="0"/>
          <w:sz w:val="32"/>
          <w:szCs w:val="32"/>
          <w:lang w:eastAsia="zh-CN"/>
        </w:rPr>
        <w:t>人员变动等。</w:t>
      </w:r>
    </w:p>
    <w:p>
      <w:pPr>
        <w:pStyle w:val="29"/>
        <w:keepNext w:val="0"/>
        <w:keepLines w:val="0"/>
        <w:pageBreakBefore w:val="0"/>
        <w:widowControl/>
        <w:kinsoku/>
        <w:wordWrap/>
        <w:overflowPunct/>
        <w:topLinePunct w:val="0"/>
        <w:autoSpaceDE/>
        <w:autoSpaceDN/>
        <w:bidi w:val="0"/>
        <w:adjustRightInd/>
        <w:spacing w:before="100" w:after="100" w:line="360" w:lineRule="auto"/>
        <w:ind w:right="0" w:firstLine="640" w:firstLineChars="20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（十）2101199 其他行政事业单位医疗支出51.68万元，较上年决算数增加3.21万元，增长6.63%。主要原因是</w:t>
      </w:r>
      <w:r>
        <w:rPr>
          <w:rFonts w:hint="eastAsia" w:ascii="仿宋" w:hAnsi="仿宋" w:eastAsia="仿宋" w:cs="仿宋"/>
          <w:spacing w:val="0"/>
          <w:kern w:val="0"/>
          <w:sz w:val="32"/>
          <w:szCs w:val="32"/>
          <w:lang w:eastAsia="zh-CN"/>
        </w:rPr>
        <w:t>人员变动等。</w:t>
      </w:r>
    </w:p>
    <w:p>
      <w:pPr>
        <w:pStyle w:val="29"/>
        <w:keepNext w:val="0"/>
        <w:keepLines w:val="0"/>
        <w:pageBreakBefore w:val="0"/>
        <w:widowControl/>
        <w:kinsoku/>
        <w:wordWrap/>
        <w:overflowPunct/>
        <w:topLinePunct w:val="0"/>
        <w:autoSpaceDE/>
        <w:autoSpaceDN/>
        <w:bidi w:val="0"/>
        <w:adjustRightInd/>
        <w:spacing w:before="100" w:after="100" w:line="360" w:lineRule="auto"/>
        <w:ind w:right="0" w:firstLine="640" w:firstLineChars="200"/>
        <w:jc w:val="both"/>
        <w:textAlignment w:val="auto"/>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（十一）2210203 购房补贴46.83万元，较上年决算数增加46.83万元，增长100%。主要原因是</w:t>
      </w:r>
      <w:r>
        <w:rPr>
          <w:rFonts w:hint="eastAsia" w:ascii="仿宋" w:hAnsi="仿宋" w:eastAsia="仿宋" w:cs="仿宋"/>
          <w:spacing w:val="0"/>
          <w:kern w:val="0"/>
          <w:sz w:val="32"/>
          <w:szCs w:val="32"/>
          <w:lang w:eastAsia="zh-CN"/>
        </w:rPr>
        <w:t>购房补贴项目增加。</w:t>
      </w:r>
    </w:p>
    <w:p>
      <w:pPr>
        <w:pStyle w:val="6"/>
        <w:keepNext w:val="0"/>
        <w:keepLines w:val="0"/>
        <w:pageBreakBefore w:val="0"/>
        <w:kinsoku/>
        <w:wordWrap/>
        <w:overflowPunct/>
        <w:topLinePunct w:val="0"/>
        <w:autoSpaceDE/>
        <w:autoSpaceDN/>
        <w:bidi w:val="0"/>
        <w:adjustRightIn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85" w:name="_Toc256000083"/>
      <w:bookmarkStart w:id="86" w:name="_Toc256000114"/>
      <w:bookmarkStart w:id="87" w:name="_Toc256000021"/>
      <w:bookmarkStart w:id="88" w:name="_Toc256000052"/>
      <w:r>
        <w:rPr>
          <w:rFonts w:ascii="黑体" w:hAnsi="黑体" w:eastAsia="黑体" w:cs="黑体"/>
          <w:b/>
          <w:spacing w:val="0"/>
        </w:rPr>
        <w:t>四、政府性基金预算财政拨款支出决算情况说明</w:t>
      </w:r>
      <w:bookmarkEnd w:id="85"/>
      <w:bookmarkEnd w:id="86"/>
      <w:bookmarkEnd w:id="87"/>
      <w:bookmarkEnd w:id="88"/>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704"/>
        <w:jc w:val="left"/>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2024年度政府性基金支出2.98万元，比上年决算数减少46.67万元，下降93.99%，具体情况如下(按项级科目统计)：</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left"/>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2296003用于体育事业的彩票公益金支出2.98万元，较上年决算数减少46.67万元，下降93.99%。主要原因是</w:t>
      </w:r>
      <w:r>
        <w:rPr>
          <w:rFonts w:hint="eastAsia" w:ascii="仿宋" w:hAnsi="仿宋" w:eastAsia="仿宋" w:cs="仿宋"/>
          <w:spacing w:val="0"/>
          <w:kern w:val="0"/>
          <w:sz w:val="32"/>
          <w:szCs w:val="32"/>
          <w:lang w:eastAsia="zh-CN"/>
        </w:rPr>
        <w:t>项目经费减少。</w:t>
      </w:r>
    </w:p>
    <w:p>
      <w:pPr>
        <w:pStyle w:val="6"/>
        <w:keepNext w:val="0"/>
        <w:keepLines w:val="0"/>
        <w:pageBreakBefore w:val="0"/>
        <w:kinsoku/>
        <w:wordWrap/>
        <w:overflowPunct/>
        <w:topLinePunct w:val="0"/>
        <w:autoSpaceDE/>
        <w:autoSpaceDN/>
        <w:bidi w:val="0"/>
        <w:adjustRightIn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bookmarkStart w:id="89" w:name="_Toc256000053"/>
      <w:bookmarkStart w:id="90" w:name="_Toc256000022"/>
      <w:bookmarkStart w:id="91" w:name="_Toc256000084"/>
      <w:bookmarkStart w:id="92" w:name="_Toc256000115"/>
      <w:r>
        <w:rPr>
          <w:rFonts w:ascii="黑体" w:hAnsi="黑体" w:eastAsia="黑体" w:cs="黑体"/>
          <w:b/>
          <w:spacing w:val="0"/>
        </w:rPr>
        <w:t>五、国有资本经营预算财政拨款支出决算情况说明</w:t>
      </w:r>
      <w:bookmarkEnd w:id="89"/>
      <w:bookmarkEnd w:id="90"/>
      <w:bookmarkEnd w:id="91"/>
      <w:bookmarkEnd w:id="92"/>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hint="eastAsia" w:ascii="仿宋" w:hAnsi="仿宋" w:eastAsia="仿宋" w:cs="仿宋"/>
          <w:spacing w:val="0"/>
          <w:kern w:val="0"/>
          <w:sz w:val="32"/>
          <w:szCs w:val="32"/>
          <w:lang w:eastAsia="zh-CN"/>
        </w:rPr>
      </w:pPr>
      <w:bookmarkStart w:id="93" w:name="_Toc256000023"/>
      <w:bookmarkStart w:id="94" w:name="_Toc256000116"/>
      <w:bookmarkStart w:id="95" w:name="_Toc256000085"/>
      <w:bookmarkStart w:id="96" w:name="_Toc256000054"/>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6"/>
        <w:keepNext w:val="0"/>
        <w:keepLines w:val="0"/>
        <w:pageBreakBefore w:val="0"/>
        <w:kinsoku/>
        <w:wordWrap/>
        <w:overflowPunct/>
        <w:topLinePunct w:val="0"/>
        <w:autoSpaceDE/>
        <w:autoSpaceDN/>
        <w:bidi w:val="0"/>
        <w:adjustRightIn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六、一般公共预算财政拨款基本支出决算情况说明</w:t>
      </w:r>
      <w:bookmarkEnd w:id="93"/>
      <w:bookmarkEnd w:id="94"/>
      <w:bookmarkEnd w:id="95"/>
      <w:bookmarkEnd w:id="96"/>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2024年度一般公共预算财政拨款基本支出3877.88万元，其中：</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一）人员经费3501.93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二）公用经费375.95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pageBreakBefore w:val="0"/>
        <w:kinsoku/>
        <w:wordWrap/>
        <w:overflowPunct/>
        <w:topLinePunct w:val="0"/>
        <w:autoSpaceDE/>
        <w:autoSpaceDN/>
        <w:bidi w:val="0"/>
        <w:adjustRightInd/>
        <w:spacing w:before="100" w:after="100" w:line="360" w:lineRule="auto"/>
        <w:ind w:left="0" w:right="0" w:firstLine="640" w:firstLineChars="0"/>
        <w:jc w:val="both"/>
        <w:textAlignment w:val="auto"/>
        <w:rPr>
          <w:rFonts w:ascii="Times New Roman" w:hAnsi="Times New Roman" w:eastAsia="Times New Roman" w:cs="Times New Roman"/>
          <w:b/>
          <w:bCs/>
          <w:kern w:val="0"/>
          <w:sz w:val="28"/>
          <w:szCs w:val="28"/>
        </w:rPr>
      </w:pPr>
      <w:bookmarkStart w:id="97" w:name="_Toc256000024"/>
      <w:bookmarkStart w:id="98" w:name="_Toc256000086"/>
      <w:bookmarkStart w:id="99" w:name="_Toc256000055"/>
      <w:bookmarkStart w:id="100" w:name="_Toc256000117"/>
      <w:r>
        <w:rPr>
          <w:rFonts w:ascii="黑体" w:hAnsi="黑体" w:eastAsia="黑体" w:cs="黑体"/>
          <w:b/>
          <w:spacing w:val="0"/>
        </w:rPr>
        <w:t>七、一般公共预算拨款“三公”经费支出决算情况说明</w:t>
      </w:r>
      <w:bookmarkEnd w:id="97"/>
      <w:bookmarkEnd w:id="98"/>
      <w:bookmarkEnd w:id="99"/>
      <w:bookmarkEnd w:id="100"/>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704"/>
        <w:jc w:val="both"/>
        <w:textAlignment w:val="auto"/>
        <w:rPr>
          <w:rFonts w:ascii="Times New Roman" w:hAnsi="Times New Roman" w:eastAsia="Times New Roman" w:cs="Times New Roman"/>
          <w:kern w:val="0"/>
          <w:sz w:val="32"/>
          <w:szCs w:val="32"/>
        </w:rPr>
      </w:pPr>
      <w:bookmarkStart w:id="101" w:name="_Toc256000025"/>
      <w:bookmarkStart w:id="102" w:name="_Toc256000087"/>
      <w:bookmarkStart w:id="103" w:name="_Toc256000056"/>
      <w:bookmarkStart w:id="104" w:name="_Toc256000118"/>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年度一般公共预算拨款“三公”经费支出</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万元，完成全年预算的0%；较上年增加</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主要原因是本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没有使用“三公”经费支出</w:t>
      </w:r>
      <w:r>
        <w:rPr>
          <w:rFonts w:ascii="仿宋" w:hAnsi="仿宋" w:eastAsia="仿宋" w:cs="仿宋"/>
          <w:kern w:val="0"/>
          <w:sz w:val="32"/>
          <w:szCs w:val="32"/>
        </w:rPr>
        <w:t>。具体情况如下：</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704"/>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（一）因公出国（境）费支出</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与全年预算（或上年决算）持平。全年安排本</w:t>
      </w:r>
      <w:r>
        <w:rPr>
          <w:rFonts w:hint="eastAsia" w:ascii="仿宋" w:hAnsi="仿宋" w:eastAsia="仿宋" w:cs="仿宋"/>
          <w:kern w:val="0"/>
          <w:sz w:val="32"/>
          <w:szCs w:val="32"/>
          <w:lang w:eastAsia="zh-CN"/>
        </w:rPr>
        <w:t>单位</w:t>
      </w:r>
      <w:r>
        <w:rPr>
          <w:rFonts w:ascii="仿宋" w:hAnsi="仿宋" w:eastAsia="仿宋" w:cs="仿宋"/>
          <w:kern w:val="0"/>
          <w:sz w:val="32"/>
          <w:szCs w:val="32"/>
        </w:rPr>
        <w:t>组织的出国团组0个，参加其他</w:t>
      </w:r>
      <w:r>
        <w:rPr>
          <w:rFonts w:hint="eastAsia" w:ascii="仿宋" w:hAnsi="仿宋" w:eastAsia="仿宋" w:cs="仿宋"/>
          <w:kern w:val="0"/>
          <w:sz w:val="32"/>
          <w:szCs w:val="32"/>
          <w:lang w:eastAsia="zh-CN"/>
        </w:rPr>
        <w:t>单位</w:t>
      </w:r>
      <w:r>
        <w:rPr>
          <w:rFonts w:ascii="仿宋" w:hAnsi="仿宋" w:eastAsia="仿宋" w:cs="仿宋"/>
          <w:kern w:val="0"/>
          <w:sz w:val="32"/>
          <w:szCs w:val="32"/>
        </w:rPr>
        <w:t>出国团组</w:t>
      </w:r>
      <w:r>
        <w:rPr>
          <w:rFonts w:hint="eastAsia" w:ascii="仿宋" w:hAnsi="仿宋" w:eastAsia="仿宋" w:cs="仿宋"/>
          <w:kern w:val="0"/>
          <w:sz w:val="32"/>
          <w:szCs w:val="32"/>
          <w:lang w:val="en-US" w:eastAsia="zh-CN"/>
        </w:rPr>
        <w:t>0</w:t>
      </w:r>
      <w:r>
        <w:rPr>
          <w:rFonts w:ascii="仿宋" w:hAnsi="仿宋" w:eastAsia="仿宋" w:cs="仿宋"/>
          <w:kern w:val="0"/>
          <w:sz w:val="32"/>
          <w:szCs w:val="32"/>
        </w:rPr>
        <w:t>个；全年因公出国（境）累计0人次。</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没有组织出国团组及参加其他</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出国团组。</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（二）公务用车购置及运行费支出0万元，完成全年预算的0%；较上年增加0万元，增长 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ascii="仿宋" w:hAnsi="仿宋" w:eastAsia="仿宋" w:cs="仿宋"/>
          <w:kern w:val="0"/>
          <w:sz w:val="32"/>
          <w:szCs w:val="32"/>
        </w:rPr>
        <w:t>其中：</w:t>
      </w:r>
    </w:p>
    <w:p>
      <w:pPr>
        <w:keepNext w:val="0"/>
        <w:keepLines w:val="0"/>
        <w:pageBreakBefore w:val="0"/>
        <w:widowControl w:val="0"/>
        <w:suppressLineNumbers w:val="0"/>
        <w:shd w:val="clear" w:color="auto" w:fill="FFFFFF"/>
        <w:kinsoku/>
        <w:wordWrap/>
        <w:overflowPunct/>
        <w:topLinePunct w:val="0"/>
        <w:autoSpaceDE/>
        <w:autoSpaceDN/>
        <w:bidi w:val="0"/>
        <w:adjustRightInd/>
        <w:snapToGrid w:val="0"/>
        <w:spacing w:before="240" w:beforeAutospacing="0" w:after="240" w:afterAutospacing="0" w:line="360" w:lineRule="auto"/>
        <w:ind w:left="0" w:right="0" w:firstLine="640"/>
        <w:jc w:val="both"/>
        <w:textAlignment w:val="auto"/>
        <w:rPr>
          <w:rFonts w:hint="eastAsia" w:ascii="仿宋" w:hAnsi="仿宋" w:eastAsia="仿宋" w:cs="仿宋"/>
          <w:sz w:val="32"/>
          <w:szCs w:val="32"/>
          <w:shd w:val="clear" w:color="auto" w:fill="FFFFFF"/>
          <w:lang w:eastAsia="zh-CN"/>
        </w:rPr>
      </w:pPr>
      <w:r>
        <w:rPr>
          <w:rFonts w:ascii="仿宋" w:hAnsi="仿宋" w:eastAsia="仿宋" w:cs="仿宋"/>
          <w:kern w:val="0"/>
          <w:sz w:val="32"/>
          <w:szCs w:val="32"/>
        </w:rPr>
        <w:t>公务用车购置费支出0万元，完成全年预算的0%；较上年增加0万元，增长0%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年公务用车购置0辆，</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没有购置公务用车。</w:t>
      </w:r>
    </w:p>
    <w:p>
      <w:pPr>
        <w:pStyle w:val="29"/>
        <w:keepNext w:val="0"/>
        <w:keepLines w:val="0"/>
        <w:pageBreakBefore w:val="0"/>
        <w:widowControl w:val="0"/>
        <w:kinsoku/>
        <w:wordWrap/>
        <w:overflowPunct/>
        <w:topLinePunct w:val="0"/>
        <w:autoSpaceDE/>
        <w:autoSpaceDN/>
        <w:bidi w:val="0"/>
        <w:adjustRightInd/>
        <w:snapToGrid w:val="0"/>
        <w:spacing w:before="240" w:after="240" w:line="360" w:lineRule="auto"/>
        <w:ind w:firstLine="645"/>
        <w:jc w:val="both"/>
        <w:textAlignment w:val="auto"/>
        <w:rPr>
          <w:rFonts w:ascii="Times New Roman" w:hAnsi="Times New Roman" w:eastAsia="Times New Roman" w:cs="Times New Roman"/>
          <w:kern w:val="0"/>
          <w:sz w:val="32"/>
          <w:szCs w:val="32"/>
        </w:rPr>
      </w:pPr>
      <w:r>
        <w:rPr>
          <w:rFonts w:ascii="仿宋" w:hAnsi="仿宋" w:eastAsia="仿宋" w:cs="仿宋"/>
          <w:kern w:val="0"/>
          <w:sz w:val="32"/>
          <w:szCs w:val="32"/>
        </w:rPr>
        <w:t>公务用车运行费支出0万元，完成全年预算的0%；较上年增加0万元，增长0%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没有公务用车运行维护费的支出。</w:t>
      </w:r>
      <w:r>
        <w:rPr>
          <w:rFonts w:ascii="仿宋" w:hAnsi="仿宋" w:eastAsia="仿宋" w:cs="仿宋"/>
          <w:kern w:val="0"/>
          <w:sz w:val="32"/>
          <w:szCs w:val="32"/>
        </w:rPr>
        <w:t>截至202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年12月31日，本</w:t>
      </w:r>
      <w:r>
        <w:rPr>
          <w:rFonts w:hint="eastAsia" w:ascii="仿宋" w:hAnsi="仿宋" w:eastAsia="仿宋" w:cs="仿宋"/>
          <w:kern w:val="0"/>
          <w:sz w:val="32"/>
          <w:szCs w:val="32"/>
          <w:lang w:eastAsia="zh-CN"/>
        </w:rPr>
        <w:t>单位</w:t>
      </w:r>
      <w:r>
        <w:rPr>
          <w:rFonts w:ascii="仿宋" w:hAnsi="仿宋" w:eastAsia="仿宋" w:cs="仿宋"/>
          <w:kern w:val="0"/>
          <w:sz w:val="32"/>
          <w:szCs w:val="32"/>
        </w:rPr>
        <w:t>公务用车保有量为0辆。</w:t>
      </w:r>
    </w:p>
    <w:p>
      <w:pPr>
        <w:pStyle w:val="29"/>
        <w:keepNext w:val="0"/>
        <w:keepLines w:val="0"/>
        <w:pageBreakBefore w:val="0"/>
        <w:widowControl w:val="0"/>
        <w:numPr>
          <w:ilvl w:val="0"/>
          <w:numId w:val="2"/>
        </w:numPr>
        <w:kinsoku/>
        <w:wordWrap/>
        <w:overflowPunct/>
        <w:topLinePunct w:val="0"/>
        <w:autoSpaceDE/>
        <w:autoSpaceDN/>
        <w:bidi w:val="0"/>
        <w:adjustRightInd/>
        <w:snapToGrid w:val="0"/>
        <w:spacing w:before="240" w:after="240" w:line="360" w:lineRule="auto"/>
        <w:ind w:firstLine="645"/>
        <w:jc w:val="both"/>
        <w:textAlignment w:val="auto"/>
        <w:rPr>
          <w:rFonts w:ascii="仿宋" w:hAnsi="仿宋" w:eastAsia="仿宋" w:cs="仿宋"/>
          <w:kern w:val="0"/>
          <w:sz w:val="32"/>
          <w:szCs w:val="32"/>
        </w:rPr>
      </w:pPr>
      <w:r>
        <w:rPr>
          <w:rFonts w:ascii="仿宋" w:hAnsi="仿宋" w:eastAsia="仿宋" w:cs="仿宋"/>
          <w:kern w:val="0"/>
          <w:sz w:val="32"/>
          <w:szCs w:val="32"/>
        </w:rPr>
        <w:t>公务接待费支出0万元，完成全年预算的0%；较上年增加0万元，增长0%</w:t>
      </w:r>
      <w:r>
        <w:rPr>
          <w:rFonts w:hint="eastAsia" w:ascii="仿宋" w:hAnsi="仿宋" w:eastAsia="仿宋" w:cs="仿宋"/>
          <w:kern w:val="0"/>
          <w:sz w:val="32"/>
          <w:szCs w:val="32"/>
          <w:lang w:eastAsia="zh-CN"/>
        </w:rPr>
        <w:t>，</w:t>
      </w:r>
      <w:r>
        <w:rPr>
          <w:rFonts w:ascii="仿宋" w:hAnsi="仿宋" w:eastAsia="仿宋" w:cs="仿宋"/>
          <w:kern w:val="0"/>
          <w:sz w:val="32"/>
          <w:szCs w:val="32"/>
        </w:rPr>
        <w:t>与全年预算（或上年决算）持平。</w:t>
      </w:r>
      <w:r>
        <w:rPr>
          <w:rFonts w:hint="eastAsia" w:ascii="仿宋" w:hAnsi="仿宋" w:eastAsia="仿宋" w:cs="仿宋"/>
          <w:sz w:val="32"/>
          <w:szCs w:val="32"/>
          <w:shd w:val="clear" w:color="auto" w:fill="FFFFFF"/>
        </w:rPr>
        <w:t>主要是本</w:t>
      </w:r>
      <w:r>
        <w:rPr>
          <w:rFonts w:hint="eastAsia" w:ascii="仿宋" w:hAnsi="仿宋" w:eastAsia="仿宋" w:cs="仿宋"/>
          <w:sz w:val="32"/>
          <w:szCs w:val="32"/>
          <w:shd w:val="clear" w:color="auto" w:fill="FFFFFF"/>
          <w:lang w:eastAsia="zh-CN"/>
        </w:rPr>
        <w:t>单位</w:t>
      </w:r>
      <w:r>
        <w:rPr>
          <w:rFonts w:hint="eastAsia" w:ascii="仿宋" w:hAnsi="仿宋" w:eastAsia="仿宋" w:cs="仿宋"/>
          <w:sz w:val="32"/>
          <w:szCs w:val="32"/>
          <w:shd w:val="clear" w:color="auto" w:fill="FFFFFF"/>
        </w:rPr>
        <w:t>没有公务接待活动</w:t>
      </w:r>
      <w:r>
        <w:rPr>
          <w:rFonts w:ascii="仿宋" w:hAnsi="仿宋" w:eastAsia="仿宋" w:cs="仿宋"/>
          <w:kern w:val="0"/>
          <w:sz w:val="32"/>
          <w:szCs w:val="32"/>
        </w:rPr>
        <w:t>。累计接待0批次、0人次。</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八、预算绩效情况说明</w:t>
      </w:r>
      <w:bookmarkEnd w:id="101"/>
      <w:bookmarkEnd w:id="102"/>
      <w:bookmarkEnd w:id="103"/>
      <w:bookmarkEnd w:id="104"/>
    </w:p>
    <w:p>
      <w:pPr>
        <w:pStyle w:val="29"/>
        <w:keepNext w:val="0"/>
        <w:keepLines w:val="0"/>
        <w:pageBreakBefore w:val="0"/>
        <w:widowControl w:val="0"/>
        <w:kinsoku/>
        <w:wordWrap/>
        <w:overflowPunct/>
        <w:topLinePunct w:val="0"/>
        <w:autoSpaceDE/>
        <w:autoSpaceDN/>
        <w:bidi w:val="0"/>
        <w:adjustRightInd/>
        <w:snapToGrid w:val="0"/>
        <w:spacing w:before="100" w:after="100" w:line="360" w:lineRule="auto"/>
        <w:ind w:left="0" w:right="0" w:firstLine="640"/>
        <w:jc w:val="both"/>
        <w:textAlignment w:val="auto"/>
        <w:rPr>
          <w:rFonts w:ascii="Times New Roman" w:hAnsi="Times New Roman" w:eastAsia="Times New Roman" w:cs="Times New Roman"/>
          <w:kern w:val="0"/>
          <w:sz w:val="24"/>
        </w:rPr>
      </w:pPr>
      <w:bookmarkStart w:id="105" w:name="_Toc256000057"/>
      <w:bookmarkStart w:id="106" w:name="_Toc256000026"/>
      <w:bookmarkStart w:id="107" w:name="_Toc256000088"/>
      <w:bookmarkStart w:id="108" w:name="_Toc256000119"/>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lang w:val="en-US" w:eastAsia="zh-CN"/>
        </w:rPr>
        <w:t>义务教育阶段家庭经济困难学生营养餐补助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highlight w:val="none"/>
          <w:lang w:val="en-US" w:eastAsia="zh-CN"/>
        </w:rPr>
        <w:t>0.30</w:t>
      </w:r>
      <w:r>
        <w:rPr>
          <w:rFonts w:ascii="仿宋" w:hAnsi="仿宋" w:eastAsia="仿宋" w:cs="仿宋"/>
          <w:spacing w:val="0"/>
          <w:kern w:val="0"/>
          <w:sz w:val="32"/>
          <w:szCs w:val="32"/>
        </w:rPr>
        <w:t>万元。（《项目支出绩效自评表》详见附件）</w:t>
      </w:r>
    </w:p>
    <w:p>
      <w:pPr>
        <w:pStyle w:val="6"/>
        <w:keepNext w:val="0"/>
        <w:keepLines w:val="0"/>
        <w:pageBreakBefore w:val="0"/>
        <w:kinsoku/>
        <w:wordWrap/>
        <w:overflowPunct/>
        <w:topLinePunct w:val="0"/>
        <w:autoSpaceDE/>
        <w:autoSpaceDN/>
        <w:bidi w:val="0"/>
        <w:adjustRightInd/>
        <w:snapToGrid/>
        <w:spacing w:before="100" w:after="100" w:line="360" w:lineRule="auto"/>
        <w:ind w:left="0" w:right="0" w:firstLine="640" w:firstLineChars="0"/>
        <w:textAlignment w:val="auto"/>
        <w:rPr>
          <w:rFonts w:ascii="Times New Roman" w:hAnsi="Times New Roman" w:eastAsia="Times New Roman" w:cs="Times New Roman"/>
          <w:b/>
          <w:bCs/>
          <w:kern w:val="0"/>
          <w:sz w:val="28"/>
          <w:szCs w:val="28"/>
        </w:rPr>
      </w:pPr>
      <w:r>
        <w:rPr>
          <w:rFonts w:ascii="黑体" w:hAnsi="黑体" w:eastAsia="黑体" w:cs="黑体"/>
          <w:b/>
          <w:spacing w:val="0"/>
        </w:rPr>
        <w:t>九、其他重要事项说明</w:t>
      </w:r>
      <w:bookmarkEnd w:id="105"/>
      <w:bookmarkEnd w:id="106"/>
      <w:bookmarkEnd w:id="107"/>
      <w:bookmarkEnd w:id="108"/>
    </w:p>
    <w:p>
      <w:pPr>
        <w:pStyle w:val="29"/>
        <w:widowControl/>
        <w:spacing w:before="100" w:after="100" w:line="360" w:lineRule="auto"/>
        <w:ind w:left="0" w:right="0" w:firstLine="643"/>
        <w:jc w:val="left"/>
        <w:rPr>
          <w:rFonts w:hint="eastAsia" w:ascii="仿宋" w:hAnsi="仿宋" w:eastAsia="仿宋" w:cs="仿宋"/>
          <w:b/>
          <w:bCs/>
          <w:kern w:val="0"/>
          <w:sz w:val="32"/>
          <w:szCs w:val="32"/>
        </w:rPr>
      </w:pPr>
      <w:r>
        <w:rPr>
          <w:rFonts w:hint="eastAsia" w:ascii="仿宋" w:hAnsi="仿宋" w:eastAsia="仿宋" w:cs="仿宋"/>
          <w:b/>
          <w:bCs/>
          <w:spacing w:val="0"/>
          <w:kern w:val="0"/>
          <w:sz w:val="32"/>
          <w:szCs w:val="32"/>
        </w:rPr>
        <w:t>（一）机关运行经费 </w:t>
      </w:r>
    </w:p>
    <w:p>
      <w:pPr>
        <w:pStyle w:val="29"/>
        <w:widowControl/>
        <w:spacing w:before="100" w:after="100" w:line="360" w:lineRule="auto"/>
        <w:ind w:left="0" w:right="0" w:firstLine="643"/>
        <w:jc w:val="left"/>
        <w:rPr>
          <w:rFonts w:ascii="仿宋" w:hAnsi="仿宋" w:eastAsia="仿宋" w:cs="仿宋"/>
          <w:spacing w:val="0"/>
          <w:kern w:val="0"/>
          <w:sz w:val="32"/>
          <w:szCs w:val="32"/>
        </w:rPr>
      </w:pPr>
      <w:r>
        <w:rPr>
          <w:rFonts w:ascii="仿宋" w:hAnsi="仿宋" w:eastAsia="仿宋" w:cs="仿宋"/>
          <w:spacing w:val="0"/>
          <w:kern w:val="0"/>
          <w:sz w:val="32"/>
          <w:szCs w:val="32"/>
        </w:rPr>
        <w:t>2024年度机关运行经费支出0万元，比上年决算数增加0万元，增长0%，主要原因是:本单位为事业单位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29"/>
        <w:widowControl/>
        <w:spacing w:before="100" w:after="100" w:line="360" w:lineRule="auto"/>
        <w:ind w:left="0" w:right="0" w:firstLine="643"/>
        <w:jc w:val="left"/>
        <w:rPr>
          <w:rFonts w:hint="eastAsia" w:ascii="仿宋" w:hAnsi="仿宋" w:eastAsia="仿宋" w:cs="仿宋"/>
          <w:b/>
          <w:bCs/>
          <w:kern w:val="0"/>
          <w:sz w:val="32"/>
          <w:szCs w:val="32"/>
        </w:rPr>
      </w:pPr>
      <w:r>
        <w:rPr>
          <w:rStyle w:val="31"/>
          <w:rFonts w:hint="eastAsia" w:ascii="仿宋" w:hAnsi="仿宋" w:eastAsia="仿宋" w:cs="仿宋"/>
          <w:b/>
          <w:bCs/>
          <w:spacing w:val="0"/>
          <w:kern w:val="0"/>
          <w:sz w:val="32"/>
          <w:szCs w:val="32"/>
        </w:rPr>
        <w:t>（二）政府采购情况</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100" w:after="100" w:line="360" w:lineRule="auto"/>
        <w:ind w:left="0" w:right="0" w:firstLine="640"/>
        <w:jc w:val="both"/>
        <w:textAlignment w:val="auto"/>
        <w:rPr>
          <w:rFonts w:ascii="仿宋" w:hAnsi="仿宋" w:eastAsia="仿宋" w:cs="仿宋"/>
          <w:spacing w:val="0"/>
          <w:kern w:val="0"/>
          <w:sz w:val="32"/>
          <w:szCs w:val="32"/>
        </w:rPr>
      </w:pPr>
      <w:r>
        <w:rPr>
          <w:rFonts w:ascii="仿宋" w:hAnsi="仿宋" w:eastAsia="仿宋" w:cs="仿宋"/>
          <w:spacing w:val="0"/>
          <w:kern w:val="0"/>
          <w:sz w:val="32"/>
          <w:szCs w:val="32"/>
        </w:rPr>
        <w:t>本单位2024年度没有政府采购支出。</w:t>
      </w:r>
    </w:p>
    <w:p>
      <w:pPr>
        <w:pStyle w:val="29"/>
        <w:widowControl/>
        <w:spacing w:before="100" w:after="100" w:line="360" w:lineRule="auto"/>
        <w:ind w:left="0" w:right="0" w:firstLine="707"/>
        <w:jc w:val="left"/>
        <w:rPr>
          <w:rFonts w:hint="eastAsia" w:ascii="仿宋" w:hAnsi="仿宋" w:eastAsia="仿宋" w:cs="仿宋"/>
          <w:b/>
          <w:bCs/>
          <w:kern w:val="0"/>
          <w:sz w:val="32"/>
          <w:szCs w:val="32"/>
        </w:rPr>
      </w:pPr>
      <w:r>
        <w:rPr>
          <w:rStyle w:val="31"/>
          <w:rFonts w:hint="eastAsia" w:ascii="仿宋" w:hAnsi="仿宋" w:eastAsia="仿宋" w:cs="仿宋"/>
          <w:b/>
          <w:bCs/>
          <w:spacing w:val="0"/>
          <w:kern w:val="0"/>
          <w:sz w:val="32"/>
          <w:szCs w:val="32"/>
        </w:rPr>
        <w:t>（三）国有资产占用使用情况</w:t>
      </w:r>
      <w:r>
        <w:rPr>
          <w:rFonts w:hint="eastAsia" w:ascii="仿宋" w:hAnsi="仿宋" w:eastAsia="仿宋" w:cs="仿宋"/>
          <w:b/>
          <w:bCs/>
          <w:spacing w:val="0"/>
          <w:kern w:val="0"/>
          <w:sz w:val="32"/>
          <w:szCs w:val="32"/>
        </w:rPr>
        <w:t> </w:t>
      </w:r>
    </w:p>
    <w:p>
      <w:pPr>
        <w:keepNext w:val="0"/>
        <w:keepLines w:val="0"/>
        <w:pageBreakBefore w:val="0"/>
        <w:widowControl/>
        <w:kinsoku/>
        <w:wordWrap/>
        <w:overflowPunct/>
        <w:topLinePunct w:val="0"/>
        <w:autoSpaceDE/>
        <w:autoSpaceDN/>
        <w:bidi w:val="0"/>
        <w:adjustRightInd/>
        <w:spacing w:before="240" w:after="240" w:line="360" w:lineRule="auto"/>
        <w:ind w:firstLine="640" w:firstLineChars="200"/>
        <w:jc w:val="left"/>
        <w:textAlignment w:val="auto"/>
        <w:rPr>
          <w:rFonts w:hint="eastAsia" w:ascii="仿宋" w:hAnsi="仿宋" w:eastAsia="仿宋" w:cs="仿宋"/>
          <w:b w:val="0"/>
          <w:bCs w:val="0"/>
          <w:spacing w:val="0"/>
          <w:kern w:val="0"/>
          <w:sz w:val="32"/>
          <w:szCs w:val="32"/>
        </w:rPr>
      </w:pPr>
      <w:r>
        <w:rPr>
          <w:rFonts w:hint="eastAsia" w:ascii="仿宋" w:hAnsi="仿宋" w:eastAsia="仿宋" w:cs="仿宋"/>
          <w:b w:val="0"/>
          <w:bCs w:val="0"/>
          <w:spacing w:val="0"/>
          <w:kern w:val="0"/>
          <w:sz w:val="32"/>
          <w:szCs w:val="32"/>
        </w:rPr>
        <w:t>截至2024年12月31日，本单位共有车辆0辆，其中：副部（省）级以上领导用车0辆、主要领导干部用车0辆、机要通信用车0辆、应急保障用车0辆、执法执勤用车0辆、特种专业技术用车0辆、离退休干部用车0辆、其他用车0辆；单位价值100万元以上设备（不含车辆）0台（套）。</w:t>
      </w:r>
    </w:p>
    <w:p>
      <w:pPr>
        <w:keepNext w:val="0"/>
        <w:keepLines w:val="0"/>
        <w:pageBreakBefore w:val="0"/>
        <w:widowControl/>
        <w:kinsoku/>
        <w:wordWrap/>
        <w:overflowPunct/>
        <w:topLinePunct w:val="0"/>
        <w:autoSpaceDE/>
        <w:autoSpaceDN/>
        <w:bidi w:val="0"/>
        <w:adjustRightInd/>
        <w:spacing w:before="240" w:after="240" w:line="360" w:lineRule="auto"/>
        <w:jc w:val="left"/>
        <w:textAlignment w:val="auto"/>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bookmarkStart w:id="109" w:name="_Toc256000120"/>
      <w:bookmarkStart w:id="110" w:name="_Toc256000058"/>
      <w:bookmarkStart w:id="111" w:name="_Toc256000089"/>
      <w:bookmarkStart w:id="112" w:name="_Toc256000027"/>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黑体" w:hAnsi="黑体" w:eastAsia="黑体" w:cs="黑体"/>
          <w:b/>
          <w:spacing w:val="0"/>
          <w:sz w:val="32"/>
          <w:szCs w:val="32"/>
        </w:rPr>
      </w:pPr>
    </w:p>
    <w:p>
      <w:pPr>
        <w:pStyle w:val="4"/>
        <w:keepNext w:val="0"/>
        <w:keepLines w:val="0"/>
        <w:pageBreakBefore w:val="0"/>
        <w:kinsoku/>
        <w:wordWrap/>
        <w:overflowPunct/>
        <w:topLinePunct w:val="0"/>
        <w:autoSpaceDE/>
        <w:autoSpaceDN/>
        <w:bidi w:val="0"/>
        <w:adjustRightInd/>
        <w:spacing w:before="100" w:after="100" w:line="360" w:lineRule="auto"/>
        <w:ind w:left="0" w:right="0" w:firstLine="0" w:firstLineChars="0"/>
        <w:jc w:val="center"/>
        <w:textAlignment w:val="auto"/>
        <w:rPr>
          <w:rFonts w:ascii="Times New Roman" w:hAnsi="Times New Roman" w:eastAsia="Times New Roman" w:cs="Times New Roman"/>
          <w:vanish/>
          <w:kern w:val="0"/>
          <w:sz w:val="24"/>
        </w:rPr>
      </w:pPr>
      <w:r>
        <w:rPr>
          <w:rFonts w:ascii="黑体" w:hAnsi="黑体" w:eastAsia="黑体" w:cs="黑体"/>
          <w:b/>
          <w:spacing w:val="0"/>
          <w:sz w:val="32"/>
          <w:szCs w:val="32"/>
        </w:rPr>
        <w:t>第四部分</w:t>
      </w:r>
      <w:bookmarkEnd w:id="109"/>
      <w:bookmarkEnd w:id="110"/>
      <w:bookmarkEnd w:id="111"/>
      <w:bookmarkEnd w:id="112"/>
      <w:bookmarkStart w:id="113" w:name="_Toc256000121"/>
      <w:bookmarkStart w:id="114" w:name="_Toc256000059"/>
      <w:bookmarkStart w:id="115" w:name="_Toc256000028"/>
      <w:bookmarkStart w:id="116" w:name="_Toc256000090"/>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名词解释</w:t>
      </w:r>
      <w:bookmarkEnd w:id="113"/>
      <w:bookmarkEnd w:id="114"/>
      <w:bookmarkEnd w:id="115"/>
      <w:bookmarkEnd w:id="116"/>
      <w:r>
        <w:rPr>
          <w:rFonts w:ascii="Times New Roman" w:hAnsi="Times New Roman" w:eastAsia="Times New Roman" w:cs="Times New Roman"/>
          <w:vanish/>
          <w:kern w:val="0"/>
          <w:sz w:val="24"/>
        </w:rPr>
        <w:t>word page break</w:t>
      </w:r>
    </w:p>
    <w:p>
      <w:pPr>
        <w:keepNext w:val="0"/>
        <w:keepLines w:val="0"/>
        <w:pageBreakBefore w:val="0"/>
        <w:widowControl/>
        <w:kinsoku/>
        <w:wordWrap/>
        <w:overflowPunct/>
        <w:topLinePunct w:val="0"/>
        <w:autoSpaceDE/>
        <w:autoSpaceDN/>
        <w:bidi w:val="0"/>
        <w:adjustRightInd/>
        <w:spacing w:before="240" w:after="240" w:line="360" w:lineRule="auto"/>
        <w:jc w:val="left"/>
        <w:textAlignment w:val="auto"/>
        <w:rPr>
          <w:rFonts w:ascii="Times New Roman" w:hAnsi="Times New Roman" w:eastAsia="Times New Roman" w:cs="Times New Roman"/>
          <w:kern w:val="0"/>
          <w:sz w:val="24"/>
        </w:rPr>
      </w:pP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9"/>
        <w:keepNext w:val="0"/>
        <w:keepLines w:val="0"/>
        <w:pageBreakBefore w:val="0"/>
        <w:widowControl/>
        <w:kinsoku/>
        <w:wordWrap/>
        <w:overflowPunct/>
        <w:topLinePunct w:val="0"/>
        <w:autoSpaceDE/>
        <w:autoSpaceDN/>
        <w:bidi w:val="0"/>
        <w:adjustRightInd/>
        <w:spacing w:before="100" w:after="100" w:line="360" w:lineRule="auto"/>
        <w:ind w:left="0" w:right="0" w:firstLine="71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0"/>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0"/>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0"/>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0"/>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0"/>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0"/>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keepNext w:val="0"/>
        <w:keepLines w:val="0"/>
        <w:pageBreakBefore w:val="0"/>
        <w:widowControl/>
        <w:kinsoku/>
        <w:wordWrap/>
        <w:overflowPunct/>
        <w:topLinePunct w:val="0"/>
        <w:autoSpaceDE/>
        <w:autoSpaceDN/>
        <w:bidi w:val="0"/>
        <w:adjustRightInd/>
        <w:spacing w:before="100" w:after="100" w:line="360" w:lineRule="auto"/>
        <w:ind w:left="0" w:right="0" w:firstLine="640"/>
        <w:jc w:val="both"/>
        <w:textAlignment w:val="auto"/>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keepNext w:val="0"/>
        <w:keepLines w:val="0"/>
        <w:pageBreakBefore w:val="0"/>
        <w:widowControl/>
        <w:kinsoku/>
        <w:wordWrap/>
        <w:overflowPunct/>
        <w:topLinePunct w:val="0"/>
        <w:autoSpaceDE/>
        <w:autoSpaceDN/>
        <w:bidi w:val="0"/>
        <w:adjustRightInd/>
        <w:spacing w:before="240" w:after="240" w:line="360" w:lineRule="auto"/>
        <w:jc w:val="left"/>
        <w:textAlignment w:val="auto"/>
        <w:rPr>
          <w:rFonts w:ascii="Times New Roman" w:hAnsi="Times New Roman" w:eastAsia="Times New Roman" w:cs="Times New Roman"/>
          <w:kern w:val="0"/>
          <w:sz w:val="24"/>
        </w:rPr>
      </w:pPr>
    </w:p>
    <w:p>
      <w:pPr>
        <w:keepNext w:val="0"/>
        <w:keepLines w:val="0"/>
        <w:pageBreakBefore w:val="0"/>
        <w:kinsoku/>
        <w:wordWrap/>
        <w:overflowPunct/>
        <w:topLinePunct w:val="0"/>
        <w:autoSpaceDE/>
        <w:autoSpaceDN/>
        <w:bidi w:val="0"/>
        <w:adjustRightInd/>
        <w:spacing w:line="360" w:lineRule="auto"/>
        <w:textAlignment w:val="auto"/>
        <w:sectPr>
          <w:footerReference r:id="rId5" w:type="default"/>
          <w:pgSz w:w="11906" w:h="16838"/>
          <w:pgMar w:top="1440" w:right="1080" w:bottom="1440" w:left="108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spacing w:before="100" w:after="100" w:line="240" w:lineRule="auto"/>
        <w:ind w:left="0" w:right="0" w:firstLine="0" w:firstLineChars="0"/>
        <w:jc w:val="center"/>
        <w:rPr>
          <w:rFonts w:ascii="Times New Roman" w:hAnsi="Times New Roman" w:eastAsia="Times New Roman" w:cs="Times New Roman"/>
          <w:vanish/>
          <w:kern w:val="0"/>
          <w:sz w:val="24"/>
        </w:rPr>
      </w:pPr>
      <w:bookmarkStart w:id="117" w:name="_Toc256000122"/>
      <w:bookmarkStart w:id="118" w:name="_Toc256000060"/>
      <w:bookmarkStart w:id="119" w:name="_Toc256000091"/>
      <w:bookmarkStart w:id="120" w:name="_Toc256000029"/>
      <w:r>
        <w:rPr>
          <w:rFonts w:ascii="黑体" w:hAnsi="黑体" w:eastAsia="黑体" w:cs="黑体"/>
          <w:b/>
          <w:spacing w:val="0"/>
          <w:sz w:val="32"/>
          <w:szCs w:val="32"/>
        </w:rPr>
        <w:t>第五部分</w:t>
      </w:r>
      <w:bookmarkEnd w:id="117"/>
      <w:bookmarkEnd w:id="118"/>
      <w:bookmarkEnd w:id="119"/>
      <w:bookmarkEnd w:id="120"/>
      <w:bookmarkStart w:id="121" w:name="_Toc256000061"/>
      <w:bookmarkStart w:id="122" w:name="_Toc256000123"/>
      <w:bookmarkStart w:id="123" w:name="_Toc256000030"/>
      <w:bookmarkStart w:id="124" w:name="_Toc256000092"/>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附件</w:t>
      </w:r>
      <w:bookmarkEnd w:id="121"/>
      <w:bookmarkEnd w:id="122"/>
      <w:bookmarkEnd w:id="123"/>
      <w:bookmarkEnd w:id="124"/>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bookmarkEnd w:id="4"/>
    <w:tbl>
      <w:tblPr>
        <w:tblStyle w:val="23"/>
        <w:tblW w:w="97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35"/>
        <w:gridCol w:w="470"/>
        <w:gridCol w:w="1836"/>
        <w:gridCol w:w="1710"/>
        <w:gridCol w:w="615"/>
        <w:gridCol w:w="825"/>
        <w:gridCol w:w="615"/>
        <w:gridCol w:w="745"/>
        <w:gridCol w:w="470"/>
        <w:gridCol w:w="360"/>
        <w:gridCol w:w="11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9770" w:type="dxa"/>
            <w:gridSpan w:val="11"/>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9770" w:type="dxa"/>
            <w:gridSpan w:val="11"/>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trPr>
        <w:tc>
          <w:tcPr>
            <w:tcW w:w="5566" w:type="dxa"/>
            <w:gridSpan w:val="5"/>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预算单位：厦门市康乐第二小学                                                                                                  </w:t>
            </w:r>
          </w:p>
        </w:tc>
        <w:tc>
          <w:tcPr>
            <w:tcW w:w="825" w:type="dxa"/>
            <w:tcBorders>
              <w:bottom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615"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745"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470"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360" w:type="dxa"/>
            <w:tcBorders>
              <w:bottom w:val="single" w:color="000000" w:sz="4" w:space="0"/>
            </w:tcBorders>
            <w:shd w:val="clear" w:color="auto" w:fill="auto"/>
            <w:vAlign w:val="center"/>
          </w:tcPr>
          <w:p>
            <w:pPr>
              <w:rPr>
                <w:rFonts w:hint="eastAsia" w:ascii="宋体" w:hAnsi="宋体" w:eastAsia="宋体" w:cs="宋体"/>
                <w:i w:val="0"/>
                <w:color w:val="000000"/>
                <w:sz w:val="21"/>
                <w:szCs w:val="21"/>
                <w:u w:val="none"/>
              </w:rPr>
            </w:pPr>
          </w:p>
        </w:tc>
        <w:tc>
          <w:tcPr>
            <w:tcW w:w="1189" w:type="dxa"/>
            <w:tcBorders>
              <w:bottom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1405"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161" w:type="dxa"/>
            <w:gridSpan w:val="3"/>
            <w:tcBorders>
              <w:top w:val="single" w:color="000000" w:sz="4" w:space="0"/>
              <w:left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825" w:type="dxa"/>
            <w:tcBorders>
              <w:top w:val="single" w:color="000000" w:sz="4" w:space="0"/>
              <w:bottom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2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14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9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2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厦门市康乐第二小学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5" w:hRule="atLeast"/>
        </w:trPr>
        <w:tc>
          <w:tcPr>
            <w:tcW w:w="14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47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0.</w:t>
            </w:r>
            <w:r>
              <w:rPr>
                <w:rFonts w:hint="eastAsia" w:ascii="宋体" w:hAnsi="宋体" w:cs="宋体"/>
                <w:i w:val="0"/>
                <w:color w:val="000000"/>
                <w:kern w:val="0"/>
                <w:sz w:val="18"/>
                <w:szCs w:val="18"/>
                <w:u w:val="none"/>
                <w:lang w:val="en-US" w:eastAsia="zh-CN" w:bidi="ar"/>
              </w:rPr>
              <w:t>30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50.0</w:t>
            </w:r>
            <w:r>
              <w:rPr>
                <w:rFonts w:hint="eastAsia" w:ascii="宋体" w:hAnsi="宋体" w:eastAsia="宋体" w:cs="宋体"/>
                <w:i w:val="0"/>
                <w:color w:val="000000"/>
                <w:kern w:val="0"/>
                <w:sz w:val="18"/>
                <w:szCs w:val="18"/>
                <w:u w:val="none"/>
                <w:lang w:val="en-US" w:eastAsia="zh-CN" w:bidi="ar"/>
              </w:rPr>
              <w:t>%</w:t>
            </w:r>
          </w:p>
        </w:tc>
        <w:tc>
          <w:tcPr>
            <w:tcW w:w="47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申请困难生未全部在校用餐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0.</w:t>
            </w:r>
            <w:r>
              <w:rPr>
                <w:rFonts w:hint="eastAsia" w:ascii="宋体" w:hAnsi="宋体" w:cs="宋体"/>
                <w:i w:val="0"/>
                <w:color w:val="000000"/>
                <w:kern w:val="0"/>
                <w:sz w:val="18"/>
                <w:szCs w:val="18"/>
                <w:u w:val="none"/>
                <w:lang w:val="en-US" w:eastAsia="zh-CN" w:bidi="ar"/>
              </w:rPr>
              <w:t>30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50.0</w:t>
            </w:r>
            <w:r>
              <w:rPr>
                <w:rFonts w:hint="eastAsia" w:ascii="宋体" w:hAnsi="宋体" w:eastAsia="宋体" w:cs="宋体"/>
                <w:i w:val="0"/>
                <w:color w:val="000000"/>
                <w:kern w:val="0"/>
                <w:sz w:val="18"/>
                <w:szCs w:val="18"/>
                <w:u w:val="none"/>
                <w:lang w:val="en-US" w:eastAsia="zh-CN" w:bidi="ar"/>
              </w:rPr>
              <w:t>%</w:t>
            </w:r>
          </w:p>
        </w:tc>
        <w:tc>
          <w:tcPr>
            <w:tcW w:w="47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上年结转资金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47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30" w:hRule="atLeast"/>
        </w:trPr>
        <w:tc>
          <w:tcPr>
            <w:tcW w:w="14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其他资金</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47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4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3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545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37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085"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545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37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75" w:hRule="atLeast"/>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47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大于等于21人</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21人</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申请困难生未全部在校用餐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大于等于5人</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5人</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申请困难生未全部在校用餐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50"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70"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10" w:hRule="atLeast"/>
        </w:trPr>
        <w:tc>
          <w:tcPr>
            <w:tcW w:w="775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516" w:hRule="atLeast"/>
        </w:trPr>
        <w:tc>
          <w:tcPr>
            <w:tcW w:w="97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6" w:type="default"/>
      <w:pgSz w:w="11906" w:h="16838"/>
      <w:pgMar w:top="1440" w:right="1080" w:bottom="1440" w:left="1080"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32</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45</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76CEDB"/>
    <w:multiLevelType w:val="singleLevel"/>
    <w:tmpl w:val="C476CEDB"/>
    <w:lvl w:ilvl="0" w:tentative="0">
      <w:start w:val="3"/>
      <w:numFmt w:val="chineseCounting"/>
      <w:suff w:val="nothing"/>
      <w:lvlText w:val="（%1）"/>
      <w:lvlJc w:val="left"/>
      <w:rPr>
        <w:rFonts w:hint="eastAsia"/>
      </w:rPr>
    </w:lvl>
  </w:abstractNum>
  <w:abstractNum w:abstractNumId="1">
    <w:nsid w:val="68EDCE5B"/>
    <w:multiLevelType w:val="singleLevel"/>
    <w:tmpl w:val="68EDCE5B"/>
    <w:lvl w:ilvl="0" w:tentative="0">
      <w:start w:val="1"/>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14B3C5B"/>
    <w:rsid w:val="021445F9"/>
    <w:rsid w:val="04D205D9"/>
    <w:rsid w:val="05DE1FC4"/>
    <w:rsid w:val="09EC0E78"/>
    <w:rsid w:val="1AD81742"/>
    <w:rsid w:val="1AFD612A"/>
    <w:rsid w:val="1CA77A6B"/>
    <w:rsid w:val="1F934A3E"/>
    <w:rsid w:val="240807F0"/>
    <w:rsid w:val="343B6225"/>
    <w:rsid w:val="392B3476"/>
    <w:rsid w:val="42C90D0F"/>
    <w:rsid w:val="49076A52"/>
    <w:rsid w:val="596B3B0D"/>
    <w:rsid w:val="5E7E06E0"/>
    <w:rsid w:val="5FA97091"/>
    <w:rsid w:val="63EB0D75"/>
    <w:rsid w:val="6A801FB1"/>
    <w:rsid w:val="7A1854DA"/>
    <w:rsid w:val="7B994D01"/>
    <w:rsid w:val="7F3D330B"/>
    <w:rsid w:val="7F7014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47</Pages>
  <Words>858</Words>
  <Characters>899</Characters>
  <Lines>1</Lines>
  <Paragraphs>1</Paragraphs>
  <TotalTime>0</TotalTime>
  <ScaleCrop>false</ScaleCrop>
  <LinksUpToDate>false</LinksUpToDate>
  <CharactersWithSpaces>1117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2025-09-16T05:09:12Z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eyJoZGlkIjoiZGY3MzA4Yjk2NzgxNjY5ZjY0NTg2NjdlZDEwMThhYjIiLCJ1c2VySWQiOiIxNTc4NTA1NTQ2In0=</vt:lpwstr>
  </property>
</Properties>
</file>