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宋体" w:hAnsi="宋体"/>
          <w:sz w:val="24"/>
        </w:rPr>
      </w:pPr>
    </w:p>
    <w:p>
      <w:pPr>
        <w:spacing w:line="360" w:lineRule="auto"/>
        <w:jc w:val="center"/>
        <w:rPr>
          <w:rFonts w:ascii="宋体" w:hAnsi="宋体"/>
          <w:sz w:val="24"/>
        </w:rPr>
      </w:pPr>
    </w:p>
    <w:p>
      <w:pPr>
        <w:spacing w:line="360" w:lineRule="auto"/>
        <w:jc w:val="center"/>
        <w:rPr>
          <w:rFonts w:ascii="宋体" w:hAnsi="宋体"/>
          <w:sz w:val="24"/>
        </w:rPr>
      </w:pPr>
    </w:p>
    <w:p>
      <w:pPr>
        <w:spacing w:line="360" w:lineRule="auto"/>
        <w:jc w:val="center"/>
        <w:rPr>
          <w:rFonts w:ascii="宋体" w:hAnsi="宋体"/>
          <w:sz w:val="24"/>
        </w:rPr>
      </w:pPr>
    </w:p>
    <w:p>
      <w:pPr>
        <w:widowControl/>
        <w:jc w:val="center"/>
        <w:rPr>
          <w:sz w:val="32"/>
          <w:szCs w:val="32"/>
          <w:highlight w:val="none"/>
        </w:rPr>
      </w:pPr>
    </w:p>
    <w:p>
      <w:pPr>
        <w:widowControl/>
        <w:jc w:val="both"/>
        <w:rPr>
          <w:sz w:val="84"/>
          <w:szCs w:val="84"/>
          <w:highlight w:val="none"/>
        </w:rPr>
      </w:pPr>
    </w:p>
    <w:p>
      <w:pPr>
        <w:widowControl/>
        <w:jc w:val="center"/>
        <w:rPr>
          <w:rFonts w:hint="eastAsia" w:ascii="方正小标宋简体" w:eastAsia="方正小标宋简体"/>
          <w:b/>
          <w:bCs/>
          <w:sz w:val="48"/>
          <w:szCs w:val="48"/>
          <w:highlight w:val="none"/>
        </w:rPr>
      </w:pPr>
      <w:r>
        <w:rPr>
          <w:rFonts w:hint="eastAsia" w:ascii="方正小标宋简体" w:eastAsia="方正小标宋简体"/>
          <w:b/>
          <w:bCs/>
          <w:sz w:val="48"/>
          <w:szCs w:val="48"/>
          <w:highlight w:val="none"/>
          <w:lang w:val="en-US" w:eastAsia="zh-CN"/>
        </w:rPr>
        <w:t>2024</w:t>
      </w:r>
      <w:r>
        <w:rPr>
          <w:rFonts w:hint="eastAsia" w:ascii="方正小标宋简体" w:eastAsia="方正小标宋简体"/>
          <w:b/>
          <w:bCs/>
          <w:sz w:val="48"/>
          <w:szCs w:val="48"/>
          <w:highlight w:val="none"/>
        </w:rPr>
        <w:t>年度</w:t>
      </w:r>
    </w:p>
    <w:p>
      <w:pPr>
        <w:widowControl/>
        <w:jc w:val="center"/>
        <w:rPr>
          <w:rFonts w:hint="eastAsia" w:ascii="方正小标宋简体" w:eastAsia="方正小标宋简体"/>
          <w:b/>
          <w:bCs/>
          <w:sz w:val="48"/>
          <w:szCs w:val="48"/>
          <w:highlight w:val="none"/>
        </w:rPr>
      </w:pPr>
      <w:r>
        <w:rPr>
          <w:rFonts w:hint="eastAsia" w:ascii="方正小标宋简体" w:eastAsia="方正小标宋简体"/>
          <w:b/>
          <w:bCs/>
          <w:sz w:val="48"/>
          <w:szCs w:val="48"/>
          <w:highlight w:val="none"/>
        </w:rPr>
        <w:t>厦门市梧桐实验学校</w:t>
      </w:r>
    </w:p>
    <w:p>
      <w:pPr>
        <w:widowControl/>
        <w:jc w:val="center"/>
        <w:rPr>
          <w:rFonts w:hint="eastAsia" w:ascii="方正小标宋简体" w:eastAsia="方正小标宋简体"/>
          <w:b/>
          <w:bCs/>
          <w:sz w:val="48"/>
          <w:szCs w:val="48"/>
          <w:highlight w:val="none"/>
          <w:lang w:val="en-US" w:eastAsia="zh-CN"/>
        </w:rPr>
        <w:sectPr>
          <w:pgSz w:w="11906" w:h="16838"/>
          <w:pgMar w:top="1440" w:right="1080" w:bottom="1440" w:left="1080" w:header="0" w:footer="720" w:gutter="0"/>
          <w:pgBorders>
            <w:top w:val="none" w:sz="0" w:space="0"/>
            <w:left w:val="none" w:sz="0" w:space="0"/>
            <w:bottom w:val="none" w:sz="0" w:space="0"/>
            <w:right w:val="none" w:sz="0" w:space="0"/>
          </w:pgBorders>
          <w:pgNumType w:fmt="decimal"/>
          <w:cols w:space="0" w:num="1"/>
          <w:rtlGutter w:val="0"/>
          <w:docGrid w:type="lines" w:linePitch="317" w:charSpace="0"/>
        </w:sectPr>
      </w:pPr>
      <w:r>
        <w:rPr>
          <w:rFonts w:hint="eastAsia" w:ascii="方正小标宋简体" w:eastAsia="方正小标宋简体"/>
          <w:b/>
          <w:bCs/>
          <w:sz w:val="48"/>
          <w:szCs w:val="48"/>
          <w:highlight w:val="none"/>
          <w:lang w:val="en-US" w:eastAsia="zh-CN"/>
        </w:rPr>
        <w:t>单位</w:t>
      </w:r>
      <w:r>
        <w:rPr>
          <w:rFonts w:hint="eastAsia" w:ascii="方正小标宋简体" w:eastAsia="方正小标宋简体"/>
          <w:b/>
          <w:bCs/>
          <w:sz w:val="48"/>
          <w:szCs w:val="48"/>
          <w:highlight w:val="none"/>
        </w:rPr>
        <w:t>决算</w:t>
      </w:r>
    </w:p>
    <w:sdt>
      <w:sdtPr>
        <w:rPr>
          <w:rFonts w:hint="eastAsia" w:ascii="仿宋" w:hAnsi="仿宋" w:eastAsia="仿宋" w:cs="仿宋"/>
          <w:b/>
          <w:bCs/>
          <w:kern w:val="0"/>
          <w:sz w:val="32"/>
          <w:szCs w:val="32"/>
          <w:lang w:val="en-US" w:eastAsia="zh-CN"/>
        </w:rPr>
        <w:id w:val="147456983"/>
        <w15:color w:val="DBDBDB"/>
        <w:docPartObj>
          <w:docPartGallery w:val="Table of Contents"/>
          <w:docPartUnique/>
        </w:docPartObj>
      </w:sdtPr>
      <w:sdtEndPr>
        <w:rPr>
          <w:rFonts w:hint="eastAsia" w:ascii="宋体" w:hAnsi="宋体" w:eastAsia="宋体" w:cs="Times New Roman"/>
          <w:b/>
          <w:bCs/>
          <w:kern w:val="2"/>
          <w:sz w:val="32"/>
          <w:szCs w:val="32"/>
          <w:lang w:val="en-US" w:eastAsia="zh-CN" w:bidi="ar-SA"/>
        </w:rPr>
      </w:sdtEndPr>
      <w:sdtContent>
        <w:p>
          <w:pPr>
            <w:widowControl/>
            <w:spacing w:before="0" w:beforeLines="0" w:after="0" w:afterLines="0" w:line="240" w:lineRule="auto"/>
            <w:ind w:left="0" w:leftChars="0" w:right="0" w:rightChars="0" w:firstLine="0" w:firstLineChars="0"/>
            <w:jc w:val="center"/>
            <w:rPr>
              <w:rFonts w:hint="eastAsia" w:ascii="仿宋" w:hAnsi="仿宋" w:eastAsia="仿宋" w:cs="仿宋"/>
              <w:b/>
              <w:bCs/>
              <w:kern w:val="0"/>
              <w:sz w:val="32"/>
              <w:szCs w:val="32"/>
            </w:rPr>
          </w:pPr>
          <w:r>
            <w:rPr>
              <w:rFonts w:hint="eastAsia" w:ascii="仿宋" w:hAnsi="仿宋" w:eastAsia="仿宋" w:cs="仿宋"/>
              <w:b/>
              <w:bCs/>
              <w:kern w:val="0"/>
              <w:sz w:val="32"/>
              <w:szCs w:val="32"/>
            </w:rPr>
            <w:t>目录</w:t>
          </w:r>
        </w:p>
        <w:p>
          <w:pPr>
            <w:pStyle w:val="18"/>
            <w:tabs>
              <w:tab w:val="right" w:leader="dot" w:pos="9730"/>
            </w:tabs>
            <w:rPr>
              <w:rFonts w:hint="eastAsia" w:ascii="仿宋_GB2312" w:hAnsi="仿宋_GB2312" w:eastAsia="仿宋_GB2312" w:cs="仿宋_GB2312"/>
              <w:sz w:val="32"/>
              <w:szCs w:val="32"/>
            </w:rPr>
          </w:pPr>
          <w:r>
            <w:rPr>
              <w:rFonts w:hint="eastAsia" w:ascii="仿宋_GB2312" w:hAnsi="仿宋_GB2312" w:eastAsia="仿宋_GB2312" w:cs="仿宋_GB2312"/>
              <w:b w:val="0"/>
              <w:bCs/>
              <w:kern w:val="2"/>
              <w:sz w:val="32"/>
              <w:szCs w:val="32"/>
              <w:lang w:val="en-US" w:eastAsia="zh-CN" w:bidi="ar-SA"/>
            </w:rPr>
            <w:fldChar w:fldCharType="begin"/>
          </w:r>
          <w:r>
            <w:rPr>
              <w:rFonts w:hint="eastAsia" w:ascii="仿宋_GB2312" w:hAnsi="仿宋_GB2312" w:eastAsia="仿宋_GB2312" w:cs="仿宋_GB2312"/>
              <w:b w:val="0"/>
              <w:bCs/>
              <w:kern w:val="2"/>
              <w:sz w:val="32"/>
              <w:szCs w:val="32"/>
              <w:lang w:val="en-US" w:eastAsia="zh-CN" w:bidi="ar-SA"/>
            </w:rPr>
            <w:instrText xml:space="preserve">TOC \o "1-3" \h \u </w:instrText>
          </w:r>
          <w:r>
            <w:rPr>
              <w:rFonts w:hint="eastAsia" w:ascii="仿宋_GB2312" w:hAnsi="仿宋_GB2312" w:eastAsia="仿宋_GB2312" w:cs="仿宋_GB2312"/>
              <w:b w:val="0"/>
              <w:bCs/>
              <w:kern w:val="2"/>
              <w:sz w:val="32"/>
              <w:szCs w:val="32"/>
              <w:lang w:val="en-US" w:eastAsia="zh-CN" w:bidi="ar-SA"/>
            </w:rPr>
            <w:fldChar w:fldCharType="separate"/>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"_Toc256000093" </w:instrText>
          </w:r>
          <w:r>
            <w:rPr>
              <w:rFonts w:hint="eastAsia" w:ascii="仿宋_GB2312" w:hAnsi="仿宋_GB2312" w:eastAsia="仿宋_GB2312" w:cs="仿宋_GB2312"/>
              <w:sz w:val="32"/>
              <w:szCs w:val="32"/>
            </w:rPr>
            <w:fldChar w:fldCharType="separate"/>
          </w:r>
          <w:r>
            <w:rPr>
              <w:rStyle w:val="22"/>
              <w:rFonts w:hint="eastAsia" w:ascii="仿宋_GB2312" w:hAnsi="仿宋_GB2312" w:eastAsia="仿宋_GB2312" w:cs="仿宋_GB2312"/>
              <w:sz w:val="32"/>
              <w:szCs w:val="32"/>
            </w:rPr>
            <w:t>第一部分</w:t>
          </w:r>
          <w:r>
            <w:rPr>
              <w:rStyle w:val="22"/>
              <w:rFonts w:hint="eastAsia" w:ascii="仿宋_GB2312" w:hAnsi="仿宋_GB2312" w:eastAsia="仿宋_GB2312" w:cs="仿宋_GB2312"/>
              <w:sz w:val="32"/>
              <w:szCs w:val="32"/>
              <w:lang w:val="en-US"/>
            </w:rPr>
            <w:t xml:space="preserve">  </w:t>
          </w:r>
          <w:r>
            <w:rPr>
              <w:rStyle w:val="22"/>
              <w:rFonts w:hint="eastAsia" w:ascii="仿宋_GB2312" w:hAnsi="仿宋_GB2312" w:eastAsia="仿宋_GB2312" w:cs="仿宋_GB2312"/>
              <w:sz w:val="32"/>
              <w:szCs w:val="32"/>
            </w:rPr>
            <w:t>单位概况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fldChar w:fldCharType="end"/>
          </w:r>
        </w:p>
        <w:p>
          <w:pPr>
            <w:pStyle w:val="11"/>
            <w:tabs>
              <w:tab w:val="right" w:leader="dot" w:pos="9730"/>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"_Toc256000095" </w:instrText>
          </w:r>
          <w:r>
            <w:rPr>
              <w:rFonts w:hint="eastAsia" w:ascii="仿宋_GB2312" w:hAnsi="仿宋_GB2312" w:eastAsia="仿宋_GB2312" w:cs="仿宋_GB2312"/>
              <w:sz w:val="32"/>
              <w:szCs w:val="32"/>
            </w:rPr>
            <w:fldChar w:fldCharType="separate"/>
          </w:r>
          <w:r>
            <w:rPr>
              <w:rStyle w:val="22"/>
              <w:rFonts w:hint="eastAsia" w:ascii="仿宋_GB2312" w:hAnsi="仿宋_GB2312" w:eastAsia="仿宋_GB2312" w:cs="仿宋_GB2312"/>
              <w:sz w:val="32"/>
              <w:szCs w:val="32"/>
            </w:rPr>
            <w:t>一、单位主要职责</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_Toc256000095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1"/>
            <w:tabs>
              <w:tab w:val="right" w:leader="dot" w:pos="9730"/>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"_Toc256000096" </w:instrText>
          </w:r>
          <w:r>
            <w:rPr>
              <w:rFonts w:hint="eastAsia" w:ascii="仿宋_GB2312" w:hAnsi="仿宋_GB2312" w:eastAsia="仿宋_GB2312" w:cs="仿宋_GB2312"/>
              <w:sz w:val="32"/>
              <w:szCs w:val="32"/>
            </w:rPr>
            <w:fldChar w:fldCharType="separate"/>
          </w:r>
          <w:r>
            <w:rPr>
              <w:rStyle w:val="22"/>
              <w:rFonts w:hint="eastAsia" w:ascii="仿宋_GB2312" w:hAnsi="仿宋_GB2312" w:eastAsia="仿宋_GB2312" w:cs="仿宋_GB2312"/>
              <w:sz w:val="32"/>
              <w:szCs w:val="32"/>
            </w:rPr>
            <w:t>二、单位基本情况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_Toc256000096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1"/>
            <w:tabs>
              <w:tab w:val="right" w:leader="dot" w:pos="9730"/>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"_Toc256000097" </w:instrText>
          </w:r>
          <w:r>
            <w:rPr>
              <w:rFonts w:hint="eastAsia" w:ascii="仿宋_GB2312" w:hAnsi="仿宋_GB2312" w:eastAsia="仿宋_GB2312" w:cs="仿宋_GB2312"/>
              <w:sz w:val="32"/>
              <w:szCs w:val="32"/>
            </w:rPr>
            <w:fldChar w:fldCharType="separate"/>
          </w:r>
          <w:r>
            <w:rPr>
              <w:rStyle w:val="22"/>
              <w:rFonts w:hint="eastAsia" w:ascii="仿宋_GB2312" w:hAnsi="仿宋_GB2312" w:eastAsia="仿宋_GB2312" w:cs="仿宋_GB2312"/>
              <w:sz w:val="32"/>
              <w:szCs w:val="32"/>
            </w:rPr>
            <w:t>三、单位主要工作总结</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_Toc256000097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8"/>
            <w:tabs>
              <w:tab w:val="right" w:leader="dot" w:pos="9730"/>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"_Toc256000098" </w:instrText>
          </w:r>
          <w:r>
            <w:rPr>
              <w:rFonts w:hint="eastAsia" w:ascii="仿宋_GB2312" w:hAnsi="仿宋_GB2312" w:eastAsia="仿宋_GB2312" w:cs="仿宋_GB2312"/>
              <w:sz w:val="32"/>
              <w:szCs w:val="32"/>
            </w:rPr>
            <w:fldChar w:fldCharType="separate"/>
          </w:r>
          <w:r>
            <w:rPr>
              <w:rStyle w:val="22"/>
              <w:rFonts w:hint="eastAsia" w:ascii="仿宋_GB2312" w:hAnsi="仿宋_GB2312" w:eastAsia="仿宋_GB2312" w:cs="仿宋_GB2312"/>
              <w:sz w:val="32"/>
              <w:szCs w:val="32"/>
            </w:rPr>
            <w:t>第二部分</w:t>
          </w:r>
          <w:r>
            <w:rPr>
              <w:rStyle w:val="22"/>
              <w:rFonts w:hint="eastAsia" w:ascii="仿宋_GB2312" w:hAnsi="仿宋_GB2312" w:eastAsia="仿宋_GB2312" w:cs="仿宋_GB2312"/>
              <w:sz w:val="32"/>
              <w:szCs w:val="32"/>
              <w:lang w:val="en-US"/>
            </w:rPr>
            <w:t xml:space="preserve">  </w:t>
          </w:r>
          <w:r>
            <w:rPr>
              <w:rStyle w:val="22"/>
              <w:rFonts w:hint="eastAsia" w:ascii="仿宋_GB2312" w:hAnsi="仿宋_GB2312" w:eastAsia="仿宋_GB2312" w:cs="仿宋_GB2312"/>
              <w:sz w:val="32"/>
              <w:szCs w:val="32"/>
            </w:rPr>
            <w:t>2024年度决算表</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fldChar w:fldCharType="end"/>
          </w:r>
        </w:p>
        <w:p>
          <w:pPr>
            <w:pStyle w:val="11"/>
            <w:tabs>
              <w:tab w:val="right" w:leader="dot" w:pos="9730"/>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"_Toc256000100" </w:instrText>
          </w:r>
          <w:r>
            <w:rPr>
              <w:rFonts w:hint="eastAsia" w:ascii="仿宋_GB2312" w:hAnsi="仿宋_GB2312" w:eastAsia="仿宋_GB2312" w:cs="仿宋_GB2312"/>
              <w:sz w:val="32"/>
              <w:szCs w:val="32"/>
            </w:rPr>
            <w:fldChar w:fldCharType="separate"/>
          </w:r>
          <w:r>
            <w:rPr>
              <w:rStyle w:val="22"/>
              <w:rFonts w:hint="eastAsia" w:ascii="仿宋_GB2312" w:hAnsi="仿宋_GB2312" w:eastAsia="仿宋_GB2312" w:cs="仿宋_GB2312"/>
              <w:sz w:val="32"/>
              <w:szCs w:val="32"/>
            </w:rPr>
            <w:t>一、收入支出决算总表</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_Toc256000100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1"/>
            <w:tabs>
              <w:tab w:val="right" w:leader="dot" w:pos="9730"/>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"_Toc256000101" </w:instrText>
          </w:r>
          <w:r>
            <w:rPr>
              <w:rFonts w:hint="eastAsia" w:ascii="仿宋_GB2312" w:hAnsi="仿宋_GB2312" w:eastAsia="仿宋_GB2312" w:cs="仿宋_GB2312"/>
              <w:sz w:val="32"/>
              <w:szCs w:val="32"/>
            </w:rPr>
            <w:fldChar w:fldCharType="separate"/>
          </w:r>
          <w:r>
            <w:rPr>
              <w:rStyle w:val="22"/>
              <w:rFonts w:hint="eastAsia" w:ascii="仿宋_GB2312" w:hAnsi="仿宋_GB2312" w:eastAsia="仿宋_GB2312" w:cs="仿宋_GB2312"/>
              <w:sz w:val="32"/>
              <w:szCs w:val="32"/>
            </w:rPr>
            <w:t>二、收入决算表</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_Toc256000101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5</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1"/>
            <w:tabs>
              <w:tab w:val="right" w:leader="dot" w:pos="9730"/>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"_Toc256000102" </w:instrText>
          </w:r>
          <w:r>
            <w:rPr>
              <w:rFonts w:hint="eastAsia" w:ascii="仿宋_GB2312" w:hAnsi="仿宋_GB2312" w:eastAsia="仿宋_GB2312" w:cs="仿宋_GB2312"/>
              <w:sz w:val="32"/>
              <w:szCs w:val="32"/>
            </w:rPr>
            <w:fldChar w:fldCharType="separate"/>
          </w:r>
          <w:r>
            <w:rPr>
              <w:rStyle w:val="22"/>
              <w:rFonts w:hint="eastAsia" w:ascii="仿宋_GB2312" w:hAnsi="仿宋_GB2312" w:eastAsia="仿宋_GB2312" w:cs="仿宋_GB2312"/>
              <w:sz w:val="32"/>
              <w:szCs w:val="32"/>
            </w:rPr>
            <w:t>三、支出决算表</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_Toc256000102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6</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1"/>
            <w:tabs>
              <w:tab w:val="right" w:leader="dot" w:pos="9730"/>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"_Toc256000103" </w:instrText>
          </w:r>
          <w:r>
            <w:rPr>
              <w:rFonts w:hint="eastAsia" w:ascii="仿宋_GB2312" w:hAnsi="仿宋_GB2312" w:eastAsia="仿宋_GB2312" w:cs="仿宋_GB2312"/>
              <w:sz w:val="32"/>
              <w:szCs w:val="32"/>
            </w:rPr>
            <w:fldChar w:fldCharType="separate"/>
          </w:r>
          <w:r>
            <w:rPr>
              <w:rStyle w:val="22"/>
              <w:rFonts w:hint="eastAsia" w:ascii="仿宋_GB2312" w:hAnsi="仿宋_GB2312" w:eastAsia="仿宋_GB2312" w:cs="仿宋_GB2312"/>
              <w:sz w:val="32"/>
              <w:szCs w:val="32"/>
            </w:rPr>
            <w:t>四、财政拨款收入支出决算总表</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_Toc256000103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7</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1"/>
            <w:tabs>
              <w:tab w:val="right" w:leader="dot" w:pos="9730"/>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"_Toc256000104" </w:instrText>
          </w:r>
          <w:r>
            <w:rPr>
              <w:rFonts w:hint="eastAsia" w:ascii="仿宋_GB2312" w:hAnsi="仿宋_GB2312" w:eastAsia="仿宋_GB2312" w:cs="仿宋_GB2312"/>
              <w:sz w:val="32"/>
              <w:szCs w:val="32"/>
            </w:rPr>
            <w:fldChar w:fldCharType="separate"/>
          </w:r>
          <w:r>
            <w:rPr>
              <w:rStyle w:val="22"/>
              <w:rFonts w:hint="eastAsia" w:ascii="仿宋_GB2312" w:hAnsi="仿宋_GB2312" w:eastAsia="仿宋_GB2312" w:cs="仿宋_GB2312"/>
              <w:sz w:val="32"/>
              <w:szCs w:val="32"/>
            </w:rPr>
            <w:t>五、一般公共预算财政拨款支出决算表</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_Toc256000104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9</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1"/>
            <w:tabs>
              <w:tab w:val="right" w:leader="dot" w:pos="9730"/>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"_Toc256000105" </w:instrText>
          </w:r>
          <w:r>
            <w:rPr>
              <w:rFonts w:hint="eastAsia" w:ascii="仿宋_GB2312" w:hAnsi="仿宋_GB2312" w:eastAsia="仿宋_GB2312" w:cs="仿宋_GB2312"/>
              <w:sz w:val="32"/>
              <w:szCs w:val="32"/>
            </w:rPr>
            <w:fldChar w:fldCharType="separate"/>
          </w:r>
          <w:r>
            <w:rPr>
              <w:rStyle w:val="22"/>
              <w:rFonts w:hint="eastAsia" w:ascii="仿宋_GB2312" w:hAnsi="仿宋_GB2312" w:eastAsia="仿宋_GB2312" w:cs="仿宋_GB2312"/>
              <w:sz w:val="32"/>
              <w:szCs w:val="32"/>
            </w:rPr>
            <w:t>六、一般公共预算财政拨款基本支出决算表</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_Toc256000105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10</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1"/>
            <w:tabs>
              <w:tab w:val="right" w:leader="dot" w:pos="9730"/>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"_Toc256000106" </w:instrText>
          </w:r>
          <w:r>
            <w:rPr>
              <w:rFonts w:hint="eastAsia" w:ascii="仿宋_GB2312" w:hAnsi="仿宋_GB2312" w:eastAsia="仿宋_GB2312" w:cs="仿宋_GB2312"/>
              <w:sz w:val="32"/>
              <w:szCs w:val="32"/>
            </w:rPr>
            <w:fldChar w:fldCharType="separate"/>
          </w:r>
          <w:r>
            <w:rPr>
              <w:rStyle w:val="22"/>
              <w:rFonts w:hint="eastAsia" w:ascii="仿宋_GB2312" w:hAnsi="仿宋_GB2312" w:eastAsia="仿宋_GB2312" w:cs="仿宋_GB2312"/>
              <w:sz w:val="32"/>
              <w:szCs w:val="32"/>
            </w:rPr>
            <w:t>七、一般公共预算财政拨款“三公”经费支出决算表</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_Toc256000106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1"/>
            <w:tabs>
              <w:tab w:val="right" w:leader="dot" w:pos="9730"/>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"_Toc256000107" </w:instrText>
          </w:r>
          <w:r>
            <w:rPr>
              <w:rFonts w:hint="eastAsia" w:ascii="仿宋_GB2312" w:hAnsi="仿宋_GB2312" w:eastAsia="仿宋_GB2312" w:cs="仿宋_GB2312"/>
              <w:sz w:val="32"/>
              <w:szCs w:val="32"/>
            </w:rPr>
            <w:fldChar w:fldCharType="separate"/>
          </w:r>
          <w:r>
            <w:rPr>
              <w:rStyle w:val="22"/>
              <w:rFonts w:hint="eastAsia" w:ascii="仿宋_GB2312" w:hAnsi="仿宋_GB2312" w:eastAsia="仿宋_GB2312" w:cs="仿宋_GB2312"/>
              <w:sz w:val="32"/>
              <w:szCs w:val="32"/>
            </w:rPr>
            <w:t>八、政府性基金预算财政拨款收入支出决算表</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_Toc256000107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12</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1"/>
            <w:tabs>
              <w:tab w:val="right" w:leader="dot" w:pos="9730"/>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"_Toc256000108" </w:instrText>
          </w:r>
          <w:r>
            <w:rPr>
              <w:rFonts w:hint="eastAsia" w:ascii="仿宋_GB2312" w:hAnsi="仿宋_GB2312" w:eastAsia="仿宋_GB2312" w:cs="仿宋_GB2312"/>
              <w:sz w:val="32"/>
              <w:szCs w:val="32"/>
            </w:rPr>
            <w:fldChar w:fldCharType="separate"/>
          </w:r>
          <w:r>
            <w:rPr>
              <w:rStyle w:val="22"/>
              <w:rFonts w:hint="eastAsia" w:ascii="仿宋_GB2312" w:hAnsi="仿宋_GB2312" w:eastAsia="仿宋_GB2312" w:cs="仿宋_GB2312"/>
              <w:sz w:val="32"/>
              <w:szCs w:val="32"/>
            </w:rPr>
            <w:t>九、国有资本经营预算财政拨款支出决算表</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_Toc256000108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12</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8"/>
            <w:tabs>
              <w:tab w:val="right" w:leader="dot" w:pos="9730"/>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"_Toc256000109" </w:instrText>
          </w:r>
          <w:r>
            <w:rPr>
              <w:rFonts w:hint="eastAsia" w:ascii="仿宋_GB2312" w:hAnsi="仿宋_GB2312" w:eastAsia="仿宋_GB2312" w:cs="仿宋_GB2312"/>
              <w:sz w:val="32"/>
              <w:szCs w:val="32"/>
            </w:rPr>
            <w:fldChar w:fldCharType="separate"/>
          </w:r>
          <w:r>
            <w:rPr>
              <w:rStyle w:val="22"/>
              <w:rFonts w:hint="eastAsia" w:ascii="仿宋_GB2312" w:hAnsi="仿宋_GB2312" w:eastAsia="仿宋_GB2312" w:cs="仿宋_GB2312"/>
              <w:sz w:val="32"/>
              <w:szCs w:val="32"/>
            </w:rPr>
            <w:t>第三部分</w:t>
          </w:r>
          <w:r>
            <w:rPr>
              <w:rStyle w:val="22"/>
              <w:rFonts w:hint="eastAsia" w:ascii="仿宋_GB2312" w:hAnsi="仿宋_GB2312" w:eastAsia="仿宋_GB2312" w:cs="仿宋_GB2312"/>
              <w:sz w:val="32"/>
              <w:szCs w:val="32"/>
              <w:lang w:val="en-US"/>
            </w:rPr>
            <w:t xml:space="preserve">  </w:t>
          </w:r>
          <w:r>
            <w:rPr>
              <w:rStyle w:val="22"/>
              <w:rFonts w:hint="eastAsia" w:ascii="仿宋_GB2312" w:hAnsi="仿宋_GB2312" w:eastAsia="仿宋_GB2312" w:cs="仿宋_GB2312"/>
              <w:sz w:val="32"/>
              <w:szCs w:val="32"/>
            </w:rPr>
            <w:t>2024年度决算情况说明</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_Toc256000109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13</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1"/>
            <w:tabs>
              <w:tab w:val="right" w:leader="dot" w:pos="9730"/>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"_Toc256000111" </w:instrText>
          </w:r>
          <w:r>
            <w:rPr>
              <w:rFonts w:hint="eastAsia" w:ascii="仿宋_GB2312" w:hAnsi="仿宋_GB2312" w:eastAsia="仿宋_GB2312" w:cs="仿宋_GB2312"/>
              <w:sz w:val="32"/>
              <w:szCs w:val="32"/>
            </w:rPr>
            <w:fldChar w:fldCharType="separate"/>
          </w:r>
          <w:r>
            <w:rPr>
              <w:rStyle w:val="22"/>
              <w:rFonts w:hint="eastAsia" w:ascii="仿宋_GB2312" w:hAnsi="仿宋_GB2312" w:eastAsia="仿宋_GB2312" w:cs="仿宋_GB2312"/>
              <w:sz w:val="32"/>
              <w:szCs w:val="32"/>
            </w:rPr>
            <w:t>一、收入支出决算总体情况说明</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_Toc256000111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13</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1"/>
            <w:tabs>
              <w:tab w:val="right" w:leader="dot" w:pos="9730"/>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"_Toc256000112" </w:instrText>
          </w:r>
          <w:r>
            <w:rPr>
              <w:rFonts w:hint="eastAsia" w:ascii="仿宋_GB2312" w:hAnsi="仿宋_GB2312" w:eastAsia="仿宋_GB2312" w:cs="仿宋_GB2312"/>
              <w:sz w:val="32"/>
              <w:szCs w:val="32"/>
            </w:rPr>
            <w:fldChar w:fldCharType="separate"/>
          </w:r>
          <w:r>
            <w:rPr>
              <w:rStyle w:val="22"/>
              <w:rFonts w:hint="eastAsia" w:ascii="仿宋_GB2312" w:hAnsi="仿宋_GB2312" w:eastAsia="仿宋_GB2312" w:cs="仿宋_GB2312"/>
              <w:sz w:val="32"/>
              <w:szCs w:val="32"/>
            </w:rPr>
            <w:t>二、财政拨款收入支出决算总体情况说明</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_Toc256000112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14</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1"/>
            <w:tabs>
              <w:tab w:val="right" w:leader="dot" w:pos="9730"/>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"_Toc256000113" </w:instrText>
          </w:r>
          <w:r>
            <w:rPr>
              <w:rFonts w:hint="eastAsia" w:ascii="仿宋_GB2312" w:hAnsi="仿宋_GB2312" w:eastAsia="仿宋_GB2312" w:cs="仿宋_GB2312"/>
              <w:sz w:val="32"/>
              <w:szCs w:val="32"/>
            </w:rPr>
            <w:fldChar w:fldCharType="separate"/>
          </w:r>
          <w:r>
            <w:rPr>
              <w:rStyle w:val="22"/>
              <w:rFonts w:hint="eastAsia" w:ascii="仿宋_GB2312" w:hAnsi="仿宋_GB2312" w:eastAsia="仿宋_GB2312" w:cs="仿宋_GB2312"/>
              <w:sz w:val="32"/>
              <w:szCs w:val="32"/>
            </w:rPr>
            <w:t>三、一般公共预算拨款支出决算情况说明</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_Toc256000113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14</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1"/>
            <w:tabs>
              <w:tab w:val="right" w:leader="dot" w:pos="9730"/>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"_Toc256000114" </w:instrText>
          </w:r>
          <w:r>
            <w:rPr>
              <w:rFonts w:hint="eastAsia" w:ascii="仿宋_GB2312" w:hAnsi="仿宋_GB2312" w:eastAsia="仿宋_GB2312" w:cs="仿宋_GB2312"/>
              <w:sz w:val="32"/>
              <w:szCs w:val="32"/>
            </w:rPr>
            <w:fldChar w:fldCharType="separate"/>
          </w:r>
          <w:r>
            <w:rPr>
              <w:rStyle w:val="22"/>
              <w:rFonts w:hint="eastAsia" w:ascii="仿宋_GB2312" w:hAnsi="仿宋_GB2312" w:eastAsia="仿宋_GB2312" w:cs="仿宋_GB2312"/>
              <w:sz w:val="32"/>
              <w:szCs w:val="32"/>
            </w:rPr>
            <w:t>四、政府性基金预算财政拨款支出决算情况说明</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_Toc256000114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15</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1"/>
            <w:tabs>
              <w:tab w:val="right" w:leader="dot" w:pos="9730"/>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"_Toc256000115" </w:instrText>
          </w:r>
          <w:r>
            <w:rPr>
              <w:rFonts w:hint="eastAsia" w:ascii="仿宋_GB2312" w:hAnsi="仿宋_GB2312" w:eastAsia="仿宋_GB2312" w:cs="仿宋_GB2312"/>
              <w:sz w:val="32"/>
              <w:szCs w:val="32"/>
            </w:rPr>
            <w:fldChar w:fldCharType="separate"/>
          </w:r>
          <w:r>
            <w:rPr>
              <w:rStyle w:val="22"/>
              <w:rFonts w:hint="eastAsia" w:ascii="仿宋_GB2312" w:hAnsi="仿宋_GB2312" w:eastAsia="仿宋_GB2312" w:cs="仿宋_GB2312"/>
              <w:sz w:val="32"/>
              <w:szCs w:val="32"/>
            </w:rPr>
            <w:t>五、国有资本经营预算财政拨款支出决算情况说明</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_Toc256000115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15</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1"/>
            <w:tabs>
              <w:tab w:val="right" w:leader="dot" w:pos="9730"/>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"_Toc256000116" </w:instrText>
          </w:r>
          <w:r>
            <w:rPr>
              <w:rFonts w:hint="eastAsia" w:ascii="仿宋_GB2312" w:hAnsi="仿宋_GB2312" w:eastAsia="仿宋_GB2312" w:cs="仿宋_GB2312"/>
              <w:sz w:val="32"/>
              <w:szCs w:val="32"/>
            </w:rPr>
            <w:fldChar w:fldCharType="separate"/>
          </w:r>
          <w:r>
            <w:rPr>
              <w:rStyle w:val="22"/>
              <w:rFonts w:hint="eastAsia" w:ascii="仿宋_GB2312" w:hAnsi="仿宋_GB2312" w:eastAsia="仿宋_GB2312" w:cs="仿宋_GB2312"/>
              <w:sz w:val="32"/>
              <w:szCs w:val="32"/>
            </w:rPr>
            <w:t>六、一般公共预算财政拨款基本支出决算情况说明</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_Toc256000116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15</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1"/>
            <w:tabs>
              <w:tab w:val="right" w:leader="dot" w:pos="9730"/>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"_Toc256000117" </w:instrText>
          </w:r>
          <w:r>
            <w:rPr>
              <w:rFonts w:hint="eastAsia" w:ascii="仿宋_GB2312" w:hAnsi="仿宋_GB2312" w:eastAsia="仿宋_GB2312" w:cs="仿宋_GB2312"/>
              <w:sz w:val="32"/>
              <w:szCs w:val="32"/>
            </w:rPr>
            <w:fldChar w:fldCharType="separate"/>
          </w:r>
          <w:r>
            <w:rPr>
              <w:rStyle w:val="22"/>
              <w:rFonts w:hint="eastAsia" w:ascii="仿宋_GB2312" w:hAnsi="仿宋_GB2312" w:eastAsia="仿宋_GB2312" w:cs="仿宋_GB2312"/>
              <w:sz w:val="32"/>
              <w:szCs w:val="32"/>
            </w:rPr>
            <w:t>七、一般公共预算拨款“三公”经费支出决算情况说明</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_Toc256000117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16</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1"/>
            <w:tabs>
              <w:tab w:val="right" w:leader="dot" w:pos="9730"/>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"_Toc256000118" </w:instrText>
          </w:r>
          <w:r>
            <w:rPr>
              <w:rFonts w:hint="eastAsia" w:ascii="仿宋_GB2312" w:hAnsi="仿宋_GB2312" w:eastAsia="仿宋_GB2312" w:cs="仿宋_GB2312"/>
              <w:sz w:val="32"/>
              <w:szCs w:val="32"/>
            </w:rPr>
            <w:fldChar w:fldCharType="separate"/>
          </w:r>
          <w:r>
            <w:rPr>
              <w:rStyle w:val="22"/>
              <w:rFonts w:hint="eastAsia" w:ascii="仿宋_GB2312" w:hAnsi="仿宋_GB2312" w:eastAsia="仿宋_GB2312" w:cs="仿宋_GB2312"/>
              <w:sz w:val="32"/>
              <w:szCs w:val="32"/>
            </w:rPr>
            <w:t>八、预算绩效情况说明</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_Toc256000118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16</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1"/>
            <w:tabs>
              <w:tab w:val="right" w:leader="dot" w:pos="9730"/>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"_Toc256000119" </w:instrText>
          </w:r>
          <w:r>
            <w:rPr>
              <w:rFonts w:hint="eastAsia" w:ascii="仿宋_GB2312" w:hAnsi="仿宋_GB2312" w:eastAsia="仿宋_GB2312" w:cs="仿宋_GB2312"/>
              <w:sz w:val="32"/>
              <w:szCs w:val="32"/>
            </w:rPr>
            <w:fldChar w:fldCharType="separate"/>
          </w:r>
          <w:r>
            <w:rPr>
              <w:rStyle w:val="22"/>
              <w:rFonts w:hint="eastAsia" w:ascii="仿宋_GB2312" w:hAnsi="仿宋_GB2312" w:eastAsia="仿宋_GB2312" w:cs="仿宋_GB2312"/>
              <w:sz w:val="32"/>
              <w:szCs w:val="32"/>
            </w:rPr>
            <w:t>九、其他重要事项说明</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_Toc256000119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18</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8"/>
            <w:tabs>
              <w:tab w:val="right" w:leader="dot" w:pos="9730"/>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"_Toc256000120" </w:instrText>
          </w:r>
          <w:r>
            <w:rPr>
              <w:rFonts w:hint="eastAsia" w:ascii="仿宋_GB2312" w:hAnsi="仿宋_GB2312" w:eastAsia="仿宋_GB2312" w:cs="仿宋_GB2312"/>
              <w:sz w:val="32"/>
              <w:szCs w:val="32"/>
            </w:rPr>
            <w:fldChar w:fldCharType="separate"/>
          </w:r>
          <w:r>
            <w:rPr>
              <w:rStyle w:val="22"/>
              <w:rFonts w:hint="eastAsia" w:ascii="仿宋_GB2312" w:hAnsi="仿宋_GB2312" w:eastAsia="仿宋_GB2312" w:cs="仿宋_GB2312"/>
              <w:sz w:val="32"/>
              <w:szCs w:val="32"/>
            </w:rPr>
            <w:t>第四部分</w:t>
          </w:r>
          <w:r>
            <w:rPr>
              <w:rStyle w:val="22"/>
              <w:rFonts w:hint="eastAsia" w:ascii="仿宋_GB2312" w:hAnsi="仿宋_GB2312" w:eastAsia="仿宋_GB2312" w:cs="仿宋_GB2312"/>
              <w:sz w:val="32"/>
              <w:szCs w:val="32"/>
              <w:lang w:val="en-US"/>
            </w:rPr>
            <w:t xml:space="preserve">  </w:t>
          </w:r>
          <w:r>
            <w:rPr>
              <w:rStyle w:val="22"/>
              <w:rFonts w:hint="eastAsia" w:ascii="仿宋_GB2312" w:hAnsi="仿宋_GB2312" w:eastAsia="仿宋_GB2312" w:cs="仿宋_GB2312"/>
              <w:sz w:val="32"/>
              <w:szCs w:val="32"/>
            </w:rPr>
            <w:t>名词解释</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_Toc256000120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20</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8"/>
            <w:tabs>
              <w:tab w:val="right" w:leader="dot" w:pos="9730"/>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"_Toc256000122" </w:instrText>
          </w:r>
          <w:r>
            <w:rPr>
              <w:rFonts w:hint="eastAsia" w:ascii="仿宋_GB2312" w:hAnsi="仿宋_GB2312" w:eastAsia="仿宋_GB2312" w:cs="仿宋_GB2312"/>
              <w:sz w:val="32"/>
              <w:szCs w:val="32"/>
            </w:rPr>
            <w:fldChar w:fldCharType="separate"/>
          </w:r>
          <w:r>
            <w:rPr>
              <w:rStyle w:val="22"/>
              <w:rFonts w:hint="eastAsia" w:ascii="仿宋_GB2312" w:hAnsi="仿宋_GB2312" w:eastAsia="仿宋_GB2312" w:cs="仿宋_GB2312"/>
              <w:sz w:val="32"/>
              <w:szCs w:val="32"/>
            </w:rPr>
            <w:t>第五部分</w:t>
          </w:r>
          <w:r>
            <w:rPr>
              <w:rStyle w:val="22"/>
              <w:rFonts w:hint="eastAsia" w:ascii="仿宋_GB2312" w:hAnsi="仿宋_GB2312" w:eastAsia="仿宋_GB2312" w:cs="仿宋_GB2312"/>
              <w:sz w:val="32"/>
              <w:szCs w:val="32"/>
              <w:lang w:val="en-US"/>
            </w:rPr>
            <w:t xml:space="preserve">  </w:t>
          </w:r>
          <w:r>
            <w:rPr>
              <w:rStyle w:val="22"/>
              <w:rFonts w:hint="eastAsia" w:ascii="仿宋_GB2312" w:hAnsi="仿宋_GB2312" w:eastAsia="仿宋_GB2312" w:cs="仿宋_GB2312"/>
              <w:sz w:val="32"/>
              <w:szCs w:val="32"/>
            </w:rPr>
            <w:t>附件</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_Toc256000122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22</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adjustRightInd w:val="0"/>
            <w:snapToGrid w:val="0"/>
            <w:rPr>
              <w:rFonts w:hint="eastAsia" w:ascii="仿宋" w:hAnsi="仿宋" w:eastAsia="仿宋" w:cs="仿宋"/>
              <w:b w:val="0"/>
              <w:bCs/>
              <w:kern w:val="2"/>
              <w:sz w:val="32"/>
              <w:szCs w:val="32"/>
              <w:lang w:val="en-US" w:eastAsia="zh-CN" w:bidi="ar-SA"/>
            </w:rPr>
            <w:sectPr>
              <w:footerReference r:id="rId3" w:type="default"/>
              <w:pgSz w:w="11906" w:h="16838"/>
              <w:pgMar w:top="1440" w:right="1080" w:bottom="1440" w:left="1080" w:header="0" w:footer="720" w:gutter="0"/>
              <w:cols w:space="0" w:num="1"/>
              <w:rtlGutter w:val="0"/>
              <w:docGrid w:type="lines" w:linePitch="317" w:charSpace="0"/>
            </w:sectPr>
          </w:pPr>
          <w:r>
            <w:rPr>
              <w:rFonts w:hint="eastAsia" w:ascii="仿宋_GB2312" w:hAnsi="仿宋_GB2312" w:eastAsia="仿宋_GB2312" w:cs="仿宋_GB2312"/>
              <w:b w:val="0"/>
              <w:bCs/>
              <w:kern w:val="2"/>
              <w:sz w:val="32"/>
              <w:szCs w:val="32"/>
              <w:lang w:val="en-US" w:eastAsia="zh-CN" w:bidi="ar-SA"/>
            </w:rPr>
            <w:fldChar w:fldCharType="end"/>
          </w:r>
        </w:p>
      </w:sdtContent>
    </w:sdt>
    <w:p>
      <w:pPr>
        <w:pStyle w:val="4"/>
        <w:keepNext w:val="0"/>
        <w:keepLines w:val="0"/>
        <w:numPr>
          <w:ilvl w:val="0"/>
          <w:numId w:val="0"/>
        </w:numPr>
        <w:spacing w:before="100" w:after="100" w:line="240" w:lineRule="auto"/>
        <w:ind w:leftChars="0" w:right="0" w:rightChars="0"/>
        <w:jc w:val="center"/>
        <w:rPr>
          <w:rFonts w:hint="eastAsia" w:ascii="黑体" w:hAnsi="黑体" w:eastAsia="黑体" w:cs="黑体"/>
          <w:b/>
          <w:spacing w:val="0"/>
          <w:sz w:val="32"/>
          <w:szCs w:val="32"/>
        </w:rPr>
      </w:pPr>
      <w:bookmarkStart w:id="0" w:name="_Toc256000063"/>
      <w:bookmarkStart w:id="1" w:name="_Toc256000001"/>
      <w:bookmarkStart w:id="2" w:name="_Toc256000094"/>
      <w:bookmarkStart w:id="3" w:name="_Toc256000032"/>
      <w:bookmarkStart w:id="4" w:name="a000"/>
      <w:r>
        <w:rPr>
          <w:rFonts w:hint="eastAsia" w:ascii="黑体" w:hAnsi="黑体" w:eastAsia="黑体" w:cs="黑体"/>
          <w:b/>
          <w:spacing w:val="0"/>
          <w:sz w:val="32"/>
          <w:szCs w:val="32"/>
          <w:lang w:eastAsia="zh-CN"/>
        </w:rPr>
        <w:t>第一部分</w:t>
      </w:r>
      <w:r>
        <w:rPr>
          <w:rFonts w:hint="eastAsia" w:ascii="黑体" w:hAnsi="黑体" w:eastAsia="黑体" w:cs="黑体"/>
          <w:b/>
          <w:spacing w:val="0"/>
          <w:sz w:val="32"/>
          <w:szCs w:val="32"/>
          <w:lang w:val="en-US" w:eastAsia="zh-CN"/>
        </w:rPr>
        <w:t xml:space="preserve">  </w:t>
      </w:r>
      <w:r>
        <w:rPr>
          <w:rFonts w:hint="eastAsia" w:ascii="黑体" w:hAnsi="黑体" w:eastAsia="黑体" w:cs="黑体"/>
          <w:b/>
          <w:spacing w:val="0"/>
          <w:sz w:val="32"/>
          <w:szCs w:val="32"/>
        </w:rPr>
        <w:t>单位概况</w:t>
      </w:r>
      <w:bookmarkEnd w:id="0"/>
      <w:bookmarkEnd w:id="1"/>
      <w:bookmarkEnd w:id="2"/>
      <w:bookmarkEnd w:id="3"/>
    </w:p>
    <w:p>
      <w:pPr>
        <w:pStyle w:val="4"/>
        <w:keepNext w:val="0"/>
        <w:keepLines w:val="0"/>
        <w:numPr>
          <w:ilvl w:val="0"/>
          <w:numId w:val="1"/>
        </w:numPr>
        <w:spacing w:before="100" w:after="100" w:line="240" w:lineRule="auto"/>
        <w:ind w:left="0" w:right="0" w:firstLine="0" w:firstLineChars="0"/>
        <w:rPr>
          <w:rFonts w:hint="eastAsia" w:ascii="黑体" w:hAnsi="黑体" w:eastAsia="黑体" w:cs="黑体"/>
          <w:vanish/>
          <w:kern w:val="0"/>
          <w:sz w:val="32"/>
          <w:szCs w:val="32"/>
        </w:rPr>
      </w:pPr>
      <w:r>
        <w:rPr>
          <w:rFonts w:hint="eastAsia" w:ascii="黑体" w:hAnsi="黑体" w:eastAsia="黑体" w:cs="黑体"/>
          <w:vanish/>
          <w:kern w:val="0"/>
          <w:sz w:val="32"/>
          <w:szCs w:val="32"/>
        </w:rPr>
        <w:t>word page break</w:t>
      </w:r>
    </w:p>
    <w:p>
      <w:pPr>
        <w:pStyle w:val="6"/>
        <w:keepNext w:val="0"/>
        <w:keepLines w:val="0"/>
        <w:pageBreakBefore w:val="0"/>
        <w:widowControl/>
        <w:kinsoku/>
        <w:wordWrap/>
        <w:overflowPunct/>
        <w:topLinePunct w:val="0"/>
        <w:autoSpaceDE/>
        <w:autoSpaceDN/>
        <w:bidi w:val="0"/>
        <w:adjustRightInd/>
        <w:snapToGrid/>
        <w:spacing w:before="100" w:after="100" w:line="360" w:lineRule="auto"/>
        <w:ind w:left="0" w:right="0" w:firstLine="643" w:firstLineChars="200"/>
        <w:textAlignment w:val="auto"/>
        <w:rPr>
          <w:rFonts w:hint="eastAsia" w:ascii="黑体" w:hAnsi="黑体" w:eastAsia="黑体" w:cs="黑体"/>
          <w:b/>
          <w:bCs/>
          <w:kern w:val="0"/>
          <w:sz w:val="32"/>
          <w:szCs w:val="32"/>
        </w:rPr>
      </w:pPr>
      <w:bookmarkStart w:id="5" w:name="_Toc256000033"/>
      <w:bookmarkStart w:id="6" w:name="_Toc256000095"/>
      <w:bookmarkStart w:id="7" w:name="_Toc256000064"/>
      <w:bookmarkStart w:id="8" w:name="_Toc256000002"/>
      <w:r>
        <w:rPr>
          <w:rFonts w:hint="eastAsia" w:ascii="黑体" w:hAnsi="黑体" w:eastAsia="黑体" w:cs="黑体"/>
          <w:b/>
          <w:spacing w:val="0"/>
          <w:sz w:val="32"/>
          <w:szCs w:val="32"/>
        </w:rPr>
        <w:t>一、单位主要职责</w:t>
      </w:r>
      <w:bookmarkEnd w:id="5"/>
      <w:bookmarkEnd w:id="6"/>
      <w:bookmarkEnd w:id="7"/>
      <w:bookmarkEnd w:id="8"/>
    </w:p>
    <w:p>
      <w:pPr>
        <w:pStyle w:val="29"/>
        <w:keepNext w:val="0"/>
        <w:keepLines w:val="0"/>
        <w:pageBreakBefore w:val="0"/>
        <w:widowControl/>
        <w:kinsoku/>
        <w:wordWrap/>
        <w:overflowPunct/>
        <w:topLinePunct w:val="0"/>
        <w:autoSpaceDE/>
        <w:autoSpaceDN/>
        <w:bidi w:val="0"/>
        <w:adjustRightInd/>
        <w:snapToGrid/>
        <w:spacing w:before="100" w:after="100" w:line="360" w:lineRule="auto"/>
        <w:ind w:left="0" w:right="0" w:firstLine="640"/>
        <w:jc w:val="left"/>
        <w:textAlignment w:val="auto"/>
        <w:rPr>
          <w:rFonts w:ascii="Times New Roman" w:hAnsi="Times New Roman" w:eastAsia="Times New Roman" w:cs="Times New Roman"/>
          <w:kern w:val="0"/>
          <w:sz w:val="24"/>
        </w:rPr>
      </w:pPr>
      <w:r>
        <w:rPr>
          <w:rFonts w:ascii="仿宋" w:hAnsi="仿宋" w:eastAsia="仿宋" w:cs="仿宋"/>
          <w:spacing w:val="0"/>
          <w:kern w:val="0"/>
          <w:sz w:val="32"/>
          <w:szCs w:val="32"/>
        </w:rPr>
        <w:t>厦门市梧桐实验学校单位的主要职责是：</w:t>
      </w:r>
      <w:r>
        <w:rPr>
          <w:rFonts w:hint="default" w:ascii="仿宋" w:hAnsi="仿宋" w:eastAsia="仿宋" w:cs="仿宋"/>
          <w:spacing w:val="0"/>
          <w:kern w:val="0"/>
          <w:sz w:val="32"/>
          <w:szCs w:val="32"/>
        </w:rPr>
        <w:t>实施小学、初中义务教育，促进基础教育发展，小学、初中学历教育。</w:t>
      </w:r>
    </w:p>
    <w:p>
      <w:pPr>
        <w:pStyle w:val="6"/>
        <w:keepNext w:val="0"/>
        <w:keepLines w:val="0"/>
        <w:pageBreakBefore w:val="0"/>
        <w:kinsoku/>
        <w:wordWrap/>
        <w:overflowPunct/>
        <w:topLinePunct w:val="0"/>
        <w:autoSpaceDE/>
        <w:autoSpaceDN/>
        <w:bidi w:val="0"/>
        <w:adjustRightInd/>
        <w:snapToGrid/>
        <w:spacing w:before="100" w:after="100" w:line="360" w:lineRule="auto"/>
        <w:ind w:left="0" w:right="0" w:firstLine="640" w:firstLineChars="0"/>
        <w:textAlignment w:val="auto"/>
        <w:rPr>
          <w:rFonts w:ascii="Times New Roman" w:hAnsi="Times New Roman" w:eastAsia="Times New Roman" w:cs="Times New Roman"/>
          <w:b/>
          <w:bCs/>
          <w:kern w:val="0"/>
          <w:sz w:val="28"/>
          <w:szCs w:val="28"/>
        </w:rPr>
      </w:pPr>
      <w:bookmarkStart w:id="9" w:name="_Toc256000034"/>
      <w:bookmarkStart w:id="10" w:name="_Toc256000003"/>
      <w:bookmarkStart w:id="11" w:name="_Toc256000065"/>
      <w:bookmarkStart w:id="12" w:name="_Toc256000096"/>
      <w:r>
        <w:rPr>
          <w:rFonts w:ascii="黑体" w:hAnsi="黑体" w:eastAsia="黑体" w:cs="黑体"/>
          <w:b/>
          <w:spacing w:val="0"/>
        </w:rPr>
        <w:t>二、单位基本情况</w:t>
      </w:r>
      <w:bookmarkEnd w:id="9"/>
      <w:bookmarkEnd w:id="10"/>
      <w:bookmarkEnd w:id="11"/>
      <w:bookmarkEnd w:id="12"/>
    </w:p>
    <w:p>
      <w:pPr>
        <w:pStyle w:val="29"/>
        <w:keepNext w:val="0"/>
        <w:keepLines w:val="0"/>
        <w:pageBreakBefore w:val="0"/>
        <w:widowControl/>
        <w:kinsoku/>
        <w:wordWrap/>
        <w:overflowPunct/>
        <w:topLinePunct w:val="0"/>
        <w:autoSpaceDE/>
        <w:autoSpaceDN/>
        <w:bidi w:val="0"/>
        <w:adjustRightInd/>
        <w:snapToGrid/>
        <w:spacing w:before="100" w:after="100" w:line="360" w:lineRule="auto"/>
        <w:ind w:left="0" w:right="0" w:firstLine="640"/>
        <w:jc w:val="left"/>
        <w:textAlignment w:val="auto"/>
        <w:rPr>
          <w:rFonts w:ascii="Times New Roman" w:hAnsi="Times New Roman" w:eastAsia="Times New Roman" w:cs="Times New Roman"/>
          <w:kern w:val="0"/>
          <w:sz w:val="24"/>
        </w:rPr>
      </w:pPr>
      <w:r>
        <w:rPr>
          <w:rFonts w:ascii="仿宋" w:hAnsi="仿宋" w:eastAsia="仿宋" w:cs="仿宋"/>
          <w:spacing w:val="0"/>
          <w:kern w:val="0"/>
          <w:sz w:val="32"/>
          <w:szCs w:val="32"/>
        </w:rPr>
        <w:t>从决算单位构成看，本单位包括</w:t>
      </w:r>
      <w:r>
        <w:rPr>
          <w:rFonts w:hint="eastAsia" w:ascii="仿宋" w:hAnsi="仿宋" w:eastAsia="仿宋" w:cs="仿宋"/>
          <w:spacing w:val="0"/>
          <w:kern w:val="0"/>
          <w:sz w:val="32"/>
          <w:szCs w:val="32"/>
          <w:lang w:val="en-US" w:eastAsia="zh-CN"/>
        </w:rPr>
        <w:t>6</w:t>
      </w:r>
      <w:r>
        <w:rPr>
          <w:rFonts w:ascii="仿宋" w:hAnsi="仿宋" w:eastAsia="仿宋" w:cs="仿宋"/>
          <w:spacing w:val="0"/>
          <w:kern w:val="0"/>
          <w:sz w:val="32"/>
          <w:szCs w:val="32"/>
        </w:rPr>
        <w:t>个内设机构，其中：列入2024年决算编制范围的单位详细情况见下表:</w:t>
      </w:r>
    </w:p>
    <w:tbl>
      <w:tblPr>
        <w:tblStyle w:val="23"/>
        <w:tblW w:w="9790" w:type="dxa"/>
        <w:tblInd w:w="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
      <w:tblGrid>
        <w:gridCol w:w="3414"/>
        <w:gridCol w:w="6376"/>
      </w:tblGrid>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3414" w:type="dxa"/>
            <w:tcBorders>
              <w:top w:val="single" w:color="auto" w:sz="4" w:space="0"/>
              <w:left w:val="single" w:color="auto" w:sz="4" w:space="0"/>
              <w:bottom w:val="single" w:color="auto" w:sz="4" w:space="0"/>
              <w:right w:val="single" w:color="auto" w:sz="4" w:space="0"/>
            </w:tcBorders>
            <w:tcMar>
              <w:top w:w="22" w:type="dxa"/>
              <w:left w:w="22" w:type="dxa"/>
              <w:bottom w:w="22" w:type="dxa"/>
              <w:right w:w="22" w:type="dxa"/>
            </w:tcMar>
            <w:vAlign w:val="center"/>
          </w:tcPr>
          <w:p>
            <w:pPr>
              <w:keepNext w:val="0"/>
              <w:keepLines w:val="0"/>
              <w:pageBreakBefore w:val="0"/>
              <w:widowControl/>
              <w:kinsoku/>
              <w:wordWrap/>
              <w:overflowPunct/>
              <w:topLinePunct w:val="0"/>
              <w:autoSpaceDE/>
              <w:autoSpaceDN/>
              <w:bidi w:val="0"/>
              <w:adjustRightInd/>
              <w:snapToGrid/>
              <w:spacing w:line="360" w:lineRule="auto"/>
              <w:ind w:firstLine="640"/>
              <w:jc w:val="center"/>
              <w:textAlignment w:val="auto"/>
              <w:rPr>
                <w:rFonts w:ascii="仿宋" w:hAnsi="仿宋" w:eastAsia="仿宋" w:cs="仿宋"/>
                <w:b w:val="0"/>
                <w:bCs w:val="0"/>
                <w:i w:val="0"/>
                <w:iCs w:val="0"/>
                <w:smallCaps w:val="0"/>
                <w:color w:val="000000"/>
                <w:spacing w:val="0"/>
                <w:kern w:val="0"/>
                <w:sz w:val="32"/>
                <w:szCs w:val="32"/>
              </w:rPr>
            </w:pPr>
            <w:r>
              <w:rPr>
                <w:rFonts w:ascii="仿宋" w:hAnsi="仿宋" w:eastAsia="仿宋" w:cs="仿宋"/>
                <w:b w:val="0"/>
                <w:bCs w:val="0"/>
                <w:i w:val="0"/>
                <w:iCs w:val="0"/>
                <w:smallCaps w:val="0"/>
                <w:color w:val="000000"/>
                <w:spacing w:val="0"/>
                <w:kern w:val="0"/>
                <w:sz w:val="32"/>
                <w:szCs w:val="32"/>
              </w:rPr>
              <w:t>序号</w:t>
            </w:r>
          </w:p>
        </w:tc>
        <w:tc>
          <w:tcPr>
            <w:tcW w:w="6376" w:type="dxa"/>
            <w:tcBorders>
              <w:top w:val="single" w:color="auto" w:sz="4" w:space="0"/>
              <w:left w:val="single" w:color="auto" w:sz="4" w:space="0"/>
              <w:bottom w:val="single" w:color="auto" w:sz="4" w:space="0"/>
              <w:right w:val="single" w:color="auto" w:sz="4" w:space="0"/>
            </w:tcBorders>
            <w:tcMar>
              <w:top w:w="22" w:type="dxa"/>
              <w:left w:w="22" w:type="dxa"/>
              <w:bottom w:w="22" w:type="dxa"/>
              <w:right w:w="22" w:type="dxa"/>
            </w:tcMar>
            <w:vAlign w:val="center"/>
          </w:tcPr>
          <w:p>
            <w:pPr>
              <w:keepNext w:val="0"/>
              <w:keepLines w:val="0"/>
              <w:pageBreakBefore w:val="0"/>
              <w:widowControl/>
              <w:kinsoku/>
              <w:wordWrap/>
              <w:overflowPunct/>
              <w:topLinePunct w:val="0"/>
              <w:autoSpaceDE/>
              <w:autoSpaceDN/>
              <w:bidi w:val="0"/>
              <w:adjustRightInd/>
              <w:snapToGrid/>
              <w:spacing w:line="360" w:lineRule="auto"/>
              <w:ind w:firstLine="640"/>
              <w:jc w:val="center"/>
              <w:textAlignment w:val="auto"/>
              <w:rPr>
                <w:rFonts w:ascii="仿宋" w:hAnsi="仿宋" w:eastAsia="仿宋" w:cs="仿宋"/>
                <w:b w:val="0"/>
                <w:bCs w:val="0"/>
                <w:i w:val="0"/>
                <w:iCs w:val="0"/>
                <w:smallCaps w:val="0"/>
                <w:color w:val="000000"/>
                <w:spacing w:val="0"/>
                <w:kern w:val="0"/>
                <w:sz w:val="32"/>
                <w:szCs w:val="32"/>
              </w:rPr>
            </w:pPr>
            <w:r>
              <w:rPr>
                <w:rFonts w:ascii="仿宋" w:hAnsi="仿宋" w:eastAsia="仿宋" w:cs="仿宋"/>
                <w:b w:val="0"/>
                <w:bCs w:val="0"/>
                <w:i w:val="0"/>
                <w:iCs w:val="0"/>
                <w:smallCaps w:val="0"/>
                <w:color w:val="000000"/>
                <w:spacing w:val="0"/>
                <w:kern w:val="0"/>
                <w:sz w:val="32"/>
                <w:szCs w:val="32"/>
              </w:rPr>
              <w:t>单位名称</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3414" w:type="dxa"/>
            <w:tcBorders>
              <w:top w:val="single" w:color="auto" w:sz="4" w:space="0"/>
              <w:left w:val="single" w:color="auto" w:sz="4" w:space="0"/>
              <w:bottom w:val="single" w:color="auto" w:sz="4" w:space="0"/>
              <w:right w:val="single" w:color="auto" w:sz="4" w:space="0"/>
            </w:tcBorders>
            <w:tcMar>
              <w:top w:w="22" w:type="dxa"/>
              <w:left w:w="22" w:type="dxa"/>
              <w:bottom w:w="22" w:type="dxa"/>
              <w:right w:w="22" w:type="dxa"/>
            </w:tcMar>
            <w:vAlign w:val="center"/>
          </w:tcPr>
          <w:p>
            <w:pPr>
              <w:keepNext w:val="0"/>
              <w:keepLines w:val="0"/>
              <w:pageBreakBefore w:val="0"/>
              <w:widowControl/>
              <w:kinsoku/>
              <w:wordWrap/>
              <w:overflowPunct/>
              <w:topLinePunct w:val="0"/>
              <w:autoSpaceDE/>
              <w:autoSpaceDN/>
              <w:bidi w:val="0"/>
              <w:adjustRightInd/>
              <w:snapToGrid/>
              <w:spacing w:line="360" w:lineRule="auto"/>
              <w:ind w:firstLine="640"/>
              <w:jc w:val="center"/>
              <w:textAlignment w:val="auto"/>
              <w:rPr>
                <w:rFonts w:hint="eastAsia" w:ascii="仿宋" w:hAnsi="仿宋" w:eastAsia="仿宋" w:cs="仿宋"/>
                <w:b w:val="0"/>
                <w:bCs w:val="0"/>
                <w:i w:val="0"/>
                <w:iCs w:val="0"/>
                <w:smallCaps w:val="0"/>
                <w:color w:val="000000"/>
                <w:spacing w:val="0"/>
                <w:kern w:val="0"/>
                <w:sz w:val="32"/>
                <w:szCs w:val="32"/>
                <w:lang w:val="en-US" w:eastAsia="zh-CN"/>
              </w:rPr>
            </w:pPr>
            <w:bookmarkStart w:id="13" w:name="_Toc256000097"/>
            <w:bookmarkStart w:id="14" w:name="_Toc256000035"/>
            <w:bookmarkStart w:id="15" w:name="_Toc256000066"/>
            <w:bookmarkStart w:id="16" w:name="_Toc256000004"/>
            <w:r>
              <w:rPr>
                <w:rFonts w:hint="eastAsia" w:ascii="仿宋" w:hAnsi="仿宋" w:eastAsia="仿宋" w:cs="仿宋"/>
                <w:b w:val="0"/>
                <w:bCs w:val="0"/>
                <w:i w:val="0"/>
                <w:iCs w:val="0"/>
                <w:smallCaps w:val="0"/>
                <w:color w:val="000000"/>
                <w:spacing w:val="0"/>
                <w:kern w:val="0"/>
                <w:sz w:val="32"/>
                <w:szCs w:val="32"/>
                <w:lang w:val="en-US" w:eastAsia="zh-CN"/>
              </w:rPr>
              <w:t>1</w:t>
            </w:r>
          </w:p>
        </w:tc>
        <w:tc>
          <w:tcPr>
            <w:tcW w:w="6376" w:type="dxa"/>
            <w:tcBorders>
              <w:top w:val="single" w:color="auto" w:sz="4" w:space="0"/>
              <w:left w:val="single" w:color="auto" w:sz="4" w:space="0"/>
              <w:bottom w:val="single" w:color="auto" w:sz="4" w:space="0"/>
              <w:right w:val="single" w:color="auto" w:sz="4" w:space="0"/>
            </w:tcBorders>
            <w:tcMar>
              <w:top w:w="22" w:type="dxa"/>
              <w:left w:w="22" w:type="dxa"/>
              <w:bottom w:w="22" w:type="dxa"/>
              <w:right w:w="22" w:type="dxa"/>
            </w:tcMar>
            <w:vAlign w:val="center"/>
          </w:tcPr>
          <w:p>
            <w:pPr>
              <w:keepNext w:val="0"/>
              <w:keepLines w:val="0"/>
              <w:pageBreakBefore w:val="0"/>
              <w:widowControl/>
              <w:kinsoku/>
              <w:wordWrap/>
              <w:overflowPunct/>
              <w:topLinePunct w:val="0"/>
              <w:autoSpaceDE/>
              <w:autoSpaceDN/>
              <w:bidi w:val="0"/>
              <w:adjustRightInd/>
              <w:snapToGrid/>
              <w:spacing w:line="360" w:lineRule="auto"/>
              <w:ind w:firstLine="640"/>
              <w:jc w:val="center"/>
              <w:textAlignment w:val="auto"/>
              <w:rPr>
                <w:rFonts w:hint="default" w:ascii="仿宋" w:hAnsi="仿宋" w:eastAsia="仿宋" w:cs="仿宋"/>
                <w:b w:val="0"/>
                <w:bCs w:val="0"/>
                <w:i w:val="0"/>
                <w:iCs w:val="0"/>
                <w:smallCaps w:val="0"/>
                <w:color w:val="000000"/>
                <w:spacing w:val="0"/>
                <w:kern w:val="0"/>
                <w:sz w:val="32"/>
                <w:szCs w:val="32"/>
                <w:lang w:val="en-US" w:eastAsia="zh-CN"/>
              </w:rPr>
            </w:pPr>
            <w:r>
              <w:rPr>
                <w:rFonts w:hint="eastAsia" w:ascii="仿宋" w:hAnsi="仿宋" w:eastAsia="仿宋" w:cs="仿宋"/>
                <w:b w:val="0"/>
                <w:bCs w:val="0"/>
                <w:i w:val="0"/>
                <w:iCs w:val="0"/>
                <w:smallCaps w:val="0"/>
                <w:color w:val="000000"/>
                <w:spacing w:val="0"/>
                <w:kern w:val="0"/>
                <w:sz w:val="32"/>
                <w:szCs w:val="32"/>
                <w:lang w:val="en-US" w:eastAsia="zh-CN"/>
              </w:rPr>
              <w:t>厦门市梧桐实验学校</w:t>
            </w:r>
          </w:p>
        </w:tc>
      </w:tr>
    </w:tbl>
    <w:p>
      <w:pPr>
        <w:pStyle w:val="6"/>
        <w:keepNext w:val="0"/>
        <w:keepLines w:val="0"/>
        <w:pageBreakBefore w:val="0"/>
        <w:kinsoku/>
        <w:wordWrap/>
        <w:overflowPunct/>
        <w:topLinePunct w:val="0"/>
        <w:autoSpaceDE/>
        <w:autoSpaceDN/>
        <w:bidi w:val="0"/>
        <w:adjustRightInd/>
        <w:snapToGrid/>
        <w:spacing w:before="100" w:after="100" w:line="360" w:lineRule="auto"/>
        <w:ind w:left="0" w:right="0" w:firstLine="640" w:firstLineChars="0"/>
        <w:textAlignment w:val="auto"/>
        <w:rPr>
          <w:rFonts w:ascii="Times New Roman" w:hAnsi="Times New Roman" w:eastAsia="Times New Roman" w:cs="Times New Roman"/>
          <w:b/>
          <w:bCs/>
          <w:kern w:val="0"/>
          <w:sz w:val="28"/>
          <w:szCs w:val="28"/>
        </w:rPr>
      </w:pPr>
      <w:r>
        <w:rPr>
          <w:rFonts w:ascii="黑体" w:hAnsi="黑体" w:eastAsia="黑体" w:cs="黑体"/>
          <w:b/>
          <w:spacing w:val="0"/>
        </w:rPr>
        <w:t>三、单位主要工作总结</w:t>
      </w:r>
      <w:bookmarkEnd w:id="13"/>
      <w:bookmarkEnd w:id="14"/>
      <w:bookmarkEnd w:id="15"/>
      <w:bookmarkEnd w:id="16"/>
    </w:p>
    <w:p>
      <w:pPr>
        <w:pStyle w:val="29"/>
        <w:keepNext w:val="0"/>
        <w:keepLines w:val="0"/>
        <w:pageBreakBefore w:val="0"/>
        <w:widowControl/>
        <w:kinsoku/>
        <w:wordWrap/>
        <w:overflowPunct/>
        <w:topLinePunct w:val="0"/>
        <w:autoSpaceDE/>
        <w:autoSpaceDN/>
        <w:bidi w:val="0"/>
        <w:adjustRightInd/>
        <w:snapToGrid/>
        <w:spacing w:before="100" w:after="100" w:line="360" w:lineRule="auto"/>
        <w:ind w:left="0" w:right="0" w:firstLine="640"/>
        <w:jc w:val="left"/>
        <w:textAlignment w:val="auto"/>
        <w:rPr>
          <w:rFonts w:ascii="Times New Roman" w:hAnsi="Times New Roman" w:eastAsia="Times New Roman" w:cs="Times New Roman"/>
          <w:kern w:val="0"/>
          <w:sz w:val="24"/>
        </w:rPr>
      </w:pPr>
      <w:r>
        <w:rPr>
          <w:rFonts w:ascii="仿宋" w:hAnsi="仿宋" w:eastAsia="仿宋" w:cs="仿宋"/>
          <w:spacing w:val="0"/>
          <w:kern w:val="0"/>
          <w:sz w:val="32"/>
          <w:szCs w:val="32"/>
        </w:rPr>
        <w:t>2024年，厦门市梧桐实验学校单位主要任务是：围绕上述任务，重点完成了以下工作：</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ascii="仿宋" w:hAnsi="仿宋" w:eastAsia="仿宋" w:cs="仿宋"/>
          <w:spacing w:val="0"/>
          <w:kern w:val="0"/>
          <w:sz w:val="32"/>
          <w:szCs w:val="32"/>
          <w:lang w:val="en-US" w:eastAsia="zh-CN" w:bidi="ar-SA"/>
        </w:rPr>
      </w:pPr>
      <w:r>
        <w:rPr>
          <w:rFonts w:hint="default" w:ascii="仿宋" w:hAnsi="仿宋" w:eastAsia="仿宋" w:cs="仿宋"/>
          <w:spacing w:val="0"/>
          <w:kern w:val="0"/>
          <w:sz w:val="32"/>
          <w:szCs w:val="32"/>
          <w:lang w:val="en-US" w:eastAsia="zh-CN" w:bidi="ar-SA"/>
        </w:rPr>
        <w:t>（一）加强党建，引领学校高</w:t>
      </w:r>
      <w:r>
        <w:rPr>
          <w:rFonts w:hint="eastAsia" w:ascii="仿宋" w:hAnsi="仿宋" w:eastAsia="仿宋" w:cs="仿宋"/>
          <w:spacing w:val="0"/>
          <w:kern w:val="0"/>
          <w:sz w:val="32"/>
          <w:szCs w:val="32"/>
          <w:lang w:val="en-US" w:eastAsia="zh-CN" w:bidi="ar-SA"/>
        </w:rPr>
        <w:t>质量</w:t>
      </w:r>
      <w:r>
        <w:rPr>
          <w:rFonts w:hint="default" w:ascii="仿宋" w:hAnsi="仿宋" w:eastAsia="仿宋" w:cs="仿宋"/>
          <w:spacing w:val="0"/>
          <w:kern w:val="0"/>
          <w:sz w:val="32"/>
          <w:szCs w:val="32"/>
          <w:lang w:val="en-US" w:eastAsia="zh-CN" w:bidi="ar-SA"/>
        </w:rPr>
        <w:t>发展</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ascii="仿宋" w:hAnsi="仿宋" w:eastAsia="仿宋" w:cs="仿宋"/>
          <w:spacing w:val="0"/>
          <w:kern w:val="0"/>
          <w:sz w:val="32"/>
          <w:szCs w:val="32"/>
          <w:lang w:val="en-US" w:eastAsia="zh-CN" w:bidi="ar-SA"/>
        </w:rPr>
      </w:pPr>
      <w:r>
        <w:rPr>
          <w:rFonts w:hint="default" w:ascii="仿宋" w:hAnsi="仿宋" w:eastAsia="仿宋" w:cs="仿宋"/>
          <w:spacing w:val="0"/>
          <w:kern w:val="0"/>
          <w:sz w:val="32"/>
          <w:szCs w:val="32"/>
          <w:lang w:val="en-US" w:eastAsia="zh-CN" w:bidi="ar-SA"/>
        </w:rPr>
        <w:t>加强政治引领，坚定政治立场。党总支书记认真履行党建第一责任人职责，打造特色的党建品牌，建立健全党建工作“任务清单”，将党的组织生活制度落实落细。组织开展形式多样的主题学习活动。</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ascii="仿宋" w:hAnsi="仿宋" w:eastAsia="仿宋" w:cs="仿宋"/>
          <w:spacing w:val="0"/>
          <w:kern w:val="0"/>
          <w:sz w:val="32"/>
          <w:szCs w:val="32"/>
          <w:lang w:val="en-US" w:eastAsia="zh-CN" w:bidi="ar-SA"/>
        </w:rPr>
      </w:pPr>
      <w:r>
        <w:rPr>
          <w:rFonts w:hint="default" w:ascii="仿宋" w:hAnsi="仿宋" w:eastAsia="仿宋" w:cs="仿宋"/>
          <w:spacing w:val="0"/>
          <w:kern w:val="0"/>
          <w:sz w:val="32"/>
          <w:szCs w:val="32"/>
          <w:lang w:val="en-US" w:eastAsia="zh-CN" w:bidi="ar-SA"/>
        </w:rPr>
        <w:t>深化党建品牌，突出榜样引领。在党总支“五同”党建品牌引领下发挥品牌效应持续开展“我为群众办实事”实践活动。党员教师发挥在“双减”、教育教学等方面的先锋模范作用，同时发挥党带团建优势，开展爱心帮扶困难学生、社区服务、志愿宣讲等志愿活动。 本学年持续与禾盛社区党委、湖里区妇幼保健院、禾穆实验幼儿园共建，共开展志愿活动4次，践行为人民服务宗旨。大力支持党员教师在专业教育中发挥示范引领作用，提升教育人才质量。</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ascii="仿宋" w:hAnsi="仿宋" w:eastAsia="仿宋" w:cs="仿宋"/>
          <w:spacing w:val="0"/>
          <w:kern w:val="0"/>
          <w:sz w:val="32"/>
          <w:szCs w:val="32"/>
          <w:lang w:val="en-US" w:eastAsia="zh-CN" w:bidi="ar-SA"/>
        </w:rPr>
      </w:pPr>
      <w:r>
        <w:rPr>
          <w:rFonts w:hint="default" w:ascii="仿宋" w:hAnsi="仿宋" w:eastAsia="仿宋" w:cs="仿宋"/>
          <w:spacing w:val="0"/>
          <w:kern w:val="0"/>
          <w:sz w:val="32"/>
          <w:szCs w:val="32"/>
          <w:lang w:val="en-US" w:eastAsia="zh-CN" w:bidi="ar-SA"/>
        </w:rPr>
        <w:t xml:space="preserve">（二）不忘初心，牢记立德树人使命 </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ascii="仿宋" w:hAnsi="仿宋" w:eastAsia="仿宋" w:cs="仿宋"/>
          <w:spacing w:val="0"/>
          <w:kern w:val="0"/>
          <w:sz w:val="32"/>
          <w:szCs w:val="32"/>
          <w:lang w:val="en-US" w:eastAsia="zh-CN" w:bidi="ar-SA"/>
        </w:rPr>
      </w:pPr>
      <w:r>
        <w:rPr>
          <w:rFonts w:hint="default" w:ascii="仿宋" w:hAnsi="仿宋" w:eastAsia="仿宋" w:cs="仿宋"/>
          <w:spacing w:val="0"/>
          <w:kern w:val="0"/>
          <w:sz w:val="32"/>
          <w:szCs w:val="32"/>
          <w:lang w:val="en-US" w:eastAsia="zh-CN" w:bidi="ar-SA"/>
        </w:rPr>
        <w:t>签署承诺书，师德记于心。学校借助OA平台组织教师签订师德电子承诺书，强化师德师风监督。</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ascii="仿宋" w:hAnsi="仿宋" w:eastAsia="仿宋" w:cs="仿宋"/>
          <w:spacing w:val="0"/>
          <w:kern w:val="0"/>
          <w:sz w:val="32"/>
          <w:szCs w:val="32"/>
          <w:lang w:val="en-US" w:eastAsia="zh-CN" w:bidi="ar-SA"/>
        </w:rPr>
      </w:pPr>
      <w:r>
        <w:rPr>
          <w:rFonts w:hint="default" w:ascii="仿宋" w:hAnsi="仿宋" w:eastAsia="仿宋" w:cs="仿宋"/>
          <w:spacing w:val="0"/>
          <w:kern w:val="0"/>
          <w:sz w:val="32"/>
          <w:szCs w:val="32"/>
          <w:lang w:val="en-US" w:eastAsia="zh-CN" w:bidi="ar-SA"/>
        </w:rPr>
        <w:t>全员共学习，活动促提升。开展师德师风学习活动，定期在全校教职工大会上传达学习师德师风建设相关文件精神。其次，开展线上学习研讨和节假日廉洁提醒等，引导全体教师进一步树立师德师风“底线”、“红线”意识，准确把握新时代、新形势对教师的新要求。</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ascii="仿宋" w:hAnsi="仿宋" w:eastAsia="仿宋" w:cs="仿宋"/>
          <w:spacing w:val="0"/>
          <w:kern w:val="0"/>
          <w:sz w:val="32"/>
          <w:szCs w:val="32"/>
          <w:lang w:val="en-US" w:eastAsia="zh-CN" w:bidi="ar-SA"/>
        </w:rPr>
      </w:pPr>
      <w:r>
        <w:rPr>
          <w:rFonts w:hint="default" w:ascii="仿宋" w:hAnsi="仿宋" w:eastAsia="仿宋" w:cs="仿宋"/>
          <w:spacing w:val="0"/>
          <w:kern w:val="0"/>
          <w:sz w:val="32"/>
          <w:szCs w:val="32"/>
          <w:lang w:val="en-US" w:eastAsia="zh-CN" w:bidi="ar-SA"/>
        </w:rPr>
        <w:t>（三）德育润心，多元赋能学生成长</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ascii="仿宋" w:hAnsi="仿宋" w:eastAsia="仿宋" w:cs="仿宋"/>
          <w:spacing w:val="0"/>
          <w:kern w:val="0"/>
          <w:sz w:val="32"/>
          <w:szCs w:val="32"/>
          <w:lang w:val="en-US" w:eastAsia="zh-CN" w:bidi="ar-SA"/>
        </w:rPr>
      </w:pPr>
      <w:r>
        <w:rPr>
          <w:rFonts w:hint="default" w:ascii="仿宋" w:hAnsi="仿宋" w:eastAsia="仿宋" w:cs="仿宋"/>
          <w:spacing w:val="0"/>
          <w:kern w:val="0"/>
          <w:sz w:val="32"/>
          <w:szCs w:val="32"/>
          <w:lang w:val="en-US" w:eastAsia="zh-CN" w:bidi="ar-SA"/>
        </w:rPr>
        <w:t>开展多元德育活动。学校面向全体学生开展</w:t>
      </w:r>
      <w:r>
        <w:rPr>
          <w:rFonts w:hint="eastAsia" w:ascii="仿宋" w:hAnsi="仿宋" w:eastAsia="仿宋" w:cs="仿宋"/>
          <w:spacing w:val="0"/>
          <w:kern w:val="0"/>
          <w:sz w:val="32"/>
          <w:szCs w:val="32"/>
          <w:lang w:val="en-US" w:eastAsia="zh-CN" w:bidi="ar-SA"/>
        </w:rPr>
        <w:t>以预</w:t>
      </w:r>
      <w:r>
        <w:rPr>
          <w:rFonts w:hint="default" w:ascii="仿宋" w:hAnsi="仿宋" w:eastAsia="仿宋" w:cs="仿宋"/>
          <w:spacing w:val="0"/>
          <w:kern w:val="0"/>
          <w:sz w:val="32"/>
          <w:szCs w:val="32"/>
          <w:lang w:val="en-US" w:eastAsia="zh-CN" w:bidi="ar-SA"/>
        </w:rPr>
        <w:t>防性和发展性为主的心理健康教育，建立一生一档，全面落实德育“面向全体学生”原则和“预防与发展相结合”原则。举办中秋、国庆等节日庆祝活动，主题鲜明，形式多样，以正确的价值导向引领学生成长。</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ascii="仿宋" w:hAnsi="仿宋" w:eastAsia="仿宋" w:cs="仿宋"/>
          <w:spacing w:val="0"/>
          <w:kern w:val="0"/>
          <w:sz w:val="32"/>
          <w:szCs w:val="32"/>
          <w:lang w:val="en-US" w:eastAsia="zh-CN" w:bidi="ar-SA"/>
        </w:rPr>
      </w:pPr>
      <w:r>
        <w:rPr>
          <w:rFonts w:hint="default" w:ascii="仿宋" w:hAnsi="仿宋" w:eastAsia="仿宋" w:cs="仿宋"/>
          <w:spacing w:val="0"/>
          <w:kern w:val="0"/>
          <w:sz w:val="32"/>
          <w:szCs w:val="32"/>
          <w:lang w:val="en-US" w:eastAsia="zh-CN" w:bidi="ar-SA"/>
        </w:rPr>
        <w:t>狠抓学生行为常规。通过督导量化、国旗下讲话和主题班会三种形式进行。围绕既定主题的国旗下讲话，既增强了学生的爱国情怀，也给孩子们提供了自我展示的舞台。</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ascii="仿宋" w:hAnsi="仿宋" w:eastAsia="仿宋" w:cs="仿宋"/>
          <w:spacing w:val="0"/>
          <w:kern w:val="0"/>
          <w:sz w:val="32"/>
          <w:szCs w:val="32"/>
          <w:lang w:val="en-US" w:eastAsia="zh-CN" w:bidi="ar-SA"/>
        </w:rPr>
      </w:pPr>
      <w:r>
        <w:rPr>
          <w:rFonts w:hint="default" w:ascii="仿宋" w:hAnsi="仿宋" w:eastAsia="仿宋" w:cs="仿宋"/>
          <w:spacing w:val="0"/>
          <w:kern w:val="0"/>
          <w:sz w:val="32"/>
          <w:szCs w:val="32"/>
          <w:lang w:val="en-US" w:eastAsia="zh-CN" w:bidi="ar-SA"/>
        </w:rPr>
        <w:t>家校共育赋能成长。学校注重家校间沟通建设，通过家委会选举，家长会，全员家访等多种渠道，增进了家校沟通，有效提升了家庭教育和学校教育的质量。</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ascii="仿宋" w:hAnsi="仿宋" w:eastAsia="仿宋" w:cs="仿宋"/>
          <w:spacing w:val="0"/>
          <w:kern w:val="0"/>
          <w:sz w:val="32"/>
          <w:szCs w:val="32"/>
          <w:lang w:val="en-US" w:eastAsia="zh-CN" w:bidi="ar-SA"/>
        </w:rPr>
      </w:pPr>
      <w:r>
        <w:rPr>
          <w:rFonts w:hint="default" w:ascii="仿宋" w:hAnsi="仿宋" w:eastAsia="仿宋" w:cs="仿宋"/>
          <w:spacing w:val="0"/>
          <w:kern w:val="0"/>
          <w:sz w:val="32"/>
          <w:szCs w:val="32"/>
          <w:lang w:val="en-US" w:eastAsia="zh-CN" w:bidi="ar-SA"/>
        </w:rPr>
        <w:t>（四）且研且教，梧桐教研蓬勃生长</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ascii="仿宋" w:hAnsi="仿宋" w:eastAsia="仿宋" w:cs="仿宋"/>
          <w:spacing w:val="0"/>
          <w:kern w:val="0"/>
          <w:sz w:val="32"/>
          <w:szCs w:val="32"/>
          <w:lang w:val="en-US" w:eastAsia="zh-CN" w:bidi="ar-SA"/>
        </w:rPr>
      </w:pPr>
      <w:r>
        <w:rPr>
          <w:rFonts w:hint="default" w:ascii="仿宋" w:hAnsi="仿宋" w:eastAsia="仿宋" w:cs="仿宋"/>
          <w:spacing w:val="0"/>
          <w:kern w:val="0"/>
          <w:sz w:val="32"/>
          <w:szCs w:val="32"/>
          <w:lang w:val="en-US" w:eastAsia="zh-CN" w:bidi="ar-SA"/>
        </w:rPr>
        <w:t>青蓝</w:t>
      </w:r>
      <w:r>
        <w:rPr>
          <w:rFonts w:hint="eastAsia" w:ascii="仿宋" w:hAnsi="仿宋" w:eastAsia="仿宋" w:cs="仿宋"/>
          <w:spacing w:val="0"/>
          <w:kern w:val="0"/>
          <w:sz w:val="32"/>
          <w:szCs w:val="32"/>
          <w:lang w:val="en-US" w:eastAsia="zh-CN" w:bidi="ar-SA"/>
        </w:rPr>
        <w:t>工程启动</w:t>
      </w:r>
      <w:r>
        <w:rPr>
          <w:rFonts w:hint="default" w:ascii="仿宋" w:hAnsi="仿宋" w:eastAsia="仿宋" w:cs="仿宋"/>
          <w:spacing w:val="0"/>
          <w:kern w:val="0"/>
          <w:sz w:val="32"/>
          <w:szCs w:val="32"/>
          <w:lang w:val="en-US" w:eastAsia="zh-CN" w:bidi="ar-SA"/>
        </w:rPr>
        <w:t>及时，名师送教促提升。我校的新教师队伍庞大，占总人数98人的56%，新教师的成长</w:t>
      </w:r>
      <w:r>
        <w:rPr>
          <w:rFonts w:hint="eastAsia" w:ascii="仿宋" w:hAnsi="仿宋" w:eastAsia="仿宋" w:cs="仿宋"/>
          <w:spacing w:val="0"/>
          <w:kern w:val="0"/>
          <w:sz w:val="32"/>
          <w:szCs w:val="32"/>
          <w:lang w:val="en-US" w:eastAsia="zh-CN" w:bidi="ar-SA"/>
        </w:rPr>
        <w:t>问题迫</w:t>
      </w:r>
      <w:r>
        <w:rPr>
          <w:rFonts w:hint="default" w:ascii="仿宋" w:hAnsi="仿宋" w:eastAsia="仿宋" w:cs="仿宋"/>
          <w:spacing w:val="0"/>
          <w:kern w:val="0"/>
          <w:sz w:val="32"/>
          <w:szCs w:val="32"/>
          <w:lang w:val="en-US" w:eastAsia="zh-CN" w:bidi="ar-SA"/>
        </w:rPr>
        <w:t>在眉睫。本学期的第一周进行了师徒结对仪式，帮助新教师尽快适应教学工作、提升专业水平。</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ascii="仿宋" w:hAnsi="仿宋" w:eastAsia="仿宋" w:cs="仿宋"/>
          <w:spacing w:val="0"/>
          <w:kern w:val="0"/>
          <w:sz w:val="32"/>
          <w:szCs w:val="32"/>
          <w:lang w:val="en-US" w:eastAsia="zh-CN" w:bidi="ar-SA"/>
        </w:rPr>
      </w:pPr>
      <w:r>
        <w:rPr>
          <w:rFonts w:hint="default" w:ascii="仿宋" w:hAnsi="仿宋" w:eastAsia="仿宋" w:cs="仿宋"/>
          <w:spacing w:val="0"/>
          <w:kern w:val="0"/>
          <w:sz w:val="32"/>
          <w:szCs w:val="32"/>
          <w:lang w:val="en-US" w:eastAsia="zh-CN" w:bidi="ar-SA"/>
        </w:rPr>
        <w:t>科研课题</w:t>
      </w:r>
      <w:r>
        <w:rPr>
          <w:rFonts w:hint="eastAsia" w:ascii="仿宋" w:hAnsi="仿宋" w:eastAsia="仿宋" w:cs="仿宋"/>
          <w:spacing w:val="0"/>
          <w:kern w:val="0"/>
          <w:sz w:val="32"/>
          <w:szCs w:val="32"/>
          <w:lang w:val="en-US" w:eastAsia="zh-CN" w:bidi="ar-SA"/>
        </w:rPr>
        <w:t>稳步</w:t>
      </w:r>
      <w:r>
        <w:rPr>
          <w:rFonts w:hint="default" w:ascii="仿宋" w:hAnsi="仿宋" w:eastAsia="仿宋" w:cs="仿宋"/>
          <w:spacing w:val="0"/>
          <w:kern w:val="0"/>
          <w:sz w:val="32"/>
          <w:szCs w:val="32"/>
          <w:lang w:val="en-US" w:eastAsia="zh-CN" w:bidi="ar-SA"/>
        </w:rPr>
        <w:t>推进，问题意识融教研。本学期我校教师的课题研究稳步推进，目前主持的在研课题：省级3个，市级2个，区级8个，校级7个。借助我校与五缘总校的合作平台，我校本学期《校级合作探究生本灵动课堂的实践研究》2.0版本在前进。</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ascii="仿宋" w:hAnsi="仿宋" w:eastAsia="仿宋" w:cs="仿宋"/>
          <w:spacing w:val="0"/>
          <w:kern w:val="0"/>
          <w:sz w:val="32"/>
          <w:szCs w:val="32"/>
          <w:lang w:val="en-US" w:eastAsia="zh-CN" w:bidi="ar-SA"/>
        </w:rPr>
      </w:pPr>
      <w:r>
        <w:rPr>
          <w:rFonts w:hint="default" w:ascii="仿宋" w:hAnsi="仿宋" w:eastAsia="仿宋" w:cs="仿宋"/>
          <w:spacing w:val="0"/>
          <w:kern w:val="0"/>
          <w:sz w:val="32"/>
          <w:szCs w:val="32"/>
          <w:lang w:val="en-US" w:eastAsia="zh-CN" w:bidi="ar-SA"/>
        </w:rPr>
        <w:t>（五）强化管理，向精细化管理要质量</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ascii="仿宋" w:hAnsi="仿宋" w:eastAsia="仿宋" w:cs="仿宋"/>
          <w:spacing w:val="0"/>
          <w:kern w:val="0"/>
          <w:sz w:val="32"/>
          <w:szCs w:val="32"/>
          <w:lang w:val="en-US" w:eastAsia="zh-CN" w:bidi="ar-SA"/>
        </w:rPr>
      </w:pPr>
      <w:r>
        <w:rPr>
          <w:rFonts w:hint="default" w:ascii="仿宋" w:hAnsi="仿宋" w:eastAsia="仿宋" w:cs="仿宋"/>
          <w:spacing w:val="0"/>
          <w:kern w:val="0"/>
          <w:sz w:val="32"/>
          <w:szCs w:val="32"/>
          <w:lang w:val="en-US" w:eastAsia="zh-CN" w:bidi="ar-SA"/>
        </w:rPr>
        <w:t xml:space="preserve">规范课程执行，优化学生体验。提高课程执行力度，结合学校的实际，开齐、开足、开好所有规定的国家课程和校本与地方课程，进一步规范课程设置、规范作息时间。积极推进大课间活动和课外体育艺术活动，全天候课间十分钟真实有效进行。下午的课外体育活动时间，组织各个年段开展有关活动，确保学生每天“阳光1小时”体育活动。 </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ascii="仿宋" w:hAnsi="仿宋" w:eastAsia="仿宋" w:cs="仿宋"/>
          <w:spacing w:val="0"/>
          <w:kern w:val="0"/>
          <w:sz w:val="32"/>
          <w:szCs w:val="32"/>
          <w:lang w:val="en-US" w:eastAsia="zh-CN" w:bidi="ar-SA"/>
        </w:rPr>
      </w:pPr>
      <w:r>
        <w:rPr>
          <w:rFonts w:hint="default" w:ascii="仿宋" w:hAnsi="仿宋" w:eastAsia="仿宋" w:cs="仿宋"/>
          <w:spacing w:val="0"/>
          <w:kern w:val="0"/>
          <w:sz w:val="32"/>
          <w:szCs w:val="32"/>
          <w:lang w:val="en-US" w:eastAsia="zh-CN" w:bidi="ar-SA"/>
        </w:rPr>
        <w:t xml:space="preserve">严抓教学常规，强化教学管理。加强备课组活动的软件和硬件建设，营造良好的教学研修氛围；坚持和落实集体备课，做到时间、地点、内容、主讲人“四落实”，加强对新教师各项教学常规的具体指导；实行常规巡课制度，加强课堂监控，规范教学行为，以保证学科教学的可持续发展。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Times New Roman" w:hAnsi="Times New Roman" w:eastAsia="Times New Roman" w:cs="Times New Roman"/>
          <w:vanish/>
          <w:kern w:val="0"/>
          <w:sz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Times New Roman" w:hAnsi="Times New Roman" w:eastAsia="Times New Roman" w:cs="Times New Roman"/>
          <w:vanish/>
          <w:kern w:val="0"/>
          <w:sz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Times New Roman" w:hAnsi="Times New Roman" w:eastAsia="Times New Roman" w:cs="Times New Roman"/>
          <w:vanish/>
          <w:kern w:val="0"/>
          <w:sz w:val="24"/>
        </w:rPr>
      </w:pPr>
      <w:r>
        <w:rPr>
          <w:rFonts w:ascii="Times New Roman" w:hAnsi="Times New Roman" w:eastAsia="Times New Roman" w:cs="Times New Roman"/>
          <w:vanish/>
          <w:kern w:val="0"/>
          <w:sz w:val="24"/>
        </w:rPr>
        <w:t>word page break</w:t>
      </w:r>
    </w:p>
    <w:p>
      <w:pPr>
        <w:pStyle w:val="4"/>
        <w:keepNext w:val="0"/>
        <w:keepLines w:val="0"/>
        <w:numPr>
          <w:ilvl w:val="0"/>
          <w:numId w:val="2"/>
        </w:numPr>
        <w:spacing w:before="100" w:after="100" w:line="240" w:lineRule="auto"/>
        <w:ind w:left="0" w:right="0" w:firstLine="0" w:firstLineChars="0"/>
        <w:jc w:val="center"/>
        <w:rPr>
          <w:rFonts w:ascii="黑体" w:hAnsi="黑体" w:eastAsia="黑体" w:cs="黑体"/>
          <w:b/>
          <w:spacing w:val="0"/>
          <w:sz w:val="32"/>
          <w:szCs w:val="32"/>
        </w:rPr>
      </w:pPr>
      <w:bookmarkStart w:id="17" w:name="_Toc256000068"/>
      <w:bookmarkStart w:id="18" w:name="_Toc256000006"/>
      <w:bookmarkStart w:id="19" w:name="_Toc256000037"/>
      <w:bookmarkStart w:id="20" w:name="_Toc256000099"/>
      <w:r>
        <w:rPr>
          <w:rFonts w:hint="eastAsia" w:ascii="黑体" w:hAnsi="黑体" w:eastAsia="黑体" w:cs="黑体"/>
          <w:b/>
          <w:spacing w:val="0"/>
          <w:sz w:val="32"/>
          <w:szCs w:val="32"/>
          <w:lang w:val="en-US" w:eastAsia="zh-CN"/>
        </w:rPr>
        <w:t xml:space="preserve"> </w:t>
      </w:r>
      <w:r>
        <w:rPr>
          <w:rFonts w:ascii="黑体" w:hAnsi="黑体" w:eastAsia="黑体" w:cs="黑体"/>
          <w:b/>
          <w:spacing w:val="0"/>
          <w:sz w:val="32"/>
          <w:szCs w:val="32"/>
        </w:rPr>
        <w:t>2024年度决算表</w:t>
      </w:r>
      <w:bookmarkEnd w:id="17"/>
      <w:bookmarkEnd w:id="18"/>
      <w:bookmarkEnd w:id="19"/>
      <w:bookmarkEnd w:id="20"/>
    </w:p>
    <w:p>
      <w:pPr>
        <w:widowControl/>
        <w:spacing w:before="240" w:after="240"/>
        <w:jc w:val="left"/>
        <w:rPr>
          <w:rFonts w:ascii="Times New Roman" w:hAnsi="Times New Roman" w:eastAsia="Times New Roman" w:cs="Times New Roman"/>
          <w:vanish/>
          <w:kern w:val="0"/>
          <w:sz w:val="24"/>
        </w:rPr>
      </w:pPr>
      <w:r>
        <w:rPr>
          <w:rFonts w:ascii="Times New Roman" w:hAnsi="Times New Roman" w:eastAsia="Times New Roman" w:cs="Times New Roman"/>
          <w:vanish/>
          <w:kern w:val="0"/>
          <w:sz w:val="24"/>
        </w:rPr>
        <w:t>word page break</w:t>
      </w:r>
    </w:p>
    <w:p>
      <w:pPr>
        <w:pStyle w:val="6"/>
        <w:keepNext w:val="0"/>
        <w:keepLines w:val="0"/>
        <w:spacing w:before="100" w:after="100" w:line="240" w:lineRule="auto"/>
        <w:ind w:left="0" w:leftChars="0" w:right="0" w:firstLine="643" w:firstLineChars="200"/>
        <w:rPr>
          <w:rFonts w:ascii="Times New Roman" w:hAnsi="Times New Roman" w:eastAsia="Times New Roman" w:cs="Times New Roman"/>
          <w:b/>
          <w:bCs/>
          <w:kern w:val="0"/>
          <w:sz w:val="28"/>
          <w:szCs w:val="28"/>
        </w:rPr>
      </w:pPr>
      <w:bookmarkStart w:id="21" w:name="_Toc256000038"/>
      <w:bookmarkStart w:id="22" w:name="_Toc256000100"/>
      <w:bookmarkStart w:id="23" w:name="_Toc256000069"/>
      <w:bookmarkStart w:id="24" w:name="_Toc256000007"/>
      <w:r>
        <w:rPr>
          <w:rFonts w:ascii="黑体" w:hAnsi="黑体" w:eastAsia="黑体" w:cs="黑体"/>
          <w:b/>
          <w:spacing w:val="0"/>
        </w:rPr>
        <w:t>一、收入支出决算总表</w:t>
      </w:r>
      <w:bookmarkEnd w:id="21"/>
      <w:bookmarkEnd w:id="22"/>
      <w:bookmarkEnd w:id="23"/>
      <w:bookmarkEnd w:id="24"/>
    </w:p>
    <w:p>
      <w:pPr>
        <w:widowControl/>
        <w:spacing w:before="240" w:after="240"/>
        <w:jc w:val="left"/>
        <w:rPr>
          <w:rFonts w:ascii="Times New Roman" w:hAnsi="Times New Roman" w:eastAsia="Times New Roman" w:cs="Times New Roman"/>
          <w:vanish/>
          <w:kern w:val="0"/>
          <w:sz w:val="24"/>
        </w:rPr>
      </w:pPr>
      <w:r>
        <w:rPr>
          <w:rFonts w:ascii="Times New Roman" w:hAnsi="Times New Roman" w:eastAsia="Times New Roman" w:cs="Times New Roman"/>
          <w:vanish/>
          <w:kern w:val="0"/>
          <w:sz w:val="24"/>
        </w:rPr>
        <w:t>word horizontal layout</w:t>
      </w:r>
    </w:p>
    <w:tbl>
      <w:tblPr>
        <w:tblStyle w:val="23"/>
        <w:tblW w:w="9786" w:type="dxa"/>
        <w:tblInd w:w="0" w:type="dxa"/>
        <w:tblLayout w:type="fixed"/>
        <w:tblCellMar>
          <w:top w:w="15" w:type="dxa"/>
          <w:left w:w="15" w:type="dxa"/>
          <w:bottom w:w="15" w:type="dxa"/>
          <w:right w:w="15" w:type="dxa"/>
        </w:tblCellMar>
      </w:tblPr>
      <w:tblGrid>
        <w:gridCol w:w="3382"/>
        <w:gridCol w:w="470"/>
        <w:gridCol w:w="781"/>
        <w:gridCol w:w="3174"/>
        <w:gridCol w:w="469"/>
        <w:gridCol w:w="1510"/>
      </w:tblGrid>
      <w:tr>
        <w:tblPrEx>
          <w:tblLayout w:type="fixed"/>
          <w:tblCellMar>
            <w:top w:w="15" w:type="dxa"/>
            <w:left w:w="15" w:type="dxa"/>
            <w:bottom w:w="15" w:type="dxa"/>
            <w:right w:w="15" w:type="dxa"/>
          </w:tblCellMar>
        </w:tblPrEx>
        <w:trPr>
          <w:tblHeader/>
        </w:trPr>
        <w:tc>
          <w:tcPr>
            <w:tcW w:w="9786" w:type="dxa"/>
            <w:gridSpan w:val="6"/>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32"/>
                <w:szCs w:val="32"/>
              </w:rPr>
              <w:t>收入支出决算总表</w:t>
            </w:r>
          </w:p>
        </w:tc>
      </w:tr>
      <w:tr>
        <w:tblPrEx>
          <w:tblLayout w:type="fixed"/>
          <w:tblCellMar>
            <w:top w:w="15" w:type="dxa"/>
            <w:left w:w="15" w:type="dxa"/>
            <w:bottom w:w="15" w:type="dxa"/>
            <w:right w:w="15" w:type="dxa"/>
          </w:tblCellMar>
        </w:tblPrEx>
        <w:trPr>
          <w:tblHeader/>
        </w:trPr>
        <w:tc>
          <w:tcPr>
            <w:tcW w:w="3852" w:type="dxa"/>
            <w:gridSpan w:val="2"/>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781"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3174"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469"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510"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rPr>
          <w:tblHeader/>
        </w:trPr>
        <w:tc>
          <w:tcPr>
            <w:tcW w:w="3382"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部门</w:t>
            </w:r>
            <w:r>
              <w:rPr>
                <w:rFonts w:ascii="Times New Roman" w:hAnsi="Times New Roman" w:eastAsia="Times New Roman" w:cs="Times New Roman"/>
                <w:b w:val="0"/>
                <w:bCs w:val="0"/>
                <w:i w:val="0"/>
                <w:iCs w:val="0"/>
                <w:smallCaps w:val="0"/>
                <w:color w:val="000000"/>
                <w:kern w:val="0"/>
                <w:sz w:val="21"/>
                <w:szCs w:val="21"/>
              </w:rPr>
              <w:t>/</w:t>
            </w:r>
            <w:r>
              <w:rPr>
                <w:rFonts w:ascii="宋体" w:hAnsi="宋体" w:eastAsia="宋体" w:cs="宋体"/>
                <w:b w:val="0"/>
                <w:bCs w:val="0"/>
                <w:i w:val="0"/>
                <w:iCs w:val="0"/>
                <w:smallCaps w:val="0"/>
                <w:color w:val="000000"/>
                <w:kern w:val="0"/>
                <w:sz w:val="21"/>
                <w:szCs w:val="21"/>
              </w:rPr>
              <w:t>单位：厦门市梧桐实验学校</w:t>
            </w:r>
          </w:p>
        </w:tc>
        <w:tc>
          <w:tcPr>
            <w:tcW w:w="470"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781"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3174"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2024</w:t>
            </w:r>
            <w:r>
              <w:rPr>
                <w:rFonts w:ascii="宋体" w:hAnsi="宋体" w:eastAsia="宋体" w:cs="宋体"/>
                <w:b w:val="0"/>
                <w:bCs w:val="0"/>
                <w:i w:val="0"/>
                <w:iCs w:val="0"/>
                <w:smallCaps w:val="0"/>
                <w:color w:val="000000"/>
                <w:kern w:val="0"/>
                <w:sz w:val="21"/>
                <w:szCs w:val="21"/>
              </w:rPr>
              <w:t>年度</w:t>
            </w:r>
          </w:p>
        </w:tc>
        <w:tc>
          <w:tcPr>
            <w:tcW w:w="1979" w:type="dxa"/>
            <w:gridSpan w:val="2"/>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金额单位：万元</w:t>
            </w:r>
          </w:p>
        </w:tc>
      </w:tr>
      <w:tr>
        <w:tblPrEx>
          <w:tblLayout w:type="fixed"/>
          <w:tblCellMar>
            <w:top w:w="15" w:type="dxa"/>
            <w:left w:w="15" w:type="dxa"/>
            <w:bottom w:w="15" w:type="dxa"/>
            <w:right w:w="15" w:type="dxa"/>
          </w:tblCellMar>
        </w:tblPrEx>
        <w:tc>
          <w:tcPr>
            <w:tcW w:w="4633"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收入</w:t>
            </w:r>
          </w:p>
        </w:tc>
        <w:tc>
          <w:tcPr>
            <w:tcW w:w="5153"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支出</w:t>
            </w:r>
          </w:p>
        </w:tc>
      </w:tr>
      <w:tr>
        <w:tblPrEx>
          <w:tblLayout w:type="fixed"/>
          <w:tblCellMar>
            <w:top w:w="15" w:type="dxa"/>
            <w:left w:w="15" w:type="dxa"/>
            <w:bottom w:w="15" w:type="dxa"/>
            <w:right w:w="15" w:type="dxa"/>
          </w:tblCellMar>
        </w:tblPrEx>
        <w:tc>
          <w:tcPr>
            <w:tcW w:w="338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项目</w:t>
            </w:r>
          </w:p>
        </w:tc>
        <w:tc>
          <w:tcPr>
            <w:tcW w:w="47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行次</w:t>
            </w:r>
          </w:p>
        </w:tc>
        <w:tc>
          <w:tcPr>
            <w:tcW w:w="7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金额</w:t>
            </w:r>
          </w:p>
        </w:tc>
        <w:tc>
          <w:tcPr>
            <w:tcW w:w="317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项目</w:t>
            </w:r>
          </w:p>
        </w:tc>
        <w:tc>
          <w:tcPr>
            <w:tcW w:w="4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行次</w:t>
            </w:r>
          </w:p>
        </w:tc>
        <w:tc>
          <w:tcPr>
            <w:tcW w:w="15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金额</w:t>
            </w:r>
          </w:p>
        </w:tc>
      </w:tr>
      <w:tr>
        <w:tblPrEx>
          <w:tblLayout w:type="fixed"/>
          <w:tblCellMar>
            <w:top w:w="15" w:type="dxa"/>
            <w:left w:w="15" w:type="dxa"/>
            <w:bottom w:w="15" w:type="dxa"/>
            <w:right w:w="15" w:type="dxa"/>
          </w:tblCellMar>
        </w:tblPrEx>
        <w:tc>
          <w:tcPr>
            <w:tcW w:w="338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栏次</w:t>
            </w:r>
          </w:p>
        </w:tc>
        <w:tc>
          <w:tcPr>
            <w:tcW w:w="47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w:t>
            </w:r>
          </w:p>
        </w:tc>
        <w:tc>
          <w:tcPr>
            <w:tcW w:w="317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栏次</w:t>
            </w:r>
          </w:p>
        </w:tc>
        <w:tc>
          <w:tcPr>
            <w:tcW w:w="4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r>
      <w:tr>
        <w:tblPrEx>
          <w:tblLayout w:type="fixed"/>
          <w:tblCellMar>
            <w:top w:w="15" w:type="dxa"/>
            <w:left w:w="15" w:type="dxa"/>
            <w:bottom w:w="15" w:type="dxa"/>
            <w:right w:w="15" w:type="dxa"/>
          </w:tblCellMar>
        </w:tblPrEx>
        <w:tc>
          <w:tcPr>
            <w:tcW w:w="338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一、一般公共预算财政拨款收入</w:t>
            </w:r>
          </w:p>
        </w:tc>
        <w:tc>
          <w:tcPr>
            <w:tcW w:w="47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w:t>
            </w:r>
          </w:p>
        </w:tc>
        <w:tc>
          <w:tcPr>
            <w:tcW w:w="7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3,579</w:t>
            </w:r>
          </w:p>
        </w:tc>
        <w:tc>
          <w:tcPr>
            <w:tcW w:w="317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一、一般公共服务支出</w:t>
            </w:r>
          </w:p>
        </w:tc>
        <w:tc>
          <w:tcPr>
            <w:tcW w:w="4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32</w:t>
            </w:r>
          </w:p>
        </w:tc>
        <w:tc>
          <w:tcPr>
            <w:tcW w:w="15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338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二、政府性基金预算财政拨款收入</w:t>
            </w:r>
          </w:p>
        </w:tc>
        <w:tc>
          <w:tcPr>
            <w:tcW w:w="47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c>
          <w:tcPr>
            <w:tcW w:w="7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29.74</w:t>
            </w:r>
          </w:p>
        </w:tc>
        <w:tc>
          <w:tcPr>
            <w:tcW w:w="317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二、外交支出</w:t>
            </w:r>
            <w:r>
              <w:rPr>
                <w:rFonts w:ascii="Times New Roman" w:hAnsi="Times New Roman" w:eastAsia="Times New Roman" w:cs="Times New Roman"/>
                <w:b w:val="0"/>
                <w:bCs w:val="0"/>
                <w:i w:val="0"/>
                <w:iCs w:val="0"/>
                <w:smallCaps w:val="0"/>
                <w:color w:val="000000"/>
                <w:kern w:val="0"/>
                <w:sz w:val="18"/>
                <w:szCs w:val="18"/>
              </w:rPr>
              <w:t xml:space="preserve"> </w:t>
            </w:r>
          </w:p>
        </w:tc>
        <w:tc>
          <w:tcPr>
            <w:tcW w:w="4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33</w:t>
            </w:r>
          </w:p>
        </w:tc>
        <w:tc>
          <w:tcPr>
            <w:tcW w:w="15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338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三、国有资本经营预算财政拨款收入</w:t>
            </w:r>
          </w:p>
        </w:tc>
        <w:tc>
          <w:tcPr>
            <w:tcW w:w="47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w:t>
            </w:r>
          </w:p>
        </w:tc>
        <w:tc>
          <w:tcPr>
            <w:tcW w:w="7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17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三、国防支出</w:t>
            </w:r>
          </w:p>
        </w:tc>
        <w:tc>
          <w:tcPr>
            <w:tcW w:w="4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34</w:t>
            </w:r>
          </w:p>
        </w:tc>
        <w:tc>
          <w:tcPr>
            <w:tcW w:w="15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338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四、上级补助收入</w:t>
            </w:r>
          </w:p>
        </w:tc>
        <w:tc>
          <w:tcPr>
            <w:tcW w:w="47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w:t>
            </w:r>
          </w:p>
        </w:tc>
        <w:tc>
          <w:tcPr>
            <w:tcW w:w="7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17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四、公共安全支出</w:t>
            </w:r>
          </w:p>
        </w:tc>
        <w:tc>
          <w:tcPr>
            <w:tcW w:w="4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35</w:t>
            </w:r>
          </w:p>
        </w:tc>
        <w:tc>
          <w:tcPr>
            <w:tcW w:w="15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338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五、事业收入</w:t>
            </w:r>
          </w:p>
        </w:tc>
        <w:tc>
          <w:tcPr>
            <w:tcW w:w="47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w:t>
            </w:r>
          </w:p>
        </w:tc>
        <w:tc>
          <w:tcPr>
            <w:tcW w:w="7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17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五、教育支出</w:t>
            </w:r>
          </w:p>
        </w:tc>
        <w:tc>
          <w:tcPr>
            <w:tcW w:w="4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36</w:t>
            </w:r>
          </w:p>
        </w:tc>
        <w:tc>
          <w:tcPr>
            <w:tcW w:w="15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3,108.94</w:t>
            </w:r>
          </w:p>
        </w:tc>
      </w:tr>
      <w:tr>
        <w:tblPrEx>
          <w:tblLayout w:type="fixed"/>
          <w:tblCellMar>
            <w:top w:w="15" w:type="dxa"/>
            <w:left w:w="15" w:type="dxa"/>
            <w:bottom w:w="15" w:type="dxa"/>
            <w:right w:w="15" w:type="dxa"/>
          </w:tblCellMar>
        </w:tblPrEx>
        <w:tc>
          <w:tcPr>
            <w:tcW w:w="338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六、经营收入</w:t>
            </w:r>
          </w:p>
        </w:tc>
        <w:tc>
          <w:tcPr>
            <w:tcW w:w="47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w:t>
            </w:r>
          </w:p>
        </w:tc>
        <w:tc>
          <w:tcPr>
            <w:tcW w:w="7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17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六、科学技术支出</w:t>
            </w:r>
          </w:p>
        </w:tc>
        <w:tc>
          <w:tcPr>
            <w:tcW w:w="4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37</w:t>
            </w:r>
          </w:p>
        </w:tc>
        <w:tc>
          <w:tcPr>
            <w:tcW w:w="15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338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七、附属单位上缴收入</w:t>
            </w:r>
          </w:p>
        </w:tc>
        <w:tc>
          <w:tcPr>
            <w:tcW w:w="47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w:t>
            </w:r>
          </w:p>
        </w:tc>
        <w:tc>
          <w:tcPr>
            <w:tcW w:w="7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17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七、文化旅游体育与传媒支出</w:t>
            </w:r>
          </w:p>
        </w:tc>
        <w:tc>
          <w:tcPr>
            <w:tcW w:w="4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38</w:t>
            </w:r>
          </w:p>
        </w:tc>
        <w:tc>
          <w:tcPr>
            <w:tcW w:w="15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338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八、其他收入</w:t>
            </w:r>
          </w:p>
        </w:tc>
        <w:tc>
          <w:tcPr>
            <w:tcW w:w="47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8</w:t>
            </w:r>
          </w:p>
        </w:tc>
        <w:tc>
          <w:tcPr>
            <w:tcW w:w="7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17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八、社会保障和就业支出</w:t>
            </w:r>
          </w:p>
        </w:tc>
        <w:tc>
          <w:tcPr>
            <w:tcW w:w="4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w:t>
            </w:r>
          </w:p>
        </w:tc>
        <w:tc>
          <w:tcPr>
            <w:tcW w:w="15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328.42</w:t>
            </w:r>
          </w:p>
        </w:tc>
      </w:tr>
      <w:tr>
        <w:tblPrEx>
          <w:tblLayout w:type="fixed"/>
          <w:tblCellMar>
            <w:top w:w="15" w:type="dxa"/>
            <w:left w:w="15" w:type="dxa"/>
            <w:bottom w:w="15" w:type="dxa"/>
            <w:right w:w="15" w:type="dxa"/>
          </w:tblCellMar>
        </w:tblPrEx>
        <w:tc>
          <w:tcPr>
            <w:tcW w:w="338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7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9</w:t>
            </w:r>
          </w:p>
        </w:tc>
        <w:tc>
          <w:tcPr>
            <w:tcW w:w="7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17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九、卫生健康支出</w:t>
            </w:r>
          </w:p>
        </w:tc>
        <w:tc>
          <w:tcPr>
            <w:tcW w:w="4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40</w:t>
            </w:r>
          </w:p>
        </w:tc>
        <w:tc>
          <w:tcPr>
            <w:tcW w:w="15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141.64</w:t>
            </w:r>
          </w:p>
        </w:tc>
      </w:tr>
      <w:tr>
        <w:tblPrEx>
          <w:tblLayout w:type="fixed"/>
          <w:tblCellMar>
            <w:top w:w="15" w:type="dxa"/>
            <w:left w:w="15" w:type="dxa"/>
            <w:bottom w:w="15" w:type="dxa"/>
            <w:right w:w="15" w:type="dxa"/>
          </w:tblCellMar>
        </w:tblPrEx>
        <w:tc>
          <w:tcPr>
            <w:tcW w:w="338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7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w:t>
            </w:r>
          </w:p>
        </w:tc>
        <w:tc>
          <w:tcPr>
            <w:tcW w:w="7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17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十、节能环保支出</w:t>
            </w:r>
          </w:p>
        </w:tc>
        <w:tc>
          <w:tcPr>
            <w:tcW w:w="4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41</w:t>
            </w:r>
          </w:p>
        </w:tc>
        <w:tc>
          <w:tcPr>
            <w:tcW w:w="15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338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7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11</w:t>
            </w:r>
          </w:p>
        </w:tc>
        <w:tc>
          <w:tcPr>
            <w:tcW w:w="7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17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十一、城乡社区支出</w:t>
            </w:r>
          </w:p>
        </w:tc>
        <w:tc>
          <w:tcPr>
            <w:tcW w:w="4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42</w:t>
            </w:r>
          </w:p>
        </w:tc>
        <w:tc>
          <w:tcPr>
            <w:tcW w:w="15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338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7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w:t>
            </w:r>
          </w:p>
        </w:tc>
        <w:tc>
          <w:tcPr>
            <w:tcW w:w="7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17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十二、农林水支出</w:t>
            </w:r>
          </w:p>
        </w:tc>
        <w:tc>
          <w:tcPr>
            <w:tcW w:w="4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43</w:t>
            </w:r>
          </w:p>
        </w:tc>
        <w:tc>
          <w:tcPr>
            <w:tcW w:w="15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338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7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13</w:t>
            </w:r>
          </w:p>
        </w:tc>
        <w:tc>
          <w:tcPr>
            <w:tcW w:w="7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17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十三、交通运输支出</w:t>
            </w:r>
          </w:p>
        </w:tc>
        <w:tc>
          <w:tcPr>
            <w:tcW w:w="4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44</w:t>
            </w:r>
          </w:p>
        </w:tc>
        <w:tc>
          <w:tcPr>
            <w:tcW w:w="15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338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7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14</w:t>
            </w:r>
          </w:p>
        </w:tc>
        <w:tc>
          <w:tcPr>
            <w:tcW w:w="7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17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十四、资源勘探工业信息等支出</w:t>
            </w:r>
          </w:p>
        </w:tc>
        <w:tc>
          <w:tcPr>
            <w:tcW w:w="4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45</w:t>
            </w:r>
          </w:p>
        </w:tc>
        <w:tc>
          <w:tcPr>
            <w:tcW w:w="15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338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7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15</w:t>
            </w:r>
          </w:p>
        </w:tc>
        <w:tc>
          <w:tcPr>
            <w:tcW w:w="7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17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十五、商业服务业等支出</w:t>
            </w:r>
          </w:p>
        </w:tc>
        <w:tc>
          <w:tcPr>
            <w:tcW w:w="4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46</w:t>
            </w:r>
          </w:p>
        </w:tc>
        <w:tc>
          <w:tcPr>
            <w:tcW w:w="15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338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7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16</w:t>
            </w:r>
          </w:p>
        </w:tc>
        <w:tc>
          <w:tcPr>
            <w:tcW w:w="7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17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十六、金融支出</w:t>
            </w:r>
          </w:p>
        </w:tc>
        <w:tc>
          <w:tcPr>
            <w:tcW w:w="4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47</w:t>
            </w:r>
          </w:p>
        </w:tc>
        <w:tc>
          <w:tcPr>
            <w:tcW w:w="15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338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7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17</w:t>
            </w:r>
          </w:p>
        </w:tc>
        <w:tc>
          <w:tcPr>
            <w:tcW w:w="7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17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十七、援助其他地区支出</w:t>
            </w:r>
          </w:p>
        </w:tc>
        <w:tc>
          <w:tcPr>
            <w:tcW w:w="4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48</w:t>
            </w:r>
          </w:p>
        </w:tc>
        <w:tc>
          <w:tcPr>
            <w:tcW w:w="15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338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7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18</w:t>
            </w:r>
          </w:p>
        </w:tc>
        <w:tc>
          <w:tcPr>
            <w:tcW w:w="7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17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十八、自然资源海洋气象等支出</w:t>
            </w:r>
          </w:p>
        </w:tc>
        <w:tc>
          <w:tcPr>
            <w:tcW w:w="4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49</w:t>
            </w:r>
          </w:p>
        </w:tc>
        <w:tc>
          <w:tcPr>
            <w:tcW w:w="15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338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7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19</w:t>
            </w:r>
          </w:p>
        </w:tc>
        <w:tc>
          <w:tcPr>
            <w:tcW w:w="7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17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十九、住房保障支出</w:t>
            </w:r>
          </w:p>
        </w:tc>
        <w:tc>
          <w:tcPr>
            <w:tcW w:w="4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50</w:t>
            </w:r>
          </w:p>
        </w:tc>
        <w:tc>
          <w:tcPr>
            <w:tcW w:w="15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338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7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w:t>
            </w:r>
          </w:p>
        </w:tc>
        <w:tc>
          <w:tcPr>
            <w:tcW w:w="7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17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二十、粮油物资储备支出</w:t>
            </w:r>
          </w:p>
        </w:tc>
        <w:tc>
          <w:tcPr>
            <w:tcW w:w="4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51</w:t>
            </w:r>
          </w:p>
        </w:tc>
        <w:tc>
          <w:tcPr>
            <w:tcW w:w="15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338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7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w:t>
            </w:r>
          </w:p>
        </w:tc>
        <w:tc>
          <w:tcPr>
            <w:tcW w:w="7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17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二十一、国有资本经营预算支出</w:t>
            </w:r>
          </w:p>
        </w:tc>
        <w:tc>
          <w:tcPr>
            <w:tcW w:w="4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52</w:t>
            </w:r>
          </w:p>
        </w:tc>
        <w:tc>
          <w:tcPr>
            <w:tcW w:w="15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338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7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w:t>
            </w:r>
          </w:p>
        </w:tc>
        <w:tc>
          <w:tcPr>
            <w:tcW w:w="7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17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二十二、灾害防治及应急管理支出</w:t>
            </w:r>
          </w:p>
        </w:tc>
        <w:tc>
          <w:tcPr>
            <w:tcW w:w="4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53</w:t>
            </w:r>
          </w:p>
        </w:tc>
        <w:tc>
          <w:tcPr>
            <w:tcW w:w="15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338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7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23</w:t>
            </w:r>
          </w:p>
        </w:tc>
        <w:tc>
          <w:tcPr>
            <w:tcW w:w="7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17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二十三、其他支出</w:t>
            </w:r>
          </w:p>
        </w:tc>
        <w:tc>
          <w:tcPr>
            <w:tcW w:w="4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54</w:t>
            </w:r>
          </w:p>
        </w:tc>
        <w:tc>
          <w:tcPr>
            <w:tcW w:w="15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29.74</w:t>
            </w:r>
          </w:p>
        </w:tc>
      </w:tr>
      <w:tr>
        <w:tblPrEx>
          <w:tblLayout w:type="fixed"/>
          <w:tblCellMar>
            <w:top w:w="15" w:type="dxa"/>
            <w:left w:w="15" w:type="dxa"/>
            <w:bottom w:w="15" w:type="dxa"/>
            <w:right w:w="15" w:type="dxa"/>
          </w:tblCellMar>
        </w:tblPrEx>
        <w:tc>
          <w:tcPr>
            <w:tcW w:w="338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7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24</w:t>
            </w:r>
          </w:p>
        </w:tc>
        <w:tc>
          <w:tcPr>
            <w:tcW w:w="7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17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二十四、债务还本支出</w:t>
            </w:r>
          </w:p>
        </w:tc>
        <w:tc>
          <w:tcPr>
            <w:tcW w:w="4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55</w:t>
            </w:r>
          </w:p>
        </w:tc>
        <w:tc>
          <w:tcPr>
            <w:tcW w:w="15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338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7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25</w:t>
            </w:r>
          </w:p>
        </w:tc>
        <w:tc>
          <w:tcPr>
            <w:tcW w:w="7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17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二十五、债务付息支出</w:t>
            </w:r>
          </w:p>
        </w:tc>
        <w:tc>
          <w:tcPr>
            <w:tcW w:w="4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56</w:t>
            </w:r>
          </w:p>
        </w:tc>
        <w:tc>
          <w:tcPr>
            <w:tcW w:w="15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338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7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26</w:t>
            </w:r>
          </w:p>
        </w:tc>
        <w:tc>
          <w:tcPr>
            <w:tcW w:w="7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17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二十六、抗疫特别国债安排的支出</w:t>
            </w:r>
          </w:p>
        </w:tc>
        <w:tc>
          <w:tcPr>
            <w:tcW w:w="4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57</w:t>
            </w:r>
          </w:p>
        </w:tc>
        <w:tc>
          <w:tcPr>
            <w:tcW w:w="15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338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本年收入合计</w:t>
            </w:r>
          </w:p>
        </w:tc>
        <w:tc>
          <w:tcPr>
            <w:tcW w:w="47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27</w:t>
            </w:r>
          </w:p>
        </w:tc>
        <w:tc>
          <w:tcPr>
            <w:tcW w:w="7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3,608.74</w:t>
            </w:r>
          </w:p>
        </w:tc>
        <w:tc>
          <w:tcPr>
            <w:tcW w:w="317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本年支出合计</w:t>
            </w:r>
          </w:p>
        </w:tc>
        <w:tc>
          <w:tcPr>
            <w:tcW w:w="4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58</w:t>
            </w:r>
          </w:p>
        </w:tc>
        <w:tc>
          <w:tcPr>
            <w:tcW w:w="15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3,608.74</w:t>
            </w:r>
          </w:p>
        </w:tc>
      </w:tr>
      <w:tr>
        <w:tblPrEx>
          <w:tblLayout w:type="fixed"/>
          <w:tblCellMar>
            <w:top w:w="15" w:type="dxa"/>
            <w:left w:w="15" w:type="dxa"/>
            <w:bottom w:w="15" w:type="dxa"/>
            <w:right w:w="15" w:type="dxa"/>
          </w:tblCellMar>
        </w:tblPrEx>
        <w:tc>
          <w:tcPr>
            <w:tcW w:w="338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使用非财政拨款结余（含专用结余）</w:t>
            </w:r>
          </w:p>
        </w:tc>
        <w:tc>
          <w:tcPr>
            <w:tcW w:w="47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28</w:t>
            </w:r>
          </w:p>
        </w:tc>
        <w:tc>
          <w:tcPr>
            <w:tcW w:w="7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17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结余分配</w:t>
            </w:r>
          </w:p>
        </w:tc>
        <w:tc>
          <w:tcPr>
            <w:tcW w:w="4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59</w:t>
            </w:r>
          </w:p>
        </w:tc>
        <w:tc>
          <w:tcPr>
            <w:tcW w:w="15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338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年初结转和结余</w:t>
            </w:r>
            <w:r>
              <w:rPr>
                <w:rFonts w:ascii="Times New Roman" w:hAnsi="Times New Roman" w:eastAsia="Times New Roman" w:cs="Times New Roman"/>
                <w:b w:val="0"/>
                <w:bCs w:val="0"/>
                <w:i w:val="0"/>
                <w:iCs w:val="0"/>
                <w:smallCaps w:val="0"/>
                <w:color w:val="000000"/>
                <w:kern w:val="0"/>
                <w:sz w:val="18"/>
                <w:szCs w:val="18"/>
              </w:rPr>
              <w:t xml:space="preserve"> </w:t>
            </w:r>
          </w:p>
        </w:tc>
        <w:tc>
          <w:tcPr>
            <w:tcW w:w="47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w:t>
            </w:r>
          </w:p>
        </w:tc>
        <w:tc>
          <w:tcPr>
            <w:tcW w:w="7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17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年末结转和结余</w:t>
            </w:r>
            <w:r>
              <w:rPr>
                <w:rFonts w:ascii="Times New Roman" w:hAnsi="Times New Roman" w:eastAsia="Times New Roman" w:cs="Times New Roman"/>
                <w:b w:val="0"/>
                <w:bCs w:val="0"/>
                <w:i w:val="0"/>
                <w:iCs w:val="0"/>
                <w:smallCaps w:val="0"/>
                <w:color w:val="000000"/>
                <w:kern w:val="0"/>
                <w:sz w:val="18"/>
                <w:szCs w:val="18"/>
              </w:rPr>
              <w:t xml:space="preserve"> </w:t>
            </w:r>
          </w:p>
        </w:tc>
        <w:tc>
          <w:tcPr>
            <w:tcW w:w="4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60</w:t>
            </w:r>
          </w:p>
        </w:tc>
        <w:tc>
          <w:tcPr>
            <w:tcW w:w="15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338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7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w:t>
            </w:r>
          </w:p>
        </w:tc>
        <w:tc>
          <w:tcPr>
            <w:tcW w:w="7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17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61</w:t>
            </w:r>
          </w:p>
        </w:tc>
        <w:tc>
          <w:tcPr>
            <w:tcW w:w="15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338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总计</w:t>
            </w:r>
          </w:p>
        </w:tc>
        <w:tc>
          <w:tcPr>
            <w:tcW w:w="47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w:t>
            </w:r>
          </w:p>
        </w:tc>
        <w:tc>
          <w:tcPr>
            <w:tcW w:w="7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3,608.74</w:t>
            </w:r>
          </w:p>
        </w:tc>
        <w:tc>
          <w:tcPr>
            <w:tcW w:w="317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总计</w:t>
            </w:r>
          </w:p>
        </w:tc>
        <w:tc>
          <w:tcPr>
            <w:tcW w:w="4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62</w:t>
            </w:r>
          </w:p>
        </w:tc>
        <w:tc>
          <w:tcPr>
            <w:tcW w:w="15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3,608.74</w:t>
            </w:r>
          </w:p>
        </w:tc>
      </w:tr>
      <w:tr>
        <w:tblPrEx>
          <w:tblLayout w:type="fixed"/>
          <w:tblCellMar>
            <w:top w:w="15" w:type="dxa"/>
            <w:left w:w="15" w:type="dxa"/>
            <w:bottom w:w="15" w:type="dxa"/>
            <w:right w:w="15" w:type="dxa"/>
          </w:tblCellMar>
        </w:tblPrEx>
        <w:tc>
          <w:tcPr>
            <w:tcW w:w="9786" w:type="dxa"/>
            <w:gridSpan w:val="6"/>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注：</w:t>
            </w:r>
            <w:r>
              <w:rPr>
                <w:rFonts w:ascii="Times New Roman" w:hAnsi="Times New Roman" w:eastAsia="Times New Roman" w:cs="Times New Roman"/>
                <w:b w:val="0"/>
                <w:bCs w:val="0"/>
                <w:i w:val="0"/>
                <w:iCs w:val="0"/>
                <w:smallCaps w:val="0"/>
                <w:color w:val="000000"/>
                <w:kern w:val="0"/>
                <w:sz w:val="18"/>
                <w:szCs w:val="18"/>
              </w:rPr>
              <w:t>1.</w:t>
            </w:r>
            <w:r>
              <w:rPr>
                <w:rFonts w:ascii="宋体" w:hAnsi="宋体" w:eastAsia="宋体" w:cs="宋体"/>
                <w:b w:val="0"/>
                <w:bCs w:val="0"/>
                <w:i w:val="0"/>
                <w:iCs w:val="0"/>
                <w:smallCaps w:val="0"/>
                <w:color w:val="000000"/>
                <w:kern w:val="0"/>
                <w:sz w:val="18"/>
                <w:szCs w:val="18"/>
              </w:rPr>
              <w:t>本表反映部门本年度的总收支和年末结转结余情况。</w:t>
            </w:r>
          </w:p>
        </w:tc>
      </w:tr>
      <w:tr>
        <w:tblPrEx>
          <w:tblLayout w:type="fixed"/>
          <w:tblCellMar>
            <w:top w:w="15" w:type="dxa"/>
            <w:left w:w="15" w:type="dxa"/>
            <w:bottom w:w="15" w:type="dxa"/>
            <w:right w:w="15" w:type="dxa"/>
          </w:tblCellMar>
        </w:tblPrEx>
        <w:tc>
          <w:tcPr>
            <w:tcW w:w="9786" w:type="dxa"/>
            <w:gridSpan w:val="6"/>
            <w:tcMar>
              <w:top w:w="20" w:type="dxa"/>
              <w:left w:w="485"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r>
              <w:rPr>
                <w:rFonts w:ascii="宋体" w:hAnsi="宋体" w:eastAsia="宋体" w:cs="宋体"/>
                <w:b w:val="0"/>
                <w:bCs w:val="0"/>
                <w:i w:val="0"/>
                <w:iCs w:val="0"/>
                <w:smallCaps w:val="0"/>
                <w:color w:val="000000"/>
                <w:kern w:val="0"/>
                <w:sz w:val="18"/>
                <w:szCs w:val="18"/>
              </w:rPr>
              <w:t>本套报表金额单位转换时可能存在尾数误差。</w:t>
            </w:r>
          </w:p>
        </w:tc>
      </w:tr>
    </w:tbl>
    <w:p>
      <w:pPr>
        <w:pStyle w:val="6"/>
        <w:keepNext w:val="0"/>
        <w:keepLines w:val="0"/>
        <w:spacing w:before="100" w:after="100" w:line="240" w:lineRule="auto"/>
        <w:ind w:left="0" w:leftChars="0" w:right="0" w:firstLine="643" w:firstLineChars="200"/>
        <w:rPr>
          <w:rFonts w:ascii="Times New Roman" w:hAnsi="Times New Roman" w:eastAsia="Times New Roman" w:cs="Times New Roman"/>
          <w:b/>
          <w:bCs/>
          <w:kern w:val="0"/>
          <w:sz w:val="28"/>
          <w:szCs w:val="28"/>
        </w:rPr>
      </w:pPr>
      <w:bookmarkStart w:id="25" w:name="_Toc256000070"/>
      <w:bookmarkStart w:id="26" w:name="_Toc256000008"/>
      <w:bookmarkStart w:id="27" w:name="_Toc256000101"/>
      <w:bookmarkStart w:id="28" w:name="_Toc256000039"/>
      <w:r>
        <w:rPr>
          <w:rFonts w:ascii="黑体" w:hAnsi="黑体" w:eastAsia="黑体" w:cs="黑体"/>
          <w:b/>
          <w:spacing w:val="0"/>
        </w:rPr>
        <w:t>二、收入决算表</w:t>
      </w:r>
      <w:bookmarkEnd w:id="25"/>
      <w:bookmarkEnd w:id="26"/>
      <w:bookmarkEnd w:id="27"/>
      <w:bookmarkEnd w:id="28"/>
    </w:p>
    <w:p>
      <w:pPr>
        <w:widowControl/>
        <w:spacing w:before="240" w:after="240"/>
        <w:jc w:val="left"/>
        <w:rPr>
          <w:rFonts w:ascii="Times New Roman" w:hAnsi="Times New Roman" w:eastAsia="Times New Roman" w:cs="Times New Roman"/>
          <w:vanish/>
          <w:kern w:val="0"/>
          <w:sz w:val="24"/>
        </w:rPr>
      </w:pPr>
      <w:r>
        <w:rPr>
          <w:rFonts w:ascii="Times New Roman" w:hAnsi="Times New Roman" w:eastAsia="Times New Roman" w:cs="Times New Roman"/>
          <w:vanish/>
          <w:kern w:val="0"/>
          <w:sz w:val="24"/>
        </w:rPr>
        <w:t>word horizontal layout</w:t>
      </w:r>
    </w:p>
    <w:tbl>
      <w:tblPr>
        <w:tblStyle w:val="23"/>
        <w:tblW w:w="9783" w:type="dxa"/>
        <w:tblInd w:w="20" w:type="dxa"/>
        <w:tblLayout w:type="fixed"/>
        <w:tblCellMar>
          <w:top w:w="15" w:type="dxa"/>
          <w:left w:w="15" w:type="dxa"/>
          <w:bottom w:w="15" w:type="dxa"/>
          <w:right w:w="15" w:type="dxa"/>
        </w:tblCellMar>
      </w:tblPr>
      <w:tblGrid>
        <w:gridCol w:w="1007"/>
        <w:gridCol w:w="1861"/>
        <w:gridCol w:w="1215"/>
        <w:gridCol w:w="1215"/>
        <w:gridCol w:w="1016"/>
        <w:gridCol w:w="617"/>
        <w:gridCol w:w="617"/>
        <w:gridCol w:w="1031"/>
        <w:gridCol w:w="1204"/>
      </w:tblGrid>
      <w:tr>
        <w:tblPrEx>
          <w:tblLayout w:type="fixed"/>
          <w:tblCellMar>
            <w:top w:w="15" w:type="dxa"/>
            <w:left w:w="15" w:type="dxa"/>
            <w:bottom w:w="15" w:type="dxa"/>
            <w:right w:w="15" w:type="dxa"/>
          </w:tblCellMar>
        </w:tblPrEx>
        <w:trPr>
          <w:tblHeader/>
        </w:trPr>
        <w:tc>
          <w:tcPr>
            <w:tcW w:w="9783" w:type="dxa"/>
            <w:gridSpan w:val="9"/>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32"/>
                <w:szCs w:val="32"/>
              </w:rPr>
              <w:t>收入决算表</w:t>
            </w:r>
          </w:p>
        </w:tc>
      </w:tr>
      <w:tr>
        <w:tblPrEx>
          <w:tblLayout w:type="fixed"/>
          <w:tblCellMar>
            <w:top w:w="15" w:type="dxa"/>
            <w:left w:w="15" w:type="dxa"/>
            <w:bottom w:w="15" w:type="dxa"/>
            <w:right w:w="15" w:type="dxa"/>
          </w:tblCellMar>
        </w:tblPrEx>
        <w:trPr>
          <w:tblHeader/>
        </w:trPr>
        <w:tc>
          <w:tcPr>
            <w:tcW w:w="100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861"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215"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215"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016"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61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61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031"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204"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c>
          <w:tcPr>
            <w:tcW w:w="5298" w:type="dxa"/>
            <w:gridSpan w:val="4"/>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部门</w:t>
            </w:r>
            <w:r>
              <w:rPr>
                <w:rFonts w:ascii="Times New Roman" w:hAnsi="Times New Roman" w:eastAsia="Times New Roman" w:cs="Times New Roman"/>
                <w:b w:val="0"/>
                <w:bCs w:val="0"/>
                <w:i w:val="0"/>
                <w:iCs w:val="0"/>
                <w:smallCaps w:val="0"/>
                <w:color w:val="000000"/>
                <w:kern w:val="0"/>
                <w:sz w:val="21"/>
                <w:szCs w:val="21"/>
              </w:rPr>
              <w:t>/</w:t>
            </w:r>
            <w:r>
              <w:rPr>
                <w:rFonts w:ascii="宋体" w:hAnsi="宋体" w:eastAsia="宋体" w:cs="宋体"/>
                <w:b w:val="0"/>
                <w:bCs w:val="0"/>
                <w:i w:val="0"/>
                <w:iCs w:val="0"/>
                <w:smallCaps w:val="0"/>
                <w:color w:val="000000"/>
                <w:kern w:val="0"/>
                <w:sz w:val="21"/>
                <w:szCs w:val="21"/>
              </w:rPr>
              <w:t>单位：厦门市梧桐实验学校</w:t>
            </w:r>
          </w:p>
        </w:tc>
        <w:tc>
          <w:tcPr>
            <w:tcW w:w="1016"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2024</w:t>
            </w:r>
            <w:r>
              <w:rPr>
                <w:rFonts w:ascii="宋体" w:hAnsi="宋体" w:eastAsia="宋体" w:cs="宋体"/>
                <w:b w:val="0"/>
                <w:bCs w:val="0"/>
                <w:i w:val="0"/>
                <w:iCs w:val="0"/>
                <w:smallCaps w:val="0"/>
                <w:color w:val="000000"/>
                <w:kern w:val="0"/>
                <w:sz w:val="21"/>
                <w:szCs w:val="21"/>
              </w:rPr>
              <w:t>年度</w:t>
            </w:r>
          </w:p>
        </w:tc>
        <w:tc>
          <w:tcPr>
            <w:tcW w:w="61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61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2235" w:type="dxa"/>
            <w:gridSpan w:val="2"/>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r>
              <w:rPr>
                <w:rFonts w:ascii="宋体" w:hAnsi="宋体" w:eastAsia="宋体" w:cs="宋体"/>
                <w:b w:val="0"/>
                <w:bCs w:val="0"/>
                <w:i w:val="0"/>
                <w:iCs w:val="0"/>
                <w:smallCaps w:val="0"/>
                <w:color w:val="000000"/>
                <w:kern w:val="0"/>
                <w:sz w:val="21"/>
                <w:szCs w:val="21"/>
              </w:rPr>
              <w:t>金额单位：万元</w:t>
            </w:r>
          </w:p>
        </w:tc>
      </w:tr>
      <w:tr>
        <w:tblPrEx>
          <w:tblLayout w:type="fixed"/>
          <w:tblCellMar>
            <w:top w:w="15" w:type="dxa"/>
            <w:left w:w="15" w:type="dxa"/>
            <w:bottom w:w="15" w:type="dxa"/>
            <w:right w:w="15" w:type="dxa"/>
          </w:tblCellMar>
        </w:tblPrEx>
        <w:trPr>
          <w:tblHeader/>
        </w:trPr>
        <w:tc>
          <w:tcPr>
            <w:tcW w:w="286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项目</w:t>
            </w:r>
          </w:p>
        </w:tc>
        <w:tc>
          <w:tcPr>
            <w:tcW w:w="1215"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本年收入合计</w:t>
            </w:r>
          </w:p>
        </w:tc>
        <w:tc>
          <w:tcPr>
            <w:tcW w:w="1215"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财政拨款收入</w:t>
            </w:r>
            <w:r>
              <w:rPr>
                <w:rFonts w:ascii="Times New Roman" w:hAnsi="Times New Roman" w:eastAsia="Times New Roman" w:cs="Times New Roman"/>
                <w:b w:val="0"/>
                <w:bCs w:val="0"/>
                <w:i w:val="0"/>
                <w:iCs w:val="0"/>
                <w:smallCaps w:val="0"/>
                <w:color w:val="000000"/>
                <w:kern w:val="0"/>
                <w:sz w:val="18"/>
                <w:szCs w:val="18"/>
              </w:rPr>
              <w:t xml:space="preserve"> </w:t>
            </w:r>
          </w:p>
        </w:tc>
        <w:tc>
          <w:tcPr>
            <w:tcW w:w="1016"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上级补助收入</w:t>
            </w:r>
          </w:p>
        </w:tc>
        <w:tc>
          <w:tcPr>
            <w:tcW w:w="617"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事业收入</w:t>
            </w:r>
          </w:p>
        </w:tc>
        <w:tc>
          <w:tcPr>
            <w:tcW w:w="617"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经营收入</w:t>
            </w:r>
          </w:p>
        </w:tc>
        <w:tc>
          <w:tcPr>
            <w:tcW w:w="1031"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附属单位上缴收入</w:t>
            </w:r>
          </w:p>
        </w:tc>
        <w:tc>
          <w:tcPr>
            <w:tcW w:w="1204"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其他收入</w:t>
            </w:r>
          </w:p>
        </w:tc>
      </w:tr>
      <w:tr>
        <w:tblPrEx>
          <w:tblLayout w:type="fixed"/>
          <w:tblCellMar>
            <w:top w:w="15" w:type="dxa"/>
            <w:left w:w="15" w:type="dxa"/>
            <w:bottom w:w="15" w:type="dxa"/>
            <w:right w:w="15" w:type="dxa"/>
          </w:tblCellMar>
        </w:tblPrEx>
        <w:trPr>
          <w:tblHeader/>
        </w:trPr>
        <w:tc>
          <w:tcPr>
            <w:tcW w:w="1007"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科目代码</w:t>
            </w:r>
          </w:p>
        </w:tc>
        <w:tc>
          <w:tcPr>
            <w:tcW w:w="1861"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科目名称</w:t>
            </w:r>
          </w:p>
        </w:tc>
        <w:tc>
          <w:tcPr>
            <w:tcW w:w="121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21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16"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61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61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31"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204"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tblHeader/>
        </w:trPr>
        <w:tc>
          <w:tcPr>
            <w:tcW w:w="100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861"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21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21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16"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61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61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31"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204"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c>
          <w:tcPr>
            <w:tcW w:w="286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栏次</w:t>
            </w:r>
          </w:p>
        </w:tc>
        <w:tc>
          <w:tcPr>
            <w:tcW w:w="12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w:t>
            </w:r>
          </w:p>
        </w:tc>
        <w:tc>
          <w:tcPr>
            <w:tcW w:w="12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c>
          <w:tcPr>
            <w:tcW w:w="101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w:t>
            </w:r>
          </w:p>
        </w:tc>
        <w:tc>
          <w:tcPr>
            <w:tcW w:w="61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w:t>
            </w:r>
          </w:p>
        </w:tc>
        <w:tc>
          <w:tcPr>
            <w:tcW w:w="61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w:t>
            </w:r>
          </w:p>
        </w:tc>
        <w:tc>
          <w:tcPr>
            <w:tcW w:w="10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w:t>
            </w:r>
          </w:p>
        </w:tc>
        <w:tc>
          <w:tcPr>
            <w:tcW w:w="12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w:t>
            </w:r>
          </w:p>
        </w:tc>
      </w:tr>
      <w:tr>
        <w:tblPrEx>
          <w:tblLayout w:type="fixed"/>
          <w:tblCellMar>
            <w:top w:w="15" w:type="dxa"/>
            <w:left w:w="15" w:type="dxa"/>
            <w:bottom w:w="15" w:type="dxa"/>
            <w:right w:w="15" w:type="dxa"/>
          </w:tblCellMar>
        </w:tblPrEx>
        <w:tc>
          <w:tcPr>
            <w:tcW w:w="286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合计</w:t>
            </w:r>
          </w:p>
        </w:tc>
        <w:tc>
          <w:tcPr>
            <w:tcW w:w="12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3,608.74</w:t>
            </w:r>
          </w:p>
        </w:tc>
        <w:tc>
          <w:tcPr>
            <w:tcW w:w="12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3,608.74</w:t>
            </w:r>
          </w:p>
        </w:tc>
        <w:tc>
          <w:tcPr>
            <w:tcW w:w="101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1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1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2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90" w:hRule="atLeast"/>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w:t>
            </w:r>
          </w:p>
        </w:tc>
        <w:tc>
          <w:tcPr>
            <w:tcW w:w="186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教育支出</w:t>
            </w:r>
          </w:p>
        </w:tc>
        <w:tc>
          <w:tcPr>
            <w:tcW w:w="12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3,108.94</w:t>
            </w:r>
          </w:p>
        </w:tc>
        <w:tc>
          <w:tcPr>
            <w:tcW w:w="12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3,108.94</w:t>
            </w:r>
          </w:p>
        </w:tc>
        <w:tc>
          <w:tcPr>
            <w:tcW w:w="101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1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1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2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20502</w:t>
            </w:r>
          </w:p>
        </w:tc>
        <w:tc>
          <w:tcPr>
            <w:tcW w:w="186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普通教育</w:t>
            </w:r>
          </w:p>
        </w:tc>
        <w:tc>
          <w:tcPr>
            <w:tcW w:w="12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3,100.96</w:t>
            </w:r>
          </w:p>
        </w:tc>
        <w:tc>
          <w:tcPr>
            <w:tcW w:w="12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3,100.96</w:t>
            </w:r>
          </w:p>
        </w:tc>
        <w:tc>
          <w:tcPr>
            <w:tcW w:w="101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1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1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2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2050202</w:t>
            </w:r>
          </w:p>
        </w:tc>
        <w:tc>
          <w:tcPr>
            <w:tcW w:w="186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小学教育</w:t>
            </w:r>
          </w:p>
        </w:tc>
        <w:tc>
          <w:tcPr>
            <w:tcW w:w="12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1,219.94</w:t>
            </w:r>
          </w:p>
        </w:tc>
        <w:tc>
          <w:tcPr>
            <w:tcW w:w="12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1,219.94</w:t>
            </w:r>
          </w:p>
        </w:tc>
        <w:tc>
          <w:tcPr>
            <w:tcW w:w="101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1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1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2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2050203</w:t>
            </w:r>
          </w:p>
        </w:tc>
        <w:tc>
          <w:tcPr>
            <w:tcW w:w="186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初中教育</w:t>
            </w:r>
          </w:p>
        </w:tc>
        <w:tc>
          <w:tcPr>
            <w:tcW w:w="12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1,612.38</w:t>
            </w:r>
          </w:p>
        </w:tc>
        <w:tc>
          <w:tcPr>
            <w:tcW w:w="12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1,612.38</w:t>
            </w:r>
          </w:p>
        </w:tc>
        <w:tc>
          <w:tcPr>
            <w:tcW w:w="101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1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1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2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2050299</w:t>
            </w:r>
          </w:p>
        </w:tc>
        <w:tc>
          <w:tcPr>
            <w:tcW w:w="186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其他普通教育支出</w:t>
            </w:r>
          </w:p>
        </w:tc>
        <w:tc>
          <w:tcPr>
            <w:tcW w:w="12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268.64</w:t>
            </w:r>
          </w:p>
        </w:tc>
        <w:tc>
          <w:tcPr>
            <w:tcW w:w="12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268.64</w:t>
            </w:r>
          </w:p>
        </w:tc>
        <w:tc>
          <w:tcPr>
            <w:tcW w:w="101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1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1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2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20509</w:t>
            </w:r>
          </w:p>
        </w:tc>
        <w:tc>
          <w:tcPr>
            <w:tcW w:w="186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教育费附加安排的支出</w:t>
            </w:r>
          </w:p>
        </w:tc>
        <w:tc>
          <w:tcPr>
            <w:tcW w:w="12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7.98</w:t>
            </w:r>
          </w:p>
        </w:tc>
        <w:tc>
          <w:tcPr>
            <w:tcW w:w="12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7.98</w:t>
            </w:r>
          </w:p>
        </w:tc>
        <w:tc>
          <w:tcPr>
            <w:tcW w:w="101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1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1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2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2050999</w:t>
            </w:r>
          </w:p>
        </w:tc>
        <w:tc>
          <w:tcPr>
            <w:tcW w:w="186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其他教育费附加安排的支出</w:t>
            </w:r>
          </w:p>
        </w:tc>
        <w:tc>
          <w:tcPr>
            <w:tcW w:w="12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7.98</w:t>
            </w:r>
          </w:p>
        </w:tc>
        <w:tc>
          <w:tcPr>
            <w:tcW w:w="12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7.98</w:t>
            </w:r>
          </w:p>
        </w:tc>
        <w:tc>
          <w:tcPr>
            <w:tcW w:w="101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1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1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2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w:t>
            </w:r>
          </w:p>
        </w:tc>
        <w:tc>
          <w:tcPr>
            <w:tcW w:w="186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社会保障和就业支出</w:t>
            </w:r>
          </w:p>
        </w:tc>
        <w:tc>
          <w:tcPr>
            <w:tcW w:w="12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328.42</w:t>
            </w:r>
          </w:p>
        </w:tc>
        <w:tc>
          <w:tcPr>
            <w:tcW w:w="12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328.42</w:t>
            </w:r>
          </w:p>
        </w:tc>
        <w:tc>
          <w:tcPr>
            <w:tcW w:w="101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1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1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2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w:t>
            </w:r>
          </w:p>
        </w:tc>
        <w:tc>
          <w:tcPr>
            <w:tcW w:w="186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行政事业单位养老支出</w:t>
            </w:r>
          </w:p>
        </w:tc>
        <w:tc>
          <w:tcPr>
            <w:tcW w:w="12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328.42</w:t>
            </w:r>
          </w:p>
        </w:tc>
        <w:tc>
          <w:tcPr>
            <w:tcW w:w="12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328.42</w:t>
            </w:r>
          </w:p>
        </w:tc>
        <w:tc>
          <w:tcPr>
            <w:tcW w:w="101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1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1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2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2080505</w:t>
            </w:r>
          </w:p>
        </w:tc>
        <w:tc>
          <w:tcPr>
            <w:tcW w:w="186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机关事业单位基本养老保险缴费支出</w:t>
            </w:r>
          </w:p>
        </w:tc>
        <w:tc>
          <w:tcPr>
            <w:tcW w:w="12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218.94</w:t>
            </w:r>
          </w:p>
        </w:tc>
        <w:tc>
          <w:tcPr>
            <w:tcW w:w="12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218.94</w:t>
            </w:r>
          </w:p>
        </w:tc>
        <w:tc>
          <w:tcPr>
            <w:tcW w:w="101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1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1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2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2080506</w:t>
            </w:r>
          </w:p>
        </w:tc>
        <w:tc>
          <w:tcPr>
            <w:tcW w:w="186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机关事业单位职业年金缴费支出</w:t>
            </w:r>
          </w:p>
        </w:tc>
        <w:tc>
          <w:tcPr>
            <w:tcW w:w="12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109.47</w:t>
            </w:r>
          </w:p>
        </w:tc>
        <w:tc>
          <w:tcPr>
            <w:tcW w:w="12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109.47</w:t>
            </w:r>
          </w:p>
        </w:tc>
        <w:tc>
          <w:tcPr>
            <w:tcW w:w="101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1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1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2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w:t>
            </w:r>
          </w:p>
        </w:tc>
        <w:tc>
          <w:tcPr>
            <w:tcW w:w="186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卫生健康支出</w:t>
            </w:r>
          </w:p>
        </w:tc>
        <w:tc>
          <w:tcPr>
            <w:tcW w:w="12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141.64</w:t>
            </w:r>
          </w:p>
        </w:tc>
        <w:tc>
          <w:tcPr>
            <w:tcW w:w="12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141.64</w:t>
            </w:r>
          </w:p>
        </w:tc>
        <w:tc>
          <w:tcPr>
            <w:tcW w:w="101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1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1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2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21011</w:t>
            </w:r>
          </w:p>
        </w:tc>
        <w:tc>
          <w:tcPr>
            <w:tcW w:w="186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行政事业单位医疗</w:t>
            </w:r>
          </w:p>
        </w:tc>
        <w:tc>
          <w:tcPr>
            <w:tcW w:w="12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141.64</w:t>
            </w:r>
          </w:p>
        </w:tc>
        <w:tc>
          <w:tcPr>
            <w:tcW w:w="12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141.64</w:t>
            </w:r>
          </w:p>
        </w:tc>
        <w:tc>
          <w:tcPr>
            <w:tcW w:w="101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1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1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2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2101102</w:t>
            </w:r>
          </w:p>
        </w:tc>
        <w:tc>
          <w:tcPr>
            <w:tcW w:w="186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事业单位医疗</w:t>
            </w:r>
          </w:p>
        </w:tc>
        <w:tc>
          <w:tcPr>
            <w:tcW w:w="12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93.74</w:t>
            </w:r>
          </w:p>
        </w:tc>
        <w:tc>
          <w:tcPr>
            <w:tcW w:w="12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93.74</w:t>
            </w:r>
          </w:p>
        </w:tc>
        <w:tc>
          <w:tcPr>
            <w:tcW w:w="101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1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1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2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2101199</w:t>
            </w:r>
          </w:p>
        </w:tc>
        <w:tc>
          <w:tcPr>
            <w:tcW w:w="186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其他行政事业单位医疗支出</w:t>
            </w:r>
          </w:p>
        </w:tc>
        <w:tc>
          <w:tcPr>
            <w:tcW w:w="12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47.9</w:t>
            </w:r>
          </w:p>
        </w:tc>
        <w:tc>
          <w:tcPr>
            <w:tcW w:w="12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47.9</w:t>
            </w:r>
          </w:p>
        </w:tc>
        <w:tc>
          <w:tcPr>
            <w:tcW w:w="101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1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1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2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229</w:t>
            </w:r>
          </w:p>
        </w:tc>
        <w:tc>
          <w:tcPr>
            <w:tcW w:w="186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其他支出</w:t>
            </w:r>
          </w:p>
        </w:tc>
        <w:tc>
          <w:tcPr>
            <w:tcW w:w="12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29.74</w:t>
            </w:r>
          </w:p>
        </w:tc>
        <w:tc>
          <w:tcPr>
            <w:tcW w:w="12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29.74</w:t>
            </w:r>
          </w:p>
        </w:tc>
        <w:tc>
          <w:tcPr>
            <w:tcW w:w="101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1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1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2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22960</w:t>
            </w:r>
          </w:p>
        </w:tc>
        <w:tc>
          <w:tcPr>
            <w:tcW w:w="186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彩票公益金安排的支出</w:t>
            </w:r>
          </w:p>
        </w:tc>
        <w:tc>
          <w:tcPr>
            <w:tcW w:w="12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29.74</w:t>
            </w:r>
          </w:p>
        </w:tc>
        <w:tc>
          <w:tcPr>
            <w:tcW w:w="12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29.74</w:t>
            </w:r>
          </w:p>
        </w:tc>
        <w:tc>
          <w:tcPr>
            <w:tcW w:w="101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1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1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2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2296003</w:t>
            </w:r>
          </w:p>
        </w:tc>
        <w:tc>
          <w:tcPr>
            <w:tcW w:w="186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用于体育事业的彩票公益金支出</w:t>
            </w:r>
          </w:p>
        </w:tc>
        <w:tc>
          <w:tcPr>
            <w:tcW w:w="12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29.74</w:t>
            </w:r>
          </w:p>
        </w:tc>
        <w:tc>
          <w:tcPr>
            <w:tcW w:w="12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29.74</w:t>
            </w:r>
          </w:p>
        </w:tc>
        <w:tc>
          <w:tcPr>
            <w:tcW w:w="101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1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1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2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9783" w:type="dxa"/>
            <w:gridSpan w:val="9"/>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注：本表反映部门本年度取得的各项收入情况。</w:t>
            </w:r>
          </w:p>
        </w:tc>
      </w:tr>
    </w:tbl>
    <w:p>
      <w:pPr>
        <w:widowControl/>
        <w:jc w:val="left"/>
        <w:rPr>
          <w:rFonts w:ascii="Times New Roman" w:hAnsi="Times New Roman" w:eastAsia="Times New Roman" w:cs="Times New Roman"/>
          <w:kern w:val="0"/>
          <w:sz w:val="24"/>
        </w:rPr>
      </w:pPr>
      <w:r>
        <w:rPr>
          <w:rFonts w:ascii="Times New Roman" w:hAnsi="Times New Roman" w:eastAsia="Times New Roman" w:cs="Times New Roman"/>
          <w:kern w:val="0"/>
          <w:sz w:val="24"/>
        </w:rPr>
        <w:t> </w:t>
      </w:r>
    </w:p>
    <w:p>
      <w:pPr>
        <w:pStyle w:val="30"/>
        <w:widowControl/>
        <w:spacing w:before="100" w:after="100"/>
        <w:ind w:left="720" w:right="0" w:firstLine="0"/>
        <w:jc w:val="left"/>
        <w:rPr>
          <w:rFonts w:ascii="Times New Roman" w:hAnsi="Times New Roman" w:eastAsia="Times New Roman" w:cs="Times New Roman"/>
          <w:kern w:val="0"/>
          <w:sz w:val="24"/>
        </w:rPr>
      </w:pPr>
      <w:r>
        <w:rPr>
          <w:rFonts w:ascii="宋体" w:hAnsi="宋体" w:cs="宋体"/>
          <w:spacing w:val="0"/>
          <w:kern w:val="0"/>
          <w:sz w:val="32"/>
          <w:szCs w:val="32"/>
        </w:rPr>
        <w:t> </w:t>
      </w:r>
    </w:p>
    <w:p>
      <w:pPr>
        <w:pStyle w:val="6"/>
        <w:keepNext w:val="0"/>
        <w:keepLines w:val="0"/>
        <w:spacing w:before="100" w:after="100" w:line="240" w:lineRule="auto"/>
        <w:ind w:left="720" w:right="0" w:hanging="720" w:firstLineChars="0"/>
        <w:rPr>
          <w:rFonts w:ascii="黑体" w:hAnsi="黑体" w:eastAsia="黑体" w:cs="黑体"/>
          <w:b/>
          <w:spacing w:val="0"/>
        </w:rPr>
      </w:pPr>
      <w:bookmarkStart w:id="29" w:name="_Toc256000071"/>
      <w:bookmarkStart w:id="30" w:name="_Toc256000040"/>
      <w:bookmarkStart w:id="31" w:name="_Toc256000009"/>
      <w:bookmarkStart w:id="32" w:name="_Toc256000102"/>
    </w:p>
    <w:p>
      <w:pPr>
        <w:pStyle w:val="6"/>
        <w:keepNext w:val="0"/>
        <w:keepLines w:val="0"/>
        <w:spacing w:before="100" w:after="100" w:line="240" w:lineRule="auto"/>
        <w:ind w:left="720" w:right="0" w:hanging="720" w:firstLineChars="0"/>
        <w:rPr>
          <w:rFonts w:ascii="黑体" w:hAnsi="黑体" w:eastAsia="黑体" w:cs="黑体"/>
          <w:b/>
          <w:spacing w:val="0"/>
        </w:rPr>
      </w:pPr>
    </w:p>
    <w:p>
      <w:pPr>
        <w:pStyle w:val="6"/>
        <w:keepNext w:val="0"/>
        <w:keepLines w:val="0"/>
        <w:spacing w:before="100" w:after="100" w:line="240" w:lineRule="auto"/>
        <w:ind w:left="720" w:right="0" w:hanging="720" w:firstLineChars="0"/>
        <w:rPr>
          <w:rFonts w:ascii="黑体" w:hAnsi="黑体" w:eastAsia="黑体" w:cs="黑体"/>
          <w:b/>
          <w:spacing w:val="0"/>
        </w:rPr>
      </w:pPr>
    </w:p>
    <w:p>
      <w:pPr>
        <w:pStyle w:val="6"/>
        <w:keepNext w:val="0"/>
        <w:keepLines w:val="0"/>
        <w:spacing w:before="100" w:after="100" w:line="240" w:lineRule="auto"/>
        <w:ind w:left="720" w:right="0" w:hanging="720" w:firstLineChars="0"/>
        <w:rPr>
          <w:rFonts w:ascii="黑体" w:hAnsi="黑体" w:eastAsia="黑体" w:cs="黑体"/>
          <w:b/>
          <w:spacing w:val="0"/>
        </w:rPr>
      </w:pPr>
    </w:p>
    <w:p>
      <w:pPr>
        <w:pStyle w:val="6"/>
        <w:keepNext w:val="0"/>
        <w:keepLines w:val="0"/>
        <w:spacing w:before="100" w:after="100" w:line="240" w:lineRule="auto"/>
        <w:ind w:left="0" w:leftChars="0" w:right="0" w:firstLine="643" w:firstLineChars="200"/>
        <w:rPr>
          <w:rFonts w:ascii="Times New Roman" w:hAnsi="Times New Roman" w:eastAsia="Times New Roman" w:cs="Times New Roman"/>
          <w:b/>
          <w:bCs/>
          <w:kern w:val="0"/>
          <w:sz w:val="28"/>
          <w:szCs w:val="28"/>
        </w:rPr>
      </w:pPr>
      <w:r>
        <w:rPr>
          <w:rFonts w:ascii="黑体" w:hAnsi="黑体" w:eastAsia="黑体" w:cs="黑体"/>
          <w:b/>
          <w:spacing w:val="0"/>
        </w:rPr>
        <w:t>三、支出决算表</w:t>
      </w:r>
      <w:bookmarkEnd w:id="29"/>
      <w:bookmarkEnd w:id="30"/>
      <w:bookmarkEnd w:id="31"/>
      <w:bookmarkEnd w:id="32"/>
    </w:p>
    <w:p>
      <w:pPr>
        <w:widowControl/>
        <w:spacing w:before="240" w:after="240"/>
        <w:jc w:val="left"/>
        <w:rPr>
          <w:rFonts w:ascii="Times New Roman" w:hAnsi="Times New Roman" w:eastAsia="Times New Roman" w:cs="Times New Roman"/>
          <w:vanish/>
          <w:kern w:val="0"/>
          <w:sz w:val="24"/>
        </w:rPr>
      </w:pPr>
      <w:r>
        <w:rPr>
          <w:rFonts w:ascii="Times New Roman" w:hAnsi="Times New Roman" w:eastAsia="Times New Roman" w:cs="Times New Roman"/>
          <w:vanish/>
          <w:kern w:val="0"/>
          <w:sz w:val="24"/>
        </w:rPr>
        <w:t>word horizontal layout</w:t>
      </w:r>
    </w:p>
    <w:tbl>
      <w:tblPr>
        <w:tblStyle w:val="23"/>
        <w:tblW w:w="9779" w:type="dxa"/>
        <w:tblInd w:w="20" w:type="dxa"/>
        <w:tblLayout w:type="fixed"/>
        <w:tblCellMar>
          <w:top w:w="15" w:type="dxa"/>
          <w:left w:w="15" w:type="dxa"/>
          <w:bottom w:w="15" w:type="dxa"/>
          <w:right w:w="15" w:type="dxa"/>
        </w:tblCellMar>
      </w:tblPr>
      <w:tblGrid>
        <w:gridCol w:w="245"/>
        <w:gridCol w:w="245"/>
        <w:gridCol w:w="245"/>
        <w:gridCol w:w="2394"/>
        <w:gridCol w:w="1303"/>
        <w:gridCol w:w="1120"/>
        <w:gridCol w:w="935"/>
        <w:gridCol w:w="1001"/>
        <w:gridCol w:w="723"/>
        <w:gridCol w:w="1568"/>
      </w:tblGrid>
      <w:tr>
        <w:tblPrEx>
          <w:tblLayout w:type="fixed"/>
          <w:tblCellMar>
            <w:top w:w="15" w:type="dxa"/>
            <w:left w:w="15" w:type="dxa"/>
            <w:bottom w:w="15" w:type="dxa"/>
            <w:right w:w="15" w:type="dxa"/>
          </w:tblCellMar>
        </w:tblPrEx>
        <w:trPr>
          <w:tblHeader/>
        </w:trPr>
        <w:tc>
          <w:tcPr>
            <w:tcW w:w="9779" w:type="dxa"/>
            <w:gridSpan w:val="10"/>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32"/>
                <w:szCs w:val="32"/>
              </w:rPr>
              <w:t>支出决算表</w:t>
            </w:r>
          </w:p>
        </w:tc>
      </w:tr>
      <w:tr>
        <w:tblPrEx>
          <w:tblLayout w:type="fixed"/>
          <w:tblCellMar>
            <w:top w:w="15" w:type="dxa"/>
            <w:left w:w="15" w:type="dxa"/>
            <w:bottom w:w="15" w:type="dxa"/>
            <w:right w:w="15" w:type="dxa"/>
          </w:tblCellMar>
        </w:tblPrEx>
        <w:trPr>
          <w:tblHeader/>
        </w:trPr>
        <w:tc>
          <w:tcPr>
            <w:tcW w:w="245"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245"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245"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2394"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303"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120"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935"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001"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723"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568"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c>
          <w:tcPr>
            <w:tcW w:w="4432" w:type="dxa"/>
            <w:gridSpan w:val="5"/>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部门</w:t>
            </w:r>
            <w:r>
              <w:rPr>
                <w:rFonts w:ascii="Times New Roman" w:hAnsi="Times New Roman" w:eastAsia="Times New Roman" w:cs="Times New Roman"/>
                <w:b w:val="0"/>
                <w:bCs w:val="0"/>
                <w:i w:val="0"/>
                <w:iCs w:val="0"/>
                <w:smallCaps w:val="0"/>
                <w:color w:val="000000"/>
                <w:kern w:val="0"/>
                <w:sz w:val="21"/>
                <w:szCs w:val="21"/>
              </w:rPr>
              <w:t>/</w:t>
            </w:r>
            <w:r>
              <w:rPr>
                <w:rFonts w:ascii="宋体" w:hAnsi="宋体" w:eastAsia="宋体" w:cs="宋体"/>
                <w:b w:val="0"/>
                <w:bCs w:val="0"/>
                <w:i w:val="0"/>
                <w:iCs w:val="0"/>
                <w:smallCaps w:val="0"/>
                <w:color w:val="000000"/>
                <w:kern w:val="0"/>
                <w:sz w:val="21"/>
                <w:szCs w:val="21"/>
              </w:rPr>
              <w:t>单位：厦门市梧桐实验学校</w:t>
            </w:r>
          </w:p>
        </w:tc>
        <w:tc>
          <w:tcPr>
            <w:tcW w:w="1120"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2024</w:t>
            </w:r>
            <w:r>
              <w:rPr>
                <w:rFonts w:ascii="宋体" w:hAnsi="宋体" w:eastAsia="宋体" w:cs="宋体"/>
                <w:b w:val="0"/>
                <w:bCs w:val="0"/>
                <w:i w:val="0"/>
                <w:iCs w:val="0"/>
                <w:smallCaps w:val="0"/>
                <w:color w:val="000000"/>
                <w:kern w:val="0"/>
                <w:sz w:val="21"/>
                <w:szCs w:val="21"/>
              </w:rPr>
              <w:t>年度</w:t>
            </w:r>
          </w:p>
        </w:tc>
        <w:tc>
          <w:tcPr>
            <w:tcW w:w="935"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001"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723"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568"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金额单位：万元</w:t>
            </w:r>
          </w:p>
        </w:tc>
      </w:tr>
      <w:tr>
        <w:tblPrEx>
          <w:tblLayout w:type="fixed"/>
          <w:tblCellMar>
            <w:top w:w="15" w:type="dxa"/>
            <w:left w:w="15" w:type="dxa"/>
            <w:bottom w:w="15" w:type="dxa"/>
            <w:right w:w="15" w:type="dxa"/>
          </w:tblCellMar>
        </w:tblPrEx>
        <w:trPr>
          <w:tblHeader/>
        </w:trPr>
        <w:tc>
          <w:tcPr>
            <w:tcW w:w="3129" w:type="dxa"/>
            <w:gridSpan w:val="4"/>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项目</w:t>
            </w:r>
          </w:p>
        </w:tc>
        <w:tc>
          <w:tcPr>
            <w:tcW w:w="1303"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本年支出合计</w:t>
            </w:r>
          </w:p>
        </w:tc>
        <w:tc>
          <w:tcPr>
            <w:tcW w:w="1120"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基本支出</w:t>
            </w:r>
          </w:p>
        </w:tc>
        <w:tc>
          <w:tcPr>
            <w:tcW w:w="935"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项目支出</w:t>
            </w:r>
          </w:p>
        </w:tc>
        <w:tc>
          <w:tcPr>
            <w:tcW w:w="1001"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上缴上级支出</w:t>
            </w:r>
          </w:p>
        </w:tc>
        <w:tc>
          <w:tcPr>
            <w:tcW w:w="723"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经营支出</w:t>
            </w:r>
          </w:p>
        </w:tc>
        <w:tc>
          <w:tcPr>
            <w:tcW w:w="1568"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对附属单位补助支出</w:t>
            </w:r>
          </w:p>
        </w:tc>
      </w:tr>
      <w:tr>
        <w:tblPrEx>
          <w:tblLayout w:type="fixed"/>
          <w:tblCellMar>
            <w:top w:w="15" w:type="dxa"/>
            <w:left w:w="15" w:type="dxa"/>
            <w:bottom w:w="15" w:type="dxa"/>
            <w:right w:w="15" w:type="dxa"/>
          </w:tblCellMar>
        </w:tblPrEx>
        <w:trPr>
          <w:tblHeader/>
        </w:trPr>
        <w:tc>
          <w:tcPr>
            <w:tcW w:w="735" w:type="dxa"/>
            <w:gridSpan w:val="3"/>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科目代码</w:t>
            </w:r>
          </w:p>
        </w:tc>
        <w:tc>
          <w:tcPr>
            <w:tcW w:w="2394"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科目名称</w:t>
            </w:r>
          </w:p>
        </w:tc>
        <w:tc>
          <w:tcPr>
            <w:tcW w:w="130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120"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93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01"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2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568"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tblHeader/>
        </w:trPr>
        <w:tc>
          <w:tcPr>
            <w:tcW w:w="735" w:type="dxa"/>
            <w:gridSpan w:val="3"/>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2394"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30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120"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93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01"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2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568"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c>
          <w:tcPr>
            <w:tcW w:w="3129" w:type="dxa"/>
            <w:gridSpan w:val="4"/>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栏次</w:t>
            </w:r>
          </w:p>
        </w:tc>
        <w:tc>
          <w:tcPr>
            <w:tcW w:w="130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w:t>
            </w:r>
          </w:p>
        </w:tc>
        <w:tc>
          <w:tcPr>
            <w:tcW w:w="11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c>
          <w:tcPr>
            <w:tcW w:w="9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w:t>
            </w:r>
          </w:p>
        </w:tc>
        <w:tc>
          <w:tcPr>
            <w:tcW w:w="100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w:t>
            </w:r>
          </w:p>
        </w:tc>
        <w:tc>
          <w:tcPr>
            <w:tcW w:w="7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w:t>
            </w:r>
          </w:p>
        </w:tc>
        <w:tc>
          <w:tcPr>
            <w:tcW w:w="15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w:t>
            </w:r>
          </w:p>
        </w:tc>
      </w:tr>
      <w:tr>
        <w:tblPrEx>
          <w:tblLayout w:type="fixed"/>
          <w:tblCellMar>
            <w:top w:w="15" w:type="dxa"/>
            <w:left w:w="15" w:type="dxa"/>
            <w:bottom w:w="15" w:type="dxa"/>
            <w:right w:w="15" w:type="dxa"/>
          </w:tblCellMar>
        </w:tblPrEx>
        <w:tc>
          <w:tcPr>
            <w:tcW w:w="3129" w:type="dxa"/>
            <w:gridSpan w:val="4"/>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合计</w:t>
            </w:r>
          </w:p>
        </w:tc>
        <w:tc>
          <w:tcPr>
            <w:tcW w:w="130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3,608.74</w:t>
            </w:r>
          </w:p>
        </w:tc>
        <w:tc>
          <w:tcPr>
            <w:tcW w:w="11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3,385.5</w:t>
            </w:r>
          </w:p>
        </w:tc>
        <w:tc>
          <w:tcPr>
            <w:tcW w:w="9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223.24</w:t>
            </w:r>
          </w:p>
        </w:tc>
        <w:tc>
          <w:tcPr>
            <w:tcW w:w="100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735"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w:t>
            </w:r>
          </w:p>
        </w:tc>
        <w:tc>
          <w:tcPr>
            <w:tcW w:w="239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教育支出</w:t>
            </w:r>
          </w:p>
        </w:tc>
        <w:tc>
          <w:tcPr>
            <w:tcW w:w="130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3,108.94</w:t>
            </w:r>
          </w:p>
        </w:tc>
        <w:tc>
          <w:tcPr>
            <w:tcW w:w="11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2,915.44</w:t>
            </w:r>
          </w:p>
        </w:tc>
        <w:tc>
          <w:tcPr>
            <w:tcW w:w="9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193.5</w:t>
            </w:r>
          </w:p>
        </w:tc>
        <w:tc>
          <w:tcPr>
            <w:tcW w:w="100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735"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20502</w:t>
            </w:r>
          </w:p>
        </w:tc>
        <w:tc>
          <w:tcPr>
            <w:tcW w:w="239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普通教育</w:t>
            </w:r>
          </w:p>
        </w:tc>
        <w:tc>
          <w:tcPr>
            <w:tcW w:w="130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3,100.96</w:t>
            </w:r>
          </w:p>
        </w:tc>
        <w:tc>
          <w:tcPr>
            <w:tcW w:w="11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2,915.44</w:t>
            </w:r>
          </w:p>
        </w:tc>
        <w:tc>
          <w:tcPr>
            <w:tcW w:w="9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185.52</w:t>
            </w:r>
          </w:p>
        </w:tc>
        <w:tc>
          <w:tcPr>
            <w:tcW w:w="100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735"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2050202</w:t>
            </w:r>
          </w:p>
        </w:tc>
        <w:tc>
          <w:tcPr>
            <w:tcW w:w="239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小学教育</w:t>
            </w:r>
          </w:p>
        </w:tc>
        <w:tc>
          <w:tcPr>
            <w:tcW w:w="130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1,219.94</w:t>
            </w:r>
          </w:p>
        </w:tc>
        <w:tc>
          <w:tcPr>
            <w:tcW w:w="11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1,219.94</w:t>
            </w:r>
          </w:p>
        </w:tc>
        <w:tc>
          <w:tcPr>
            <w:tcW w:w="9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735"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2050203</w:t>
            </w:r>
          </w:p>
        </w:tc>
        <w:tc>
          <w:tcPr>
            <w:tcW w:w="239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初中教育</w:t>
            </w:r>
          </w:p>
        </w:tc>
        <w:tc>
          <w:tcPr>
            <w:tcW w:w="130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1,612.38</w:t>
            </w:r>
          </w:p>
        </w:tc>
        <w:tc>
          <w:tcPr>
            <w:tcW w:w="11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1,612.38</w:t>
            </w:r>
          </w:p>
        </w:tc>
        <w:tc>
          <w:tcPr>
            <w:tcW w:w="9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735"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2050299</w:t>
            </w:r>
          </w:p>
        </w:tc>
        <w:tc>
          <w:tcPr>
            <w:tcW w:w="239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其他普通教育支出</w:t>
            </w:r>
          </w:p>
        </w:tc>
        <w:tc>
          <w:tcPr>
            <w:tcW w:w="130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268.64</w:t>
            </w:r>
          </w:p>
        </w:tc>
        <w:tc>
          <w:tcPr>
            <w:tcW w:w="11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83.12</w:t>
            </w:r>
          </w:p>
        </w:tc>
        <w:tc>
          <w:tcPr>
            <w:tcW w:w="9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185.52</w:t>
            </w:r>
          </w:p>
        </w:tc>
        <w:tc>
          <w:tcPr>
            <w:tcW w:w="100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735"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20509</w:t>
            </w:r>
          </w:p>
        </w:tc>
        <w:tc>
          <w:tcPr>
            <w:tcW w:w="239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教育费附加安排的支出</w:t>
            </w:r>
          </w:p>
        </w:tc>
        <w:tc>
          <w:tcPr>
            <w:tcW w:w="130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7.98</w:t>
            </w:r>
          </w:p>
        </w:tc>
        <w:tc>
          <w:tcPr>
            <w:tcW w:w="11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7.98</w:t>
            </w:r>
          </w:p>
        </w:tc>
        <w:tc>
          <w:tcPr>
            <w:tcW w:w="100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735"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2050999</w:t>
            </w:r>
          </w:p>
        </w:tc>
        <w:tc>
          <w:tcPr>
            <w:tcW w:w="239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其他教育费附加安排的支出</w:t>
            </w:r>
          </w:p>
        </w:tc>
        <w:tc>
          <w:tcPr>
            <w:tcW w:w="130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7.98</w:t>
            </w:r>
          </w:p>
        </w:tc>
        <w:tc>
          <w:tcPr>
            <w:tcW w:w="11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7.98</w:t>
            </w:r>
          </w:p>
        </w:tc>
        <w:tc>
          <w:tcPr>
            <w:tcW w:w="100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735"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w:t>
            </w:r>
          </w:p>
        </w:tc>
        <w:tc>
          <w:tcPr>
            <w:tcW w:w="239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社会保障和就业支出</w:t>
            </w:r>
          </w:p>
        </w:tc>
        <w:tc>
          <w:tcPr>
            <w:tcW w:w="130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328.42</w:t>
            </w:r>
          </w:p>
        </w:tc>
        <w:tc>
          <w:tcPr>
            <w:tcW w:w="11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328.42</w:t>
            </w:r>
          </w:p>
        </w:tc>
        <w:tc>
          <w:tcPr>
            <w:tcW w:w="9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735"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w:t>
            </w:r>
          </w:p>
        </w:tc>
        <w:tc>
          <w:tcPr>
            <w:tcW w:w="239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行政事业单位养老支出</w:t>
            </w:r>
          </w:p>
        </w:tc>
        <w:tc>
          <w:tcPr>
            <w:tcW w:w="130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328.42</w:t>
            </w:r>
          </w:p>
        </w:tc>
        <w:tc>
          <w:tcPr>
            <w:tcW w:w="11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328.42</w:t>
            </w:r>
          </w:p>
        </w:tc>
        <w:tc>
          <w:tcPr>
            <w:tcW w:w="9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735"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2080505</w:t>
            </w:r>
          </w:p>
        </w:tc>
        <w:tc>
          <w:tcPr>
            <w:tcW w:w="239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机关事业单位基本养老保险缴费支出</w:t>
            </w:r>
          </w:p>
        </w:tc>
        <w:tc>
          <w:tcPr>
            <w:tcW w:w="130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218.94</w:t>
            </w:r>
          </w:p>
        </w:tc>
        <w:tc>
          <w:tcPr>
            <w:tcW w:w="11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218.94</w:t>
            </w:r>
          </w:p>
        </w:tc>
        <w:tc>
          <w:tcPr>
            <w:tcW w:w="9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735"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2080506</w:t>
            </w:r>
          </w:p>
        </w:tc>
        <w:tc>
          <w:tcPr>
            <w:tcW w:w="239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机关事业单位职业年金缴费支出</w:t>
            </w:r>
          </w:p>
        </w:tc>
        <w:tc>
          <w:tcPr>
            <w:tcW w:w="130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109.47</w:t>
            </w:r>
          </w:p>
        </w:tc>
        <w:tc>
          <w:tcPr>
            <w:tcW w:w="11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109.47</w:t>
            </w:r>
          </w:p>
        </w:tc>
        <w:tc>
          <w:tcPr>
            <w:tcW w:w="9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735"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w:t>
            </w:r>
          </w:p>
        </w:tc>
        <w:tc>
          <w:tcPr>
            <w:tcW w:w="239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卫生健康支出</w:t>
            </w:r>
          </w:p>
        </w:tc>
        <w:tc>
          <w:tcPr>
            <w:tcW w:w="130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141.64</w:t>
            </w:r>
          </w:p>
        </w:tc>
        <w:tc>
          <w:tcPr>
            <w:tcW w:w="11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141.64</w:t>
            </w:r>
          </w:p>
        </w:tc>
        <w:tc>
          <w:tcPr>
            <w:tcW w:w="9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735"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21011</w:t>
            </w:r>
          </w:p>
        </w:tc>
        <w:tc>
          <w:tcPr>
            <w:tcW w:w="239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行政事业单位医疗</w:t>
            </w:r>
          </w:p>
        </w:tc>
        <w:tc>
          <w:tcPr>
            <w:tcW w:w="130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141.64</w:t>
            </w:r>
          </w:p>
        </w:tc>
        <w:tc>
          <w:tcPr>
            <w:tcW w:w="11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141.64</w:t>
            </w:r>
          </w:p>
        </w:tc>
        <w:tc>
          <w:tcPr>
            <w:tcW w:w="9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735"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2101102</w:t>
            </w:r>
          </w:p>
        </w:tc>
        <w:tc>
          <w:tcPr>
            <w:tcW w:w="239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事业单位医疗</w:t>
            </w:r>
          </w:p>
        </w:tc>
        <w:tc>
          <w:tcPr>
            <w:tcW w:w="130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93.74</w:t>
            </w:r>
          </w:p>
        </w:tc>
        <w:tc>
          <w:tcPr>
            <w:tcW w:w="11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93.74</w:t>
            </w:r>
          </w:p>
        </w:tc>
        <w:tc>
          <w:tcPr>
            <w:tcW w:w="9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735"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2101199</w:t>
            </w:r>
          </w:p>
        </w:tc>
        <w:tc>
          <w:tcPr>
            <w:tcW w:w="239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其他行政事业单位医疗支出</w:t>
            </w:r>
          </w:p>
        </w:tc>
        <w:tc>
          <w:tcPr>
            <w:tcW w:w="130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47.9</w:t>
            </w:r>
          </w:p>
        </w:tc>
        <w:tc>
          <w:tcPr>
            <w:tcW w:w="11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47.9</w:t>
            </w:r>
          </w:p>
        </w:tc>
        <w:tc>
          <w:tcPr>
            <w:tcW w:w="9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735"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229</w:t>
            </w:r>
          </w:p>
        </w:tc>
        <w:tc>
          <w:tcPr>
            <w:tcW w:w="239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其他支出</w:t>
            </w:r>
          </w:p>
        </w:tc>
        <w:tc>
          <w:tcPr>
            <w:tcW w:w="130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29.74</w:t>
            </w:r>
          </w:p>
        </w:tc>
        <w:tc>
          <w:tcPr>
            <w:tcW w:w="11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29.74</w:t>
            </w:r>
          </w:p>
        </w:tc>
        <w:tc>
          <w:tcPr>
            <w:tcW w:w="100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735"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22960</w:t>
            </w:r>
          </w:p>
        </w:tc>
        <w:tc>
          <w:tcPr>
            <w:tcW w:w="239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彩票公益金安排的支出</w:t>
            </w:r>
          </w:p>
        </w:tc>
        <w:tc>
          <w:tcPr>
            <w:tcW w:w="130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29.74</w:t>
            </w:r>
          </w:p>
        </w:tc>
        <w:tc>
          <w:tcPr>
            <w:tcW w:w="11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29.74</w:t>
            </w:r>
          </w:p>
        </w:tc>
        <w:tc>
          <w:tcPr>
            <w:tcW w:w="100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735"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2296003</w:t>
            </w:r>
          </w:p>
        </w:tc>
        <w:tc>
          <w:tcPr>
            <w:tcW w:w="239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用于体育事业的彩票公益金支出</w:t>
            </w:r>
          </w:p>
        </w:tc>
        <w:tc>
          <w:tcPr>
            <w:tcW w:w="130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29.74</w:t>
            </w:r>
          </w:p>
        </w:tc>
        <w:tc>
          <w:tcPr>
            <w:tcW w:w="11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29.74</w:t>
            </w:r>
          </w:p>
        </w:tc>
        <w:tc>
          <w:tcPr>
            <w:tcW w:w="100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9779" w:type="dxa"/>
            <w:gridSpan w:val="10"/>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注：本表反映部门本年度各项支出情况。</w:t>
            </w:r>
          </w:p>
        </w:tc>
      </w:tr>
    </w:tbl>
    <w:p>
      <w:pPr>
        <w:widowControl/>
        <w:jc w:val="left"/>
        <w:rPr>
          <w:rFonts w:ascii="Times New Roman" w:hAnsi="Times New Roman" w:eastAsia="Times New Roman" w:cs="Times New Roman"/>
          <w:kern w:val="0"/>
          <w:sz w:val="24"/>
        </w:rPr>
      </w:pPr>
      <w:r>
        <w:rPr>
          <w:rFonts w:ascii="Times New Roman" w:hAnsi="Times New Roman" w:eastAsia="Times New Roman" w:cs="Times New Roman"/>
          <w:kern w:val="0"/>
          <w:sz w:val="24"/>
        </w:rPr>
        <w:t> </w:t>
      </w:r>
    </w:p>
    <w:p>
      <w:pPr>
        <w:pStyle w:val="30"/>
        <w:widowControl/>
        <w:spacing w:before="100" w:after="100"/>
        <w:ind w:left="0" w:right="0" w:firstLine="0"/>
        <w:jc w:val="left"/>
        <w:rPr>
          <w:rFonts w:ascii="Times New Roman" w:hAnsi="Times New Roman" w:eastAsia="Times New Roman" w:cs="Times New Roman"/>
          <w:kern w:val="0"/>
          <w:sz w:val="24"/>
        </w:rPr>
      </w:pPr>
      <w:r>
        <w:rPr>
          <w:rFonts w:ascii="Times New Roman" w:hAnsi="Times New Roman" w:eastAsia="Times New Roman" w:cs="Times New Roman"/>
          <w:spacing w:val="0"/>
          <w:kern w:val="0"/>
          <w:sz w:val="27"/>
          <w:szCs w:val="27"/>
        </w:rPr>
        <w:t> </w:t>
      </w:r>
    </w:p>
    <w:p>
      <w:pPr>
        <w:pStyle w:val="6"/>
        <w:keepNext w:val="0"/>
        <w:keepLines w:val="0"/>
        <w:spacing w:before="100" w:after="100" w:line="240" w:lineRule="auto"/>
        <w:ind w:left="720" w:right="0" w:hanging="720" w:firstLineChars="0"/>
        <w:rPr>
          <w:rFonts w:ascii="黑体" w:hAnsi="黑体" w:eastAsia="黑体" w:cs="黑体"/>
          <w:b/>
          <w:spacing w:val="0"/>
        </w:rPr>
      </w:pPr>
      <w:bookmarkStart w:id="33" w:name="_Toc256000041"/>
      <w:bookmarkStart w:id="34" w:name="_Toc256000010"/>
      <w:bookmarkStart w:id="35" w:name="_Toc256000103"/>
      <w:bookmarkStart w:id="36" w:name="_Toc256000072"/>
    </w:p>
    <w:p>
      <w:pPr>
        <w:pStyle w:val="6"/>
        <w:keepNext w:val="0"/>
        <w:keepLines w:val="0"/>
        <w:spacing w:before="100" w:after="100" w:line="240" w:lineRule="auto"/>
        <w:ind w:left="720" w:right="0" w:hanging="720" w:firstLineChars="0"/>
        <w:rPr>
          <w:rFonts w:ascii="黑体" w:hAnsi="黑体" w:eastAsia="黑体" w:cs="黑体"/>
          <w:b/>
          <w:spacing w:val="0"/>
        </w:rPr>
      </w:pPr>
    </w:p>
    <w:p>
      <w:pPr>
        <w:pStyle w:val="6"/>
        <w:keepNext w:val="0"/>
        <w:keepLines w:val="0"/>
        <w:spacing w:before="100" w:after="100" w:line="240" w:lineRule="auto"/>
        <w:ind w:left="720" w:right="0" w:hanging="720" w:firstLineChars="0"/>
        <w:rPr>
          <w:rFonts w:ascii="黑体" w:hAnsi="黑体" w:eastAsia="黑体" w:cs="黑体"/>
          <w:b/>
          <w:spacing w:val="0"/>
        </w:rPr>
      </w:pPr>
    </w:p>
    <w:p>
      <w:pPr>
        <w:pStyle w:val="6"/>
        <w:keepNext w:val="0"/>
        <w:keepLines w:val="0"/>
        <w:spacing w:before="100" w:after="100" w:line="240" w:lineRule="auto"/>
        <w:ind w:left="720" w:right="0" w:hanging="720" w:firstLineChars="0"/>
        <w:rPr>
          <w:rFonts w:ascii="黑体" w:hAnsi="黑体" w:eastAsia="黑体" w:cs="黑体"/>
          <w:b/>
          <w:spacing w:val="0"/>
        </w:rPr>
      </w:pPr>
    </w:p>
    <w:p>
      <w:pPr>
        <w:pStyle w:val="6"/>
        <w:keepNext w:val="0"/>
        <w:keepLines w:val="0"/>
        <w:spacing w:before="100" w:after="100" w:line="240" w:lineRule="auto"/>
        <w:ind w:left="720" w:right="0" w:hanging="720" w:firstLineChars="0"/>
        <w:rPr>
          <w:rFonts w:ascii="黑体" w:hAnsi="黑体" w:eastAsia="黑体" w:cs="黑体"/>
          <w:b/>
          <w:spacing w:val="0"/>
        </w:rPr>
      </w:pPr>
    </w:p>
    <w:p>
      <w:pPr>
        <w:pStyle w:val="6"/>
        <w:keepNext w:val="0"/>
        <w:keepLines w:val="0"/>
        <w:spacing w:before="100" w:after="100" w:line="240" w:lineRule="auto"/>
        <w:ind w:left="0" w:leftChars="0" w:right="0" w:firstLine="643" w:firstLineChars="200"/>
        <w:rPr>
          <w:rFonts w:ascii="Times New Roman" w:hAnsi="Times New Roman" w:eastAsia="Times New Roman" w:cs="Times New Roman"/>
          <w:b/>
          <w:bCs/>
          <w:kern w:val="0"/>
          <w:sz w:val="28"/>
          <w:szCs w:val="28"/>
        </w:rPr>
      </w:pPr>
      <w:r>
        <w:rPr>
          <w:rFonts w:ascii="黑体" w:hAnsi="黑体" w:eastAsia="黑体" w:cs="黑体"/>
          <w:b/>
          <w:spacing w:val="0"/>
        </w:rPr>
        <w:t>四、财政拨款收入支出决算总表</w:t>
      </w:r>
      <w:bookmarkEnd w:id="33"/>
      <w:bookmarkEnd w:id="34"/>
      <w:bookmarkEnd w:id="35"/>
      <w:bookmarkEnd w:id="36"/>
    </w:p>
    <w:p>
      <w:pPr>
        <w:widowControl/>
        <w:spacing w:before="240" w:after="240"/>
        <w:jc w:val="left"/>
        <w:rPr>
          <w:rFonts w:ascii="Times New Roman" w:hAnsi="Times New Roman" w:eastAsia="Times New Roman" w:cs="Times New Roman"/>
          <w:vanish/>
          <w:kern w:val="0"/>
          <w:sz w:val="24"/>
        </w:rPr>
      </w:pPr>
      <w:r>
        <w:rPr>
          <w:rFonts w:ascii="Times New Roman" w:hAnsi="Times New Roman" w:eastAsia="Times New Roman" w:cs="Times New Roman"/>
          <w:vanish/>
          <w:kern w:val="0"/>
          <w:sz w:val="24"/>
        </w:rPr>
        <w:t>word horizontal layout</w:t>
      </w:r>
    </w:p>
    <w:tbl>
      <w:tblPr>
        <w:tblStyle w:val="23"/>
        <w:tblW w:w="9781" w:type="dxa"/>
        <w:tblInd w:w="20" w:type="dxa"/>
        <w:tblLayout w:type="fixed"/>
        <w:tblCellMar>
          <w:top w:w="15" w:type="dxa"/>
          <w:left w:w="15" w:type="dxa"/>
          <w:bottom w:w="15" w:type="dxa"/>
          <w:right w:w="15" w:type="dxa"/>
        </w:tblCellMar>
      </w:tblPr>
      <w:tblGrid>
        <w:gridCol w:w="1428"/>
        <w:gridCol w:w="387"/>
        <w:gridCol w:w="956"/>
        <w:gridCol w:w="1475"/>
        <w:gridCol w:w="769"/>
        <w:gridCol w:w="956"/>
        <w:gridCol w:w="1336"/>
        <w:gridCol w:w="1195"/>
        <w:gridCol w:w="1279"/>
      </w:tblGrid>
      <w:tr>
        <w:tblPrEx>
          <w:tblLayout w:type="fixed"/>
          <w:tblCellMar>
            <w:top w:w="15" w:type="dxa"/>
            <w:left w:w="15" w:type="dxa"/>
            <w:bottom w:w="15" w:type="dxa"/>
            <w:right w:w="15" w:type="dxa"/>
          </w:tblCellMar>
        </w:tblPrEx>
        <w:trPr>
          <w:tblHeader/>
        </w:trPr>
        <w:tc>
          <w:tcPr>
            <w:tcW w:w="9781" w:type="dxa"/>
            <w:gridSpan w:val="9"/>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32"/>
                <w:szCs w:val="32"/>
              </w:rPr>
              <w:t>财政拨款收入支出决算总表</w:t>
            </w:r>
          </w:p>
        </w:tc>
      </w:tr>
      <w:tr>
        <w:tblPrEx>
          <w:tblLayout w:type="fixed"/>
          <w:tblCellMar>
            <w:top w:w="15" w:type="dxa"/>
            <w:left w:w="15" w:type="dxa"/>
            <w:bottom w:w="15" w:type="dxa"/>
            <w:right w:w="15" w:type="dxa"/>
          </w:tblCellMar>
        </w:tblPrEx>
        <w:trPr>
          <w:tblHeader/>
        </w:trPr>
        <w:tc>
          <w:tcPr>
            <w:tcW w:w="1815" w:type="dxa"/>
            <w:gridSpan w:val="2"/>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956"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475"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769"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956"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336"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195"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279"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rPr>
          <w:tblHeader/>
        </w:trPr>
        <w:tc>
          <w:tcPr>
            <w:tcW w:w="4246" w:type="dxa"/>
            <w:gridSpan w:val="4"/>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部门</w:t>
            </w:r>
            <w:r>
              <w:rPr>
                <w:rFonts w:ascii="Times New Roman" w:hAnsi="Times New Roman" w:eastAsia="Times New Roman" w:cs="Times New Roman"/>
                <w:b w:val="0"/>
                <w:bCs w:val="0"/>
                <w:i w:val="0"/>
                <w:iCs w:val="0"/>
                <w:smallCaps w:val="0"/>
                <w:color w:val="000000"/>
                <w:kern w:val="0"/>
                <w:sz w:val="21"/>
                <w:szCs w:val="21"/>
              </w:rPr>
              <w:t>/</w:t>
            </w:r>
            <w:r>
              <w:rPr>
                <w:rFonts w:ascii="宋体" w:hAnsi="宋体" w:eastAsia="宋体" w:cs="宋体"/>
                <w:b w:val="0"/>
                <w:bCs w:val="0"/>
                <w:i w:val="0"/>
                <w:iCs w:val="0"/>
                <w:smallCaps w:val="0"/>
                <w:color w:val="000000"/>
                <w:kern w:val="0"/>
                <w:sz w:val="21"/>
                <w:szCs w:val="21"/>
              </w:rPr>
              <w:t>单位：厦门市梧桐实验学校</w:t>
            </w:r>
          </w:p>
        </w:tc>
        <w:tc>
          <w:tcPr>
            <w:tcW w:w="1725" w:type="dxa"/>
            <w:gridSpan w:val="2"/>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2024</w:t>
            </w:r>
            <w:r>
              <w:rPr>
                <w:rFonts w:ascii="宋体" w:hAnsi="宋体" w:eastAsia="宋体" w:cs="宋体"/>
                <w:b w:val="0"/>
                <w:bCs w:val="0"/>
                <w:i w:val="0"/>
                <w:iCs w:val="0"/>
                <w:smallCaps w:val="0"/>
                <w:color w:val="000000"/>
                <w:kern w:val="0"/>
                <w:sz w:val="21"/>
                <w:szCs w:val="21"/>
              </w:rPr>
              <w:t>年度</w:t>
            </w:r>
          </w:p>
        </w:tc>
        <w:tc>
          <w:tcPr>
            <w:tcW w:w="1336"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2474" w:type="dxa"/>
            <w:gridSpan w:val="2"/>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r>
              <w:rPr>
                <w:rFonts w:ascii="宋体" w:hAnsi="宋体" w:eastAsia="宋体" w:cs="宋体"/>
                <w:b w:val="0"/>
                <w:bCs w:val="0"/>
                <w:i w:val="0"/>
                <w:iCs w:val="0"/>
                <w:smallCaps w:val="0"/>
                <w:color w:val="000000"/>
                <w:kern w:val="0"/>
                <w:sz w:val="21"/>
                <w:szCs w:val="21"/>
              </w:rPr>
              <w:t>金额单位：万元</w:t>
            </w:r>
          </w:p>
        </w:tc>
      </w:tr>
      <w:tr>
        <w:tblPrEx>
          <w:tblLayout w:type="fixed"/>
          <w:tblCellMar>
            <w:top w:w="15" w:type="dxa"/>
            <w:left w:w="15" w:type="dxa"/>
            <w:bottom w:w="15" w:type="dxa"/>
            <w:right w:w="15" w:type="dxa"/>
          </w:tblCellMar>
        </w:tblPrEx>
        <w:tc>
          <w:tcPr>
            <w:tcW w:w="2771"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收入</w:t>
            </w:r>
          </w:p>
        </w:tc>
        <w:tc>
          <w:tcPr>
            <w:tcW w:w="7010" w:type="dxa"/>
            <w:gridSpan w:val="6"/>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支出</w:t>
            </w:r>
          </w:p>
        </w:tc>
      </w:tr>
      <w:tr>
        <w:tblPrEx>
          <w:tblLayout w:type="fixed"/>
          <w:tblCellMar>
            <w:top w:w="15" w:type="dxa"/>
            <w:left w:w="15" w:type="dxa"/>
            <w:bottom w:w="15" w:type="dxa"/>
            <w:right w:w="15" w:type="dxa"/>
          </w:tblCellMar>
        </w:tblPrEx>
        <w:tc>
          <w:tcPr>
            <w:tcW w:w="14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项目</w:t>
            </w:r>
            <w:r>
              <w:rPr>
                <w:rFonts w:ascii="Times New Roman" w:hAnsi="Times New Roman" w:eastAsia="Times New Roman" w:cs="Times New Roman"/>
                <w:b w:val="0"/>
                <w:bCs w:val="0"/>
                <w:i w:val="0"/>
                <w:iCs w:val="0"/>
                <w:smallCaps w:val="0"/>
                <w:color w:val="000000"/>
                <w:kern w:val="0"/>
                <w:sz w:val="18"/>
                <w:szCs w:val="18"/>
              </w:rPr>
              <w:t xml:space="preserve"> </w:t>
            </w:r>
          </w:p>
        </w:tc>
        <w:tc>
          <w:tcPr>
            <w:tcW w:w="38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行次</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金额</w:t>
            </w:r>
          </w:p>
        </w:tc>
        <w:tc>
          <w:tcPr>
            <w:tcW w:w="147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项目</w:t>
            </w:r>
          </w:p>
        </w:tc>
        <w:tc>
          <w:tcPr>
            <w:tcW w:w="7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行次</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合计</w:t>
            </w:r>
          </w:p>
        </w:tc>
        <w:tc>
          <w:tcPr>
            <w:tcW w:w="13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一般公共预算财政拨款</w:t>
            </w:r>
          </w:p>
        </w:tc>
        <w:tc>
          <w:tcPr>
            <w:tcW w:w="11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政府性基金预算财政拨款</w:t>
            </w:r>
          </w:p>
        </w:tc>
        <w:tc>
          <w:tcPr>
            <w:tcW w:w="127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国有资本经营预算财政拨款</w:t>
            </w:r>
          </w:p>
        </w:tc>
      </w:tr>
      <w:tr>
        <w:tblPrEx>
          <w:tblLayout w:type="fixed"/>
          <w:tblCellMar>
            <w:top w:w="15" w:type="dxa"/>
            <w:left w:w="15" w:type="dxa"/>
            <w:bottom w:w="15" w:type="dxa"/>
            <w:right w:w="15" w:type="dxa"/>
          </w:tblCellMar>
        </w:tblPrEx>
        <w:tc>
          <w:tcPr>
            <w:tcW w:w="14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栏次</w:t>
            </w:r>
          </w:p>
        </w:tc>
        <w:tc>
          <w:tcPr>
            <w:tcW w:w="38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w:t>
            </w:r>
          </w:p>
        </w:tc>
        <w:tc>
          <w:tcPr>
            <w:tcW w:w="147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栏次</w:t>
            </w:r>
          </w:p>
        </w:tc>
        <w:tc>
          <w:tcPr>
            <w:tcW w:w="7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c>
          <w:tcPr>
            <w:tcW w:w="13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w:t>
            </w:r>
          </w:p>
        </w:tc>
        <w:tc>
          <w:tcPr>
            <w:tcW w:w="11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w:t>
            </w:r>
          </w:p>
        </w:tc>
        <w:tc>
          <w:tcPr>
            <w:tcW w:w="127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w:t>
            </w:r>
          </w:p>
        </w:tc>
      </w:tr>
      <w:tr>
        <w:tblPrEx>
          <w:tblLayout w:type="fixed"/>
          <w:tblCellMar>
            <w:top w:w="15" w:type="dxa"/>
            <w:left w:w="15" w:type="dxa"/>
            <w:bottom w:w="15" w:type="dxa"/>
            <w:right w:w="15" w:type="dxa"/>
          </w:tblCellMar>
        </w:tblPrEx>
        <w:tc>
          <w:tcPr>
            <w:tcW w:w="14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一、一般公共预算财政拨款</w:t>
            </w:r>
            <w:r>
              <w:rPr>
                <w:rFonts w:ascii="Times New Roman" w:hAnsi="Times New Roman" w:eastAsia="Times New Roman" w:cs="Times New Roman"/>
                <w:b w:val="0"/>
                <w:bCs w:val="0"/>
                <w:i w:val="0"/>
                <w:iCs w:val="0"/>
                <w:smallCaps w:val="0"/>
                <w:color w:val="000000"/>
                <w:kern w:val="0"/>
                <w:sz w:val="18"/>
                <w:szCs w:val="18"/>
              </w:rPr>
              <w:t xml:space="preserve"> </w:t>
            </w:r>
          </w:p>
        </w:tc>
        <w:tc>
          <w:tcPr>
            <w:tcW w:w="38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3,579</w:t>
            </w:r>
          </w:p>
        </w:tc>
        <w:tc>
          <w:tcPr>
            <w:tcW w:w="147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一、一般公共服务支出</w:t>
            </w:r>
          </w:p>
        </w:tc>
        <w:tc>
          <w:tcPr>
            <w:tcW w:w="7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33</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27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4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二、政府性基金预算财政拨款</w:t>
            </w:r>
          </w:p>
        </w:tc>
        <w:tc>
          <w:tcPr>
            <w:tcW w:w="38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29.74</w:t>
            </w:r>
          </w:p>
        </w:tc>
        <w:tc>
          <w:tcPr>
            <w:tcW w:w="147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二、外交支出</w:t>
            </w:r>
          </w:p>
        </w:tc>
        <w:tc>
          <w:tcPr>
            <w:tcW w:w="7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34</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27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4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三、国有资本经营预算财政拨款</w:t>
            </w:r>
          </w:p>
        </w:tc>
        <w:tc>
          <w:tcPr>
            <w:tcW w:w="38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47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三、国防支出</w:t>
            </w:r>
          </w:p>
        </w:tc>
        <w:tc>
          <w:tcPr>
            <w:tcW w:w="7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35</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27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4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8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47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四、公共安全支出</w:t>
            </w:r>
          </w:p>
        </w:tc>
        <w:tc>
          <w:tcPr>
            <w:tcW w:w="7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36</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27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4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8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47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五、教育支出</w:t>
            </w:r>
          </w:p>
        </w:tc>
        <w:tc>
          <w:tcPr>
            <w:tcW w:w="7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37</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3,108.94</w:t>
            </w:r>
          </w:p>
        </w:tc>
        <w:tc>
          <w:tcPr>
            <w:tcW w:w="13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3,108.94</w:t>
            </w:r>
          </w:p>
        </w:tc>
        <w:tc>
          <w:tcPr>
            <w:tcW w:w="11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27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4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8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47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六、科学技术支出</w:t>
            </w:r>
          </w:p>
        </w:tc>
        <w:tc>
          <w:tcPr>
            <w:tcW w:w="7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38</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27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4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8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47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七、文化旅游体育与传媒支出</w:t>
            </w:r>
          </w:p>
        </w:tc>
        <w:tc>
          <w:tcPr>
            <w:tcW w:w="7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27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4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8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8</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47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八、社会保障和就业支出</w:t>
            </w:r>
          </w:p>
        </w:tc>
        <w:tc>
          <w:tcPr>
            <w:tcW w:w="7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40</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328.42</w:t>
            </w:r>
          </w:p>
        </w:tc>
        <w:tc>
          <w:tcPr>
            <w:tcW w:w="13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328.42</w:t>
            </w:r>
          </w:p>
        </w:tc>
        <w:tc>
          <w:tcPr>
            <w:tcW w:w="11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27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4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8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9</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47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九、卫生健康支出</w:t>
            </w:r>
          </w:p>
        </w:tc>
        <w:tc>
          <w:tcPr>
            <w:tcW w:w="7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41</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141.64</w:t>
            </w:r>
          </w:p>
        </w:tc>
        <w:tc>
          <w:tcPr>
            <w:tcW w:w="13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141.64</w:t>
            </w:r>
          </w:p>
        </w:tc>
        <w:tc>
          <w:tcPr>
            <w:tcW w:w="11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27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4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8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47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十、节能环保支出</w:t>
            </w:r>
          </w:p>
        </w:tc>
        <w:tc>
          <w:tcPr>
            <w:tcW w:w="7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42</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27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4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8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11</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47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十一、城乡社区支出</w:t>
            </w:r>
          </w:p>
        </w:tc>
        <w:tc>
          <w:tcPr>
            <w:tcW w:w="7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43</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27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4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8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47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十二、农林水支出</w:t>
            </w:r>
          </w:p>
        </w:tc>
        <w:tc>
          <w:tcPr>
            <w:tcW w:w="7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44</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27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4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8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13</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47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十三、交通运输支出</w:t>
            </w:r>
          </w:p>
        </w:tc>
        <w:tc>
          <w:tcPr>
            <w:tcW w:w="7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45</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27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4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8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14</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47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十四、资源勘探工业信息等支出</w:t>
            </w:r>
          </w:p>
        </w:tc>
        <w:tc>
          <w:tcPr>
            <w:tcW w:w="7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46</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27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4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8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15</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47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十五、商业服务业等支出</w:t>
            </w:r>
          </w:p>
        </w:tc>
        <w:tc>
          <w:tcPr>
            <w:tcW w:w="7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47</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27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4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8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16</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47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十六、金融支出</w:t>
            </w:r>
          </w:p>
        </w:tc>
        <w:tc>
          <w:tcPr>
            <w:tcW w:w="7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48</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27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4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8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17</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47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十七、援助其他地区支出</w:t>
            </w:r>
          </w:p>
        </w:tc>
        <w:tc>
          <w:tcPr>
            <w:tcW w:w="7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49</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27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4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8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18</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47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十八、自然资源海洋气象等支出</w:t>
            </w:r>
          </w:p>
        </w:tc>
        <w:tc>
          <w:tcPr>
            <w:tcW w:w="7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50</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27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4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8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19</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47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十九、住房保障支出</w:t>
            </w:r>
          </w:p>
        </w:tc>
        <w:tc>
          <w:tcPr>
            <w:tcW w:w="7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51</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27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4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8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47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二十、粮油物资储备支出</w:t>
            </w:r>
          </w:p>
        </w:tc>
        <w:tc>
          <w:tcPr>
            <w:tcW w:w="7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52</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27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4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8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47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二十一、国有资本经营预算支出</w:t>
            </w:r>
          </w:p>
        </w:tc>
        <w:tc>
          <w:tcPr>
            <w:tcW w:w="7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53</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27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4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8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47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二十二、灾害防治及应急管理支出</w:t>
            </w:r>
          </w:p>
        </w:tc>
        <w:tc>
          <w:tcPr>
            <w:tcW w:w="7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54</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27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4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8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23</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47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二十三、其他支出</w:t>
            </w:r>
          </w:p>
        </w:tc>
        <w:tc>
          <w:tcPr>
            <w:tcW w:w="7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55</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29.74</w:t>
            </w:r>
          </w:p>
        </w:tc>
        <w:tc>
          <w:tcPr>
            <w:tcW w:w="13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29.74</w:t>
            </w:r>
          </w:p>
        </w:tc>
        <w:tc>
          <w:tcPr>
            <w:tcW w:w="127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4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8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24</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47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二十四、债务还本支出</w:t>
            </w:r>
          </w:p>
        </w:tc>
        <w:tc>
          <w:tcPr>
            <w:tcW w:w="7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56</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27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4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8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25</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47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二十五、债务付息支出</w:t>
            </w:r>
          </w:p>
        </w:tc>
        <w:tc>
          <w:tcPr>
            <w:tcW w:w="7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57</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27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4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8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26</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47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二十六、抗疫特别国债安排的支出</w:t>
            </w:r>
          </w:p>
        </w:tc>
        <w:tc>
          <w:tcPr>
            <w:tcW w:w="7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58</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27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4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本年收入合计</w:t>
            </w:r>
          </w:p>
        </w:tc>
        <w:tc>
          <w:tcPr>
            <w:tcW w:w="38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27</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3,608.74</w:t>
            </w:r>
          </w:p>
        </w:tc>
        <w:tc>
          <w:tcPr>
            <w:tcW w:w="147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本年支出合计</w:t>
            </w:r>
          </w:p>
        </w:tc>
        <w:tc>
          <w:tcPr>
            <w:tcW w:w="7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59</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3,608.74</w:t>
            </w:r>
          </w:p>
        </w:tc>
        <w:tc>
          <w:tcPr>
            <w:tcW w:w="13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3,579</w:t>
            </w:r>
          </w:p>
        </w:tc>
        <w:tc>
          <w:tcPr>
            <w:tcW w:w="11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29.74</w:t>
            </w:r>
          </w:p>
        </w:tc>
        <w:tc>
          <w:tcPr>
            <w:tcW w:w="127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4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年初财政拨款结转和结余</w:t>
            </w:r>
            <w:r>
              <w:rPr>
                <w:rFonts w:ascii="Times New Roman" w:hAnsi="Times New Roman" w:eastAsia="Times New Roman" w:cs="Times New Roman"/>
                <w:b w:val="0"/>
                <w:bCs w:val="0"/>
                <w:i w:val="0"/>
                <w:iCs w:val="0"/>
                <w:smallCaps w:val="0"/>
                <w:color w:val="000000"/>
                <w:kern w:val="0"/>
                <w:sz w:val="18"/>
                <w:szCs w:val="18"/>
              </w:rPr>
              <w:t xml:space="preserve"> </w:t>
            </w:r>
          </w:p>
        </w:tc>
        <w:tc>
          <w:tcPr>
            <w:tcW w:w="38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28</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47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年末财政拨款结转和结余</w:t>
            </w:r>
            <w:r>
              <w:rPr>
                <w:rFonts w:ascii="Times New Roman" w:hAnsi="Times New Roman" w:eastAsia="Times New Roman" w:cs="Times New Roman"/>
                <w:b w:val="0"/>
                <w:bCs w:val="0"/>
                <w:i w:val="0"/>
                <w:iCs w:val="0"/>
                <w:smallCaps w:val="0"/>
                <w:color w:val="000000"/>
                <w:kern w:val="0"/>
                <w:sz w:val="18"/>
                <w:szCs w:val="18"/>
              </w:rPr>
              <w:t xml:space="preserve"> </w:t>
            </w:r>
          </w:p>
        </w:tc>
        <w:tc>
          <w:tcPr>
            <w:tcW w:w="7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60</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27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4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一、一般公共预算财政拨款</w:t>
            </w:r>
          </w:p>
        </w:tc>
        <w:tc>
          <w:tcPr>
            <w:tcW w:w="38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47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61</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27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4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二、政府性基金预算财政拨款</w:t>
            </w:r>
          </w:p>
        </w:tc>
        <w:tc>
          <w:tcPr>
            <w:tcW w:w="38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47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62</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27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4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三、国有资本经营预算财政拨款</w:t>
            </w:r>
          </w:p>
        </w:tc>
        <w:tc>
          <w:tcPr>
            <w:tcW w:w="38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47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63</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27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4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总计</w:t>
            </w:r>
            <w:r>
              <w:rPr>
                <w:rFonts w:ascii="Times New Roman" w:hAnsi="Times New Roman" w:eastAsia="Times New Roman" w:cs="Times New Roman"/>
                <w:b w:val="0"/>
                <w:bCs w:val="0"/>
                <w:i w:val="0"/>
                <w:iCs w:val="0"/>
                <w:smallCaps w:val="0"/>
                <w:color w:val="000000"/>
                <w:kern w:val="0"/>
                <w:sz w:val="18"/>
                <w:szCs w:val="18"/>
              </w:rPr>
              <w:t xml:space="preserve"> </w:t>
            </w:r>
          </w:p>
        </w:tc>
        <w:tc>
          <w:tcPr>
            <w:tcW w:w="38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32</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3,608.74</w:t>
            </w:r>
          </w:p>
        </w:tc>
        <w:tc>
          <w:tcPr>
            <w:tcW w:w="147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总计</w:t>
            </w:r>
            <w:r>
              <w:rPr>
                <w:rFonts w:ascii="Times New Roman" w:hAnsi="Times New Roman" w:eastAsia="Times New Roman" w:cs="Times New Roman"/>
                <w:b w:val="0"/>
                <w:bCs w:val="0"/>
                <w:i w:val="0"/>
                <w:iCs w:val="0"/>
                <w:smallCaps w:val="0"/>
                <w:color w:val="000000"/>
                <w:kern w:val="0"/>
                <w:sz w:val="18"/>
                <w:szCs w:val="18"/>
              </w:rPr>
              <w:t xml:space="preserve"> </w:t>
            </w:r>
          </w:p>
        </w:tc>
        <w:tc>
          <w:tcPr>
            <w:tcW w:w="7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64</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3,608.74</w:t>
            </w:r>
          </w:p>
        </w:tc>
        <w:tc>
          <w:tcPr>
            <w:tcW w:w="13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3,579</w:t>
            </w:r>
          </w:p>
        </w:tc>
        <w:tc>
          <w:tcPr>
            <w:tcW w:w="11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29.74</w:t>
            </w:r>
          </w:p>
        </w:tc>
        <w:tc>
          <w:tcPr>
            <w:tcW w:w="127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9781" w:type="dxa"/>
            <w:gridSpan w:val="9"/>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注：本表反映部门本年度一般公共预算财政拨款、政府性基金预算财政拨款和国有资本经营预算财政拨款的总收支和年末结转结余情况。</w:t>
            </w:r>
          </w:p>
        </w:tc>
      </w:tr>
    </w:tbl>
    <w:p>
      <w:pPr>
        <w:widowControl/>
        <w:jc w:val="left"/>
        <w:rPr>
          <w:rFonts w:ascii="Times New Roman" w:hAnsi="Times New Roman" w:eastAsia="Times New Roman" w:cs="Times New Roman"/>
          <w:kern w:val="0"/>
          <w:sz w:val="24"/>
        </w:rPr>
      </w:pPr>
      <w:r>
        <w:rPr>
          <w:rFonts w:ascii="Times New Roman" w:hAnsi="Times New Roman" w:eastAsia="Times New Roman" w:cs="Times New Roman"/>
          <w:kern w:val="0"/>
          <w:sz w:val="24"/>
        </w:rPr>
        <w:t> </w:t>
      </w:r>
    </w:p>
    <w:p>
      <w:pPr>
        <w:pStyle w:val="30"/>
        <w:widowControl/>
        <w:spacing w:before="100" w:after="100"/>
        <w:ind w:left="0" w:right="0" w:firstLine="0"/>
        <w:jc w:val="left"/>
        <w:rPr>
          <w:rFonts w:ascii="Times New Roman" w:hAnsi="Times New Roman" w:eastAsia="Times New Roman" w:cs="Times New Roman"/>
          <w:kern w:val="0"/>
          <w:sz w:val="24"/>
        </w:rPr>
      </w:pPr>
      <w:r>
        <w:rPr>
          <w:rFonts w:ascii="Times New Roman" w:hAnsi="Times New Roman" w:eastAsia="Times New Roman" w:cs="Times New Roman"/>
          <w:spacing w:val="0"/>
          <w:kern w:val="0"/>
          <w:sz w:val="27"/>
          <w:szCs w:val="27"/>
        </w:rPr>
        <w:t> </w:t>
      </w:r>
    </w:p>
    <w:p>
      <w:pPr>
        <w:pStyle w:val="6"/>
        <w:keepNext w:val="0"/>
        <w:keepLines w:val="0"/>
        <w:spacing w:before="100" w:after="100" w:line="240" w:lineRule="auto"/>
        <w:ind w:left="720" w:right="0" w:hanging="720" w:firstLineChars="0"/>
        <w:rPr>
          <w:rFonts w:ascii="黑体" w:hAnsi="黑体" w:eastAsia="黑体" w:cs="黑体"/>
          <w:b/>
          <w:spacing w:val="0"/>
        </w:rPr>
      </w:pPr>
      <w:bookmarkStart w:id="37" w:name="_Toc256000011"/>
      <w:bookmarkStart w:id="38" w:name="_Toc256000073"/>
      <w:bookmarkStart w:id="39" w:name="_Toc256000104"/>
      <w:bookmarkStart w:id="40" w:name="_Toc256000042"/>
    </w:p>
    <w:p>
      <w:pPr>
        <w:pStyle w:val="5"/>
        <w:rPr>
          <w:rFonts w:ascii="黑体" w:hAnsi="黑体" w:eastAsia="黑体" w:cs="黑体"/>
          <w:b/>
          <w:spacing w:val="0"/>
        </w:rPr>
      </w:pPr>
    </w:p>
    <w:p>
      <w:pPr>
        <w:pStyle w:val="5"/>
        <w:rPr>
          <w:rFonts w:ascii="黑体" w:hAnsi="黑体" w:eastAsia="黑体" w:cs="黑体"/>
          <w:b/>
          <w:spacing w:val="0"/>
        </w:rPr>
      </w:pPr>
    </w:p>
    <w:p>
      <w:pPr>
        <w:pStyle w:val="5"/>
        <w:rPr>
          <w:rFonts w:ascii="黑体" w:hAnsi="黑体" w:eastAsia="黑体" w:cs="黑体"/>
          <w:b/>
          <w:spacing w:val="0"/>
        </w:rPr>
      </w:pPr>
    </w:p>
    <w:p>
      <w:pPr>
        <w:pStyle w:val="5"/>
        <w:rPr>
          <w:rFonts w:ascii="黑体" w:hAnsi="黑体" w:eastAsia="黑体" w:cs="黑体"/>
          <w:b/>
          <w:spacing w:val="0"/>
        </w:rPr>
      </w:pPr>
    </w:p>
    <w:p>
      <w:pPr>
        <w:pStyle w:val="5"/>
        <w:rPr>
          <w:rFonts w:ascii="黑体" w:hAnsi="黑体" w:eastAsia="黑体" w:cs="黑体"/>
          <w:b/>
          <w:spacing w:val="0"/>
        </w:rPr>
      </w:pPr>
    </w:p>
    <w:p>
      <w:pPr>
        <w:pStyle w:val="5"/>
        <w:rPr>
          <w:rFonts w:ascii="黑体" w:hAnsi="黑体" w:eastAsia="黑体" w:cs="黑体"/>
          <w:b/>
          <w:spacing w:val="0"/>
        </w:rPr>
      </w:pPr>
    </w:p>
    <w:p>
      <w:pPr>
        <w:pStyle w:val="5"/>
        <w:rPr>
          <w:rFonts w:ascii="黑体" w:hAnsi="黑体" w:eastAsia="黑体" w:cs="黑体"/>
          <w:b/>
          <w:spacing w:val="0"/>
        </w:rPr>
      </w:pPr>
    </w:p>
    <w:p>
      <w:pPr>
        <w:pStyle w:val="6"/>
        <w:keepNext w:val="0"/>
        <w:keepLines w:val="0"/>
        <w:spacing w:before="100" w:after="100" w:line="240" w:lineRule="auto"/>
        <w:ind w:left="720" w:right="0" w:hanging="720" w:firstLineChars="0"/>
        <w:rPr>
          <w:rFonts w:ascii="黑体" w:hAnsi="黑体" w:eastAsia="黑体" w:cs="黑体"/>
          <w:b/>
          <w:spacing w:val="0"/>
        </w:rPr>
      </w:pPr>
    </w:p>
    <w:p>
      <w:pPr>
        <w:pStyle w:val="6"/>
        <w:keepNext w:val="0"/>
        <w:keepLines w:val="0"/>
        <w:spacing w:before="100" w:after="100" w:line="240" w:lineRule="auto"/>
        <w:ind w:left="0" w:leftChars="0" w:right="0" w:firstLine="643" w:firstLineChars="200"/>
        <w:rPr>
          <w:rFonts w:ascii="Times New Roman" w:hAnsi="Times New Roman" w:eastAsia="Times New Roman" w:cs="Times New Roman"/>
          <w:b/>
          <w:bCs/>
          <w:kern w:val="0"/>
          <w:sz w:val="28"/>
          <w:szCs w:val="28"/>
        </w:rPr>
      </w:pPr>
      <w:r>
        <w:rPr>
          <w:rFonts w:ascii="黑体" w:hAnsi="黑体" w:eastAsia="黑体" w:cs="黑体"/>
          <w:b/>
          <w:spacing w:val="0"/>
        </w:rPr>
        <w:t>五、一般公共预算财政拨款支出决算表</w:t>
      </w:r>
      <w:bookmarkEnd w:id="37"/>
      <w:bookmarkEnd w:id="38"/>
      <w:bookmarkEnd w:id="39"/>
      <w:bookmarkEnd w:id="40"/>
    </w:p>
    <w:p>
      <w:pPr>
        <w:widowControl/>
        <w:spacing w:before="240" w:after="240"/>
        <w:jc w:val="left"/>
        <w:rPr>
          <w:rFonts w:ascii="Times New Roman" w:hAnsi="Times New Roman" w:eastAsia="Times New Roman" w:cs="Times New Roman"/>
          <w:vanish/>
          <w:kern w:val="0"/>
          <w:sz w:val="24"/>
        </w:rPr>
      </w:pPr>
      <w:r>
        <w:rPr>
          <w:rFonts w:ascii="Times New Roman" w:hAnsi="Times New Roman" w:eastAsia="Times New Roman" w:cs="Times New Roman"/>
          <w:vanish/>
          <w:kern w:val="0"/>
          <w:sz w:val="24"/>
        </w:rPr>
        <w:t>word horizontal layout</w:t>
      </w:r>
    </w:p>
    <w:tbl>
      <w:tblPr>
        <w:tblStyle w:val="23"/>
        <w:tblW w:w="9588" w:type="dxa"/>
        <w:tblInd w:w="20" w:type="dxa"/>
        <w:tblLayout w:type="fixed"/>
        <w:tblCellMar>
          <w:top w:w="15" w:type="dxa"/>
          <w:left w:w="15" w:type="dxa"/>
          <w:bottom w:w="15" w:type="dxa"/>
          <w:right w:w="15" w:type="dxa"/>
        </w:tblCellMar>
      </w:tblPr>
      <w:tblGrid>
        <w:gridCol w:w="362"/>
        <w:gridCol w:w="362"/>
        <w:gridCol w:w="362"/>
        <w:gridCol w:w="4206"/>
        <w:gridCol w:w="956"/>
        <w:gridCol w:w="1264"/>
        <w:gridCol w:w="2076"/>
      </w:tblGrid>
      <w:tr>
        <w:tblPrEx>
          <w:tblLayout w:type="fixed"/>
          <w:tblCellMar>
            <w:top w:w="15" w:type="dxa"/>
            <w:left w:w="15" w:type="dxa"/>
            <w:bottom w:w="15" w:type="dxa"/>
            <w:right w:w="15" w:type="dxa"/>
          </w:tblCellMar>
        </w:tblPrEx>
        <w:trPr>
          <w:tblHeader/>
        </w:trPr>
        <w:tc>
          <w:tcPr>
            <w:tcW w:w="9588" w:type="dxa"/>
            <w:gridSpan w:val="7"/>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32"/>
                <w:szCs w:val="32"/>
              </w:rPr>
              <w:t>一般公共预算财政拨款支出决算表</w:t>
            </w:r>
          </w:p>
        </w:tc>
      </w:tr>
      <w:tr>
        <w:tblPrEx>
          <w:tblLayout w:type="fixed"/>
          <w:tblCellMar>
            <w:top w:w="15" w:type="dxa"/>
            <w:left w:w="15" w:type="dxa"/>
            <w:bottom w:w="15" w:type="dxa"/>
            <w:right w:w="15" w:type="dxa"/>
          </w:tblCellMar>
        </w:tblPrEx>
        <w:trPr>
          <w:tblHeader/>
        </w:trPr>
        <w:tc>
          <w:tcPr>
            <w:tcW w:w="362"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362"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362"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4206"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956"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264"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2076"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c>
          <w:tcPr>
            <w:tcW w:w="6248" w:type="dxa"/>
            <w:gridSpan w:val="5"/>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部门</w:t>
            </w:r>
            <w:r>
              <w:rPr>
                <w:rFonts w:ascii="Times New Roman" w:hAnsi="Times New Roman" w:eastAsia="Times New Roman" w:cs="Times New Roman"/>
                <w:b w:val="0"/>
                <w:bCs w:val="0"/>
                <w:i w:val="0"/>
                <w:iCs w:val="0"/>
                <w:smallCaps w:val="0"/>
                <w:color w:val="000000"/>
                <w:kern w:val="0"/>
                <w:sz w:val="21"/>
                <w:szCs w:val="21"/>
              </w:rPr>
              <w:t>/</w:t>
            </w:r>
            <w:r>
              <w:rPr>
                <w:rFonts w:ascii="宋体" w:hAnsi="宋体" w:eastAsia="宋体" w:cs="宋体"/>
                <w:b w:val="0"/>
                <w:bCs w:val="0"/>
                <w:i w:val="0"/>
                <w:iCs w:val="0"/>
                <w:smallCaps w:val="0"/>
                <w:color w:val="000000"/>
                <w:kern w:val="0"/>
                <w:sz w:val="21"/>
                <w:szCs w:val="21"/>
              </w:rPr>
              <w:t>单位：厦门市梧桐实验学校</w:t>
            </w:r>
          </w:p>
        </w:tc>
        <w:tc>
          <w:tcPr>
            <w:tcW w:w="1264"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2024</w:t>
            </w:r>
            <w:r>
              <w:rPr>
                <w:rFonts w:ascii="宋体" w:hAnsi="宋体" w:eastAsia="宋体" w:cs="宋体"/>
                <w:b w:val="0"/>
                <w:bCs w:val="0"/>
                <w:i w:val="0"/>
                <w:iCs w:val="0"/>
                <w:smallCaps w:val="0"/>
                <w:color w:val="000000"/>
                <w:kern w:val="0"/>
                <w:sz w:val="21"/>
                <w:szCs w:val="21"/>
              </w:rPr>
              <w:t>年度</w:t>
            </w:r>
          </w:p>
        </w:tc>
        <w:tc>
          <w:tcPr>
            <w:tcW w:w="2076"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金额单位：万元</w:t>
            </w:r>
          </w:p>
        </w:tc>
      </w:tr>
      <w:tr>
        <w:tblPrEx>
          <w:tblLayout w:type="fixed"/>
          <w:tblCellMar>
            <w:top w:w="15" w:type="dxa"/>
            <w:left w:w="15" w:type="dxa"/>
            <w:bottom w:w="15" w:type="dxa"/>
            <w:right w:w="15" w:type="dxa"/>
          </w:tblCellMar>
        </w:tblPrEx>
        <w:tc>
          <w:tcPr>
            <w:tcW w:w="5292" w:type="dxa"/>
            <w:gridSpan w:val="4"/>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项目</w:t>
            </w:r>
          </w:p>
        </w:tc>
        <w:tc>
          <w:tcPr>
            <w:tcW w:w="4296"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本年支出</w:t>
            </w:r>
          </w:p>
        </w:tc>
      </w:tr>
      <w:tr>
        <w:tblPrEx>
          <w:tblLayout w:type="fixed"/>
          <w:tblCellMar>
            <w:top w:w="15" w:type="dxa"/>
            <w:left w:w="15" w:type="dxa"/>
            <w:bottom w:w="15" w:type="dxa"/>
            <w:right w:w="15" w:type="dxa"/>
          </w:tblCellMar>
        </w:tblPrEx>
        <w:trPr>
          <w:tblHeader/>
        </w:trPr>
        <w:tc>
          <w:tcPr>
            <w:tcW w:w="1086" w:type="dxa"/>
            <w:gridSpan w:val="3"/>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科目代码</w:t>
            </w:r>
          </w:p>
        </w:tc>
        <w:tc>
          <w:tcPr>
            <w:tcW w:w="4206"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科目名称</w:t>
            </w:r>
          </w:p>
        </w:tc>
        <w:tc>
          <w:tcPr>
            <w:tcW w:w="956"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小计</w:t>
            </w:r>
          </w:p>
        </w:tc>
        <w:tc>
          <w:tcPr>
            <w:tcW w:w="1264"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基本支出</w:t>
            </w:r>
          </w:p>
        </w:tc>
        <w:tc>
          <w:tcPr>
            <w:tcW w:w="2076"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项目支出</w:t>
            </w:r>
          </w:p>
        </w:tc>
      </w:tr>
      <w:tr>
        <w:tblPrEx>
          <w:tblLayout w:type="fixed"/>
          <w:tblCellMar>
            <w:top w:w="15" w:type="dxa"/>
            <w:left w:w="15" w:type="dxa"/>
            <w:bottom w:w="15" w:type="dxa"/>
            <w:right w:w="15" w:type="dxa"/>
          </w:tblCellMar>
        </w:tblPrEx>
        <w:trPr>
          <w:tblHeader/>
        </w:trPr>
        <w:tc>
          <w:tcPr>
            <w:tcW w:w="1086" w:type="dxa"/>
            <w:gridSpan w:val="3"/>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4206"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956"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264"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2076"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tblHeader/>
        </w:trPr>
        <w:tc>
          <w:tcPr>
            <w:tcW w:w="1086" w:type="dxa"/>
            <w:gridSpan w:val="3"/>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4206"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w:t>
            </w:r>
          </w:p>
        </w:tc>
        <w:tc>
          <w:tcPr>
            <w:tcW w:w="12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c>
          <w:tcPr>
            <w:tcW w:w="20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w:t>
            </w:r>
          </w:p>
        </w:tc>
      </w:tr>
      <w:tr>
        <w:tblPrEx>
          <w:tblLayout w:type="fixed"/>
          <w:tblCellMar>
            <w:top w:w="15" w:type="dxa"/>
            <w:left w:w="15" w:type="dxa"/>
            <w:bottom w:w="15" w:type="dxa"/>
            <w:right w:w="15" w:type="dxa"/>
          </w:tblCellMar>
        </w:tblPrEx>
        <w:tc>
          <w:tcPr>
            <w:tcW w:w="5292" w:type="dxa"/>
            <w:gridSpan w:val="4"/>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合计</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3,579</w:t>
            </w:r>
          </w:p>
        </w:tc>
        <w:tc>
          <w:tcPr>
            <w:tcW w:w="12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3,385.5</w:t>
            </w:r>
          </w:p>
        </w:tc>
        <w:tc>
          <w:tcPr>
            <w:tcW w:w="20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193.5</w:t>
            </w:r>
          </w:p>
        </w:tc>
      </w:tr>
      <w:tr>
        <w:tblPrEx>
          <w:tblLayout w:type="fixed"/>
          <w:tblCellMar>
            <w:top w:w="15" w:type="dxa"/>
            <w:left w:w="15" w:type="dxa"/>
            <w:bottom w:w="15" w:type="dxa"/>
            <w:right w:w="15" w:type="dxa"/>
          </w:tblCellMar>
        </w:tblPrEx>
        <w:tc>
          <w:tcPr>
            <w:tcW w:w="1086"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w:t>
            </w:r>
          </w:p>
        </w:tc>
        <w:tc>
          <w:tcPr>
            <w:tcW w:w="42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教育支出</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3,108.94</w:t>
            </w:r>
          </w:p>
        </w:tc>
        <w:tc>
          <w:tcPr>
            <w:tcW w:w="12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2,915.44</w:t>
            </w:r>
          </w:p>
        </w:tc>
        <w:tc>
          <w:tcPr>
            <w:tcW w:w="20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193.5</w:t>
            </w:r>
          </w:p>
        </w:tc>
      </w:tr>
      <w:tr>
        <w:tblPrEx>
          <w:tblLayout w:type="fixed"/>
          <w:tblCellMar>
            <w:top w:w="15" w:type="dxa"/>
            <w:left w:w="15" w:type="dxa"/>
            <w:bottom w:w="15" w:type="dxa"/>
            <w:right w:w="15" w:type="dxa"/>
          </w:tblCellMar>
        </w:tblPrEx>
        <w:tc>
          <w:tcPr>
            <w:tcW w:w="1086"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20502</w:t>
            </w:r>
          </w:p>
        </w:tc>
        <w:tc>
          <w:tcPr>
            <w:tcW w:w="42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普通教育</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3,100.96</w:t>
            </w:r>
          </w:p>
        </w:tc>
        <w:tc>
          <w:tcPr>
            <w:tcW w:w="12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2,915.44</w:t>
            </w:r>
          </w:p>
        </w:tc>
        <w:tc>
          <w:tcPr>
            <w:tcW w:w="20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185.52</w:t>
            </w:r>
          </w:p>
        </w:tc>
      </w:tr>
      <w:tr>
        <w:tblPrEx>
          <w:tblLayout w:type="fixed"/>
          <w:tblCellMar>
            <w:top w:w="15" w:type="dxa"/>
            <w:left w:w="15" w:type="dxa"/>
            <w:bottom w:w="15" w:type="dxa"/>
            <w:right w:w="15" w:type="dxa"/>
          </w:tblCellMar>
        </w:tblPrEx>
        <w:tc>
          <w:tcPr>
            <w:tcW w:w="1086"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2050202</w:t>
            </w:r>
          </w:p>
        </w:tc>
        <w:tc>
          <w:tcPr>
            <w:tcW w:w="42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小学教育</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1,219.94</w:t>
            </w:r>
          </w:p>
        </w:tc>
        <w:tc>
          <w:tcPr>
            <w:tcW w:w="12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1,219.94</w:t>
            </w:r>
          </w:p>
        </w:tc>
        <w:tc>
          <w:tcPr>
            <w:tcW w:w="20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86"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2050203</w:t>
            </w:r>
          </w:p>
        </w:tc>
        <w:tc>
          <w:tcPr>
            <w:tcW w:w="42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初中教育</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1,612.38</w:t>
            </w:r>
          </w:p>
        </w:tc>
        <w:tc>
          <w:tcPr>
            <w:tcW w:w="12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1,612.38</w:t>
            </w:r>
          </w:p>
        </w:tc>
        <w:tc>
          <w:tcPr>
            <w:tcW w:w="20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86"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2050299</w:t>
            </w:r>
          </w:p>
        </w:tc>
        <w:tc>
          <w:tcPr>
            <w:tcW w:w="42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其他普通教育支出</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268.64</w:t>
            </w:r>
          </w:p>
        </w:tc>
        <w:tc>
          <w:tcPr>
            <w:tcW w:w="12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83.12</w:t>
            </w:r>
          </w:p>
        </w:tc>
        <w:tc>
          <w:tcPr>
            <w:tcW w:w="20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185.52</w:t>
            </w:r>
          </w:p>
        </w:tc>
      </w:tr>
      <w:tr>
        <w:tblPrEx>
          <w:tblLayout w:type="fixed"/>
          <w:tblCellMar>
            <w:top w:w="15" w:type="dxa"/>
            <w:left w:w="15" w:type="dxa"/>
            <w:bottom w:w="15" w:type="dxa"/>
            <w:right w:w="15" w:type="dxa"/>
          </w:tblCellMar>
        </w:tblPrEx>
        <w:tc>
          <w:tcPr>
            <w:tcW w:w="1086"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20509</w:t>
            </w:r>
          </w:p>
        </w:tc>
        <w:tc>
          <w:tcPr>
            <w:tcW w:w="42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教育费附加安排的支出</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7.98</w:t>
            </w:r>
          </w:p>
        </w:tc>
        <w:tc>
          <w:tcPr>
            <w:tcW w:w="12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0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7.98</w:t>
            </w:r>
          </w:p>
        </w:tc>
      </w:tr>
      <w:tr>
        <w:tblPrEx>
          <w:tblLayout w:type="fixed"/>
          <w:tblCellMar>
            <w:top w:w="15" w:type="dxa"/>
            <w:left w:w="15" w:type="dxa"/>
            <w:bottom w:w="15" w:type="dxa"/>
            <w:right w:w="15" w:type="dxa"/>
          </w:tblCellMar>
        </w:tblPrEx>
        <w:tc>
          <w:tcPr>
            <w:tcW w:w="1086"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2050999</w:t>
            </w:r>
          </w:p>
        </w:tc>
        <w:tc>
          <w:tcPr>
            <w:tcW w:w="42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其他教育费附加安排的支出</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7.98</w:t>
            </w:r>
          </w:p>
        </w:tc>
        <w:tc>
          <w:tcPr>
            <w:tcW w:w="12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0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7.98</w:t>
            </w:r>
          </w:p>
        </w:tc>
      </w:tr>
      <w:tr>
        <w:tblPrEx>
          <w:tblLayout w:type="fixed"/>
          <w:tblCellMar>
            <w:top w:w="15" w:type="dxa"/>
            <w:left w:w="15" w:type="dxa"/>
            <w:bottom w:w="15" w:type="dxa"/>
            <w:right w:w="15" w:type="dxa"/>
          </w:tblCellMar>
        </w:tblPrEx>
        <w:tc>
          <w:tcPr>
            <w:tcW w:w="1086"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w:t>
            </w:r>
          </w:p>
        </w:tc>
        <w:tc>
          <w:tcPr>
            <w:tcW w:w="42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社会保障和就业支出</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328.42</w:t>
            </w:r>
          </w:p>
        </w:tc>
        <w:tc>
          <w:tcPr>
            <w:tcW w:w="12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328.42</w:t>
            </w:r>
          </w:p>
        </w:tc>
        <w:tc>
          <w:tcPr>
            <w:tcW w:w="20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86"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w:t>
            </w:r>
          </w:p>
        </w:tc>
        <w:tc>
          <w:tcPr>
            <w:tcW w:w="42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行政事业单位养老支出</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328.42</w:t>
            </w:r>
          </w:p>
        </w:tc>
        <w:tc>
          <w:tcPr>
            <w:tcW w:w="12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328.42</w:t>
            </w:r>
          </w:p>
        </w:tc>
        <w:tc>
          <w:tcPr>
            <w:tcW w:w="20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86"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2080505</w:t>
            </w:r>
          </w:p>
        </w:tc>
        <w:tc>
          <w:tcPr>
            <w:tcW w:w="42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机关事业单位基本养老保险缴费支出</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218.94</w:t>
            </w:r>
          </w:p>
        </w:tc>
        <w:tc>
          <w:tcPr>
            <w:tcW w:w="12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218.94</w:t>
            </w:r>
          </w:p>
        </w:tc>
        <w:tc>
          <w:tcPr>
            <w:tcW w:w="20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86"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2080506</w:t>
            </w:r>
          </w:p>
        </w:tc>
        <w:tc>
          <w:tcPr>
            <w:tcW w:w="42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机关事业单位职业年金缴费支出</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109.47</w:t>
            </w:r>
          </w:p>
        </w:tc>
        <w:tc>
          <w:tcPr>
            <w:tcW w:w="12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109.47</w:t>
            </w:r>
          </w:p>
        </w:tc>
        <w:tc>
          <w:tcPr>
            <w:tcW w:w="20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86"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w:t>
            </w:r>
          </w:p>
        </w:tc>
        <w:tc>
          <w:tcPr>
            <w:tcW w:w="42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卫生健康支出</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141.64</w:t>
            </w:r>
          </w:p>
        </w:tc>
        <w:tc>
          <w:tcPr>
            <w:tcW w:w="12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141.64</w:t>
            </w:r>
          </w:p>
        </w:tc>
        <w:tc>
          <w:tcPr>
            <w:tcW w:w="20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86"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21011</w:t>
            </w:r>
          </w:p>
        </w:tc>
        <w:tc>
          <w:tcPr>
            <w:tcW w:w="42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行政事业单位医疗</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141.64</w:t>
            </w:r>
          </w:p>
        </w:tc>
        <w:tc>
          <w:tcPr>
            <w:tcW w:w="12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141.64</w:t>
            </w:r>
          </w:p>
        </w:tc>
        <w:tc>
          <w:tcPr>
            <w:tcW w:w="20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86"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2101102</w:t>
            </w:r>
          </w:p>
        </w:tc>
        <w:tc>
          <w:tcPr>
            <w:tcW w:w="42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事业单位医疗</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93.74</w:t>
            </w:r>
          </w:p>
        </w:tc>
        <w:tc>
          <w:tcPr>
            <w:tcW w:w="12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93.74</w:t>
            </w:r>
          </w:p>
        </w:tc>
        <w:tc>
          <w:tcPr>
            <w:tcW w:w="20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86"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2101199</w:t>
            </w:r>
          </w:p>
        </w:tc>
        <w:tc>
          <w:tcPr>
            <w:tcW w:w="42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其他行政事业单位医疗支出</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47.9</w:t>
            </w:r>
          </w:p>
        </w:tc>
        <w:tc>
          <w:tcPr>
            <w:tcW w:w="12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47.9</w:t>
            </w:r>
          </w:p>
        </w:tc>
        <w:tc>
          <w:tcPr>
            <w:tcW w:w="20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9588" w:type="dxa"/>
            <w:gridSpan w:val="7"/>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注：本表反映部门本年度一般公共预算财政拨款支出情况。</w:t>
            </w:r>
          </w:p>
        </w:tc>
      </w:tr>
    </w:tbl>
    <w:p>
      <w:pPr>
        <w:widowControl/>
        <w:jc w:val="left"/>
        <w:rPr>
          <w:rFonts w:ascii="Times New Roman" w:hAnsi="Times New Roman" w:eastAsia="Times New Roman" w:cs="Times New Roman"/>
          <w:kern w:val="0"/>
          <w:sz w:val="24"/>
        </w:rPr>
      </w:pPr>
      <w:r>
        <w:rPr>
          <w:rFonts w:ascii="Times New Roman" w:hAnsi="Times New Roman" w:eastAsia="Times New Roman" w:cs="Times New Roman"/>
          <w:kern w:val="0"/>
          <w:sz w:val="24"/>
        </w:rPr>
        <w:t> </w:t>
      </w:r>
    </w:p>
    <w:p>
      <w:pPr>
        <w:pStyle w:val="30"/>
        <w:widowControl/>
        <w:spacing w:before="100" w:after="100"/>
        <w:ind w:left="0" w:right="0" w:firstLine="0"/>
        <w:jc w:val="left"/>
        <w:rPr>
          <w:rFonts w:ascii="Times New Roman" w:hAnsi="Times New Roman" w:eastAsia="Times New Roman" w:cs="Times New Roman"/>
          <w:kern w:val="0"/>
          <w:sz w:val="24"/>
        </w:rPr>
      </w:pPr>
      <w:r>
        <w:rPr>
          <w:rFonts w:ascii="宋体" w:hAnsi="宋体" w:cs="宋体"/>
          <w:spacing w:val="0"/>
          <w:kern w:val="0"/>
          <w:sz w:val="24"/>
        </w:rPr>
        <w:t> </w:t>
      </w:r>
    </w:p>
    <w:p>
      <w:pPr>
        <w:pStyle w:val="6"/>
        <w:keepNext w:val="0"/>
        <w:keepLines w:val="0"/>
        <w:spacing w:before="100" w:after="100" w:line="240" w:lineRule="auto"/>
        <w:ind w:left="720" w:right="0" w:hanging="720" w:firstLineChars="0"/>
        <w:rPr>
          <w:rFonts w:ascii="黑体" w:hAnsi="黑体" w:eastAsia="黑体" w:cs="黑体"/>
          <w:b/>
          <w:spacing w:val="0"/>
        </w:rPr>
      </w:pPr>
      <w:bookmarkStart w:id="41" w:name="_Toc256000012"/>
      <w:bookmarkStart w:id="42" w:name="_Toc256000074"/>
      <w:bookmarkStart w:id="43" w:name="_Toc256000043"/>
      <w:bookmarkStart w:id="44" w:name="_Toc256000105"/>
    </w:p>
    <w:p>
      <w:pPr>
        <w:pStyle w:val="6"/>
        <w:keepNext w:val="0"/>
        <w:keepLines w:val="0"/>
        <w:spacing w:before="100" w:after="100" w:line="240" w:lineRule="auto"/>
        <w:ind w:left="720" w:right="0" w:hanging="720" w:firstLineChars="0"/>
        <w:rPr>
          <w:rFonts w:ascii="黑体" w:hAnsi="黑体" w:eastAsia="黑体" w:cs="黑体"/>
          <w:b/>
          <w:spacing w:val="0"/>
        </w:rPr>
      </w:pPr>
    </w:p>
    <w:p>
      <w:pPr>
        <w:pStyle w:val="5"/>
        <w:rPr>
          <w:rFonts w:ascii="黑体" w:hAnsi="黑体" w:eastAsia="黑体" w:cs="黑体"/>
          <w:b/>
          <w:spacing w:val="0"/>
        </w:rPr>
      </w:pPr>
    </w:p>
    <w:p>
      <w:pPr>
        <w:pStyle w:val="5"/>
        <w:rPr>
          <w:rFonts w:ascii="黑体" w:hAnsi="黑体" w:eastAsia="黑体" w:cs="黑体"/>
          <w:b/>
          <w:spacing w:val="0"/>
        </w:rPr>
      </w:pPr>
    </w:p>
    <w:p>
      <w:pPr>
        <w:pStyle w:val="5"/>
        <w:rPr>
          <w:rFonts w:ascii="黑体" w:hAnsi="黑体" w:eastAsia="黑体" w:cs="黑体"/>
          <w:b/>
          <w:spacing w:val="0"/>
        </w:rPr>
      </w:pPr>
    </w:p>
    <w:p>
      <w:pPr>
        <w:pStyle w:val="5"/>
        <w:rPr>
          <w:rFonts w:ascii="黑体" w:hAnsi="黑体" w:eastAsia="黑体" w:cs="黑体"/>
          <w:b/>
          <w:spacing w:val="0"/>
        </w:rPr>
      </w:pPr>
    </w:p>
    <w:p>
      <w:pPr>
        <w:pStyle w:val="5"/>
        <w:rPr>
          <w:rFonts w:ascii="黑体" w:hAnsi="黑体" w:eastAsia="黑体" w:cs="黑体"/>
          <w:b/>
          <w:spacing w:val="0"/>
        </w:rPr>
      </w:pPr>
    </w:p>
    <w:p>
      <w:pPr>
        <w:pStyle w:val="6"/>
        <w:keepNext w:val="0"/>
        <w:keepLines w:val="0"/>
        <w:spacing w:before="100" w:after="100" w:line="240" w:lineRule="auto"/>
        <w:ind w:left="720" w:right="0" w:hanging="720" w:firstLineChars="0"/>
        <w:rPr>
          <w:rFonts w:ascii="黑体" w:hAnsi="黑体" w:eastAsia="黑体" w:cs="黑体"/>
          <w:b/>
          <w:spacing w:val="0"/>
        </w:rPr>
      </w:pPr>
    </w:p>
    <w:p>
      <w:pPr>
        <w:pStyle w:val="6"/>
        <w:keepNext w:val="0"/>
        <w:keepLines w:val="0"/>
        <w:spacing w:before="100" w:after="100" w:line="240" w:lineRule="auto"/>
        <w:ind w:left="720" w:right="0" w:hanging="720" w:firstLineChars="0"/>
        <w:rPr>
          <w:rFonts w:ascii="黑体" w:hAnsi="黑体" w:eastAsia="黑体" w:cs="黑体"/>
          <w:b/>
          <w:spacing w:val="0"/>
        </w:rPr>
      </w:pPr>
    </w:p>
    <w:p>
      <w:pPr>
        <w:pStyle w:val="6"/>
        <w:keepNext w:val="0"/>
        <w:keepLines w:val="0"/>
        <w:spacing w:before="100" w:after="100" w:line="240" w:lineRule="auto"/>
        <w:ind w:left="720" w:right="0" w:hanging="720" w:firstLineChars="0"/>
        <w:rPr>
          <w:rFonts w:ascii="黑体" w:hAnsi="黑体" w:eastAsia="黑体" w:cs="黑体"/>
          <w:b/>
          <w:spacing w:val="0"/>
        </w:rPr>
      </w:pPr>
    </w:p>
    <w:p>
      <w:pPr>
        <w:pStyle w:val="6"/>
        <w:keepNext w:val="0"/>
        <w:keepLines w:val="0"/>
        <w:spacing w:before="100" w:after="100" w:line="240" w:lineRule="auto"/>
        <w:ind w:left="0" w:leftChars="0" w:right="0" w:firstLine="643" w:firstLineChars="200"/>
        <w:rPr>
          <w:rFonts w:ascii="Times New Roman" w:hAnsi="Times New Roman" w:eastAsia="Times New Roman" w:cs="Times New Roman"/>
          <w:vanish/>
          <w:kern w:val="0"/>
          <w:sz w:val="24"/>
        </w:rPr>
      </w:pPr>
      <w:r>
        <w:rPr>
          <w:rFonts w:ascii="黑体" w:hAnsi="黑体" w:eastAsia="黑体" w:cs="黑体"/>
          <w:b/>
          <w:spacing w:val="0"/>
        </w:rPr>
        <w:t>六、一般公共预算财政拨款基本支出决算表</w:t>
      </w:r>
      <w:bookmarkEnd w:id="41"/>
      <w:bookmarkEnd w:id="42"/>
      <w:bookmarkEnd w:id="43"/>
      <w:bookmarkEnd w:id="44"/>
      <w:r>
        <w:rPr>
          <w:rFonts w:ascii="Times New Roman" w:hAnsi="Times New Roman" w:eastAsia="Times New Roman" w:cs="Times New Roman"/>
          <w:vanish/>
          <w:kern w:val="0"/>
          <w:sz w:val="24"/>
        </w:rPr>
        <w:t>word horizontal layout</w:t>
      </w:r>
    </w:p>
    <w:tbl>
      <w:tblPr>
        <w:tblStyle w:val="23"/>
        <w:tblW w:w="9778" w:type="dxa"/>
        <w:tblInd w:w="20" w:type="dxa"/>
        <w:tblLayout w:type="fixed"/>
        <w:tblCellMar>
          <w:top w:w="15" w:type="dxa"/>
          <w:left w:w="15" w:type="dxa"/>
          <w:bottom w:w="15" w:type="dxa"/>
          <w:right w:w="15" w:type="dxa"/>
        </w:tblCellMar>
      </w:tblPr>
      <w:tblGrid>
        <w:gridCol w:w="1015"/>
        <w:gridCol w:w="1627"/>
        <w:gridCol w:w="676"/>
        <w:gridCol w:w="1015"/>
        <w:gridCol w:w="1154"/>
        <w:gridCol w:w="541"/>
        <w:gridCol w:w="1015"/>
        <w:gridCol w:w="1835"/>
        <w:gridCol w:w="900"/>
      </w:tblGrid>
      <w:tr>
        <w:tblPrEx>
          <w:tblLayout w:type="fixed"/>
          <w:tblCellMar>
            <w:top w:w="15" w:type="dxa"/>
            <w:left w:w="15" w:type="dxa"/>
            <w:bottom w:w="15" w:type="dxa"/>
            <w:right w:w="15" w:type="dxa"/>
          </w:tblCellMar>
        </w:tblPrEx>
        <w:trPr>
          <w:tblHeader/>
        </w:trPr>
        <w:tc>
          <w:tcPr>
            <w:tcW w:w="9778" w:type="dxa"/>
            <w:gridSpan w:val="9"/>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32"/>
                <w:szCs w:val="32"/>
              </w:rPr>
              <w:t>一般公共预算财政拨款基本支出决算表</w:t>
            </w:r>
          </w:p>
        </w:tc>
      </w:tr>
      <w:tr>
        <w:tblPrEx>
          <w:tblLayout w:type="fixed"/>
          <w:tblCellMar>
            <w:top w:w="15" w:type="dxa"/>
            <w:left w:w="15" w:type="dxa"/>
            <w:bottom w:w="15" w:type="dxa"/>
            <w:right w:w="15" w:type="dxa"/>
          </w:tblCellMar>
        </w:tblPrEx>
        <w:trPr>
          <w:tblHeader/>
        </w:trPr>
        <w:tc>
          <w:tcPr>
            <w:tcW w:w="1015"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62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676"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015"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154"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541"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015"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835"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900"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rPr>
          <w:tblHeader/>
        </w:trPr>
        <w:tc>
          <w:tcPr>
            <w:tcW w:w="4333" w:type="dxa"/>
            <w:gridSpan w:val="4"/>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部门</w:t>
            </w:r>
            <w:r>
              <w:rPr>
                <w:rFonts w:ascii="Times New Roman" w:hAnsi="Times New Roman" w:eastAsia="Times New Roman" w:cs="Times New Roman"/>
                <w:b w:val="0"/>
                <w:bCs w:val="0"/>
                <w:i w:val="0"/>
                <w:iCs w:val="0"/>
                <w:smallCaps w:val="0"/>
                <w:color w:val="000000"/>
                <w:kern w:val="0"/>
                <w:sz w:val="21"/>
                <w:szCs w:val="21"/>
              </w:rPr>
              <w:t>/</w:t>
            </w:r>
            <w:r>
              <w:rPr>
                <w:rFonts w:ascii="宋体" w:hAnsi="宋体" w:eastAsia="宋体" w:cs="宋体"/>
                <w:b w:val="0"/>
                <w:bCs w:val="0"/>
                <w:i w:val="0"/>
                <w:iCs w:val="0"/>
                <w:smallCaps w:val="0"/>
                <w:color w:val="000000"/>
                <w:kern w:val="0"/>
                <w:sz w:val="21"/>
                <w:szCs w:val="21"/>
              </w:rPr>
              <w:t>单位：厦门市梧桐实验学校</w:t>
            </w:r>
          </w:p>
        </w:tc>
        <w:tc>
          <w:tcPr>
            <w:tcW w:w="1154"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2024</w:t>
            </w:r>
            <w:r>
              <w:rPr>
                <w:rFonts w:ascii="宋体" w:hAnsi="宋体" w:eastAsia="宋体" w:cs="宋体"/>
                <w:b w:val="0"/>
                <w:bCs w:val="0"/>
                <w:i w:val="0"/>
                <w:iCs w:val="0"/>
                <w:smallCaps w:val="0"/>
                <w:color w:val="000000"/>
                <w:kern w:val="0"/>
                <w:sz w:val="21"/>
                <w:szCs w:val="21"/>
              </w:rPr>
              <w:t>年度</w:t>
            </w:r>
          </w:p>
        </w:tc>
        <w:tc>
          <w:tcPr>
            <w:tcW w:w="541"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015"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2735" w:type="dxa"/>
            <w:gridSpan w:val="2"/>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r>
              <w:rPr>
                <w:rFonts w:ascii="宋体" w:hAnsi="宋体" w:eastAsia="宋体" w:cs="宋体"/>
                <w:b w:val="0"/>
                <w:bCs w:val="0"/>
                <w:i w:val="0"/>
                <w:iCs w:val="0"/>
                <w:smallCaps w:val="0"/>
                <w:color w:val="000000"/>
                <w:kern w:val="0"/>
                <w:sz w:val="21"/>
                <w:szCs w:val="21"/>
              </w:rPr>
              <w:t>金额单位：万元</w:t>
            </w:r>
          </w:p>
        </w:tc>
      </w:tr>
      <w:tr>
        <w:tblPrEx>
          <w:tblLayout w:type="fixed"/>
          <w:tblCellMar>
            <w:top w:w="15" w:type="dxa"/>
            <w:left w:w="15" w:type="dxa"/>
            <w:bottom w:w="15" w:type="dxa"/>
            <w:right w:w="15" w:type="dxa"/>
          </w:tblCellMar>
        </w:tblPrEx>
        <w:trPr>
          <w:tblHeader/>
        </w:trPr>
        <w:tc>
          <w:tcPr>
            <w:tcW w:w="1015"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经济分类科目编码</w:t>
            </w:r>
          </w:p>
        </w:tc>
        <w:tc>
          <w:tcPr>
            <w:tcW w:w="1627"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科目名称</w:t>
            </w:r>
          </w:p>
        </w:tc>
        <w:tc>
          <w:tcPr>
            <w:tcW w:w="676"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金额</w:t>
            </w:r>
          </w:p>
        </w:tc>
        <w:tc>
          <w:tcPr>
            <w:tcW w:w="1015"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经济分类科目编码</w:t>
            </w:r>
          </w:p>
        </w:tc>
        <w:tc>
          <w:tcPr>
            <w:tcW w:w="1154"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科目名称</w:t>
            </w:r>
          </w:p>
        </w:tc>
        <w:tc>
          <w:tcPr>
            <w:tcW w:w="541"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金额</w:t>
            </w:r>
          </w:p>
        </w:tc>
        <w:tc>
          <w:tcPr>
            <w:tcW w:w="1015"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经济分类科目编码</w:t>
            </w:r>
          </w:p>
        </w:tc>
        <w:tc>
          <w:tcPr>
            <w:tcW w:w="1835"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科目名称</w:t>
            </w:r>
          </w:p>
        </w:tc>
        <w:tc>
          <w:tcPr>
            <w:tcW w:w="900"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金额</w:t>
            </w:r>
          </w:p>
        </w:tc>
      </w:tr>
      <w:tr>
        <w:tblPrEx>
          <w:tblLayout w:type="fixed"/>
          <w:tblCellMar>
            <w:top w:w="15" w:type="dxa"/>
            <w:left w:w="15" w:type="dxa"/>
            <w:bottom w:w="15" w:type="dxa"/>
            <w:right w:w="15" w:type="dxa"/>
          </w:tblCellMar>
        </w:tblPrEx>
        <w:trPr>
          <w:tblHeader/>
        </w:trPr>
        <w:tc>
          <w:tcPr>
            <w:tcW w:w="101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62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676"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1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154"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541"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1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83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900"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tblHeader/>
        </w:trPr>
        <w:tc>
          <w:tcPr>
            <w:tcW w:w="10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w:t>
            </w:r>
          </w:p>
        </w:tc>
        <w:tc>
          <w:tcPr>
            <w:tcW w:w="16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工资福利支出</w:t>
            </w:r>
          </w:p>
        </w:tc>
        <w:tc>
          <w:tcPr>
            <w:tcW w:w="6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3,007.95</w:t>
            </w:r>
          </w:p>
        </w:tc>
        <w:tc>
          <w:tcPr>
            <w:tcW w:w="10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w:t>
            </w:r>
          </w:p>
        </w:tc>
        <w:tc>
          <w:tcPr>
            <w:tcW w:w="11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商品和服务支出</w:t>
            </w:r>
          </w:p>
        </w:tc>
        <w:tc>
          <w:tcPr>
            <w:tcW w:w="54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309.55</w:t>
            </w:r>
          </w:p>
        </w:tc>
        <w:tc>
          <w:tcPr>
            <w:tcW w:w="10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30703</w:t>
            </w:r>
          </w:p>
        </w:tc>
        <w:tc>
          <w:tcPr>
            <w:tcW w:w="18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国内债务发行费用</w:t>
            </w:r>
          </w:p>
        </w:tc>
        <w:tc>
          <w:tcPr>
            <w:tcW w:w="9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blHeader/>
        </w:trPr>
        <w:tc>
          <w:tcPr>
            <w:tcW w:w="10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30101</w:t>
            </w:r>
          </w:p>
        </w:tc>
        <w:tc>
          <w:tcPr>
            <w:tcW w:w="16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基本工资</w:t>
            </w:r>
          </w:p>
        </w:tc>
        <w:tc>
          <w:tcPr>
            <w:tcW w:w="6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398.94</w:t>
            </w:r>
          </w:p>
        </w:tc>
        <w:tc>
          <w:tcPr>
            <w:tcW w:w="10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30201</w:t>
            </w:r>
          </w:p>
        </w:tc>
        <w:tc>
          <w:tcPr>
            <w:tcW w:w="11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办公费</w:t>
            </w:r>
          </w:p>
        </w:tc>
        <w:tc>
          <w:tcPr>
            <w:tcW w:w="54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152.1</w:t>
            </w:r>
          </w:p>
        </w:tc>
        <w:tc>
          <w:tcPr>
            <w:tcW w:w="10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30704</w:t>
            </w:r>
          </w:p>
        </w:tc>
        <w:tc>
          <w:tcPr>
            <w:tcW w:w="18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国外债务发行费用</w:t>
            </w:r>
          </w:p>
        </w:tc>
        <w:tc>
          <w:tcPr>
            <w:tcW w:w="9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blHeader/>
        </w:trPr>
        <w:tc>
          <w:tcPr>
            <w:tcW w:w="10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30102</w:t>
            </w:r>
          </w:p>
        </w:tc>
        <w:tc>
          <w:tcPr>
            <w:tcW w:w="16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津贴补贴</w:t>
            </w:r>
          </w:p>
        </w:tc>
        <w:tc>
          <w:tcPr>
            <w:tcW w:w="6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530.84</w:t>
            </w:r>
          </w:p>
        </w:tc>
        <w:tc>
          <w:tcPr>
            <w:tcW w:w="10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30202</w:t>
            </w:r>
          </w:p>
        </w:tc>
        <w:tc>
          <w:tcPr>
            <w:tcW w:w="11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印刷费</w:t>
            </w:r>
          </w:p>
        </w:tc>
        <w:tc>
          <w:tcPr>
            <w:tcW w:w="54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0.68</w:t>
            </w:r>
          </w:p>
        </w:tc>
        <w:tc>
          <w:tcPr>
            <w:tcW w:w="10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w:t>
            </w:r>
          </w:p>
        </w:tc>
        <w:tc>
          <w:tcPr>
            <w:tcW w:w="18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资本性支出</w:t>
            </w:r>
          </w:p>
        </w:tc>
        <w:tc>
          <w:tcPr>
            <w:tcW w:w="9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61.04</w:t>
            </w:r>
          </w:p>
        </w:tc>
      </w:tr>
      <w:tr>
        <w:tblPrEx>
          <w:tblLayout w:type="fixed"/>
          <w:tblCellMar>
            <w:top w:w="15" w:type="dxa"/>
            <w:left w:w="15" w:type="dxa"/>
            <w:bottom w:w="15" w:type="dxa"/>
            <w:right w:w="15" w:type="dxa"/>
          </w:tblCellMar>
        </w:tblPrEx>
        <w:trPr>
          <w:tblHeader/>
        </w:trPr>
        <w:tc>
          <w:tcPr>
            <w:tcW w:w="10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30103</w:t>
            </w:r>
          </w:p>
        </w:tc>
        <w:tc>
          <w:tcPr>
            <w:tcW w:w="16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奖金</w:t>
            </w:r>
          </w:p>
        </w:tc>
        <w:tc>
          <w:tcPr>
            <w:tcW w:w="6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956.86</w:t>
            </w:r>
          </w:p>
        </w:tc>
        <w:tc>
          <w:tcPr>
            <w:tcW w:w="10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30203</w:t>
            </w:r>
          </w:p>
        </w:tc>
        <w:tc>
          <w:tcPr>
            <w:tcW w:w="11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咨询费</w:t>
            </w:r>
          </w:p>
        </w:tc>
        <w:tc>
          <w:tcPr>
            <w:tcW w:w="54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31001</w:t>
            </w:r>
          </w:p>
        </w:tc>
        <w:tc>
          <w:tcPr>
            <w:tcW w:w="18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房屋建筑物购建</w:t>
            </w:r>
          </w:p>
        </w:tc>
        <w:tc>
          <w:tcPr>
            <w:tcW w:w="9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blHeader/>
        </w:trPr>
        <w:tc>
          <w:tcPr>
            <w:tcW w:w="10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30106</w:t>
            </w:r>
          </w:p>
        </w:tc>
        <w:tc>
          <w:tcPr>
            <w:tcW w:w="16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伙食补助费</w:t>
            </w:r>
          </w:p>
        </w:tc>
        <w:tc>
          <w:tcPr>
            <w:tcW w:w="6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30204</w:t>
            </w:r>
          </w:p>
        </w:tc>
        <w:tc>
          <w:tcPr>
            <w:tcW w:w="11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手续费</w:t>
            </w:r>
          </w:p>
        </w:tc>
        <w:tc>
          <w:tcPr>
            <w:tcW w:w="54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31002</w:t>
            </w:r>
          </w:p>
        </w:tc>
        <w:tc>
          <w:tcPr>
            <w:tcW w:w="18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办公设备购置</w:t>
            </w:r>
          </w:p>
        </w:tc>
        <w:tc>
          <w:tcPr>
            <w:tcW w:w="9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61.04</w:t>
            </w:r>
          </w:p>
        </w:tc>
      </w:tr>
      <w:tr>
        <w:tblPrEx>
          <w:tblLayout w:type="fixed"/>
          <w:tblCellMar>
            <w:top w:w="15" w:type="dxa"/>
            <w:left w:w="15" w:type="dxa"/>
            <w:bottom w:w="15" w:type="dxa"/>
            <w:right w:w="15" w:type="dxa"/>
          </w:tblCellMar>
        </w:tblPrEx>
        <w:trPr>
          <w:tblHeader/>
        </w:trPr>
        <w:tc>
          <w:tcPr>
            <w:tcW w:w="10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30107</w:t>
            </w:r>
          </w:p>
        </w:tc>
        <w:tc>
          <w:tcPr>
            <w:tcW w:w="16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绩效工资</w:t>
            </w:r>
          </w:p>
        </w:tc>
        <w:tc>
          <w:tcPr>
            <w:tcW w:w="6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192.32</w:t>
            </w:r>
          </w:p>
        </w:tc>
        <w:tc>
          <w:tcPr>
            <w:tcW w:w="10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30205</w:t>
            </w:r>
          </w:p>
        </w:tc>
        <w:tc>
          <w:tcPr>
            <w:tcW w:w="11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水费</w:t>
            </w:r>
          </w:p>
        </w:tc>
        <w:tc>
          <w:tcPr>
            <w:tcW w:w="54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3.41</w:t>
            </w:r>
          </w:p>
        </w:tc>
        <w:tc>
          <w:tcPr>
            <w:tcW w:w="10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31003</w:t>
            </w:r>
          </w:p>
        </w:tc>
        <w:tc>
          <w:tcPr>
            <w:tcW w:w="18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专用设备购置</w:t>
            </w:r>
          </w:p>
        </w:tc>
        <w:tc>
          <w:tcPr>
            <w:tcW w:w="9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blHeader/>
        </w:trPr>
        <w:tc>
          <w:tcPr>
            <w:tcW w:w="10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30108</w:t>
            </w:r>
          </w:p>
        </w:tc>
        <w:tc>
          <w:tcPr>
            <w:tcW w:w="16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机关事业单位基本养老保险缴费</w:t>
            </w:r>
          </w:p>
        </w:tc>
        <w:tc>
          <w:tcPr>
            <w:tcW w:w="6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218.97</w:t>
            </w:r>
          </w:p>
        </w:tc>
        <w:tc>
          <w:tcPr>
            <w:tcW w:w="10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30206</w:t>
            </w:r>
          </w:p>
        </w:tc>
        <w:tc>
          <w:tcPr>
            <w:tcW w:w="11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电费</w:t>
            </w:r>
          </w:p>
        </w:tc>
        <w:tc>
          <w:tcPr>
            <w:tcW w:w="54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31.63</w:t>
            </w:r>
          </w:p>
        </w:tc>
        <w:tc>
          <w:tcPr>
            <w:tcW w:w="10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31005</w:t>
            </w:r>
          </w:p>
        </w:tc>
        <w:tc>
          <w:tcPr>
            <w:tcW w:w="18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基础设施建设</w:t>
            </w:r>
          </w:p>
        </w:tc>
        <w:tc>
          <w:tcPr>
            <w:tcW w:w="9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blHeader/>
        </w:trPr>
        <w:tc>
          <w:tcPr>
            <w:tcW w:w="10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30109</w:t>
            </w:r>
          </w:p>
        </w:tc>
        <w:tc>
          <w:tcPr>
            <w:tcW w:w="16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职业年金缴费</w:t>
            </w:r>
          </w:p>
        </w:tc>
        <w:tc>
          <w:tcPr>
            <w:tcW w:w="6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109.47</w:t>
            </w:r>
          </w:p>
        </w:tc>
        <w:tc>
          <w:tcPr>
            <w:tcW w:w="10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30207</w:t>
            </w:r>
          </w:p>
        </w:tc>
        <w:tc>
          <w:tcPr>
            <w:tcW w:w="11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邮电费</w:t>
            </w:r>
          </w:p>
        </w:tc>
        <w:tc>
          <w:tcPr>
            <w:tcW w:w="54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1.49</w:t>
            </w:r>
          </w:p>
        </w:tc>
        <w:tc>
          <w:tcPr>
            <w:tcW w:w="10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31006</w:t>
            </w:r>
          </w:p>
        </w:tc>
        <w:tc>
          <w:tcPr>
            <w:tcW w:w="18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大型修缮</w:t>
            </w:r>
          </w:p>
        </w:tc>
        <w:tc>
          <w:tcPr>
            <w:tcW w:w="9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blHeader/>
        </w:trPr>
        <w:tc>
          <w:tcPr>
            <w:tcW w:w="10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30110</w:t>
            </w:r>
          </w:p>
        </w:tc>
        <w:tc>
          <w:tcPr>
            <w:tcW w:w="16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职工基本医疗保险缴费</w:t>
            </w:r>
          </w:p>
        </w:tc>
        <w:tc>
          <w:tcPr>
            <w:tcW w:w="6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100.6</w:t>
            </w:r>
          </w:p>
        </w:tc>
        <w:tc>
          <w:tcPr>
            <w:tcW w:w="10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30208</w:t>
            </w:r>
          </w:p>
        </w:tc>
        <w:tc>
          <w:tcPr>
            <w:tcW w:w="11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取暖费</w:t>
            </w:r>
          </w:p>
        </w:tc>
        <w:tc>
          <w:tcPr>
            <w:tcW w:w="54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31007</w:t>
            </w:r>
          </w:p>
        </w:tc>
        <w:tc>
          <w:tcPr>
            <w:tcW w:w="18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信息网络及软件购置更新</w:t>
            </w:r>
          </w:p>
        </w:tc>
        <w:tc>
          <w:tcPr>
            <w:tcW w:w="9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blHeader/>
        </w:trPr>
        <w:tc>
          <w:tcPr>
            <w:tcW w:w="10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30111</w:t>
            </w:r>
          </w:p>
        </w:tc>
        <w:tc>
          <w:tcPr>
            <w:tcW w:w="16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公务员医疗补助缴费</w:t>
            </w:r>
          </w:p>
        </w:tc>
        <w:tc>
          <w:tcPr>
            <w:tcW w:w="6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30209</w:t>
            </w:r>
          </w:p>
        </w:tc>
        <w:tc>
          <w:tcPr>
            <w:tcW w:w="11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物业管理费</w:t>
            </w:r>
          </w:p>
        </w:tc>
        <w:tc>
          <w:tcPr>
            <w:tcW w:w="54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31008</w:t>
            </w:r>
          </w:p>
        </w:tc>
        <w:tc>
          <w:tcPr>
            <w:tcW w:w="18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物资储备</w:t>
            </w:r>
          </w:p>
        </w:tc>
        <w:tc>
          <w:tcPr>
            <w:tcW w:w="9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blHeader/>
        </w:trPr>
        <w:tc>
          <w:tcPr>
            <w:tcW w:w="10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30112</w:t>
            </w:r>
          </w:p>
        </w:tc>
        <w:tc>
          <w:tcPr>
            <w:tcW w:w="16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其他社会保障缴费</w:t>
            </w:r>
          </w:p>
        </w:tc>
        <w:tc>
          <w:tcPr>
            <w:tcW w:w="6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64.31</w:t>
            </w:r>
          </w:p>
        </w:tc>
        <w:tc>
          <w:tcPr>
            <w:tcW w:w="10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30211</w:t>
            </w:r>
          </w:p>
        </w:tc>
        <w:tc>
          <w:tcPr>
            <w:tcW w:w="11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差旅费</w:t>
            </w:r>
          </w:p>
        </w:tc>
        <w:tc>
          <w:tcPr>
            <w:tcW w:w="54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0.61</w:t>
            </w:r>
          </w:p>
        </w:tc>
        <w:tc>
          <w:tcPr>
            <w:tcW w:w="10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31009</w:t>
            </w:r>
          </w:p>
        </w:tc>
        <w:tc>
          <w:tcPr>
            <w:tcW w:w="18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土地补偿</w:t>
            </w:r>
          </w:p>
        </w:tc>
        <w:tc>
          <w:tcPr>
            <w:tcW w:w="9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blHeader/>
        </w:trPr>
        <w:tc>
          <w:tcPr>
            <w:tcW w:w="10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30113</w:t>
            </w:r>
          </w:p>
        </w:tc>
        <w:tc>
          <w:tcPr>
            <w:tcW w:w="16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住房公积金</w:t>
            </w:r>
          </w:p>
        </w:tc>
        <w:tc>
          <w:tcPr>
            <w:tcW w:w="6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239.53</w:t>
            </w:r>
          </w:p>
        </w:tc>
        <w:tc>
          <w:tcPr>
            <w:tcW w:w="10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30212</w:t>
            </w:r>
          </w:p>
        </w:tc>
        <w:tc>
          <w:tcPr>
            <w:tcW w:w="11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因公出国（境）费用</w:t>
            </w:r>
          </w:p>
        </w:tc>
        <w:tc>
          <w:tcPr>
            <w:tcW w:w="54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31010</w:t>
            </w:r>
          </w:p>
        </w:tc>
        <w:tc>
          <w:tcPr>
            <w:tcW w:w="18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安置补助</w:t>
            </w:r>
          </w:p>
        </w:tc>
        <w:tc>
          <w:tcPr>
            <w:tcW w:w="9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blHeader/>
        </w:trPr>
        <w:tc>
          <w:tcPr>
            <w:tcW w:w="10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30114</w:t>
            </w:r>
          </w:p>
        </w:tc>
        <w:tc>
          <w:tcPr>
            <w:tcW w:w="16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医疗费</w:t>
            </w:r>
          </w:p>
        </w:tc>
        <w:tc>
          <w:tcPr>
            <w:tcW w:w="6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30213</w:t>
            </w:r>
          </w:p>
        </w:tc>
        <w:tc>
          <w:tcPr>
            <w:tcW w:w="11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维修（护）费</w:t>
            </w:r>
          </w:p>
        </w:tc>
        <w:tc>
          <w:tcPr>
            <w:tcW w:w="54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14.08</w:t>
            </w:r>
          </w:p>
        </w:tc>
        <w:tc>
          <w:tcPr>
            <w:tcW w:w="10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31011</w:t>
            </w:r>
          </w:p>
        </w:tc>
        <w:tc>
          <w:tcPr>
            <w:tcW w:w="18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地上附着物和青苗补偿</w:t>
            </w:r>
          </w:p>
        </w:tc>
        <w:tc>
          <w:tcPr>
            <w:tcW w:w="9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blHeader/>
        </w:trPr>
        <w:tc>
          <w:tcPr>
            <w:tcW w:w="10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30199</w:t>
            </w:r>
          </w:p>
        </w:tc>
        <w:tc>
          <w:tcPr>
            <w:tcW w:w="16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其他工资福利支出</w:t>
            </w:r>
          </w:p>
        </w:tc>
        <w:tc>
          <w:tcPr>
            <w:tcW w:w="6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196.12</w:t>
            </w:r>
          </w:p>
        </w:tc>
        <w:tc>
          <w:tcPr>
            <w:tcW w:w="10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30214</w:t>
            </w:r>
          </w:p>
        </w:tc>
        <w:tc>
          <w:tcPr>
            <w:tcW w:w="11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租赁费</w:t>
            </w:r>
          </w:p>
        </w:tc>
        <w:tc>
          <w:tcPr>
            <w:tcW w:w="54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31012</w:t>
            </w:r>
          </w:p>
        </w:tc>
        <w:tc>
          <w:tcPr>
            <w:tcW w:w="18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拆迁补偿</w:t>
            </w:r>
          </w:p>
        </w:tc>
        <w:tc>
          <w:tcPr>
            <w:tcW w:w="9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blHeader/>
        </w:trPr>
        <w:tc>
          <w:tcPr>
            <w:tcW w:w="10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w:t>
            </w:r>
          </w:p>
        </w:tc>
        <w:tc>
          <w:tcPr>
            <w:tcW w:w="16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对个人和家庭的补助</w:t>
            </w:r>
          </w:p>
        </w:tc>
        <w:tc>
          <w:tcPr>
            <w:tcW w:w="6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6.96</w:t>
            </w:r>
          </w:p>
        </w:tc>
        <w:tc>
          <w:tcPr>
            <w:tcW w:w="10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30215</w:t>
            </w:r>
          </w:p>
        </w:tc>
        <w:tc>
          <w:tcPr>
            <w:tcW w:w="11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会议费</w:t>
            </w:r>
          </w:p>
        </w:tc>
        <w:tc>
          <w:tcPr>
            <w:tcW w:w="54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31013</w:t>
            </w:r>
          </w:p>
        </w:tc>
        <w:tc>
          <w:tcPr>
            <w:tcW w:w="18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公务用车购置</w:t>
            </w:r>
          </w:p>
        </w:tc>
        <w:tc>
          <w:tcPr>
            <w:tcW w:w="9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blHeader/>
        </w:trPr>
        <w:tc>
          <w:tcPr>
            <w:tcW w:w="10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30301</w:t>
            </w:r>
          </w:p>
        </w:tc>
        <w:tc>
          <w:tcPr>
            <w:tcW w:w="16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离休费</w:t>
            </w:r>
          </w:p>
        </w:tc>
        <w:tc>
          <w:tcPr>
            <w:tcW w:w="6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30216</w:t>
            </w:r>
          </w:p>
        </w:tc>
        <w:tc>
          <w:tcPr>
            <w:tcW w:w="11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培训费</w:t>
            </w:r>
          </w:p>
        </w:tc>
        <w:tc>
          <w:tcPr>
            <w:tcW w:w="54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24.62</w:t>
            </w:r>
          </w:p>
        </w:tc>
        <w:tc>
          <w:tcPr>
            <w:tcW w:w="10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31019</w:t>
            </w:r>
          </w:p>
        </w:tc>
        <w:tc>
          <w:tcPr>
            <w:tcW w:w="18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其他交通工具购置</w:t>
            </w:r>
          </w:p>
        </w:tc>
        <w:tc>
          <w:tcPr>
            <w:tcW w:w="9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blHeader/>
        </w:trPr>
        <w:tc>
          <w:tcPr>
            <w:tcW w:w="10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30302</w:t>
            </w:r>
          </w:p>
        </w:tc>
        <w:tc>
          <w:tcPr>
            <w:tcW w:w="16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退休费</w:t>
            </w:r>
          </w:p>
        </w:tc>
        <w:tc>
          <w:tcPr>
            <w:tcW w:w="6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30217</w:t>
            </w:r>
          </w:p>
        </w:tc>
        <w:tc>
          <w:tcPr>
            <w:tcW w:w="11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公务接待费</w:t>
            </w:r>
          </w:p>
        </w:tc>
        <w:tc>
          <w:tcPr>
            <w:tcW w:w="54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31021</w:t>
            </w:r>
          </w:p>
        </w:tc>
        <w:tc>
          <w:tcPr>
            <w:tcW w:w="18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文物和陈列品购置</w:t>
            </w:r>
          </w:p>
        </w:tc>
        <w:tc>
          <w:tcPr>
            <w:tcW w:w="9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blHeader/>
        </w:trPr>
        <w:tc>
          <w:tcPr>
            <w:tcW w:w="10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30303</w:t>
            </w:r>
          </w:p>
        </w:tc>
        <w:tc>
          <w:tcPr>
            <w:tcW w:w="16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退职（役）费</w:t>
            </w:r>
          </w:p>
        </w:tc>
        <w:tc>
          <w:tcPr>
            <w:tcW w:w="6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30218</w:t>
            </w:r>
          </w:p>
        </w:tc>
        <w:tc>
          <w:tcPr>
            <w:tcW w:w="11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专用材料费</w:t>
            </w:r>
          </w:p>
        </w:tc>
        <w:tc>
          <w:tcPr>
            <w:tcW w:w="54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0.37</w:t>
            </w:r>
          </w:p>
        </w:tc>
        <w:tc>
          <w:tcPr>
            <w:tcW w:w="10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31022</w:t>
            </w:r>
          </w:p>
        </w:tc>
        <w:tc>
          <w:tcPr>
            <w:tcW w:w="18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无形资产购置</w:t>
            </w:r>
          </w:p>
        </w:tc>
        <w:tc>
          <w:tcPr>
            <w:tcW w:w="9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blHeader/>
        </w:trPr>
        <w:tc>
          <w:tcPr>
            <w:tcW w:w="10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30304</w:t>
            </w:r>
          </w:p>
        </w:tc>
        <w:tc>
          <w:tcPr>
            <w:tcW w:w="16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抚恤金</w:t>
            </w:r>
          </w:p>
        </w:tc>
        <w:tc>
          <w:tcPr>
            <w:tcW w:w="6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30224</w:t>
            </w:r>
          </w:p>
        </w:tc>
        <w:tc>
          <w:tcPr>
            <w:tcW w:w="11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被装购置费</w:t>
            </w:r>
          </w:p>
        </w:tc>
        <w:tc>
          <w:tcPr>
            <w:tcW w:w="54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31099</w:t>
            </w:r>
          </w:p>
        </w:tc>
        <w:tc>
          <w:tcPr>
            <w:tcW w:w="18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其他资本性支出</w:t>
            </w:r>
          </w:p>
        </w:tc>
        <w:tc>
          <w:tcPr>
            <w:tcW w:w="9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blHeader/>
        </w:trPr>
        <w:tc>
          <w:tcPr>
            <w:tcW w:w="10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30305</w:t>
            </w:r>
          </w:p>
        </w:tc>
        <w:tc>
          <w:tcPr>
            <w:tcW w:w="16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生活补助</w:t>
            </w:r>
          </w:p>
        </w:tc>
        <w:tc>
          <w:tcPr>
            <w:tcW w:w="6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30225</w:t>
            </w:r>
          </w:p>
        </w:tc>
        <w:tc>
          <w:tcPr>
            <w:tcW w:w="11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专用燃料费</w:t>
            </w:r>
          </w:p>
        </w:tc>
        <w:tc>
          <w:tcPr>
            <w:tcW w:w="54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312</w:t>
            </w:r>
          </w:p>
        </w:tc>
        <w:tc>
          <w:tcPr>
            <w:tcW w:w="18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对企业补助</w:t>
            </w:r>
          </w:p>
        </w:tc>
        <w:tc>
          <w:tcPr>
            <w:tcW w:w="9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blHeader/>
        </w:trPr>
        <w:tc>
          <w:tcPr>
            <w:tcW w:w="10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30306</w:t>
            </w:r>
          </w:p>
        </w:tc>
        <w:tc>
          <w:tcPr>
            <w:tcW w:w="16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救济费</w:t>
            </w:r>
          </w:p>
        </w:tc>
        <w:tc>
          <w:tcPr>
            <w:tcW w:w="6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30226</w:t>
            </w:r>
          </w:p>
        </w:tc>
        <w:tc>
          <w:tcPr>
            <w:tcW w:w="11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劳务费</w:t>
            </w:r>
          </w:p>
        </w:tc>
        <w:tc>
          <w:tcPr>
            <w:tcW w:w="54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1.35</w:t>
            </w:r>
          </w:p>
        </w:tc>
        <w:tc>
          <w:tcPr>
            <w:tcW w:w="10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31201</w:t>
            </w:r>
          </w:p>
        </w:tc>
        <w:tc>
          <w:tcPr>
            <w:tcW w:w="18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资本金注入</w:t>
            </w:r>
          </w:p>
        </w:tc>
        <w:tc>
          <w:tcPr>
            <w:tcW w:w="9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blHeader/>
        </w:trPr>
        <w:tc>
          <w:tcPr>
            <w:tcW w:w="10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30307</w:t>
            </w:r>
          </w:p>
        </w:tc>
        <w:tc>
          <w:tcPr>
            <w:tcW w:w="16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医疗费补助</w:t>
            </w:r>
          </w:p>
        </w:tc>
        <w:tc>
          <w:tcPr>
            <w:tcW w:w="6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30227</w:t>
            </w:r>
          </w:p>
        </w:tc>
        <w:tc>
          <w:tcPr>
            <w:tcW w:w="11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委托业务费</w:t>
            </w:r>
          </w:p>
        </w:tc>
        <w:tc>
          <w:tcPr>
            <w:tcW w:w="54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31203</w:t>
            </w:r>
          </w:p>
        </w:tc>
        <w:tc>
          <w:tcPr>
            <w:tcW w:w="18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政府投资基金股权投资</w:t>
            </w:r>
          </w:p>
        </w:tc>
        <w:tc>
          <w:tcPr>
            <w:tcW w:w="9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blHeader/>
        </w:trPr>
        <w:tc>
          <w:tcPr>
            <w:tcW w:w="10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30308</w:t>
            </w:r>
          </w:p>
        </w:tc>
        <w:tc>
          <w:tcPr>
            <w:tcW w:w="16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助学金</w:t>
            </w:r>
          </w:p>
        </w:tc>
        <w:tc>
          <w:tcPr>
            <w:tcW w:w="6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30228</w:t>
            </w:r>
          </w:p>
        </w:tc>
        <w:tc>
          <w:tcPr>
            <w:tcW w:w="11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工会经费</w:t>
            </w:r>
          </w:p>
        </w:tc>
        <w:tc>
          <w:tcPr>
            <w:tcW w:w="54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55.6</w:t>
            </w:r>
          </w:p>
        </w:tc>
        <w:tc>
          <w:tcPr>
            <w:tcW w:w="10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31204</w:t>
            </w:r>
          </w:p>
        </w:tc>
        <w:tc>
          <w:tcPr>
            <w:tcW w:w="18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费用补贴</w:t>
            </w:r>
          </w:p>
        </w:tc>
        <w:tc>
          <w:tcPr>
            <w:tcW w:w="9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blHeader/>
        </w:trPr>
        <w:tc>
          <w:tcPr>
            <w:tcW w:w="10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30309</w:t>
            </w:r>
          </w:p>
        </w:tc>
        <w:tc>
          <w:tcPr>
            <w:tcW w:w="16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奖励金</w:t>
            </w:r>
          </w:p>
        </w:tc>
        <w:tc>
          <w:tcPr>
            <w:tcW w:w="6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6.96</w:t>
            </w:r>
          </w:p>
        </w:tc>
        <w:tc>
          <w:tcPr>
            <w:tcW w:w="10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30229</w:t>
            </w:r>
          </w:p>
        </w:tc>
        <w:tc>
          <w:tcPr>
            <w:tcW w:w="11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福利费</w:t>
            </w:r>
          </w:p>
        </w:tc>
        <w:tc>
          <w:tcPr>
            <w:tcW w:w="54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4.14</w:t>
            </w:r>
          </w:p>
        </w:tc>
        <w:tc>
          <w:tcPr>
            <w:tcW w:w="10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31205</w:t>
            </w:r>
          </w:p>
        </w:tc>
        <w:tc>
          <w:tcPr>
            <w:tcW w:w="18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利息补贴</w:t>
            </w:r>
          </w:p>
        </w:tc>
        <w:tc>
          <w:tcPr>
            <w:tcW w:w="9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blHeader/>
        </w:trPr>
        <w:tc>
          <w:tcPr>
            <w:tcW w:w="10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30310</w:t>
            </w:r>
          </w:p>
        </w:tc>
        <w:tc>
          <w:tcPr>
            <w:tcW w:w="16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个人农业生产补贴</w:t>
            </w:r>
          </w:p>
        </w:tc>
        <w:tc>
          <w:tcPr>
            <w:tcW w:w="6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30231</w:t>
            </w:r>
          </w:p>
        </w:tc>
        <w:tc>
          <w:tcPr>
            <w:tcW w:w="11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公务用车运行维护费</w:t>
            </w:r>
          </w:p>
        </w:tc>
        <w:tc>
          <w:tcPr>
            <w:tcW w:w="54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31206</w:t>
            </w:r>
          </w:p>
        </w:tc>
        <w:tc>
          <w:tcPr>
            <w:tcW w:w="18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其他资本性补助</w:t>
            </w:r>
          </w:p>
        </w:tc>
        <w:tc>
          <w:tcPr>
            <w:tcW w:w="9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blHeader/>
        </w:trPr>
        <w:tc>
          <w:tcPr>
            <w:tcW w:w="10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30311</w:t>
            </w:r>
          </w:p>
        </w:tc>
        <w:tc>
          <w:tcPr>
            <w:tcW w:w="16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代缴社会保险费</w:t>
            </w:r>
          </w:p>
        </w:tc>
        <w:tc>
          <w:tcPr>
            <w:tcW w:w="6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30239</w:t>
            </w:r>
          </w:p>
        </w:tc>
        <w:tc>
          <w:tcPr>
            <w:tcW w:w="11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其他交通费用</w:t>
            </w:r>
          </w:p>
        </w:tc>
        <w:tc>
          <w:tcPr>
            <w:tcW w:w="54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3.77</w:t>
            </w:r>
          </w:p>
        </w:tc>
        <w:tc>
          <w:tcPr>
            <w:tcW w:w="10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31299</w:t>
            </w:r>
          </w:p>
        </w:tc>
        <w:tc>
          <w:tcPr>
            <w:tcW w:w="18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其他对企业补助</w:t>
            </w:r>
          </w:p>
        </w:tc>
        <w:tc>
          <w:tcPr>
            <w:tcW w:w="9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blHeader/>
        </w:trPr>
        <w:tc>
          <w:tcPr>
            <w:tcW w:w="10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30399</w:t>
            </w:r>
          </w:p>
        </w:tc>
        <w:tc>
          <w:tcPr>
            <w:tcW w:w="16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其他对个人和家庭的补助</w:t>
            </w:r>
          </w:p>
        </w:tc>
        <w:tc>
          <w:tcPr>
            <w:tcW w:w="6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30240</w:t>
            </w:r>
          </w:p>
        </w:tc>
        <w:tc>
          <w:tcPr>
            <w:tcW w:w="11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税金及附加费用</w:t>
            </w:r>
          </w:p>
        </w:tc>
        <w:tc>
          <w:tcPr>
            <w:tcW w:w="54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399</w:t>
            </w:r>
          </w:p>
        </w:tc>
        <w:tc>
          <w:tcPr>
            <w:tcW w:w="18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其他支出</w:t>
            </w:r>
          </w:p>
        </w:tc>
        <w:tc>
          <w:tcPr>
            <w:tcW w:w="9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blHeader/>
        </w:trPr>
        <w:tc>
          <w:tcPr>
            <w:tcW w:w="10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6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30299</w:t>
            </w:r>
          </w:p>
        </w:tc>
        <w:tc>
          <w:tcPr>
            <w:tcW w:w="11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其他商品和服务支出</w:t>
            </w:r>
          </w:p>
        </w:tc>
        <w:tc>
          <w:tcPr>
            <w:tcW w:w="54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15.69</w:t>
            </w:r>
          </w:p>
        </w:tc>
        <w:tc>
          <w:tcPr>
            <w:tcW w:w="10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39907</w:t>
            </w:r>
          </w:p>
        </w:tc>
        <w:tc>
          <w:tcPr>
            <w:tcW w:w="18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国家赔偿费用支出</w:t>
            </w:r>
          </w:p>
        </w:tc>
        <w:tc>
          <w:tcPr>
            <w:tcW w:w="9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blHeader/>
        </w:trPr>
        <w:tc>
          <w:tcPr>
            <w:tcW w:w="10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6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307</w:t>
            </w:r>
          </w:p>
        </w:tc>
        <w:tc>
          <w:tcPr>
            <w:tcW w:w="11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债务利息及费用支出</w:t>
            </w:r>
          </w:p>
        </w:tc>
        <w:tc>
          <w:tcPr>
            <w:tcW w:w="54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39908</w:t>
            </w:r>
          </w:p>
        </w:tc>
        <w:tc>
          <w:tcPr>
            <w:tcW w:w="18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对民间非营利组织和群众性自治组织补贴</w:t>
            </w:r>
          </w:p>
        </w:tc>
        <w:tc>
          <w:tcPr>
            <w:tcW w:w="9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blHeader/>
        </w:trPr>
        <w:tc>
          <w:tcPr>
            <w:tcW w:w="10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6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30701</w:t>
            </w:r>
          </w:p>
        </w:tc>
        <w:tc>
          <w:tcPr>
            <w:tcW w:w="11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国内债务付息</w:t>
            </w:r>
          </w:p>
        </w:tc>
        <w:tc>
          <w:tcPr>
            <w:tcW w:w="54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39909</w:t>
            </w:r>
          </w:p>
        </w:tc>
        <w:tc>
          <w:tcPr>
            <w:tcW w:w="18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经常性赠与</w:t>
            </w:r>
          </w:p>
        </w:tc>
        <w:tc>
          <w:tcPr>
            <w:tcW w:w="9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blHeader/>
        </w:trPr>
        <w:tc>
          <w:tcPr>
            <w:tcW w:w="10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6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30702</w:t>
            </w:r>
          </w:p>
        </w:tc>
        <w:tc>
          <w:tcPr>
            <w:tcW w:w="11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国外债务付息</w:t>
            </w:r>
          </w:p>
        </w:tc>
        <w:tc>
          <w:tcPr>
            <w:tcW w:w="54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39910</w:t>
            </w:r>
          </w:p>
        </w:tc>
        <w:tc>
          <w:tcPr>
            <w:tcW w:w="18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资本性赠与</w:t>
            </w:r>
          </w:p>
        </w:tc>
        <w:tc>
          <w:tcPr>
            <w:tcW w:w="9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blHeader/>
        </w:trPr>
        <w:tc>
          <w:tcPr>
            <w:tcW w:w="10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6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4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39999</w:t>
            </w:r>
          </w:p>
        </w:tc>
        <w:tc>
          <w:tcPr>
            <w:tcW w:w="18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其他支出</w:t>
            </w:r>
          </w:p>
        </w:tc>
        <w:tc>
          <w:tcPr>
            <w:tcW w:w="9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blHeader/>
        </w:trPr>
        <w:tc>
          <w:tcPr>
            <w:tcW w:w="2642"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人员经费合计</w:t>
            </w:r>
            <w:r>
              <w:rPr>
                <w:rFonts w:ascii="Times New Roman" w:hAnsi="Times New Roman" w:eastAsia="Times New Roman" w:cs="Times New Roman"/>
                <w:b w:val="0"/>
                <w:bCs w:val="0"/>
                <w:i w:val="0"/>
                <w:iCs w:val="0"/>
                <w:smallCaps w:val="0"/>
                <w:color w:val="000000"/>
                <w:kern w:val="0"/>
                <w:sz w:val="18"/>
                <w:szCs w:val="18"/>
              </w:rPr>
              <w:t xml:space="preserve"> </w:t>
            </w:r>
          </w:p>
        </w:tc>
        <w:tc>
          <w:tcPr>
            <w:tcW w:w="6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3,014.91</w:t>
            </w:r>
          </w:p>
        </w:tc>
        <w:tc>
          <w:tcPr>
            <w:tcW w:w="3725" w:type="dxa"/>
            <w:gridSpan w:val="4"/>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公用经费合计</w:t>
            </w:r>
          </w:p>
        </w:tc>
        <w:tc>
          <w:tcPr>
            <w:tcW w:w="2735"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370.59</w:t>
            </w:r>
          </w:p>
        </w:tc>
      </w:tr>
      <w:tr>
        <w:tblPrEx>
          <w:tblLayout w:type="fixed"/>
          <w:tblCellMar>
            <w:top w:w="15" w:type="dxa"/>
            <w:left w:w="15" w:type="dxa"/>
            <w:bottom w:w="15" w:type="dxa"/>
            <w:right w:w="15" w:type="dxa"/>
          </w:tblCellMar>
        </w:tblPrEx>
        <w:trPr>
          <w:tblHeader/>
        </w:trPr>
        <w:tc>
          <w:tcPr>
            <w:tcW w:w="9778" w:type="dxa"/>
            <w:gridSpan w:val="9"/>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注：本表反映部门本年度一般公共预算财政拨款基本支出明细情况。</w:t>
            </w:r>
          </w:p>
        </w:tc>
      </w:tr>
    </w:tbl>
    <w:p>
      <w:pPr>
        <w:widowControl/>
        <w:jc w:val="left"/>
        <w:rPr>
          <w:rFonts w:ascii="Times New Roman" w:hAnsi="Times New Roman" w:eastAsia="Times New Roman" w:cs="Times New Roman"/>
          <w:kern w:val="0"/>
          <w:sz w:val="24"/>
        </w:rPr>
      </w:pPr>
      <w:r>
        <w:rPr>
          <w:rFonts w:ascii="Times New Roman" w:hAnsi="Times New Roman" w:eastAsia="Times New Roman" w:cs="Times New Roman"/>
          <w:kern w:val="0"/>
          <w:sz w:val="24"/>
        </w:rPr>
        <w:t> </w:t>
      </w:r>
    </w:p>
    <w:p>
      <w:pPr>
        <w:pStyle w:val="30"/>
        <w:widowControl/>
        <w:spacing w:before="100" w:after="100"/>
        <w:ind w:left="0" w:right="0" w:firstLine="0"/>
        <w:jc w:val="left"/>
        <w:rPr>
          <w:rFonts w:ascii="Times New Roman" w:hAnsi="Times New Roman" w:eastAsia="Times New Roman" w:cs="Times New Roman"/>
          <w:kern w:val="0"/>
          <w:sz w:val="24"/>
        </w:rPr>
      </w:pPr>
      <w:r>
        <w:rPr>
          <w:rFonts w:ascii="Times New Roman" w:hAnsi="Times New Roman" w:eastAsia="Times New Roman" w:cs="Times New Roman"/>
          <w:spacing w:val="0"/>
          <w:kern w:val="0"/>
          <w:sz w:val="27"/>
          <w:szCs w:val="27"/>
        </w:rPr>
        <w:t> </w:t>
      </w:r>
    </w:p>
    <w:p>
      <w:pPr>
        <w:pStyle w:val="6"/>
        <w:keepNext w:val="0"/>
        <w:keepLines w:val="0"/>
        <w:spacing w:before="100" w:after="100" w:line="240" w:lineRule="auto"/>
        <w:ind w:left="720" w:right="0" w:hanging="720" w:firstLineChars="0"/>
        <w:rPr>
          <w:rFonts w:ascii="黑体" w:hAnsi="黑体" w:eastAsia="黑体" w:cs="黑体"/>
          <w:b/>
          <w:spacing w:val="0"/>
        </w:rPr>
      </w:pPr>
      <w:bookmarkStart w:id="45" w:name="_Toc256000044"/>
      <w:bookmarkStart w:id="46" w:name="_Toc256000075"/>
      <w:bookmarkStart w:id="47" w:name="_Toc256000013"/>
      <w:bookmarkStart w:id="48" w:name="_Toc256000106"/>
    </w:p>
    <w:p>
      <w:pPr>
        <w:pStyle w:val="6"/>
        <w:keepNext w:val="0"/>
        <w:keepLines w:val="0"/>
        <w:spacing w:before="100" w:after="100" w:line="240" w:lineRule="auto"/>
        <w:ind w:left="720" w:right="0" w:hanging="720" w:firstLineChars="0"/>
        <w:rPr>
          <w:rFonts w:ascii="黑体" w:hAnsi="黑体" w:eastAsia="黑体" w:cs="黑体"/>
          <w:b/>
          <w:spacing w:val="0"/>
        </w:rPr>
      </w:pPr>
    </w:p>
    <w:p>
      <w:pPr>
        <w:pStyle w:val="6"/>
        <w:keepNext w:val="0"/>
        <w:keepLines w:val="0"/>
        <w:spacing w:before="100" w:after="100" w:line="240" w:lineRule="auto"/>
        <w:ind w:left="720" w:right="0" w:hanging="720" w:firstLineChars="0"/>
        <w:rPr>
          <w:rFonts w:ascii="黑体" w:hAnsi="黑体" w:eastAsia="黑体" w:cs="黑体"/>
          <w:b/>
          <w:spacing w:val="0"/>
        </w:rPr>
      </w:pPr>
    </w:p>
    <w:p>
      <w:pPr>
        <w:pStyle w:val="6"/>
        <w:keepNext w:val="0"/>
        <w:keepLines w:val="0"/>
        <w:spacing w:before="100" w:after="100" w:line="240" w:lineRule="auto"/>
        <w:ind w:left="0" w:leftChars="0" w:right="0" w:firstLine="643" w:firstLineChars="200"/>
        <w:rPr>
          <w:rFonts w:ascii="Times New Roman" w:hAnsi="Times New Roman" w:eastAsia="Times New Roman" w:cs="Times New Roman"/>
          <w:b/>
          <w:bCs/>
          <w:kern w:val="0"/>
          <w:sz w:val="28"/>
          <w:szCs w:val="28"/>
        </w:rPr>
      </w:pPr>
      <w:r>
        <w:rPr>
          <w:rFonts w:ascii="黑体" w:hAnsi="黑体" w:eastAsia="黑体" w:cs="黑体"/>
          <w:b/>
          <w:spacing w:val="0"/>
        </w:rPr>
        <w:t>七、一般公共预算财政拨款“三公”经费支出决算表</w:t>
      </w:r>
      <w:bookmarkEnd w:id="45"/>
      <w:bookmarkEnd w:id="46"/>
      <w:bookmarkEnd w:id="47"/>
      <w:bookmarkEnd w:id="48"/>
    </w:p>
    <w:p>
      <w:pPr>
        <w:widowControl/>
        <w:spacing w:before="240" w:after="240"/>
        <w:jc w:val="left"/>
        <w:rPr>
          <w:rFonts w:ascii="Times New Roman" w:hAnsi="Times New Roman" w:eastAsia="Times New Roman" w:cs="Times New Roman"/>
          <w:vanish/>
          <w:kern w:val="0"/>
          <w:sz w:val="24"/>
        </w:rPr>
      </w:pPr>
    </w:p>
    <w:p>
      <w:pPr>
        <w:widowControl/>
        <w:spacing w:before="240" w:after="240"/>
        <w:jc w:val="left"/>
        <w:rPr>
          <w:rFonts w:ascii="Times New Roman" w:hAnsi="Times New Roman" w:eastAsia="Times New Roman" w:cs="Times New Roman"/>
          <w:vanish/>
          <w:kern w:val="0"/>
          <w:sz w:val="24"/>
        </w:rPr>
      </w:pPr>
    </w:p>
    <w:p>
      <w:pPr>
        <w:widowControl/>
        <w:spacing w:before="240" w:after="240"/>
        <w:jc w:val="left"/>
        <w:rPr>
          <w:rFonts w:ascii="Times New Roman" w:hAnsi="Times New Roman" w:eastAsia="Times New Roman" w:cs="Times New Roman"/>
          <w:vanish/>
          <w:kern w:val="0"/>
          <w:sz w:val="24"/>
        </w:rPr>
      </w:pPr>
      <w:r>
        <w:rPr>
          <w:rFonts w:ascii="Times New Roman" w:hAnsi="Times New Roman" w:eastAsia="Times New Roman" w:cs="Times New Roman"/>
          <w:vanish/>
          <w:kern w:val="0"/>
          <w:sz w:val="24"/>
        </w:rPr>
        <w:t>word horizontal layout</w:t>
      </w:r>
    </w:p>
    <w:tbl>
      <w:tblPr>
        <w:tblStyle w:val="23"/>
        <w:tblW w:w="9777" w:type="dxa"/>
        <w:tblInd w:w="20" w:type="dxa"/>
        <w:tblLayout w:type="fixed"/>
        <w:tblCellMar>
          <w:top w:w="15" w:type="dxa"/>
          <w:left w:w="15" w:type="dxa"/>
          <w:bottom w:w="15" w:type="dxa"/>
          <w:right w:w="15" w:type="dxa"/>
        </w:tblCellMar>
      </w:tblPr>
      <w:tblGrid>
        <w:gridCol w:w="388"/>
        <w:gridCol w:w="1260"/>
        <w:gridCol w:w="388"/>
        <w:gridCol w:w="802"/>
        <w:gridCol w:w="968"/>
        <w:gridCol w:w="637"/>
        <w:gridCol w:w="829"/>
        <w:gridCol w:w="1260"/>
        <w:gridCol w:w="388"/>
        <w:gridCol w:w="802"/>
        <w:gridCol w:w="968"/>
        <w:gridCol w:w="1087"/>
      </w:tblGrid>
      <w:tr>
        <w:tblPrEx>
          <w:tblLayout w:type="fixed"/>
          <w:tblCellMar>
            <w:top w:w="15" w:type="dxa"/>
            <w:left w:w="15" w:type="dxa"/>
            <w:bottom w:w="15" w:type="dxa"/>
            <w:right w:w="15" w:type="dxa"/>
          </w:tblCellMar>
        </w:tblPrEx>
        <w:trPr>
          <w:tblHeader/>
        </w:trPr>
        <w:tc>
          <w:tcPr>
            <w:tcW w:w="9777" w:type="dxa"/>
            <w:gridSpan w:val="12"/>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32"/>
                <w:szCs w:val="32"/>
              </w:rPr>
              <w:t>一般公共预算财政拨款</w:t>
            </w:r>
            <w:r>
              <w:rPr>
                <w:rFonts w:ascii="Times New Roman" w:hAnsi="Times New Roman" w:eastAsia="Times New Roman" w:cs="Times New Roman"/>
                <w:b w:val="0"/>
                <w:bCs w:val="0"/>
                <w:i w:val="0"/>
                <w:iCs w:val="0"/>
                <w:smallCaps w:val="0"/>
                <w:color w:val="000000"/>
                <w:kern w:val="0"/>
                <w:sz w:val="32"/>
                <w:szCs w:val="32"/>
              </w:rPr>
              <w:t>“</w:t>
            </w:r>
            <w:r>
              <w:rPr>
                <w:rFonts w:ascii="宋体" w:hAnsi="宋体" w:eastAsia="宋体" w:cs="宋体"/>
                <w:b w:val="0"/>
                <w:bCs w:val="0"/>
                <w:i w:val="0"/>
                <w:iCs w:val="0"/>
                <w:smallCaps w:val="0"/>
                <w:color w:val="000000"/>
                <w:kern w:val="0"/>
                <w:sz w:val="32"/>
                <w:szCs w:val="32"/>
              </w:rPr>
              <w:t>三公</w:t>
            </w:r>
            <w:r>
              <w:rPr>
                <w:rFonts w:ascii="Times New Roman" w:hAnsi="Times New Roman" w:eastAsia="Times New Roman" w:cs="Times New Roman"/>
                <w:b w:val="0"/>
                <w:bCs w:val="0"/>
                <w:i w:val="0"/>
                <w:iCs w:val="0"/>
                <w:smallCaps w:val="0"/>
                <w:color w:val="000000"/>
                <w:kern w:val="0"/>
                <w:sz w:val="32"/>
                <w:szCs w:val="32"/>
              </w:rPr>
              <w:t>”</w:t>
            </w:r>
            <w:r>
              <w:rPr>
                <w:rFonts w:ascii="宋体" w:hAnsi="宋体" w:eastAsia="宋体" w:cs="宋体"/>
                <w:b w:val="0"/>
                <w:bCs w:val="0"/>
                <w:i w:val="0"/>
                <w:iCs w:val="0"/>
                <w:smallCaps w:val="0"/>
                <w:color w:val="000000"/>
                <w:kern w:val="0"/>
                <w:sz w:val="32"/>
                <w:szCs w:val="32"/>
              </w:rPr>
              <w:t>经费支出决算</w:t>
            </w:r>
          </w:p>
        </w:tc>
      </w:tr>
      <w:tr>
        <w:tblPrEx>
          <w:tblLayout w:type="fixed"/>
          <w:tblCellMar>
            <w:top w:w="15" w:type="dxa"/>
            <w:left w:w="15" w:type="dxa"/>
            <w:bottom w:w="15" w:type="dxa"/>
            <w:right w:w="15" w:type="dxa"/>
          </w:tblCellMar>
        </w:tblPrEx>
        <w:trPr>
          <w:tblHeader/>
        </w:trPr>
        <w:tc>
          <w:tcPr>
            <w:tcW w:w="388"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260"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388"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802"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968"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63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829"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260"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388"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802"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968"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08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c>
          <w:tcPr>
            <w:tcW w:w="4443" w:type="dxa"/>
            <w:gridSpan w:val="6"/>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部门</w:t>
            </w:r>
            <w:r>
              <w:rPr>
                <w:rFonts w:ascii="Times New Roman" w:hAnsi="Times New Roman" w:eastAsia="Times New Roman" w:cs="Times New Roman"/>
                <w:b w:val="0"/>
                <w:bCs w:val="0"/>
                <w:i w:val="0"/>
                <w:iCs w:val="0"/>
                <w:smallCaps w:val="0"/>
                <w:color w:val="000000"/>
                <w:kern w:val="0"/>
                <w:sz w:val="21"/>
                <w:szCs w:val="21"/>
              </w:rPr>
              <w:t>/</w:t>
            </w:r>
            <w:r>
              <w:rPr>
                <w:rFonts w:ascii="宋体" w:hAnsi="宋体" w:eastAsia="宋体" w:cs="宋体"/>
                <w:b w:val="0"/>
                <w:bCs w:val="0"/>
                <w:i w:val="0"/>
                <w:iCs w:val="0"/>
                <w:smallCaps w:val="0"/>
                <w:color w:val="000000"/>
                <w:kern w:val="0"/>
                <w:sz w:val="21"/>
                <w:szCs w:val="21"/>
              </w:rPr>
              <w:t>单位：厦门市梧桐实验学校</w:t>
            </w:r>
          </w:p>
        </w:tc>
        <w:tc>
          <w:tcPr>
            <w:tcW w:w="2089" w:type="dxa"/>
            <w:gridSpan w:val="2"/>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2024</w:t>
            </w:r>
            <w:r>
              <w:rPr>
                <w:rFonts w:ascii="宋体" w:hAnsi="宋体" w:eastAsia="宋体" w:cs="宋体"/>
                <w:b w:val="0"/>
                <w:bCs w:val="0"/>
                <w:i w:val="0"/>
                <w:iCs w:val="0"/>
                <w:smallCaps w:val="0"/>
                <w:color w:val="000000"/>
                <w:kern w:val="0"/>
                <w:sz w:val="21"/>
                <w:szCs w:val="21"/>
              </w:rPr>
              <w:t>年度</w:t>
            </w:r>
          </w:p>
        </w:tc>
        <w:tc>
          <w:tcPr>
            <w:tcW w:w="388"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802"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2055" w:type="dxa"/>
            <w:gridSpan w:val="2"/>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r>
              <w:rPr>
                <w:rFonts w:ascii="宋体" w:hAnsi="宋体" w:eastAsia="宋体" w:cs="宋体"/>
                <w:b w:val="0"/>
                <w:bCs w:val="0"/>
                <w:i w:val="0"/>
                <w:iCs w:val="0"/>
                <w:smallCaps w:val="0"/>
                <w:color w:val="000000"/>
                <w:kern w:val="0"/>
                <w:sz w:val="21"/>
                <w:szCs w:val="21"/>
              </w:rPr>
              <w:t>金额单位：万元</w:t>
            </w:r>
          </w:p>
        </w:tc>
      </w:tr>
      <w:tr>
        <w:tblPrEx>
          <w:tblLayout w:type="fixed"/>
          <w:tblCellMar>
            <w:top w:w="15" w:type="dxa"/>
            <w:left w:w="15" w:type="dxa"/>
            <w:bottom w:w="15" w:type="dxa"/>
            <w:right w:w="15" w:type="dxa"/>
          </w:tblCellMar>
        </w:tblPrEx>
        <w:tc>
          <w:tcPr>
            <w:tcW w:w="4443" w:type="dxa"/>
            <w:gridSpan w:val="6"/>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预算数</w:t>
            </w:r>
          </w:p>
        </w:tc>
        <w:tc>
          <w:tcPr>
            <w:tcW w:w="5334" w:type="dxa"/>
            <w:gridSpan w:val="6"/>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决算数</w:t>
            </w:r>
          </w:p>
        </w:tc>
      </w:tr>
      <w:tr>
        <w:tblPrEx>
          <w:tblLayout w:type="fixed"/>
          <w:tblCellMar>
            <w:top w:w="15" w:type="dxa"/>
            <w:left w:w="15" w:type="dxa"/>
            <w:bottom w:w="15" w:type="dxa"/>
            <w:right w:w="15" w:type="dxa"/>
          </w:tblCellMar>
        </w:tblPrEx>
        <w:trPr>
          <w:tblHeader/>
        </w:trPr>
        <w:tc>
          <w:tcPr>
            <w:tcW w:w="388"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合计</w:t>
            </w:r>
          </w:p>
        </w:tc>
        <w:tc>
          <w:tcPr>
            <w:tcW w:w="1260"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因公出国</w:t>
            </w:r>
            <w:r>
              <w:rPr>
                <w:rFonts w:ascii="Times New Roman" w:hAnsi="Times New Roman" w:eastAsia="Times New Roman" w:cs="Times New Roman"/>
                <w:b w:val="0"/>
                <w:bCs w:val="0"/>
                <w:i w:val="0"/>
                <w:iCs w:val="0"/>
                <w:smallCaps w:val="0"/>
                <w:color w:val="000000"/>
                <w:kern w:val="0"/>
                <w:sz w:val="18"/>
                <w:szCs w:val="18"/>
              </w:rPr>
              <w:t xml:space="preserve"> </w:t>
            </w:r>
            <w:r>
              <w:rPr>
                <w:rFonts w:ascii="宋体" w:hAnsi="宋体" w:eastAsia="宋体" w:cs="宋体"/>
                <w:b w:val="0"/>
                <w:bCs w:val="0"/>
                <w:i w:val="0"/>
                <w:iCs w:val="0"/>
                <w:smallCaps w:val="0"/>
                <w:color w:val="000000"/>
                <w:kern w:val="0"/>
                <w:sz w:val="18"/>
                <w:szCs w:val="18"/>
              </w:rPr>
              <w:t>（境）费</w:t>
            </w:r>
          </w:p>
        </w:tc>
        <w:tc>
          <w:tcPr>
            <w:tcW w:w="2158"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公务用车购置及运行维护费</w:t>
            </w:r>
          </w:p>
        </w:tc>
        <w:tc>
          <w:tcPr>
            <w:tcW w:w="637"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公务接待费</w:t>
            </w:r>
          </w:p>
        </w:tc>
        <w:tc>
          <w:tcPr>
            <w:tcW w:w="829"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合计</w:t>
            </w:r>
          </w:p>
        </w:tc>
        <w:tc>
          <w:tcPr>
            <w:tcW w:w="1260"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因公出国</w:t>
            </w:r>
            <w:r>
              <w:rPr>
                <w:rFonts w:ascii="Times New Roman" w:hAnsi="Times New Roman" w:eastAsia="Times New Roman" w:cs="Times New Roman"/>
                <w:b w:val="0"/>
                <w:bCs w:val="0"/>
                <w:i w:val="0"/>
                <w:iCs w:val="0"/>
                <w:smallCaps w:val="0"/>
                <w:color w:val="000000"/>
                <w:kern w:val="0"/>
                <w:sz w:val="18"/>
                <w:szCs w:val="18"/>
              </w:rPr>
              <w:t xml:space="preserve"> </w:t>
            </w:r>
            <w:r>
              <w:rPr>
                <w:rFonts w:ascii="宋体" w:hAnsi="宋体" w:eastAsia="宋体" w:cs="宋体"/>
                <w:b w:val="0"/>
                <w:bCs w:val="0"/>
                <w:i w:val="0"/>
                <w:iCs w:val="0"/>
                <w:smallCaps w:val="0"/>
                <w:color w:val="000000"/>
                <w:kern w:val="0"/>
                <w:sz w:val="18"/>
                <w:szCs w:val="18"/>
              </w:rPr>
              <w:t>（境）费</w:t>
            </w:r>
          </w:p>
        </w:tc>
        <w:tc>
          <w:tcPr>
            <w:tcW w:w="2158"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公务用车购置及运行维护费</w:t>
            </w:r>
          </w:p>
        </w:tc>
        <w:tc>
          <w:tcPr>
            <w:tcW w:w="1087"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公务接待费</w:t>
            </w:r>
          </w:p>
        </w:tc>
      </w:tr>
      <w:tr>
        <w:tblPrEx>
          <w:tblLayout w:type="fixed"/>
          <w:tblCellMar>
            <w:top w:w="15" w:type="dxa"/>
            <w:left w:w="15" w:type="dxa"/>
            <w:bottom w:w="15" w:type="dxa"/>
            <w:right w:w="15" w:type="dxa"/>
          </w:tblCellMar>
        </w:tblPrEx>
        <w:trPr>
          <w:tblHeader/>
        </w:trPr>
        <w:tc>
          <w:tcPr>
            <w:tcW w:w="388"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260"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388"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小计</w:t>
            </w:r>
            <w:r>
              <w:rPr>
                <w:rFonts w:ascii="Times New Roman" w:hAnsi="Times New Roman" w:eastAsia="Times New Roman" w:cs="Times New Roman"/>
                <w:b w:val="0"/>
                <w:bCs w:val="0"/>
                <w:i w:val="0"/>
                <w:iCs w:val="0"/>
                <w:smallCaps w:val="0"/>
                <w:color w:val="000000"/>
                <w:kern w:val="0"/>
                <w:sz w:val="18"/>
                <w:szCs w:val="18"/>
              </w:rPr>
              <w:t xml:space="preserve"> </w:t>
            </w:r>
          </w:p>
        </w:tc>
        <w:tc>
          <w:tcPr>
            <w:tcW w:w="802"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公务用车购置费</w:t>
            </w:r>
          </w:p>
        </w:tc>
        <w:tc>
          <w:tcPr>
            <w:tcW w:w="968"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公务用车运行维护费</w:t>
            </w:r>
          </w:p>
        </w:tc>
        <w:tc>
          <w:tcPr>
            <w:tcW w:w="63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829"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260"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388"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小计</w:t>
            </w:r>
            <w:r>
              <w:rPr>
                <w:rFonts w:ascii="Times New Roman" w:hAnsi="Times New Roman" w:eastAsia="Times New Roman" w:cs="Times New Roman"/>
                <w:b w:val="0"/>
                <w:bCs w:val="0"/>
                <w:i w:val="0"/>
                <w:iCs w:val="0"/>
                <w:smallCaps w:val="0"/>
                <w:color w:val="000000"/>
                <w:kern w:val="0"/>
                <w:sz w:val="18"/>
                <w:szCs w:val="18"/>
              </w:rPr>
              <w:t xml:space="preserve"> </w:t>
            </w:r>
          </w:p>
        </w:tc>
        <w:tc>
          <w:tcPr>
            <w:tcW w:w="802"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公务用车购置费</w:t>
            </w:r>
          </w:p>
        </w:tc>
        <w:tc>
          <w:tcPr>
            <w:tcW w:w="968"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公务用车运行维护费</w:t>
            </w:r>
          </w:p>
        </w:tc>
        <w:tc>
          <w:tcPr>
            <w:tcW w:w="108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tblHeader/>
        </w:trPr>
        <w:tc>
          <w:tcPr>
            <w:tcW w:w="388"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260"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388"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802"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968"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63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829"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260"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388"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802"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968"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8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c>
          <w:tcPr>
            <w:tcW w:w="3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w:t>
            </w:r>
          </w:p>
        </w:tc>
        <w:tc>
          <w:tcPr>
            <w:tcW w:w="126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c>
          <w:tcPr>
            <w:tcW w:w="3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w:t>
            </w:r>
          </w:p>
        </w:tc>
        <w:tc>
          <w:tcPr>
            <w:tcW w:w="8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w:t>
            </w:r>
          </w:p>
        </w:tc>
        <w:tc>
          <w:tcPr>
            <w:tcW w:w="9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w:t>
            </w:r>
          </w:p>
        </w:tc>
        <w:tc>
          <w:tcPr>
            <w:tcW w:w="63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w:t>
            </w:r>
          </w:p>
        </w:tc>
        <w:tc>
          <w:tcPr>
            <w:tcW w:w="8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w:t>
            </w:r>
          </w:p>
        </w:tc>
        <w:tc>
          <w:tcPr>
            <w:tcW w:w="126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8</w:t>
            </w:r>
          </w:p>
        </w:tc>
        <w:tc>
          <w:tcPr>
            <w:tcW w:w="3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9</w:t>
            </w:r>
          </w:p>
        </w:tc>
        <w:tc>
          <w:tcPr>
            <w:tcW w:w="8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w:t>
            </w:r>
          </w:p>
        </w:tc>
        <w:tc>
          <w:tcPr>
            <w:tcW w:w="9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11</w:t>
            </w:r>
          </w:p>
        </w:tc>
        <w:tc>
          <w:tcPr>
            <w:tcW w:w="108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w:t>
            </w:r>
          </w:p>
        </w:tc>
      </w:tr>
      <w:tr>
        <w:tblPrEx>
          <w:tblLayout w:type="fixed"/>
          <w:tblCellMar>
            <w:top w:w="15" w:type="dxa"/>
            <w:left w:w="15" w:type="dxa"/>
            <w:bottom w:w="15" w:type="dxa"/>
            <w:right w:w="15" w:type="dxa"/>
          </w:tblCellMar>
        </w:tblPrEx>
        <w:tc>
          <w:tcPr>
            <w:tcW w:w="3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bookmarkStart w:id="117" w:name="_GoBack" w:colFirst="1" w:colLast="11"/>
            <w:r>
              <w:rPr>
                <w:rFonts w:hint="eastAsia" w:eastAsia="宋体" w:cs="Times New Roman"/>
                <w:b w:val="0"/>
                <w:bCs w:val="0"/>
                <w:i w:val="0"/>
                <w:iCs w:val="0"/>
                <w:smallCaps w:val="0"/>
                <w:color w:val="000000"/>
                <w:kern w:val="0"/>
                <w:sz w:val="18"/>
                <w:szCs w:val="18"/>
                <w:lang w:val="en-US" w:eastAsia="zh-CN"/>
              </w:rPr>
              <w:t>0</w:t>
            </w:r>
            <w:r>
              <w:rPr>
                <w:rFonts w:ascii="Times New Roman" w:hAnsi="Times New Roman" w:eastAsia="Times New Roman" w:cs="Times New Roman"/>
                <w:b w:val="0"/>
                <w:bCs w:val="0"/>
                <w:i w:val="0"/>
                <w:iCs w:val="0"/>
                <w:smallCaps w:val="0"/>
                <w:color w:val="000000"/>
                <w:kern w:val="0"/>
                <w:sz w:val="18"/>
                <w:szCs w:val="18"/>
              </w:rPr>
              <w:t> </w:t>
            </w:r>
          </w:p>
        </w:tc>
        <w:tc>
          <w:tcPr>
            <w:tcW w:w="126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hint="eastAsia" w:eastAsia="宋体" w:cs="Times New Roman"/>
                <w:b w:val="0"/>
                <w:bCs w:val="0"/>
                <w:i w:val="0"/>
                <w:iCs w:val="0"/>
                <w:smallCaps w:val="0"/>
                <w:color w:val="000000"/>
                <w:kern w:val="0"/>
                <w:sz w:val="18"/>
                <w:szCs w:val="18"/>
                <w:lang w:val="en-US" w:eastAsia="zh-CN"/>
              </w:rPr>
              <w:t>0</w:t>
            </w:r>
          </w:p>
        </w:tc>
        <w:tc>
          <w:tcPr>
            <w:tcW w:w="3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hint="eastAsia" w:eastAsia="宋体" w:cs="Times New Roman"/>
                <w:b w:val="0"/>
                <w:bCs w:val="0"/>
                <w:i w:val="0"/>
                <w:iCs w:val="0"/>
                <w:smallCaps w:val="0"/>
                <w:color w:val="000000"/>
                <w:kern w:val="0"/>
                <w:sz w:val="18"/>
                <w:szCs w:val="18"/>
                <w:lang w:val="en-US" w:eastAsia="zh-CN"/>
              </w:rPr>
              <w:t>0</w:t>
            </w:r>
          </w:p>
        </w:tc>
        <w:tc>
          <w:tcPr>
            <w:tcW w:w="8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hint="eastAsia" w:eastAsia="宋体" w:cs="Times New Roman"/>
                <w:b w:val="0"/>
                <w:bCs w:val="0"/>
                <w:i w:val="0"/>
                <w:iCs w:val="0"/>
                <w:smallCaps w:val="0"/>
                <w:color w:val="000000"/>
                <w:kern w:val="0"/>
                <w:sz w:val="18"/>
                <w:szCs w:val="18"/>
                <w:lang w:val="en-US" w:eastAsia="zh-CN"/>
              </w:rPr>
              <w:t>0</w:t>
            </w:r>
          </w:p>
        </w:tc>
        <w:tc>
          <w:tcPr>
            <w:tcW w:w="9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hint="eastAsia" w:eastAsia="宋体" w:cs="Times New Roman"/>
                <w:b w:val="0"/>
                <w:bCs w:val="0"/>
                <w:i w:val="0"/>
                <w:iCs w:val="0"/>
                <w:smallCaps w:val="0"/>
                <w:color w:val="000000"/>
                <w:kern w:val="0"/>
                <w:sz w:val="18"/>
                <w:szCs w:val="18"/>
                <w:lang w:val="en-US" w:eastAsia="zh-CN"/>
              </w:rPr>
              <w:t>0</w:t>
            </w:r>
          </w:p>
        </w:tc>
        <w:tc>
          <w:tcPr>
            <w:tcW w:w="63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hint="eastAsia" w:eastAsia="宋体" w:cs="Times New Roman"/>
                <w:b w:val="0"/>
                <w:bCs w:val="0"/>
                <w:i w:val="0"/>
                <w:iCs w:val="0"/>
                <w:smallCaps w:val="0"/>
                <w:color w:val="000000"/>
                <w:kern w:val="0"/>
                <w:sz w:val="18"/>
                <w:szCs w:val="18"/>
                <w:lang w:val="en-US" w:eastAsia="zh-CN"/>
              </w:rPr>
              <w:t>0</w:t>
            </w:r>
          </w:p>
        </w:tc>
        <w:tc>
          <w:tcPr>
            <w:tcW w:w="8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hint="eastAsia" w:eastAsia="宋体" w:cs="Times New Roman"/>
                <w:b w:val="0"/>
                <w:bCs w:val="0"/>
                <w:i w:val="0"/>
                <w:iCs w:val="0"/>
                <w:smallCaps w:val="0"/>
                <w:color w:val="000000"/>
                <w:kern w:val="0"/>
                <w:sz w:val="18"/>
                <w:szCs w:val="18"/>
                <w:lang w:val="en-US" w:eastAsia="zh-CN"/>
              </w:rPr>
              <w:t>0</w:t>
            </w:r>
          </w:p>
        </w:tc>
        <w:tc>
          <w:tcPr>
            <w:tcW w:w="126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hint="eastAsia" w:eastAsia="宋体" w:cs="Times New Roman"/>
                <w:b w:val="0"/>
                <w:bCs w:val="0"/>
                <w:i w:val="0"/>
                <w:iCs w:val="0"/>
                <w:smallCaps w:val="0"/>
                <w:color w:val="000000"/>
                <w:kern w:val="0"/>
                <w:sz w:val="18"/>
                <w:szCs w:val="18"/>
                <w:lang w:val="en-US" w:eastAsia="zh-CN"/>
              </w:rPr>
              <w:t>0</w:t>
            </w:r>
          </w:p>
        </w:tc>
        <w:tc>
          <w:tcPr>
            <w:tcW w:w="3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hint="eastAsia" w:eastAsia="宋体" w:cs="Times New Roman"/>
                <w:b w:val="0"/>
                <w:bCs w:val="0"/>
                <w:i w:val="0"/>
                <w:iCs w:val="0"/>
                <w:smallCaps w:val="0"/>
                <w:color w:val="000000"/>
                <w:kern w:val="0"/>
                <w:sz w:val="18"/>
                <w:szCs w:val="18"/>
                <w:lang w:val="en-US" w:eastAsia="zh-CN"/>
              </w:rPr>
              <w:t>0</w:t>
            </w:r>
          </w:p>
        </w:tc>
        <w:tc>
          <w:tcPr>
            <w:tcW w:w="8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hint="eastAsia" w:eastAsia="宋体" w:cs="Times New Roman"/>
                <w:b w:val="0"/>
                <w:bCs w:val="0"/>
                <w:i w:val="0"/>
                <w:iCs w:val="0"/>
                <w:smallCaps w:val="0"/>
                <w:color w:val="000000"/>
                <w:kern w:val="0"/>
                <w:sz w:val="18"/>
                <w:szCs w:val="18"/>
                <w:lang w:val="en-US" w:eastAsia="zh-CN"/>
              </w:rPr>
              <w:t>0</w:t>
            </w:r>
          </w:p>
        </w:tc>
        <w:tc>
          <w:tcPr>
            <w:tcW w:w="9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hint="eastAsia" w:eastAsia="宋体" w:cs="Times New Roman"/>
                <w:b w:val="0"/>
                <w:bCs w:val="0"/>
                <w:i w:val="0"/>
                <w:iCs w:val="0"/>
                <w:smallCaps w:val="0"/>
                <w:color w:val="000000"/>
                <w:kern w:val="0"/>
                <w:sz w:val="18"/>
                <w:szCs w:val="18"/>
                <w:lang w:val="en-US" w:eastAsia="zh-CN"/>
              </w:rPr>
              <w:t>0</w:t>
            </w:r>
          </w:p>
        </w:tc>
        <w:tc>
          <w:tcPr>
            <w:tcW w:w="108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hint="eastAsia" w:eastAsia="宋体" w:cs="Times New Roman"/>
                <w:b w:val="0"/>
                <w:bCs w:val="0"/>
                <w:i w:val="0"/>
                <w:iCs w:val="0"/>
                <w:smallCaps w:val="0"/>
                <w:color w:val="000000"/>
                <w:kern w:val="0"/>
                <w:sz w:val="18"/>
                <w:szCs w:val="18"/>
                <w:lang w:val="en-US" w:eastAsia="zh-CN"/>
              </w:rPr>
              <w:t>0</w:t>
            </w:r>
          </w:p>
        </w:tc>
      </w:tr>
      <w:bookmarkEnd w:id="117"/>
      <w:tr>
        <w:tblPrEx>
          <w:tblLayout w:type="fixed"/>
          <w:tblCellMar>
            <w:top w:w="15" w:type="dxa"/>
            <w:left w:w="15" w:type="dxa"/>
            <w:bottom w:w="15" w:type="dxa"/>
            <w:right w:w="15" w:type="dxa"/>
          </w:tblCellMar>
        </w:tblPrEx>
        <w:tc>
          <w:tcPr>
            <w:tcW w:w="9777" w:type="dxa"/>
            <w:gridSpan w:val="12"/>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注：本表反映部门本年度财政拨款</w:t>
            </w:r>
            <w:r>
              <w:rPr>
                <w:rFonts w:ascii="Times New Roman" w:hAnsi="Times New Roman" w:eastAsia="Times New Roman" w:cs="Times New Roman"/>
                <w:b w:val="0"/>
                <w:bCs w:val="0"/>
                <w:i w:val="0"/>
                <w:iCs w:val="0"/>
                <w:smallCaps w:val="0"/>
                <w:color w:val="000000"/>
                <w:kern w:val="0"/>
                <w:sz w:val="18"/>
                <w:szCs w:val="18"/>
              </w:rPr>
              <w:t>“</w:t>
            </w:r>
            <w:r>
              <w:rPr>
                <w:rFonts w:ascii="宋体" w:hAnsi="宋体" w:eastAsia="宋体" w:cs="宋体"/>
                <w:b w:val="0"/>
                <w:bCs w:val="0"/>
                <w:i w:val="0"/>
                <w:iCs w:val="0"/>
                <w:smallCaps w:val="0"/>
                <w:color w:val="000000"/>
                <w:kern w:val="0"/>
                <w:sz w:val="18"/>
                <w:szCs w:val="18"/>
              </w:rPr>
              <w:t>三公</w:t>
            </w:r>
            <w:r>
              <w:rPr>
                <w:rFonts w:ascii="Times New Roman" w:hAnsi="Times New Roman" w:eastAsia="Times New Roman" w:cs="Times New Roman"/>
                <w:b w:val="0"/>
                <w:bCs w:val="0"/>
                <w:i w:val="0"/>
                <w:iCs w:val="0"/>
                <w:smallCaps w:val="0"/>
                <w:color w:val="000000"/>
                <w:kern w:val="0"/>
                <w:sz w:val="18"/>
                <w:szCs w:val="18"/>
              </w:rPr>
              <w:t>”</w:t>
            </w:r>
            <w:r>
              <w:rPr>
                <w:rFonts w:ascii="宋体" w:hAnsi="宋体" w:eastAsia="宋体" w:cs="宋体"/>
                <w:b w:val="0"/>
                <w:bCs w:val="0"/>
                <w:i w:val="0"/>
                <w:iCs w:val="0"/>
                <w:smallCaps w:val="0"/>
                <w:color w:val="000000"/>
                <w:kern w:val="0"/>
                <w:sz w:val="18"/>
                <w:szCs w:val="18"/>
              </w:rPr>
              <w:t>经费支出预决算情况。其中，预算数为</w:t>
            </w:r>
            <w:r>
              <w:rPr>
                <w:rFonts w:ascii="Times New Roman" w:hAnsi="Times New Roman" w:eastAsia="Times New Roman" w:cs="Times New Roman"/>
                <w:b w:val="0"/>
                <w:bCs w:val="0"/>
                <w:i w:val="0"/>
                <w:iCs w:val="0"/>
                <w:smallCaps w:val="0"/>
                <w:color w:val="000000"/>
                <w:kern w:val="0"/>
                <w:sz w:val="18"/>
                <w:szCs w:val="18"/>
              </w:rPr>
              <w:t>“</w:t>
            </w:r>
            <w:r>
              <w:rPr>
                <w:rFonts w:ascii="宋体" w:hAnsi="宋体" w:eastAsia="宋体" w:cs="宋体"/>
                <w:b w:val="0"/>
                <w:bCs w:val="0"/>
                <w:i w:val="0"/>
                <w:iCs w:val="0"/>
                <w:smallCaps w:val="0"/>
                <w:color w:val="000000"/>
                <w:kern w:val="0"/>
                <w:sz w:val="18"/>
                <w:szCs w:val="18"/>
              </w:rPr>
              <w:t>三公</w:t>
            </w:r>
            <w:r>
              <w:rPr>
                <w:rFonts w:ascii="Times New Roman" w:hAnsi="Times New Roman" w:eastAsia="Times New Roman" w:cs="Times New Roman"/>
                <w:b w:val="0"/>
                <w:bCs w:val="0"/>
                <w:i w:val="0"/>
                <w:iCs w:val="0"/>
                <w:smallCaps w:val="0"/>
                <w:color w:val="000000"/>
                <w:kern w:val="0"/>
                <w:sz w:val="18"/>
                <w:szCs w:val="18"/>
              </w:rPr>
              <w:t>”</w:t>
            </w:r>
            <w:r>
              <w:rPr>
                <w:rFonts w:ascii="宋体" w:hAnsi="宋体" w:eastAsia="宋体" w:cs="宋体"/>
                <w:b w:val="0"/>
                <w:bCs w:val="0"/>
                <w:i w:val="0"/>
                <w:iCs w:val="0"/>
                <w:smallCaps w:val="0"/>
                <w:color w:val="000000"/>
                <w:kern w:val="0"/>
                <w:sz w:val="18"/>
                <w:szCs w:val="18"/>
              </w:rPr>
              <w:t>经费全年预算数，反映按规定程序调整后的预算数；决算数是包括当年财政拨款和以前年度结转资金安排的实际支出。</w:t>
            </w:r>
          </w:p>
        </w:tc>
      </w:tr>
    </w:tbl>
    <w:p>
      <w:pPr>
        <w:widowControl/>
        <w:jc w:val="left"/>
        <w:rPr>
          <w:rFonts w:ascii="Times New Roman" w:hAnsi="Times New Roman" w:eastAsia="Times New Roman" w:cs="Times New Roman"/>
          <w:kern w:val="0"/>
          <w:sz w:val="24"/>
        </w:rPr>
      </w:pPr>
      <w:r>
        <w:rPr>
          <w:rFonts w:ascii="Times New Roman" w:hAnsi="Times New Roman" w:eastAsia="Times New Roman" w:cs="Times New Roman"/>
          <w:kern w:val="0"/>
          <w:sz w:val="24"/>
        </w:rPr>
        <w:t> </w:t>
      </w:r>
    </w:p>
    <w:p>
      <w:pPr>
        <w:keepNext w:val="0"/>
        <w:keepLines w:val="0"/>
        <w:pageBreakBefore w:val="0"/>
        <w:widowControl/>
        <w:kinsoku/>
        <w:wordWrap/>
        <w:overflowPunct/>
        <w:topLinePunct w:val="0"/>
        <w:autoSpaceDE/>
        <w:autoSpaceDN/>
        <w:bidi w:val="0"/>
        <w:adjustRightInd/>
        <w:snapToGrid/>
        <w:spacing w:line="360" w:lineRule="auto"/>
        <w:ind w:firstLine="640" w:firstLineChars="200"/>
        <w:jc w:val="both"/>
        <w:textAlignment w:val="auto"/>
        <w:outlineLvl w:val="9"/>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eastAsia="zh-CN"/>
        </w:rPr>
        <w:t>本单位</w:t>
      </w:r>
      <w:r>
        <w:rPr>
          <w:rFonts w:hint="eastAsia" w:ascii="仿宋_GB2312" w:hAnsi="仿宋_GB2312" w:eastAsia="仿宋_GB2312" w:cs="仿宋_GB2312"/>
          <w:kern w:val="0"/>
          <w:sz w:val="32"/>
          <w:szCs w:val="32"/>
          <w:lang w:val="en-US" w:eastAsia="zh-CN"/>
        </w:rPr>
        <w:t>2024年度没有使用一般公共预算财政拨款安排的“三公”经费支出。</w:t>
      </w:r>
    </w:p>
    <w:p>
      <w:pPr>
        <w:pStyle w:val="29"/>
        <w:widowControl/>
        <w:spacing w:before="100" w:after="100"/>
        <w:ind w:left="0" w:right="0" w:firstLine="0"/>
        <w:jc w:val="left"/>
        <w:rPr>
          <w:rFonts w:ascii="宋体" w:hAnsi="宋体" w:cs="宋体"/>
          <w:spacing w:val="0"/>
          <w:kern w:val="0"/>
          <w:sz w:val="32"/>
          <w:szCs w:val="32"/>
        </w:rPr>
      </w:pPr>
    </w:p>
    <w:p>
      <w:pPr>
        <w:pStyle w:val="29"/>
        <w:widowControl/>
        <w:spacing w:before="100" w:after="100"/>
        <w:ind w:left="0" w:right="0" w:firstLine="0"/>
        <w:jc w:val="left"/>
        <w:rPr>
          <w:rFonts w:ascii="宋体" w:hAnsi="宋体" w:cs="宋体"/>
          <w:spacing w:val="0"/>
          <w:kern w:val="0"/>
          <w:sz w:val="32"/>
          <w:szCs w:val="32"/>
        </w:rPr>
      </w:pPr>
    </w:p>
    <w:p>
      <w:pPr>
        <w:pStyle w:val="29"/>
        <w:widowControl/>
        <w:spacing w:before="100" w:after="100"/>
        <w:ind w:left="0" w:right="0" w:firstLine="0"/>
        <w:jc w:val="left"/>
        <w:rPr>
          <w:rFonts w:ascii="宋体" w:hAnsi="宋体" w:cs="宋体"/>
          <w:spacing w:val="0"/>
          <w:kern w:val="0"/>
          <w:sz w:val="32"/>
          <w:szCs w:val="32"/>
        </w:rPr>
      </w:pPr>
    </w:p>
    <w:p>
      <w:pPr>
        <w:pStyle w:val="29"/>
        <w:widowControl/>
        <w:spacing w:before="100" w:after="100"/>
        <w:ind w:left="0" w:right="0" w:firstLine="0"/>
        <w:jc w:val="left"/>
        <w:rPr>
          <w:rFonts w:ascii="宋体" w:hAnsi="宋体" w:cs="宋体"/>
          <w:spacing w:val="0"/>
          <w:kern w:val="0"/>
          <w:sz w:val="32"/>
          <w:szCs w:val="32"/>
        </w:rPr>
      </w:pPr>
    </w:p>
    <w:p>
      <w:pPr>
        <w:pStyle w:val="29"/>
        <w:widowControl/>
        <w:spacing w:before="100" w:after="100"/>
        <w:ind w:left="0" w:right="0" w:firstLine="0"/>
        <w:jc w:val="left"/>
        <w:rPr>
          <w:rFonts w:ascii="宋体" w:hAnsi="宋体" w:cs="宋体"/>
          <w:spacing w:val="0"/>
          <w:kern w:val="0"/>
          <w:sz w:val="32"/>
          <w:szCs w:val="32"/>
        </w:rPr>
      </w:pPr>
    </w:p>
    <w:p>
      <w:pPr>
        <w:pStyle w:val="6"/>
        <w:keepNext w:val="0"/>
        <w:keepLines w:val="0"/>
        <w:spacing w:before="100" w:after="100" w:line="240" w:lineRule="auto"/>
        <w:ind w:left="0" w:right="0" w:firstLine="643" w:firstLineChars="200"/>
        <w:rPr>
          <w:rFonts w:ascii="Times New Roman" w:hAnsi="Times New Roman" w:eastAsia="Times New Roman" w:cs="Times New Roman"/>
          <w:b/>
          <w:bCs/>
          <w:kern w:val="0"/>
          <w:sz w:val="28"/>
          <w:szCs w:val="28"/>
        </w:rPr>
      </w:pPr>
      <w:bookmarkStart w:id="49" w:name="_Toc256000045"/>
      <w:bookmarkStart w:id="50" w:name="_Toc256000107"/>
      <w:bookmarkStart w:id="51" w:name="_Toc256000014"/>
      <w:bookmarkStart w:id="52" w:name="_Toc256000076"/>
      <w:r>
        <w:rPr>
          <w:rFonts w:ascii="黑体" w:hAnsi="黑体" w:eastAsia="黑体" w:cs="黑体"/>
          <w:b/>
          <w:spacing w:val="0"/>
        </w:rPr>
        <w:t>八、政府性基金预算财政拨款收入支出决算表</w:t>
      </w:r>
      <w:bookmarkEnd w:id="49"/>
      <w:bookmarkEnd w:id="50"/>
      <w:bookmarkEnd w:id="51"/>
      <w:bookmarkEnd w:id="52"/>
    </w:p>
    <w:p>
      <w:pPr>
        <w:widowControl/>
        <w:spacing w:before="240" w:after="240"/>
        <w:jc w:val="left"/>
        <w:rPr>
          <w:rFonts w:ascii="Times New Roman" w:hAnsi="Times New Roman" w:eastAsia="Times New Roman" w:cs="Times New Roman"/>
          <w:vanish/>
          <w:kern w:val="0"/>
          <w:sz w:val="24"/>
        </w:rPr>
      </w:pPr>
      <w:r>
        <w:rPr>
          <w:rFonts w:ascii="Times New Roman" w:hAnsi="Times New Roman" w:eastAsia="Times New Roman" w:cs="Times New Roman"/>
          <w:vanish/>
          <w:kern w:val="0"/>
          <w:sz w:val="24"/>
        </w:rPr>
        <w:t>word horizontal layout</w:t>
      </w:r>
    </w:p>
    <w:tbl>
      <w:tblPr>
        <w:tblStyle w:val="23"/>
        <w:tblW w:w="9786" w:type="dxa"/>
        <w:tblInd w:w="0" w:type="dxa"/>
        <w:tblLayout w:type="fixed"/>
        <w:tblCellMar>
          <w:top w:w="15" w:type="dxa"/>
          <w:left w:w="15" w:type="dxa"/>
          <w:bottom w:w="15" w:type="dxa"/>
          <w:right w:w="15" w:type="dxa"/>
        </w:tblCellMar>
      </w:tblPr>
      <w:tblGrid>
        <w:gridCol w:w="1223"/>
        <w:gridCol w:w="1223"/>
        <w:gridCol w:w="1223"/>
        <w:gridCol w:w="1224"/>
        <w:gridCol w:w="1223"/>
        <w:gridCol w:w="1223"/>
        <w:gridCol w:w="1224"/>
        <w:gridCol w:w="1223"/>
      </w:tblGrid>
      <w:tr>
        <w:tblPrEx>
          <w:tblLayout w:type="fixed"/>
          <w:tblCellMar>
            <w:top w:w="15" w:type="dxa"/>
            <w:left w:w="15" w:type="dxa"/>
            <w:bottom w:w="15" w:type="dxa"/>
            <w:right w:w="15" w:type="dxa"/>
          </w:tblCellMar>
        </w:tblPrEx>
        <w:trPr>
          <w:tblHeader/>
        </w:trPr>
        <w:tc>
          <w:tcPr>
            <w:tcW w:w="9786" w:type="dxa"/>
            <w:gridSpan w:val="8"/>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32"/>
                <w:szCs w:val="32"/>
              </w:rPr>
              <w:t>政府性基金预算财政拨款收入支出决算表</w:t>
            </w:r>
          </w:p>
        </w:tc>
      </w:tr>
      <w:tr>
        <w:tblPrEx>
          <w:tblLayout w:type="fixed"/>
          <w:tblCellMar>
            <w:top w:w="15" w:type="dxa"/>
            <w:left w:w="15" w:type="dxa"/>
            <w:bottom w:w="15" w:type="dxa"/>
            <w:right w:w="15" w:type="dxa"/>
          </w:tblCellMar>
        </w:tblPrEx>
        <w:trPr>
          <w:tblHeader/>
        </w:trPr>
        <w:tc>
          <w:tcPr>
            <w:tcW w:w="1223"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223"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223"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224"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223"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223"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224"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223"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c>
          <w:tcPr>
            <w:tcW w:w="4893" w:type="dxa"/>
            <w:gridSpan w:val="4"/>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部门</w:t>
            </w:r>
            <w:r>
              <w:rPr>
                <w:rFonts w:ascii="Times New Roman" w:hAnsi="Times New Roman" w:eastAsia="Times New Roman" w:cs="Times New Roman"/>
                <w:b w:val="0"/>
                <w:bCs w:val="0"/>
                <w:i w:val="0"/>
                <w:iCs w:val="0"/>
                <w:smallCaps w:val="0"/>
                <w:color w:val="000000"/>
                <w:kern w:val="0"/>
                <w:sz w:val="21"/>
                <w:szCs w:val="21"/>
              </w:rPr>
              <w:t>/</w:t>
            </w:r>
            <w:r>
              <w:rPr>
                <w:rFonts w:ascii="宋体" w:hAnsi="宋体" w:eastAsia="宋体" w:cs="宋体"/>
                <w:b w:val="0"/>
                <w:bCs w:val="0"/>
                <w:i w:val="0"/>
                <w:iCs w:val="0"/>
                <w:smallCaps w:val="0"/>
                <w:color w:val="000000"/>
                <w:kern w:val="0"/>
                <w:sz w:val="21"/>
                <w:szCs w:val="21"/>
              </w:rPr>
              <w:t>单位：厦门市梧桐实验学校</w:t>
            </w:r>
          </w:p>
        </w:tc>
        <w:tc>
          <w:tcPr>
            <w:tcW w:w="1223"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2024</w:t>
            </w:r>
            <w:r>
              <w:rPr>
                <w:rFonts w:ascii="宋体" w:hAnsi="宋体" w:eastAsia="宋体" w:cs="宋体"/>
                <w:b w:val="0"/>
                <w:bCs w:val="0"/>
                <w:i w:val="0"/>
                <w:iCs w:val="0"/>
                <w:smallCaps w:val="0"/>
                <w:color w:val="000000"/>
                <w:kern w:val="0"/>
                <w:sz w:val="21"/>
                <w:szCs w:val="21"/>
              </w:rPr>
              <w:t>年度</w:t>
            </w:r>
          </w:p>
        </w:tc>
        <w:tc>
          <w:tcPr>
            <w:tcW w:w="1223"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2447" w:type="dxa"/>
            <w:gridSpan w:val="2"/>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r>
              <w:rPr>
                <w:rFonts w:ascii="宋体" w:hAnsi="宋体" w:eastAsia="宋体" w:cs="宋体"/>
                <w:b w:val="0"/>
                <w:bCs w:val="0"/>
                <w:i w:val="0"/>
                <w:iCs w:val="0"/>
                <w:smallCaps w:val="0"/>
                <w:color w:val="000000"/>
                <w:kern w:val="0"/>
                <w:sz w:val="21"/>
                <w:szCs w:val="21"/>
              </w:rPr>
              <w:t>金额单位：万元</w:t>
            </w:r>
          </w:p>
        </w:tc>
      </w:tr>
      <w:tr>
        <w:tblPrEx>
          <w:tblLayout w:type="fixed"/>
          <w:tblCellMar>
            <w:top w:w="15" w:type="dxa"/>
            <w:left w:w="15" w:type="dxa"/>
            <w:bottom w:w="15" w:type="dxa"/>
            <w:right w:w="15" w:type="dxa"/>
          </w:tblCellMar>
        </w:tblPrEx>
        <w:trPr>
          <w:tblHeader/>
        </w:trPr>
        <w:tc>
          <w:tcPr>
            <w:tcW w:w="2446"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项目</w:t>
            </w:r>
          </w:p>
        </w:tc>
        <w:tc>
          <w:tcPr>
            <w:tcW w:w="1223"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年初结转和结余</w:t>
            </w:r>
            <w:r>
              <w:rPr>
                <w:rFonts w:ascii="Times New Roman" w:hAnsi="Times New Roman" w:eastAsia="Times New Roman" w:cs="Times New Roman"/>
                <w:b w:val="0"/>
                <w:bCs w:val="0"/>
                <w:i w:val="0"/>
                <w:iCs w:val="0"/>
                <w:smallCaps w:val="0"/>
                <w:color w:val="000000"/>
                <w:kern w:val="0"/>
                <w:sz w:val="18"/>
                <w:szCs w:val="18"/>
              </w:rPr>
              <w:t xml:space="preserve"> </w:t>
            </w:r>
          </w:p>
        </w:tc>
        <w:tc>
          <w:tcPr>
            <w:tcW w:w="1224"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本年收入</w:t>
            </w:r>
          </w:p>
        </w:tc>
        <w:tc>
          <w:tcPr>
            <w:tcW w:w="3670"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本年支出</w:t>
            </w:r>
          </w:p>
        </w:tc>
        <w:tc>
          <w:tcPr>
            <w:tcW w:w="1223"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年末结转和结余</w:t>
            </w:r>
          </w:p>
        </w:tc>
      </w:tr>
      <w:tr>
        <w:tblPrEx>
          <w:tblLayout w:type="fixed"/>
          <w:tblCellMar>
            <w:top w:w="15" w:type="dxa"/>
            <w:left w:w="15" w:type="dxa"/>
            <w:bottom w:w="15" w:type="dxa"/>
            <w:right w:w="15" w:type="dxa"/>
          </w:tblCellMar>
        </w:tblPrEx>
        <w:trPr>
          <w:tblHeader/>
        </w:trPr>
        <w:tc>
          <w:tcPr>
            <w:tcW w:w="1223"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支出功能分类科目编码</w:t>
            </w:r>
          </w:p>
        </w:tc>
        <w:tc>
          <w:tcPr>
            <w:tcW w:w="1223"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科目名称</w:t>
            </w:r>
          </w:p>
        </w:tc>
        <w:tc>
          <w:tcPr>
            <w:tcW w:w="122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224"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223"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小计</w:t>
            </w:r>
          </w:p>
        </w:tc>
        <w:tc>
          <w:tcPr>
            <w:tcW w:w="1223"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基本支出</w:t>
            </w:r>
            <w:r>
              <w:rPr>
                <w:rFonts w:ascii="Times New Roman" w:hAnsi="Times New Roman" w:eastAsia="Times New Roman" w:cs="Times New Roman"/>
                <w:b w:val="0"/>
                <w:bCs w:val="0"/>
                <w:i w:val="0"/>
                <w:iCs w:val="0"/>
                <w:smallCaps w:val="0"/>
                <w:color w:val="000000"/>
                <w:kern w:val="0"/>
                <w:sz w:val="18"/>
                <w:szCs w:val="18"/>
              </w:rPr>
              <w:t xml:space="preserve"> </w:t>
            </w:r>
          </w:p>
        </w:tc>
        <w:tc>
          <w:tcPr>
            <w:tcW w:w="1224"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项目支出</w:t>
            </w:r>
          </w:p>
        </w:tc>
        <w:tc>
          <w:tcPr>
            <w:tcW w:w="122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tblHeader/>
        </w:trPr>
        <w:tc>
          <w:tcPr>
            <w:tcW w:w="122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22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22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224"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22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22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224"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22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c>
          <w:tcPr>
            <w:tcW w:w="2446"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栏次</w:t>
            </w:r>
          </w:p>
        </w:tc>
        <w:tc>
          <w:tcPr>
            <w:tcW w:w="12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w:t>
            </w:r>
          </w:p>
        </w:tc>
        <w:tc>
          <w:tcPr>
            <w:tcW w:w="122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c>
          <w:tcPr>
            <w:tcW w:w="12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w:t>
            </w:r>
          </w:p>
        </w:tc>
        <w:tc>
          <w:tcPr>
            <w:tcW w:w="12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w:t>
            </w:r>
          </w:p>
        </w:tc>
        <w:tc>
          <w:tcPr>
            <w:tcW w:w="122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w:t>
            </w:r>
          </w:p>
        </w:tc>
        <w:tc>
          <w:tcPr>
            <w:tcW w:w="12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w:t>
            </w:r>
          </w:p>
        </w:tc>
      </w:tr>
      <w:tr>
        <w:tblPrEx>
          <w:tblLayout w:type="fixed"/>
          <w:tblCellMar>
            <w:top w:w="15" w:type="dxa"/>
            <w:left w:w="15" w:type="dxa"/>
            <w:bottom w:w="15" w:type="dxa"/>
            <w:right w:w="15" w:type="dxa"/>
          </w:tblCellMar>
        </w:tblPrEx>
        <w:tc>
          <w:tcPr>
            <w:tcW w:w="2446"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合计</w:t>
            </w:r>
          </w:p>
        </w:tc>
        <w:tc>
          <w:tcPr>
            <w:tcW w:w="12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22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29.74</w:t>
            </w:r>
          </w:p>
        </w:tc>
        <w:tc>
          <w:tcPr>
            <w:tcW w:w="12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29.74</w:t>
            </w:r>
          </w:p>
        </w:tc>
        <w:tc>
          <w:tcPr>
            <w:tcW w:w="12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22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29.74</w:t>
            </w:r>
          </w:p>
        </w:tc>
        <w:tc>
          <w:tcPr>
            <w:tcW w:w="12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2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229</w:t>
            </w:r>
          </w:p>
        </w:tc>
        <w:tc>
          <w:tcPr>
            <w:tcW w:w="12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其他支出</w:t>
            </w:r>
          </w:p>
        </w:tc>
        <w:tc>
          <w:tcPr>
            <w:tcW w:w="12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22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29.74</w:t>
            </w:r>
          </w:p>
        </w:tc>
        <w:tc>
          <w:tcPr>
            <w:tcW w:w="12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29.74</w:t>
            </w:r>
          </w:p>
        </w:tc>
        <w:tc>
          <w:tcPr>
            <w:tcW w:w="12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22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29.74</w:t>
            </w:r>
          </w:p>
        </w:tc>
        <w:tc>
          <w:tcPr>
            <w:tcW w:w="12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2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22960</w:t>
            </w:r>
          </w:p>
        </w:tc>
        <w:tc>
          <w:tcPr>
            <w:tcW w:w="12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彩票公益金安排的支出</w:t>
            </w:r>
          </w:p>
        </w:tc>
        <w:tc>
          <w:tcPr>
            <w:tcW w:w="12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22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29.74</w:t>
            </w:r>
          </w:p>
        </w:tc>
        <w:tc>
          <w:tcPr>
            <w:tcW w:w="12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29.74</w:t>
            </w:r>
          </w:p>
        </w:tc>
        <w:tc>
          <w:tcPr>
            <w:tcW w:w="12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22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29.74</w:t>
            </w:r>
          </w:p>
        </w:tc>
        <w:tc>
          <w:tcPr>
            <w:tcW w:w="12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2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2296003</w:t>
            </w:r>
          </w:p>
        </w:tc>
        <w:tc>
          <w:tcPr>
            <w:tcW w:w="12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用于体育事业的彩票公益金支出</w:t>
            </w:r>
          </w:p>
        </w:tc>
        <w:tc>
          <w:tcPr>
            <w:tcW w:w="12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22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29.74</w:t>
            </w:r>
          </w:p>
        </w:tc>
        <w:tc>
          <w:tcPr>
            <w:tcW w:w="12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29.74</w:t>
            </w:r>
          </w:p>
        </w:tc>
        <w:tc>
          <w:tcPr>
            <w:tcW w:w="12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22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29.74</w:t>
            </w:r>
          </w:p>
        </w:tc>
        <w:tc>
          <w:tcPr>
            <w:tcW w:w="12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9786" w:type="dxa"/>
            <w:gridSpan w:val="8"/>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注：本表反映部门本年度政府性基金预算财政拨款收入、支出及结转和结余情况。</w:t>
            </w:r>
          </w:p>
        </w:tc>
      </w:tr>
    </w:tbl>
    <w:p>
      <w:pPr>
        <w:widowControl/>
        <w:jc w:val="left"/>
        <w:rPr>
          <w:rFonts w:ascii="Times New Roman" w:hAnsi="Times New Roman" w:eastAsia="Times New Roman" w:cs="Times New Roman"/>
          <w:kern w:val="0"/>
          <w:sz w:val="24"/>
        </w:rPr>
      </w:pPr>
      <w:r>
        <w:rPr>
          <w:rFonts w:ascii="Times New Roman" w:hAnsi="Times New Roman" w:eastAsia="Times New Roman" w:cs="Times New Roman"/>
          <w:kern w:val="0"/>
          <w:sz w:val="24"/>
        </w:rPr>
        <w:t> </w:t>
      </w:r>
    </w:p>
    <w:p>
      <w:pPr>
        <w:pStyle w:val="29"/>
        <w:widowControl/>
        <w:spacing w:before="100" w:after="100"/>
        <w:ind w:left="0" w:right="0" w:firstLine="480"/>
        <w:jc w:val="left"/>
        <w:rPr>
          <w:rFonts w:ascii="Times New Roman" w:hAnsi="Times New Roman" w:eastAsia="Times New Roman" w:cs="Times New Roman"/>
          <w:kern w:val="0"/>
          <w:sz w:val="24"/>
        </w:rPr>
      </w:pPr>
      <w:r>
        <w:rPr>
          <w:rFonts w:ascii="Times New Roman" w:hAnsi="Times New Roman" w:eastAsia="Times New Roman" w:cs="Times New Roman"/>
          <w:spacing w:val="0"/>
          <w:kern w:val="0"/>
          <w:sz w:val="27"/>
          <w:szCs w:val="27"/>
        </w:rPr>
        <w:t> </w:t>
      </w:r>
    </w:p>
    <w:p>
      <w:pPr>
        <w:pStyle w:val="6"/>
        <w:keepNext w:val="0"/>
        <w:keepLines w:val="0"/>
        <w:spacing w:before="100" w:after="100" w:line="240" w:lineRule="auto"/>
        <w:ind w:left="0" w:right="0" w:firstLine="0" w:firstLineChars="0"/>
        <w:rPr>
          <w:rFonts w:ascii="黑体" w:hAnsi="黑体" w:eastAsia="黑体" w:cs="黑体"/>
          <w:b/>
          <w:spacing w:val="0"/>
        </w:rPr>
      </w:pPr>
      <w:bookmarkStart w:id="53" w:name="_Toc256000046"/>
      <w:bookmarkStart w:id="54" w:name="_Toc256000108"/>
      <w:bookmarkStart w:id="55" w:name="_Toc256000077"/>
      <w:bookmarkStart w:id="56" w:name="_Toc256000015"/>
    </w:p>
    <w:p>
      <w:pPr>
        <w:pStyle w:val="6"/>
        <w:keepNext w:val="0"/>
        <w:keepLines w:val="0"/>
        <w:spacing w:before="100" w:after="100" w:line="240" w:lineRule="auto"/>
        <w:ind w:left="0" w:right="0" w:firstLine="0" w:firstLineChars="0"/>
        <w:rPr>
          <w:rFonts w:ascii="黑体" w:hAnsi="黑体" w:eastAsia="黑体" w:cs="黑体"/>
          <w:b/>
          <w:spacing w:val="0"/>
        </w:rPr>
      </w:pPr>
    </w:p>
    <w:p>
      <w:pPr>
        <w:pStyle w:val="6"/>
        <w:keepNext w:val="0"/>
        <w:keepLines w:val="0"/>
        <w:spacing w:before="100" w:after="100" w:line="240" w:lineRule="auto"/>
        <w:ind w:left="0" w:right="0" w:firstLine="643" w:firstLineChars="200"/>
        <w:rPr>
          <w:rFonts w:ascii="Times New Roman" w:hAnsi="Times New Roman" w:eastAsia="Times New Roman" w:cs="Times New Roman"/>
          <w:b/>
          <w:bCs/>
          <w:kern w:val="0"/>
          <w:sz w:val="28"/>
          <w:szCs w:val="28"/>
        </w:rPr>
      </w:pPr>
      <w:r>
        <w:rPr>
          <w:rFonts w:ascii="黑体" w:hAnsi="黑体" w:eastAsia="黑体" w:cs="黑体"/>
          <w:b/>
          <w:spacing w:val="0"/>
        </w:rPr>
        <w:t>九、国有资本经营预算财政拨款支出决算表</w:t>
      </w:r>
      <w:bookmarkEnd w:id="53"/>
      <w:bookmarkEnd w:id="54"/>
      <w:bookmarkEnd w:id="55"/>
      <w:bookmarkEnd w:id="56"/>
    </w:p>
    <w:p>
      <w:pPr>
        <w:widowControl/>
        <w:spacing w:before="240" w:after="240"/>
        <w:jc w:val="left"/>
        <w:rPr>
          <w:rFonts w:ascii="Times New Roman" w:hAnsi="Times New Roman" w:eastAsia="Times New Roman" w:cs="Times New Roman"/>
          <w:vanish/>
          <w:kern w:val="0"/>
          <w:sz w:val="24"/>
        </w:rPr>
      </w:pPr>
      <w:r>
        <w:rPr>
          <w:rFonts w:ascii="Times New Roman" w:hAnsi="Times New Roman" w:eastAsia="Times New Roman" w:cs="Times New Roman"/>
          <w:vanish/>
          <w:kern w:val="0"/>
          <w:sz w:val="24"/>
        </w:rPr>
        <w:t>word horizontal layout</w:t>
      </w:r>
    </w:p>
    <w:tbl>
      <w:tblPr>
        <w:tblStyle w:val="23"/>
        <w:tblpPr w:leftFromText="180" w:rightFromText="180" w:vertAnchor="text" w:horzAnchor="page" w:tblpX="1118" w:tblpY="57"/>
        <w:tblOverlap w:val="never"/>
        <w:tblW w:w="9785" w:type="dxa"/>
        <w:tblInd w:w="0" w:type="dxa"/>
        <w:tblLayout w:type="fixed"/>
        <w:tblCellMar>
          <w:top w:w="15" w:type="dxa"/>
          <w:left w:w="15" w:type="dxa"/>
          <w:bottom w:w="15" w:type="dxa"/>
          <w:right w:w="15" w:type="dxa"/>
        </w:tblCellMar>
      </w:tblPr>
      <w:tblGrid>
        <w:gridCol w:w="2345"/>
        <w:gridCol w:w="2345"/>
        <w:gridCol w:w="1416"/>
        <w:gridCol w:w="1352"/>
        <w:gridCol w:w="2327"/>
      </w:tblGrid>
      <w:tr>
        <w:tblPrEx>
          <w:tblLayout w:type="fixed"/>
          <w:tblCellMar>
            <w:top w:w="15" w:type="dxa"/>
            <w:left w:w="15" w:type="dxa"/>
            <w:bottom w:w="15" w:type="dxa"/>
            <w:right w:w="15" w:type="dxa"/>
          </w:tblCellMar>
        </w:tblPrEx>
        <w:trPr>
          <w:tblHeader/>
        </w:trPr>
        <w:tc>
          <w:tcPr>
            <w:tcW w:w="9785" w:type="dxa"/>
            <w:gridSpan w:val="5"/>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32"/>
                <w:szCs w:val="32"/>
              </w:rPr>
              <w:t>国有资本经营预算财政拨款支出决算表</w:t>
            </w:r>
          </w:p>
        </w:tc>
      </w:tr>
      <w:tr>
        <w:tblPrEx>
          <w:tblLayout w:type="fixed"/>
          <w:tblCellMar>
            <w:top w:w="15" w:type="dxa"/>
            <w:left w:w="15" w:type="dxa"/>
            <w:bottom w:w="15" w:type="dxa"/>
            <w:right w:w="15" w:type="dxa"/>
          </w:tblCellMar>
        </w:tblPrEx>
        <w:trPr>
          <w:tblHeader/>
        </w:trPr>
        <w:tc>
          <w:tcPr>
            <w:tcW w:w="2345"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2345"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416"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352"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232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c>
          <w:tcPr>
            <w:tcW w:w="4690" w:type="dxa"/>
            <w:gridSpan w:val="2"/>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部门</w:t>
            </w:r>
            <w:r>
              <w:rPr>
                <w:rFonts w:ascii="Times New Roman" w:hAnsi="Times New Roman" w:eastAsia="Times New Roman" w:cs="Times New Roman"/>
                <w:b w:val="0"/>
                <w:bCs w:val="0"/>
                <w:i w:val="0"/>
                <w:iCs w:val="0"/>
                <w:smallCaps w:val="0"/>
                <w:color w:val="000000"/>
                <w:kern w:val="0"/>
                <w:sz w:val="21"/>
                <w:szCs w:val="21"/>
              </w:rPr>
              <w:t>/</w:t>
            </w:r>
            <w:r>
              <w:rPr>
                <w:rFonts w:ascii="宋体" w:hAnsi="宋体" w:eastAsia="宋体" w:cs="宋体"/>
                <w:b w:val="0"/>
                <w:bCs w:val="0"/>
                <w:i w:val="0"/>
                <w:iCs w:val="0"/>
                <w:smallCaps w:val="0"/>
                <w:color w:val="000000"/>
                <w:kern w:val="0"/>
                <w:sz w:val="21"/>
                <w:szCs w:val="21"/>
              </w:rPr>
              <w:t>单位：厦门市梧桐实验学校</w:t>
            </w:r>
          </w:p>
        </w:tc>
        <w:tc>
          <w:tcPr>
            <w:tcW w:w="1416"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2024</w:t>
            </w:r>
            <w:r>
              <w:rPr>
                <w:rFonts w:ascii="宋体" w:hAnsi="宋体" w:eastAsia="宋体" w:cs="宋体"/>
                <w:b w:val="0"/>
                <w:bCs w:val="0"/>
                <w:i w:val="0"/>
                <w:iCs w:val="0"/>
                <w:smallCaps w:val="0"/>
                <w:color w:val="000000"/>
                <w:kern w:val="0"/>
                <w:sz w:val="21"/>
                <w:szCs w:val="21"/>
              </w:rPr>
              <w:t>年度</w:t>
            </w:r>
          </w:p>
        </w:tc>
        <w:tc>
          <w:tcPr>
            <w:tcW w:w="1352"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232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金额单位：万元</w:t>
            </w:r>
          </w:p>
        </w:tc>
      </w:tr>
      <w:tr>
        <w:tblPrEx>
          <w:tblLayout w:type="fixed"/>
          <w:tblCellMar>
            <w:top w:w="15" w:type="dxa"/>
            <w:left w:w="15" w:type="dxa"/>
            <w:bottom w:w="15" w:type="dxa"/>
            <w:right w:w="15" w:type="dxa"/>
          </w:tblCellMar>
        </w:tblPrEx>
        <w:tc>
          <w:tcPr>
            <w:tcW w:w="4690"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项目</w:t>
            </w:r>
          </w:p>
        </w:tc>
        <w:tc>
          <w:tcPr>
            <w:tcW w:w="5095"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本年支出</w:t>
            </w:r>
          </w:p>
        </w:tc>
      </w:tr>
      <w:tr>
        <w:tblPrEx>
          <w:tblLayout w:type="fixed"/>
          <w:tblCellMar>
            <w:top w:w="15" w:type="dxa"/>
            <w:left w:w="15" w:type="dxa"/>
            <w:bottom w:w="15" w:type="dxa"/>
            <w:right w:w="15" w:type="dxa"/>
          </w:tblCellMar>
        </w:tblPrEx>
        <w:trPr>
          <w:tblHeader/>
        </w:trPr>
        <w:tc>
          <w:tcPr>
            <w:tcW w:w="2345"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科目代码</w:t>
            </w:r>
          </w:p>
        </w:tc>
        <w:tc>
          <w:tcPr>
            <w:tcW w:w="2345"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科目名称</w:t>
            </w:r>
          </w:p>
        </w:tc>
        <w:tc>
          <w:tcPr>
            <w:tcW w:w="1416"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合计</w:t>
            </w:r>
          </w:p>
        </w:tc>
        <w:tc>
          <w:tcPr>
            <w:tcW w:w="1352"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基本支出</w:t>
            </w:r>
          </w:p>
        </w:tc>
        <w:tc>
          <w:tcPr>
            <w:tcW w:w="2327"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项目支出</w:t>
            </w:r>
          </w:p>
        </w:tc>
      </w:tr>
      <w:tr>
        <w:tblPrEx>
          <w:tblLayout w:type="fixed"/>
          <w:tblCellMar>
            <w:top w:w="15" w:type="dxa"/>
            <w:left w:w="15" w:type="dxa"/>
            <w:bottom w:w="15" w:type="dxa"/>
            <w:right w:w="15" w:type="dxa"/>
          </w:tblCellMar>
        </w:tblPrEx>
        <w:trPr>
          <w:tblHeader/>
        </w:trPr>
        <w:tc>
          <w:tcPr>
            <w:tcW w:w="234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234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416"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352"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232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tblHeader/>
        </w:trPr>
        <w:tc>
          <w:tcPr>
            <w:tcW w:w="234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234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416"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352"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232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c>
          <w:tcPr>
            <w:tcW w:w="4690"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栏次</w:t>
            </w:r>
          </w:p>
        </w:tc>
        <w:tc>
          <w:tcPr>
            <w:tcW w:w="141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w:t>
            </w:r>
          </w:p>
        </w:tc>
        <w:tc>
          <w:tcPr>
            <w:tcW w:w="135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c>
          <w:tcPr>
            <w:tcW w:w="23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w:t>
            </w:r>
          </w:p>
        </w:tc>
      </w:tr>
      <w:tr>
        <w:tblPrEx>
          <w:tblLayout w:type="fixed"/>
          <w:tblCellMar>
            <w:top w:w="15" w:type="dxa"/>
            <w:left w:w="15" w:type="dxa"/>
            <w:bottom w:w="15" w:type="dxa"/>
            <w:right w:w="15" w:type="dxa"/>
          </w:tblCellMar>
        </w:tblPrEx>
        <w:tc>
          <w:tcPr>
            <w:tcW w:w="4690"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合计</w:t>
            </w:r>
          </w:p>
        </w:tc>
        <w:tc>
          <w:tcPr>
            <w:tcW w:w="141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5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3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234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34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41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5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3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9785" w:type="dxa"/>
            <w:gridSpan w:val="5"/>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注：本表反映部门本年度国有资本经营预算财政拨款支出情况。</w:t>
            </w:r>
          </w:p>
        </w:tc>
      </w:tr>
    </w:tbl>
    <w:p>
      <w:pPr>
        <w:keepNext w:val="0"/>
        <w:keepLines w:val="0"/>
        <w:pageBreakBefore w:val="0"/>
        <w:widowControl/>
        <w:tabs>
          <w:tab w:val="left" w:pos="406"/>
        </w:tabs>
        <w:kinsoku/>
        <w:wordWrap/>
        <w:overflowPunct/>
        <w:topLinePunct w:val="0"/>
        <w:autoSpaceDE/>
        <w:autoSpaceDN/>
        <w:bidi w:val="0"/>
        <w:adjustRightInd/>
        <w:snapToGrid/>
        <w:spacing w:line="360" w:lineRule="auto"/>
        <w:ind w:firstLine="480" w:firstLineChars="200"/>
        <w:jc w:val="both"/>
        <w:textAlignment w:val="auto"/>
        <w:outlineLvl w:val="9"/>
        <w:rPr>
          <w:rFonts w:ascii="Times New Roman" w:hAnsi="Times New Roman" w:eastAsia="Times New Roman" w:cs="Times New Roman"/>
          <w:kern w:val="0"/>
          <w:sz w:val="24"/>
        </w:rPr>
      </w:pPr>
      <w:r>
        <w:rPr>
          <w:rFonts w:ascii="Times New Roman" w:hAnsi="Times New Roman" w:eastAsia="Times New Roman" w:cs="Times New Roman"/>
          <w:kern w:val="0"/>
          <w:sz w:val="24"/>
        </w:rPr>
        <w:t> </w:t>
      </w:r>
    </w:p>
    <w:p>
      <w:pPr>
        <w:keepNext w:val="0"/>
        <w:keepLines w:val="0"/>
        <w:pageBreakBefore w:val="0"/>
        <w:widowControl/>
        <w:tabs>
          <w:tab w:val="left" w:pos="406"/>
        </w:tabs>
        <w:kinsoku/>
        <w:wordWrap/>
        <w:overflowPunct/>
        <w:topLinePunct w:val="0"/>
        <w:autoSpaceDE/>
        <w:autoSpaceDN/>
        <w:bidi w:val="0"/>
        <w:adjustRightInd/>
        <w:snapToGrid/>
        <w:spacing w:line="360" w:lineRule="auto"/>
        <w:ind w:firstLine="640" w:firstLineChars="200"/>
        <w:jc w:val="both"/>
        <w:textAlignment w:val="auto"/>
        <w:outlineLvl w:val="9"/>
        <w:rPr>
          <w:rFonts w:hint="eastAsia" w:ascii="Times New Roman" w:hAnsi="Times New Roman" w:eastAsia="宋体" w:cs="Times New Roman"/>
          <w:kern w:val="0"/>
          <w:sz w:val="24"/>
          <w:lang w:eastAsia="zh-CN"/>
        </w:rPr>
      </w:pPr>
      <w:r>
        <w:rPr>
          <w:rFonts w:ascii="仿宋" w:hAnsi="仿宋" w:eastAsia="仿宋" w:cs="仿宋"/>
          <w:kern w:val="0"/>
          <w:sz w:val="32"/>
          <w:szCs w:val="32"/>
        </w:rPr>
        <w:t>本</w:t>
      </w:r>
      <w:r>
        <w:rPr>
          <w:rFonts w:hint="eastAsia" w:ascii="仿宋" w:hAnsi="仿宋" w:eastAsia="仿宋" w:cs="仿宋"/>
          <w:kern w:val="0"/>
          <w:sz w:val="32"/>
          <w:szCs w:val="32"/>
          <w:lang w:eastAsia="zh-CN"/>
        </w:rPr>
        <w:t>单位</w:t>
      </w:r>
      <w:r>
        <w:rPr>
          <w:rFonts w:ascii="仿宋" w:hAnsi="仿宋" w:eastAsia="仿宋" w:cs="仿宋"/>
          <w:kern w:val="0"/>
          <w:sz w:val="32"/>
          <w:szCs w:val="32"/>
        </w:rPr>
        <w:t>202</w:t>
      </w:r>
      <w:r>
        <w:rPr>
          <w:rFonts w:hint="eastAsia" w:ascii="仿宋" w:hAnsi="仿宋" w:eastAsia="仿宋" w:cs="仿宋"/>
          <w:kern w:val="0"/>
          <w:sz w:val="32"/>
          <w:szCs w:val="32"/>
          <w:lang w:val="en-US" w:eastAsia="zh-CN"/>
        </w:rPr>
        <w:t>4</w:t>
      </w:r>
      <w:r>
        <w:rPr>
          <w:rFonts w:ascii="仿宋" w:hAnsi="仿宋" w:eastAsia="仿宋" w:cs="仿宋"/>
          <w:kern w:val="0"/>
          <w:sz w:val="32"/>
          <w:szCs w:val="32"/>
        </w:rPr>
        <w:t>年度没有使用国有资本经营预算财政拨款安排的收支</w:t>
      </w:r>
      <w:r>
        <w:rPr>
          <w:rFonts w:hint="eastAsia" w:ascii="仿宋" w:hAnsi="仿宋" w:eastAsia="仿宋" w:cs="仿宋"/>
          <w:kern w:val="0"/>
          <w:sz w:val="32"/>
          <w:szCs w:val="32"/>
          <w:lang w:eastAsia="zh-CN"/>
        </w:rPr>
        <w:t>。</w:t>
      </w:r>
    </w:p>
    <w:p>
      <w:pPr>
        <w:pStyle w:val="29"/>
        <w:widowControl/>
        <w:spacing w:before="240" w:after="240"/>
        <w:jc w:val="left"/>
        <w:rPr>
          <w:rFonts w:ascii="Times New Roman" w:hAnsi="Times New Roman" w:eastAsia="Times New Roman" w:cs="Times New Roman"/>
          <w:kern w:val="0"/>
          <w:sz w:val="24"/>
        </w:rPr>
        <w:sectPr>
          <w:footerReference r:id="rId4" w:type="default"/>
          <w:pgSz w:w="11906" w:h="16383"/>
          <w:pgMar w:top="1440" w:right="1080" w:bottom="1440" w:left="1080" w:header="720" w:footer="720" w:gutter="0"/>
          <w:pgNumType w:start="1"/>
          <w:cols w:space="720" w:num="1"/>
        </w:sectPr>
      </w:pPr>
    </w:p>
    <w:p>
      <w:pPr>
        <w:pStyle w:val="4"/>
        <w:keepNext w:val="0"/>
        <w:keepLines w:val="0"/>
        <w:pageBreakBefore w:val="0"/>
        <w:kinsoku/>
        <w:wordWrap/>
        <w:overflowPunct/>
        <w:topLinePunct w:val="0"/>
        <w:autoSpaceDE/>
        <w:autoSpaceDN/>
        <w:bidi w:val="0"/>
        <w:adjustRightInd/>
        <w:snapToGrid/>
        <w:spacing w:before="100" w:after="100" w:line="360" w:lineRule="auto"/>
        <w:ind w:left="0" w:right="0" w:firstLine="0" w:firstLineChars="0"/>
        <w:jc w:val="center"/>
        <w:textAlignment w:val="auto"/>
        <w:rPr>
          <w:rFonts w:ascii="Times New Roman" w:hAnsi="Times New Roman" w:eastAsia="Times New Roman" w:cs="Times New Roman"/>
          <w:b/>
          <w:bCs/>
          <w:kern w:val="0"/>
          <w:sz w:val="32"/>
          <w:szCs w:val="32"/>
        </w:rPr>
      </w:pPr>
      <w:bookmarkStart w:id="57" w:name="_Toc256000109"/>
      <w:bookmarkStart w:id="58" w:name="_Toc256000016"/>
      <w:bookmarkStart w:id="59" w:name="_Toc256000078"/>
      <w:bookmarkStart w:id="60" w:name="_Toc256000047"/>
      <w:r>
        <w:rPr>
          <w:rFonts w:ascii="黑体" w:hAnsi="黑体" w:eastAsia="黑体" w:cs="黑体"/>
          <w:b/>
          <w:spacing w:val="0"/>
          <w:sz w:val="32"/>
          <w:szCs w:val="32"/>
        </w:rPr>
        <w:t>第三部分</w:t>
      </w:r>
      <w:bookmarkEnd w:id="57"/>
      <w:bookmarkEnd w:id="58"/>
      <w:bookmarkEnd w:id="59"/>
      <w:bookmarkEnd w:id="60"/>
      <w:bookmarkStart w:id="61" w:name="_Toc256000017"/>
      <w:bookmarkStart w:id="62" w:name="_Toc256000110"/>
      <w:bookmarkStart w:id="63" w:name="_Toc256000079"/>
      <w:bookmarkStart w:id="64" w:name="_Toc256000048"/>
      <w:r>
        <w:rPr>
          <w:rFonts w:hint="eastAsia" w:ascii="黑体" w:hAnsi="黑体" w:eastAsia="黑体" w:cs="黑体"/>
          <w:b/>
          <w:spacing w:val="0"/>
          <w:sz w:val="32"/>
          <w:szCs w:val="32"/>
          <w:lang w:val="en-US" w:eastAsia="zh-CN"/>
        </w:rPr>
        <w:t xml:space="preserve">  </w:t>
      </w:r>
      <w:r>
        <w:rPr>
          <w:rFonts w:ascii="黑体" w:hAnsi="黑体" w:eastAsia="黑体" w:cs="黑体"/>
          <w:b/>
          <w:spacing w:val="0"/>
          <w:sz w:val="32"/>
          <w:szCs w:val="32"/>
        </w:rPr>
        <w:t>2024年度决算情况说明</w:t>
      </w:r>
      <w:bookmarkEnd w:id="61"/>
      <w:bookmarkEnd w:id="62"/>
      <w:bookmarkEnd w:id="63"/>
      <w:bookmarkEnd w:id="64"/>
    </w:p>
    <w:p>
      <w:pPr>
        <w:pStyle w:val="6"/>
        <w:keepNext w:val="0"/>
        <w:keepLines w:val="0"/>
        <w:pageBreakBefore w:val="0"/>
        <w:kinsoku/>
        <w:wordWrap/>
        <w:overflowPunct/>
        <w:topLinePunct w:val="0"/>
        <w:autoSpaceDE/>
        <w:autoSpaceDN/>
        <w:bidi w:val="0"/>
        <w:adjustRightInd/>
        <w:snapToGrid/>
        <w:spacing w:before="100" w:after="100" w:line="360" w:lineRule="auto"/>
        <w:ind w:left="0" w:right="0" w:firstLine="640" w:firstLineChars="0"/>
        <w:textAlignment w:val="auto"/>
        <w:rPr>
          <w:rFonts w:ascii="Times New Roman" w:hAnsi="Times New Roman" w:eastAsia="Times New Roman" w:cs="Times New Roman"/>
          <w:b/>
          <w:bCs/>
          <w:kern w:val="0"/>
          <w:sz w:val="28"/>
          <w:szCs w:val="28"/>
        </w:rPr>
      </w:pPr>
      <w:bookmarkStart w:id="65" w:name="_Toc256000049"/>
      <w:bookmarkStart w:id="66" w:name="_Toc256000111"/>
      <w:bookmarkStart w:id="67" w:name="_Toc256000080"/>
      <w:bookmarkStart w:id="68" w:name="_Toc256000018"/>
      <w:r>
        <w:rPr>
          <w:rFonts w:ascii="黑体" w:hAnsi="黑体" w:eastAsia="黑体" w:cs="黑体"/>
          <w:b/>
          <w:spacing w:val="0"/>
        </w:rPr>
        <w:t>一、收入支出决算总体情况说明</w:t>
      </w:r>
      <w:bookmarkEnd w:id="65"/>
      <w:bookmarkEnd w:id="66"/>
      <w:bookmarkEnd w:id="67"/>
      <w:bookmarkEnd w:id="68"/>
    </w:p>
    <w:p>
      <w:pPr>
        <w:pStyle w:val="29"/>
        <w:keepNext w:val="0"/>
        <w:keepLines w:val="0"/>
        <w:pageBreakBefore w:val="0"/>
        <w:widowControl/>
        <w:kinsoku/>
        <w:wordWrap/>
        <w:overflowPunct/>
        <w:topLinePunct w:val="0"/>
        <w:autoSpaceDE/>
        <w:autoSpaceDN/>
        <w:bidi w:val="0"/>
        <w:adjustRightInd/>
        <w:snapToGrid/>
        <w:spacing w:before="100" w:after="100" w:line="360" w:lineRule="auto"/>
        <w:ind w:left="0" w:right="0" w:firstLine="640"/>
        <w:jc w:val="left"/>
        <w:textAlignment w:val="auto"/>
        <w:rPr>
          <w:rFonts w:ascii="Times New Roman" w:hAnsi="Times New Roman" w:eastAsia="Times New Roman" w:cs="Times New Roman"/>
          <w:kern w:val="0"/>
          <w:sz w:val="24"/>
        </w:rPr>
      </w:pPr>
      <w:r>
        <w:rPr>
          <w:rFonts w:ascii="楷体_GB2312" w:hAnsi="楷体_GB2312" w:eastAsia="楷体_GB2312" w:cs="楷体_GB2312"/>
          <w:spacing w:val="0"/>
          <w:kern w:val="0"/>
          <w:sz w:val="32"/>
          <w:szCs w:val="32"/>
        </w:rPr>
        <w:t>（一）收入支出决算总体情况说明</w:t>
      </w:r>
    </w:p>
    <w:p>
      <w:pPr>
        <w:pStyle w:val="29"/>
        <w:keepNext w:val="0"/>
        <w:keepLines w:val="0"/>
        <w:pageBreakBefore w:val="0"/>
        <w:widowControl/>
        <w:kinsoku/>
        <w:wordWrap/>
        <w:overflowPunct/>
        <w:topLinePunct w:val="0"/>
        <w:autoSpaceDE/>
        <w:autoSpaceDN/>
        <w:bidi w:val="0"/>
        <w:adjustRightInd/>
        <w:snapToGrid/>
        <w:spacing w:before="100" w:after="100" w:line="360" w:lineRule="auto"/>
        <w:ind w:left="0" w:right="0" w:firstLine="640"/>
        <w:jc w:val="both"/>
        <w:textAlignment w:val="auto"/>
        <w:rPr>
          <w:rFonts w:hint="eastAsia" w:ascii="Times New Roman" w:hAnsi="Times New Roman" w:eastAsia="仿宋" w:cs="Times New Roman"/>
          <w:kern w:val="0"/>
          <w:sz w:val="24"/>
          <w:lang w:eastAsia="zh-CN"/>
        </w:rPr>
      </w:pPr>
      <w:r>
        <w:rPr>
          <w:rFonts w:ascii="仿宋" w:hAnsi="仿宋" w:eastAsia="仿宋" w:cs="仿宋"/>
          <w:spacing w:val="0"/>
          <w:kern w:val="0"/>
          <w:sz w:val="32"/>
          <w:szCs w:val="32"/>
        </w:rPr>
        <w:t>2024年度本单位收入总计3608.74万元，支出总计3608.74万元，与上年决算数相比，各增加988.30万元，各增长37.72%。主要是</w:t>
      </w:r>
      <w:r>
        <w:rPr>
          <w:rFonts w:hint="eastAsia" w:ascii="仿宋" w:hAnsi="仿宋" w:eastAsia="仿宋" w:cs="仿宋"/>
          <w:spacing w:val="0"/>
          <w:kern w:val="0"/>
          <w:sz w:val="32"/>
          <w:szCs w:val="32"/>
          <w:lang w:eastAsia="zh-CN"/>
        </w:rPr>
        <w:t>学生数及项目经费增加等。</w:t>
      </w:r>
    </w:p>
    <w:p>
      <w:pPr>
        <w:pStyle w:val="29"/>
        <w:keepNext w:val="0"/>
        <w:keepLines w:val="0"/>
        <w:pageBreakBefore w:val="0"/>
        <w:widowControl/>
        <w:kinsoku/>
        <w:wordWrap/>
        <w:overflowPunct/>
        <w:topLinePunct w:val="0"/>
        <w:autoSpaceDE/>
        <w:autoSpaceDN/>
        <w:bidi w:val="0"/>
        <w:adjustRightInd/>
        <w:snapToGrid/>
        <w:spacing w:before="100" w:after="100" w:line="360" w:lineRule="auto"/>
        <w:ind w:left="0" w:right="0" w:firstLine="640"/>
        <w:jc w:val="both"/>
        <w:textAlignment w:val="auto"/>
        <w:rPr>
          <w:rFonts w:ascii="Times New Roman" w:hAnsi="Times New Roman" w:eastAsia="Times New Roman" w:cs="Times New Roman"/>
          <w:kern w:val="0"/>
          <w:sz w:val="24"/>
        </w:rPr>
      </w:pPr>
      <w:r>
        <w:rPr>
          <w:rFonts w:ascii="楷体_GB2312" w:hAnsi="楷体_GB2312" w:eastAsia="楷体_GB2312" w:cs="楷体_GB2312"/>
          <w:spacing w:val="0"/>
          <w:kern w:val="0"/>
          <w:sz w:val="32"/>
          <w:szCs w:val="32"/>
        </w:rPr>
        <w:t>（二）收入决算情况说明</w:t>
      </w:r>
    </w:p>
    <w:p>
      <w:pPr>
        <w:pStyle w:val="29"/>
        <w:keepNext w:val="0"/>
        <w:keepLines w:val="0"/>
        <w:pageBreakBefore w:val="0"/>
        <w:widowControl/>
        <w:kinsoku/>
        <w:wordWrap/>
        <w:overflowPunct/>
        <w:topLinePunct w:val="0"/>
        <w:autoSpaceDE/>
        <w:autoSpaceDN/>
        <w:bidi w:val="0"/>
        <w:adjustRightInd/>
        <w:snapToGrid/>
        <w:spacing w:before="100" w:after="100" w:line="360" w:lineRule="auto"/>
        <w:ind w:left="0" w:right="0" w:firstLine="640"/>
        <w:jc w:val="both"/>
        <w:textAlignment w:val="auto"/>
        <w:rPr>
          <w:rFonts w:ascii="Times New Roman" w:hAnsi="Times New Roman" w:eastAsia="Times New Roman" w:cs="Times New Roman"/>
          <w:kern w:val="0"/>
          <w:sz w:val="24"/>
        </w:rPr>
      </w:pPr>
      <w:r>
        <w:rPr>
          <w:rFonts w:ascii="仿宋" w:hAnsi="仿宋" w:eastAsia="仿宋" w:cs="仿宋"/>
          <w:spacing w:val="0"/>
          <w:kern w:val="0"/>
          <w:sz w:val="32"/>
          <w:szCs w:val="32"/>
        </w:rPr>
        <w:t>2024年度收入3608.74万元，比上年决算数</w:t>
      </w:r>
      <w:r>
        <w:rPr>
          <w:rFonts w:ascii="仿宋" w:hAnsi="仿宋" w:eastAsia="仿宋" w:cs="仿宋"/>
          <w:kern w:val="0"/>
          <w:sz w:val="32"/>
          <w:szCs w:val="32"/>
        </w:rPr>
        <w:t>增加</w:t>
      </w:r>
      <w:r>
        <w:rPr>
          <w:rFonts w:ascii="仿宋" w:hAnsi="仿宋" w:eastAsia="仿宋" w:cs="仿宋"/>
          <w:spacing w:val="0"/>
          <w:kern w:val="0"/>
          <w:sz w:val="32"/>
          <w:szCs w:val="32"/>
        </w:rPr>
        <w:t>988.30万元，</w:t>
      </w:r>
      <w:r>
        <w:rPr>
          <w:rFonts w:ascii="仿宋" w:hAnsi="仿宋" w:eastAsia="仿宋" w:cs="仿宋"/>
          <w:kern w:val="0"/>
          <w:sz w:val="32"/>
          <w:szCs w:val="32"/>
        </w:rPr>
        <w:t>增长</w:t>
      </w:r>
      <w:r>
        <w:rPr>
          <w:rFonts w:ascii="仿宋" w:hAnsi="仿宋" w:eastAsia="仿宋" w:cs="仿宋"/>
          <w:spacing w:val="0"/>
          <w:kern w:val="0"/>
          <w:sz w:val="32"/>
          <w:szCs w:val="32"/>
        </w:rPr>
        <w:t>37.72%，具体情况如下：</w:t>
      </w:r>
    </w:p>
    <w:p>
      <w:pPr>
        <w:pStyle w:val="29"/>
        <w:keepNext w:val="0"/>
        <w:keepLines w:val="0"/>
        <w:pageBreakBefore w:val="0"/>
        <w:widowControl/>
        <w:kinsoku/>
        <w:wordWrap/>
        <w:overflowPunct/>
        <w:topLinePunct w:val="0"/>
        <w:autoSpaceDE/>
        <w:autoSpaceDN/>
        <w:bidi w:val="0"/>
        <w:adjustRightInd/>
        <w:snapToGrid/>
        <w:spacing w:before="100" w:after="100" w:line="360" w:lineRule="auto"/>
        <w:ind w:left="160" w:right="0" w:firstLine="480"/>
        <w:jc w:val="both"/>
        <w:textAlignment w:val="auto"/>
        <w:rPr>
          <w:rFonts w:ascii="Times New Roman" w:hAnsi="Times New Roman" w:eastAsia="Times New Roman" w:cs="Times New Roman"/>
          <w:kern w:val="0"/>
          <w:sz w:val="24"/>
        </w:rPr>
      </w:pPr>
      <w:r>
        <w:rPr>
          <w:rFonts w:ascii="仿宋" w:hAnsi="仿宋" w:eastAsia="仿宋" w:cs="仿宋"/>
          <w:spacing w:val="0"/>
          <w:kern w:val="0"/>
          <w:sz w:val="32"/>
          <w:szCs w:val="32"/>
        </w:rPr>
        <w:t>1.一般公共预算财政拨款收入3579.00万元。</w:t>
      </w:r>
    </w:p>
    <w:p>
      <w:pPr>
        <w:pStyle w:val="29"/>
        <w:keepNext w:val="0"/>
        <w:keepLines w:val="0"/>
        <w:pageBreakBefore w:val="0"/>
        <w:widowControl/>
        <w:kinsoku/>
        <w:wordWrap/>
        <w:overflowPunct/>
        <w:topLinePunct w:val="0"/>
        <w:autoSpaceDE/>
        <w:autoSpaceDN/>
        <w:bidi w:val="0"/>
        <w:adjustRightInd/>
        <w:snapToGrid/>
        <w:spacing w:before="100" w:after="100" w:line="360" w:lineRule="auto"/>
        <w:ind w:left="160" w:right="0" w:firstLine="480"/>
        <w:jc w:val="both"/>
        <w:textAlignment w:val="auto"/>
        <w:rPr>
          <w:rFonts w:ascii="Times New Roman" w:hAnsi="Times New Roman" w:eastAsia="Times New Roman" w:cs="Times New Roman"/>
          <w:kern w:val="0"/>
          <w:sz w:val="24"/>
        </w:rPr>
      </w:pPr>
      <w:r>
        <w:rPr>
          <w:rFonts w:ascii="仿宋" w:hAnsi="仿宋" w:eastAsia="仿宋" w:cs="仿宋"/>
          <w:spacing w:val="0"/>
          <w:kern w:val="0"/>
          <w:sz w:val="32"/>
          <w:szCs w:val="32"/>
        </w:rPr>
        <w:t>2.政府性基金预算财政拨款收入29.74万元。</w:t>
      </w:r>
    </w:p>
    <w:p>
      <w:pPr>
        <w:pStyle w:val="29"/>
        <w:keepNext w:val="0"/>
        <w:keepLines w:val="0"/>
        <w:pageBreakBefore w:val="0"/>
        <w:widowControl/>
        <w:kinsoku/>
        <w:wordWrap/>
        <w:overflowPunct/>
        <w:topLinePunct w:val="0"/>
        <w:autoSpaceDE/>
        <w:autoSpaceDN/>
        <w:bidi w:val="0"/>
        <w:adjustRightInd/>
        <w:snapToGrid/>
        <w:spacing w:before="100" w:after="100" w:line="360" w:lineRule="auto"/>
        <w:ind w:left="160" w:right="0" w:firstLine="480"/>
        <w:jc w:val="both"/>
        <w:textAlignment w:val="auto"/>
        <w:rPr>
          <w:rFonts w:ascii="Times New Roman" w:hAnsi="Times New Roman" w:eastAsia="Times New Roman" w:cs="Times New Roman"/>
          <w:kern w:val="0"/>
          <w:sz w:val="24"/>
        </w:rPr>
      </w:pPr>
      <w:r>
        <w:rPr>
          <w:rFonts w:ascii="仿宋" w:hAnsi="仿宋" w:eastAsia="仿宋" w:cs="仿宋"/>
          <w:spacing w:val="0"/>
          <w:kern w:val="0"/>
          <w:sz w:val="32"/>
          <w:szCs w:val="32"/>
        </w:rPr>
        <w:t>3.国有资本经营预算财政拨款收入0万元。</w:t>
      </w:r>
    </w:p>
    <w:p>
      <w:pPr>
        <w:pStyle w:val="29"/>
        <w:keepNext w:val="0"/>
        <w:keepLines w:val="0"/>
        <w:pageBreakBefore w:val="0"/>
        <w:widowControl/>
        <w:kinsoku/>
        <w:wordWrap/>
        <w:overflowPunct/>
        <w:topLinePunct w:val="0"/>
        <w:autoSpaceDE/>
        <w:autoSpaceDN/>
        <w:bidi w:val="0"/>
        <w:adjustRightInd/>
        <w:snapToGrid/>
        <w:spacing w:before="100" w:after="100" w:line="360" w:lineRule="auto"/>
        <w:ind w:left="0" w:right="0" w:firstLine="640"/>
        <w:jc w:val="both"/>
        <w:textAlignment w:val="auto"/>
        <w:rPr>
          <w:rFonts w:ascii="Times New Roman" w:hAnsi="Times New Roman" w:eastAsia="Times New Roman" w:cs="Times New Roman"/>
          <w:kern w:val="0"/>
          <w:sz w:val="24"/>
        </w:rPr>
      </w:pPr>
      <w:r>
        <w:rPr>
          <w:rFonts w:ascii="仿宋" w:hAnsi="仿宋" w:eastAsia="仿宋" w:cs="仿宋"/>
          <w:spacing w:val="0"/>
          <w:kern w:val="0"/>
          <w:sz w:val="32"/>
          <w:szCs w:val="32"/>
        </w:rPr>
        <w:t>4.上级补助收入0万元。</w:t>
      </w:r>
    </w:p>
    <w:p>
      <w:pPr>
        <w:pStyle w:val="29"/>
        <w:keepNext w:val="0"/>
        <w:keepLines w:val="0"/>
        <w:pageBreakBefore w:val="0"/>
        <w:widowControl/>
        <w:kinsoku/>
        <w:wordWrap/>
        <w:overflowPunct/>
        <w:topLinePunct w:val="0"/>
        <w:autoSpaceDE/>
        <w:autoSpaceDN/>
        <w:bidi w:val="0"/>
        <w:adjustRightInd/>
        <w:snapToGrid/>
        <w:spacing w:before="100" w:after="100" w:line="360" w:lineRule="auto"/>
        <w:ind w:left="0" w:right="0" w:firstLine="640"/>
        <w:jc w:val="both"/>
        <w:textAlignment w:val="auto"/>
        <w:rPr>
          <w:rFonts w:ascii="Times New Roman" w:hAnsi="Times New Roman" w:eastAsia="Times New Roman" w:cs="Times New Roman"/>
          <w:kern w:val="0"/>
          <w:sz w:val="24"/>
        </w:rPr>
      </w:pPr>
      <w:r>
        <w:rPr>
          <w:rFonts w:ascii="仿宋" w:hAnsi="仿宋" w:eastAsia="仿宋" w:cs="仿宋"/>
          <w:spacing w:val="0"/>
          <w:kern w:val="0"/>
          <w:sz w:val="32"/>
          <w:szCs w:val="32"/>
        </w:rPr>
        <w:t>5.事业收入0万元。</w:t>
      </w:r>
    </w:p>
    <w:p>
      <w:pPr>
        <w:pStyle w:val="29"/>
        <w:keepNext w:val="0"/>
        <w:keepLines w:val="0"/>
        <w:pageBreakBefore w:val="0"/>
        <w:widowControl/>
        <w:kinsoku/>
        <w:wordWrap/>
        <w:overflowPunct/>
        <w:topLinePunct w:val="0"/>
        <w:autoSpaceDE/>
        <w:autoSpaceDN/>
        <w:bidi w:val="0"/>
        <w:adjustRightInd/>
        <w:snapToGrid/>
        <w:spacing w:before="100" w:after="100" w:line="360" w:lineRule="auto"/>
        <w:ind w:left="0" w:right="0" w:firstLine="640"/>
        <w:jc w:val="both"/>
        <w:textAlignment w:val="auto"/>
        <w:rPr>
          <w:rFonts w:ascii="Times New Roman" w:hAnsi="Times New Roman" w:eastAsia="Times New Roman" w:cs="Times New Roman"/>
          <w:kern w:val="0"/>
          <w:sz w:val="24"/>
        </w:rPr>
      </w:pPr>
      <w:r>
        <w:rPr>
          <w:rFonts w:ascii="仿宋" w:hAnsi="仿宋" w:eastAsia="仿宋" w:cs="仿宋"/>
          <w:spacing w:val="0"/>
          <w:kern w:val="0"/>
          <w:sz w:val="32"/>
          <w:szCs w:val="32"/>
        </w:rPr>
        <w:t>6.经营收入0万元。</w:t>
      </w:r>
    </w:p>
    <w:p>
      <w:pPr>
        <w:pStyle w:val="29"/>
        <w:keepNext w:val="0"/>
        <w:keepLines w:val="0"/>
        <w:pageBreakBefore w:val="0"/>
        <w:widowControl/>
        <w:kinsoku/>
        <w:wordWrap/>
        <w:overflowPunct/>
        <w:topLinePunct w:val="0"/>
        <w:autoSpaceDE/>
        <w:autoSpaceDN/>
        <w:bidi w:val="0"/>
        <w:adjustRightInd/>
        <w:snapToGrid/>
        <w:spacing w:before="100" w:after="100" w:line="360" w:lineRule="auto"/>
        <w:ind w:left="0" w:right="0" w:firstLine="640"/>
        <w:jc w:val="both"/>
        <w:textAlignment w:val="auto"/>
        <w:rPr>
          <w:rFonts w:ascii="Times New Roman" w:hAnsi="Times New Roman" w:eastAsia="Times New Roman" w:cs="Times New Roman"/>
          <w:kern w:val="0"/>
          <w:sz w:val="24"/>
        </w:rPr>
      </w:pPr>
      <w:r>
        <w:rPr>
          <w:rFonts w:ascii="仿宋" w:hAnsi="仿宋" w:eastAsia="仿宋" w:cs="仿宋"/>
          <w:spacing w:val="0"/>
          <w:kern w:val="0"/>
          <w:sz w:val="32"/>
          <w:szCs w:val="32"/>
        </w:rPr>
        <w:t>7.附属单位上缴收入0万元。</w:t>
      </w:r>
    </w:p>
    <w:p>
      <w:pPr>
        <w:pStyle w:val="29"/>
        <w:keepNext w:val="0"/>
        <w:keepLines w:val="0"/>
        <w:pageBreakBefore w:val="0"/>
        <w:widowControl/>
        <w:kinsoku/>
        <w:wordWrap/>
        <w:overflowPunct/>
        <w:topLinePunct w:val="0"/>
        <w:autoSpaceDE/>
        <w:autoSpaceDN/>
        <w:bidi w:val="0"/>
        <w:adjustRightInd/>
        <w:snapToGrid/>
        <w:spacing w:before="100" w:after="100" w:line="360" w:lineRule="auto"/>
        <w:ind w:left="0" w:right="0" w:firstLine="640"/>
        <w:jc w:val="both"/>
        <w:textAlignment w:val="auto"/>
        <w:rPr>
          <w:rFonts w:ascii="Times New Roman" w:hAnsi="Times New Roman" w:eastAsia="Times New Roman" w:cs="Times New Roman"/>
          <w:kern w:val="0"/>
          <w:sz w:val="24"/>
        </w:rPr>
      </w:pPr>
      <w:r>
        <w:rPr>
          <w:rFonts w:ascii="仿宋" w:hAnsi="仿宋" w:eastAsia="仿宋" w:cs="仿宋"/>
          <w:spacing w:val="0"/>
          <w:kern w:val="0"/>
          <w:sz w:val="32"/>
          <w:szCs w:val="32"/>
        </w:rPr>
        <w:t>8.其他收入0万元。</w:t>
      </w:r>
    </w:p>
    <w:p>
      <w:pPr>
        <w:pStyle w:val="29"/>
        <w:keepNext w:val="0"/>
        <w:keepLines w:val="0"/>
        <w:pageBreakBefore w:val="0"/>
        <w:widowControl/>
        <w:kinsoku/>
        <w:wordWrap/>
        <w:overflowPunct/>
        <w:topLinePunct w:val="0"/>
        <w:autoSpaceDE/>
        <w:autoSpaceDN/>
        <w:bidi w:val="0"/>
        <w:adjustRightInd/>
        <w:snapToGrid/>
        <w:spacing w:before="100" w:after="100" w:line="360" w:lineRule="auto"/>
        <w:ind w:left="0" w:right="0" w:firstLine="640"/>
        <w:jc w:val="both"/>
        <w:textAlignment w:val="auto"/>
        <w:rPr>
          <w:rFonts w:ascii="Times New Roman" w:hAnsi="Times New Roman" w:eastAsia="Times New Roman" w:cs="Times New Roman"/>
          <w:kern w:val="0"/>
          <w:sz w:val="24"/>
        </w:rPr>
      </w:pPr>
      <w:r>
        <w:rPr>
          <w:rFonts w:ascii="楷体_GB2312" w:hAnsi="楷体_GB2312" w:eastAsia="楷体_GB2312" w:cs="楷体_GB2312"/>
          <w:spacing w:val="0"/>
          <w:kern w:val="0"/>
          <w:sz w:val="32"/>
          <w:szCs w:val="32"/>
        </w:rPr>
        <w:t>（三）支出决算情况说明</w:t>
      </w:r>
    </w:p>
    <w:p>
      <w:pPr>
        <w:pStyle w:val="29"/>
        <w:keepNext w:val="0"/>
        <w:keepLines w:val="0"/>
        <w:pageBreakBefore w:val="0"/>
        <w:widowControl/>
        <w:kinsoku/>
        <w:wordWrap/>
        <w:overflowPunct/>
        <w:topLinePunct w:val="0"/>
        <w:autoSpaceDE/>
        <w:autoSpaceDN/>
        <w:bidi w:val="0"/>
        <w:adjustRightInd/>
        <w:snapToGrid/>
        <w:spacing w:before="100" w:after="100" w:line="360" w:lineRule="auto"/>
        <w:ind w:left="0" w:right="0" w:firstLine="640"/>
        <w:jc w:val="both"/>
        <w:textAlignment w:val="auto"/>
        <w:rPr>
          <w:rFonts w:ascii="Times New Roman" w:hAnsi="Times New Roman" w:eastAsia="Times New Roman" w:cs="Times New Roman"/>
          <w:kern w:val="0"/>
          <w:sz w:val="24"/>
        </w:rPr>
      </w:pPr>
      <w:r>
        <w:rPr>
          <w:rFonts w:ascii="仿宋" w:hAnsi="仿宋" w:eastAsia="仿宋" w:cs="仿宋"/>
          <w:spacing w:val="0"/>
          <w:kern w:val="0"/>
          <w:sz w:val="32"/>
          <w:szCs w:val="32"/>
        </w:rPr>
        <w:t>2024年度支出3608.74万元，比上年决算数增加988.30万元，增长37.72%，具体情况如下：</w:t>
      </w:r>
    </w:p>
    <w:p>
      <w:pPr>
        <w:pStyle w:val="29"/>
        <w:keepNext w:val="0"/>
        <w:keepLines w:val="0"/>
        <w:pageBreakBefore w:val="0"/>
        <w:widowControl/>
        <w:kinsoku/>
        <w:wordWrap/>
        <w:overflowPunct/>
        <w:topLinePunct w:val="0"/>
        <w:autoSpaceDE/>
        <w:autoSpaceDN/>
        <w:bidi w:val="0"/>
        <w:adjustRightInd/>
        <w:snapToGrid/>
        <w:spacing w:before="100" w:after="100" w:line="360" w:lineRule="auto"/>
        <w:ind w:right="0" w:firstLine="640"/>
        <w:jc w:val="left"/>
        <w:textAlignment w:val="auto"/>
        <w:rPr>
          <w:rFonts w:ascii="Times New Roman" w:hAnsi="Times New Roman" w:eastAsia="Times New Roman" w:cs="Times New Roman"/>
          <w:kern w:val="0"/>
          <w:sz w:val="24"/>
        </w:rPr>
      </w:pPr>
      <w:r>
        <w:rPr>
          <w:rFonts w:ascii="仿宋" w:hAnsi="仿宋" w:eastAsia="仿宋" w:cs="仿宋"/>
          <w:spacing w:val="0"/>
          <w:kern w:val="0"/>
          <w:sz w:val="32"/>
          <w:szCs w:val="32"/>
        </w:rPr>
        <w:t>1.基本支出3385.50万元。其中，人员支出3014.91万元，公用支出370.59万元。</w:t>
      </w:r>
    </w:p>
    <w:p>
      <w:pPr>
        <w:pStyle w:val="29"/>
        <w:keepNext w:val="0"/>
        <w:keepLines w:val="0"/>
        <w:pageBreakBefore w:val="0"/>
        <w:widowControl/>
        <w:kinsoku/>
        <w:wordWrap/>
        <w:overflowPunct/>
        <w:topLinePunct w:val="0"/>
        <w:autoSpaceDE/>
        <w:autoSpaceDN/>
        <w:bidi w:val="0"/>
        <w:adjustRightInd/>
        <w:snapToGrid/>
        <w:spacing w:before="240" w:after="240" w:line="360" w:lineRule="auto"/>
        <w:ind w:right="0" w:firstLine="640"/>
        <w:jc w:val="left"/>
        <w:textAlignment w:val="auto"/>
        <w:rPr>
          <w:rFonts w:ascii="Times New Roman" w:hAnsi="Times New Roman" w:eastAsia="Times New Roman" w:cs="Times New Roman"/>
          <w:kern w:val="0"/>
          <w:sz w:val="24"/>
        </w:rPr>
      </w:pPr>
      <w:r>
        <w:rPr>
          <w:rFonts w:ascii="仿宋" w:hAnsi="仿宋" w:eastAsia="仿宋" w:cs="仿宋"/>
          <w:spacing w:val="0"/>
          <w:kern w:val="0"/>
          <w:sz w:val="32"/>
          <w:szCs w:val="32"/>
        </w:rPr>
        <w:t>2.项目支出223.24万元。</w:t>
      </w:r>
    </w:p>
    <w:p>
      <w:pPr>
        <w:pStyle w:val="29"/>
        <w:keepNext w:val="0"/>
        <w:keepLines w:val="0"/>
        <w:pageBreakBefore w:val="0"/>
        <w:widowControl/>
        <w:kinsoku/>
        <w:wordWrap/>
        <w:overflowPunct/>
        <w:topLinePunct w:val="0"/>
        <w:autoSpaceDE/>
        <w:autoSpaceDN/>
        <w:bidi w:val="0"/>
        <w:adjustRightInd/>
        <w:snapToGrid/>
        <w:spacing w:before="100" w:after="100" w:line="360" w:lineRule="auto"/>
        <w:ind w:right="0" w:firstLine="640"/>
        <w:jc w:val="left"/>
        <w:textAlignment w:val="auto"/>
        <w:rPr>
          <w:rFonts w:ascii="Times New Roman" w:hAnsi="Times New Roman" w:eastAsia="Times New Roman" w:cs="Times New Roman"/>
          <w:kern w:val="0"/>
          <w:sz w:val="24"/>
        </w:rPr>
      </w:pPr>
      <w:r>
        <w:rPr>
          <w:rFonts w:ascii="仿宋" w:hAnsi="仿宋" w:eastAsia="仿宋" w:cs="仿宋"/>
          <w:spacing w:val="0"/>
          <w:kern w:val="0"/>
          <w:sz w:val="32"/>
          <w:szCs w:val="32"/>
        </w:rPr>
        <w:t>3.上缴上级支出0万元。</w:t>
      </w:r>
    </w:p>
    <w:p>
      <w:pPr>
        <w:pStyle w:val="29"/>
        <w:keepNext w:val="0"/>
        <w:keepLines w:val="0"/>
        <w:pageBreakBefore w:val="0"/>
        <w:widowControl/>
        <w:kinsoku/>
        <w:wordWrap/>
        <w:overflowPunct/>
        <w:topLinePunct w:val="0"/>
        <w:autoSpaceDE/>
        <w:autoSpaceDN/>
        <w:bidi w:val="0"/>
        <w:adjustRightInd/>
        <w:snapToGrid/>
        <w:spacing w:before="100" w:after="100" w:line="360" w:lineRule="auto"/>
        <w:ind w:right="0" w:firstLine="640"/>
        <w:jc w:val="left"/>
        <w:textAlignment w:val="auto"/>
        <w:rPr>
          <w:rFonts w:ascii="Times New Roman" w:hAnsi="Times New Roman" w:eastAsia="Times New Roman" w:cs="Times New Roman"/>
          <w:kern w:val="0"/>
          <w:sz w:val="24"/>
        </w:rPr>
      </w:pPr>
      <w:r>
        <w:rPr>
          <w:rFonts w:ascii="仿宋" w:hAnsi="仿宋" w:eastAsia="仿宋" w:cs="仿宋"/>
          <w:spacing w:val="0"/>
          <w:kern w:val="0"/>
          <w:sz w:val="32"/>
          <w:szCs w:val="32"/>
        </w:rPr>
        <w:t>4.经营支出0万元。</w:t>
      </w:r>
    </w:p>
    <w:p>
      <w:pPr>
        <w:pStyle w:val="29"/>
        <w:keepNext w:val="0"/>
        <w:keepLines w:val="0"/>
        <w:pageBreakBefore w:val="0"/>
        <w:widowControl/>
        <w:kinsoku/>
        <w:wordWrap/>
        <w:overflowPunct/>
        <w:topLinePunct w:val="0"/>
        <w:autoSpaceDE/>
        <w:autoSpaceDN/>
        <w:bidi w:val="0"/>
        <w:adjustRightInd/>
        <w:snapToGrid/>
        <w:spacing w:before="100" w:after="100" w:line="360" w:lineRule="auto"/>
        <w:ind w:right="0" w:firstLine="640"/>
        <w:jc w:val="left"/>
        <w:textAlignment w:val="auto"/>
        <w:rPr>
          <w:rFonts w:ascii="Times New Roman" w:hAnsi="Times New Roman" w:eastAsia="Times New Roman" w:cs="Times New Roman"/>
          <w:kern w:val="0"/>
          <w:sz w:val="24"/>
        </w:rPr>
      </w:pPr>
      <w:r>
        <w:rPr>
          <w:rFonts w:ascii="仿宋" w:hAnsi="仿宋" w:eastAsia="仿宋" w:cs="仿宋"/>
          <w:spacing w:val="0"/>
          <w:kern w:val="0"/>
          <w:sz w:val="32"/>
          <w:szCs w:val="32"/>
        </w:rPr>
        <w:t>5.对附属单位补助支出0万元。</w:t>
      </w:r>
    </w:p>
    <w:p>
      <w:pPr>
        <w:pStyle w:val="6"/>
        <w:keepNext w:val="0"/>
        <w:keepLines w:val="0"/>
        <w:pageBreakBefore w:val="0"/>
        <w:widowControl/>
        <w:kinsoku/>
        <w:wordWrap/>
        <w:overflowPunct/>
        <w:topLinePunct w:val="0"/>
        <w:autoSpaceDE/>
        <w:autoSpaceDN/>
        <w:bidi w:val="0"/>
        <w:adjustRightInd/>
        <w:snapToGrid/>
        <w:spacing w:before="100" w:after="100" w:line="360" w:lineRule="auto"/>
        <w:ind w:right="0"/>
        <w:textAlignment w:val="auto"/>
        <w:rPr>
          <w:rFonts w:ascii="Times New Roman" w:hAnsi="Times New Roman" w:eastAsia="Times New Roman" w:cs="Times New Roman"/>
          <w:b/>
          <w:bCs/>
          <w:kern w:val="0"/>
          <w:sz w:val="28"/>
          <w:szCs w:val="28"/>
        </w:rPr>
      </w:pPr>
      <w:bookmarkStart w:id="69" w:name="_Toc256000112"/>
      <w:bookmarkStart w:id="70" w:name="_Toc256000081"/>
      <w:bookmarkStart w:id="71" w:name="_Toc256000019"/>
      <w:bookmarkStart w:id="72" w:name="_Toc256000050"/>
      <w:r>
        <w:rPr>
          <w:rFonts w:ascii="黑体" w:hAnsi="黑体" w:eastAsia="黑体" w:cs="黑体"/>
          <w:b/>
          <w:spacing w:val="0"/>
        </w:rPr>
        <w:t>二、财政拨款收入支出决算总体情况说明</w:t>
      </w:r>
      <w:bookmarkEnd w:id="69"/>
      <w:bookmarkEnd w:id="70"/>
      <w:bookmarkEnd w:id="71"/>
      <w:bookmarkEnd w:id="72"/>
    </w:p>
    <w:p>
      <w:pPr>
        <w:pStyle w:val="29"/>
        <w:keepNext w:val="0"/>
        <w:keepLines w:val="0"/>
        <w:pageBreakBefore w:val="0"/>
        <w:widowControl/>
        <w:kinsoku/>
        <w:wordWrap/>
        <w:overflowPunct/>
        <w:topLinePunct w:val="0"/>
        <w:autoSpaceDE/>
        <w:autoSpaceDN/>
        <w:bidi w:val="0"/>
        <w:adjustRightInd/>
        <w:snapToGrid/>
        <w:spacing w:before="100" w:after="100" w:line="360" w:lineRule="auto"/>
        <w:ind w:left="0" w:right="0" w:firstLine="640"/>
        <w:jc w:val="both"/>
        <w:textAlignment w:val="auto"/>
        <w:rPr>
          <w:rFonts w:hint="eastAsia" w:ascii="Times New Roman" w:hAnsi="Times New Roman" w:eastAsia="仿宋" w:cs="Times New Roman"/>
          <w:kern w:val="0"/>
          <w:sz w:val="24"/>
          <w:lang w:eastAsia="zh-CN"/>
        </w:rPr>
      </w:pPr>
      <w:r>
        <w:rPr>
          <w:rFonts w:ascii="仿宋" w:hAnsi="仿宋" w:eastAsia="仿宋" w:cs="仿宋"/>
          <w:spacing w:val="0"/>
          <w:kern w:val="0"/>
          <w:sz w:val="32"/>
          <w:szCs w:val="32"/>
        </w:rPr>
        <w:t>2024年度财政拨款收入总计3608.74万元，支出总计3608.74万元，与上年决算数相比，各增加988.30万元，增长37.72%，主要是：</w:t>
      </w:r>
      <w:r>
        <w:rPr>
          <w:rFonts w:hint="eastAsia" w:ascii="仿宋" w:hAnsi="仿宋" w:eastAsia="仿宋" w:cs="仿宋"/>
          <w:spacing w:val="0"/>
          <w:kern w:val="0"/>
          <w:sz w:val="32"/>
          <w:szCs w:val="32"/>
          <w:lang w:eastAsia="zh-CN"/>
        </w:rPr>
        <w:t>学生数及项目经费增加等。</w:t>
      </w:r>
    </w:p>
    <w:p>
      <w:pPr>
        <w:pStyle w:val="6"/>
        <w:keepNext w:val="0"/>
        <w:keepLines w:val="0"/>
        <w:pageBreakBefore w:val="0"/>
        <w:widowControl/>
        <w:kinsoku/>
        <w:wordWrap/>
        <w:overflowPunct/>
        <w:topLinePunct w:val="0"/>
        <w:autoSpaceDE/>
        <w:autoSpaceDN/>
        <w:bidi w:val="0"/>
        <w:adjustRightInd/>
        <w:snapToGrid/>
        <w:spacing w:before="100" w:after="100" w:line="360" w:lineRule="auto"/>
        <w:ind w:left="0" w:right="0" w:firstLine="640" w:firstLineChars="0"/>
        <w:textAlignment w:val="auto"/>
        <w:rPr>
          <w:rFonts w:ascii="Times New Roman" w:hAnsi="Times New Roman" w:eastAsia="Times New Roman" w:cs="Times New Roman"/>
          <w:b/>
          <w:bCs/>
          <w:kern w:val="0"/>
          <w:sz w:val="28"/>
          <w:szCs w:val="28"/>
        </w:rPr>
      </w:pPr>
      <w:bookmarkStart w:id="73" w:name="_Toc256000082"/>
      <w:bookmarkStart w:id="74" w:name="_Toc256000051"/>
      <w:bookmarkStart w:id="75" w:name="_Toc256000113"/>
      <w:bookmarkStart w:id="76" w:name="_Toc256000020"/>
      <w:r>
        <w:rPr>
          <w:rFonts w:ascii="黑体" w:hAnsi="黑体" w:eastAsia="黑体" w:cs="黑体"/>
          <w:b/>
          <w:spacing w:val="0"/>
        </w:rPr>
        <w:t>三、一般公共预算拨款支出决算情况说明</w:t>
      </w:r>
      <w:bookmarkEnd w:id="73"/>
      <w:bookmarkEnd w:id="74"/>
      <w:bookmarkEnd w:id="75"/>
      <w:bookmarkEnd w:id="76"/>
    </w:p>
    <w:p>
      <w:pPr>
        <w:pStyle w:val="29"/>
        <w:keepNext w:val="0"/>
        <w:keepLines w:val="0"/>
        <w:pageBreakBefore w:val="0"/>
        <w:widowControl/>
        <w:kinsoku/>
        <w:wordWrap/>
        <w:overflowPunct/>
        <w:topLinePunct w:val="0"/>
        <w:autoSpaceDE/>
        <w:autoSpaceDN/>
        <w:bidi w:val="0"/>
        <w:adjustRightInd/>
        <w:snapToGrid/>
        <w:spacing w:before="100" w:after="100" w:line="360" w:lineRule="auto"/>
        <w:ind w:left="0" w:right="0" w:firstLine="640"/>
        <w:jc w:val="both"/>
        <w:textAlignment w:val="auto"/>
        <w:rPr>
          <w:rFonts w:ascii="Times New Roman" w:hAnsi="Times New Roman" w:eastAsia="Times New Roman" w:cs="Times New Roman"/>
          <w:kern w:val="0"/>
          <w:sz w:val="24"/>
        </w:rPr>
      </w:pPr>
      <w:r>
        <w:rPr>
          <w:rFonts w:ascii="仿宋" w:hAnsi="仿宋" w:eastAsia="仿宋" w:cs="仿宋"/>
          <w:spacing w:val="0"/>
          <w:kern w:val="0"/>
          <w:sz w:val="32"/>
          <w:szCs w:val="32"/>
        </w:rPr>
        <w:t>2024年一般公共预算支出3579.00万元，比上年决算数增加958.56万元，增长36.58%，具体情况如下(按</w:t>
      </w:r>
      <w:r>
        <w:rPr>
          <w:rStyle w:val="31"/>
          <w:rFonts w:ascii="仿宋" w:hAnsi="仿宋" w:eastAsia="仿宋" w:cs="仿宋"/>
          <w:spacing w:val="0"/>
          <w:kern w:val="0"/>
          <w:sz w:val="32"/>
          <w:szCs w:val="32"/>
        </w:rPr>
        <w:t>项级科目</w:t>
      </w:r>
      <w:r>
        <w:rPr>
          <w:rFonts w:ascii="仿宋" w:hAnsi="仿宋" w:eastAsia="仿宋" w:cs="仿宋"/>
          <w:spacing w:val="0"/>
          <w:kern w:val="0"/>
          <w:sz w:val="32"/>
          <w:szCs w:val="32"/>
        </w:rPr>
        <w:t>分类统计)：</w:t>
      </w:r>
    </w:p>
    <w:p>
      <w:pPr>
        <w:pStyle w:val="29"/>
        <w:keepNext w:val="0"/>
        <w:keepLines w:val="0"/>
        <w:pageBreakBefore w:val="0"/>
        <w:widowControl/>
        <w:kinsoku/>
        <w:wordWrap/>
        <w:overflowPunct/>
        <w:topLinePunct w:val="0"/>
        <w:autoSpaceDE/>
        <w:autoSpaceDN/>
        <w:bidi w:val="0"/>
        <w:adjustRightInd/>
        <w:snapToGrid/>
        <w:spacing w:before="100" w:after="100" w:line="360" w:lineRule="auto"/>
        <w:ind w:left="0" w:right="0" w:firstLine="640" w:firstLineChars="200"/>
        <w:jc w:val="both"/>
        <w:textAlignment w:val="auto"/>
        <w:rPr>
          <w:rFonts w:hint="eastAsia" w:ascii="仿宋" w:hAnsi="仿宋" w:eastAsia="仿宋" w:cs="仿宋"/>
          <w:spacing w:val="0"/>
          <w:kern w:val="0"/>
          <w:sz w:val="32"/>
          <w:szCs w:val="32"/>
          <w:lang w:eastAsia="zh-CN"/>
        </w:rPr>
      </w:pPr>
      <w:r>
        <w:rPr>
          <w:rFonts w:ascii="仿宋" w:hAnsi="仿宋" w:eastAsia="仿宋" w:cs="仿宋"/>
          <w:spacing w:val="0"/>
          <w:kern w:val="0"/>
          <w:sz w:val="32"/>
          <w:szCs w:val="32"/>
        </w:rPr>
        <w:t>（一）2050202 小学教育1,219.94万元，较上年决算数增加399.27万元，增长48.65%。主要原因是</w:t>
      </w:r>
      <w:r>
        <w:rPr>
          <w:rFonts w:hint="eastAsia" w:ascii="仿宋" w:hAnsi="仿宋" w:eastAsia="仿宋" w:cs="仿宋"/>
          <w:spacing w:val="0"/>
          <w:kern w:val="0"/>
          <w:sz w:val="32"/>
          <w:szCs w:val="32"/>
          <w:lang w:eastAsia="zh-CN"/>
        </w:rPr>
        <w:t>学生数及项目经费增加等。</w:t>
      </w:r>
    </w:p>
    <w:p>
      <w:pPr>
        <w:pStyle w:val="29"/>
        <w:keepNext w:val="0"/>
        <w:keepLines w:val="0"/>
        <w:pageBreakBefore w:val="0"/>
        <w:widowControl/>
        <w:kinsoku/>
        <w:wordWrap/>
        <w:overflowPunct/>
        <w:topLinePunct w:val="0"/>
        <w:autoSpaceDE/>
        <w:autoSpaceDN/>
        <w:bidi w:val="0"/>
        <w:adjustRightInd/>
        <w:snapToGrid/>
        <w:spacing w:before="100" w:after="100" w:line="360" w:lineRule="auto"/>
        <w:ind w:left="0" w:right="0" w:firstLine="640" w:firstLineChars="200"/>
        <w:jc w:val="both"/>
        <w:textAlignment w:val="auto"/>
        <w:rPr>
          <w:rFonts w:hint="eastAsia" w:ascii="仿宋" w:hAnsi="仿宋" w:eastAsia="仿宋" w:cs="仿宋"/>
          <w:spacing w:val="0"/>
          <w:kern w:val="0"/>
          <w:sz w:val="32"/>
          <w:szCs w:val="32"/>
          <w:lang w:eastAsia="zh-CN"/>
        </w:rPr>
      </w:pPr>
      <w:r>
        <w:rPr>
          <w:rFonts w:ascii="仿宋" w:hAnsi="仿宋" w:eastAsia="仿宋" w:cs="仿宋"/>
          <w:spacing w:val="0"/>
          <w:kern w:val="0"/>
          <w:sz w:val="32"/>
          <w:szCs w:val="32"/>
        </w:rPr>
        <w:t>（二）2050203 初中教育1,612.38万元，较上年决算数增加398.61万元，增长32.84%。主要原因是</w:t>
      </w:r>
      <w:r>
        <w:rPr>
          <w:rFonts w:hint="eastAsia" w:ascii="仿宋" w:hAnsi="仿宋" w:eastAsia="仿宋" w:cs="仿宋"/>
          <w:spacing w:val="0"/>
          <w:kern w:val="0"/>
          <w:sz w:val="32"/>
          <w:szCs w:val="32"/>
          <w:lang w:eastAsia="zh-CN"/>
        </w:rPr>
        <w:t>学生数及项目经费增加等。</w:t>
      </w:r>
    </w:p>
    <w:p>
      <w:pPr>
        <w:pStyle w:val="29"/>
        <w:keepNext w:val="0"/>
        <w:keepLines w:val="0"/>
        <w:pageBreakBefore w:val="0"/>
        <w:widowControl/>
        <w:kinsoku/>
        <w:wordWrap/>
        <w:overflowPunct/>
        <w:topLinePunct w:val="0"/>
        <w:autoSpaceDE/>
        <w:autoSpaceDN/>
        <w:bidi w:val="0"/>
        <w:adjustRightInd/>
        <w:snapToGrid/>
        <w:spacing w:before="100" w:after="100" w:line="360" w:lineRule="auto"/>
        <w:ind w:left="0" w:right="0" w:firstLine="640" w:firstLineChars="200"/>
        <w:jc w:val="both"/>
        <w:textAlignment w:val="auto"/>
        <w:rPr>
          <w:rFonts w:hint="eastAsia" w:ascii="仿宋" w:hAnsi="仿宋" w:eastAsia="仿宋" w:cs="仿宋"/>
          <w:spacing w:val="0"/>
          <w:kern w:val="0"/>
          <w:sz w:val="32"/>
          <w:szCs w:val="32"/>
          <w:lang w:eastAsia="zh-CN"/>
        </w:rPr>
      </w:pPr>
      <w:r>
        <w:rPr>
          <w:rFonts w:ascii="仿宋" w:hAnsi="仿宋" w:eastAsia="仿宋" w:cs="仿宋"/>
          <w:spacing w:val="0"/>
          <w:kern w:val="0"/>
          <w:sz w:val="32"/>
          <w:szCs w:val="32"/>
        </w:rPr>
        <w:t>（三）2050299 其他普通教育支出268.64万元，较上年决算数增加68.49万元，增长34.22%。主要原因是</w:t>
      </w:r>
      <w:r>
        <w:rPr>
          <w:rFonts w:hint="eastAsia" w:ascii="仿宋" w:hAnsi="仿宋" w:eastAsia="仿宋" w:cs="仿宋"/>
          <w:spacing w:val="0"/>
          <w:kern w:val="0"/>
          <w:sz w:val="32"/>
          <w:szCs w:val="32"/>
          <w:lang w:eastAsia="zh-CN"/>
        </w:rPr>
        <w:t>项目经费增加等。</w:t>
      </w:r>
    </w:p>
    <w:p>
      <w:pPr>
        <w:keepNext w:val="0"/>
        <w:keepLines w:val="0"/>
        <w:pageBreakBefore w:val="0"/>
        <w:tabs>
          <w:tab w:val="left" w:pos="1000"/>
        </w:tabs>
        <w:kinsoku/>
        <w:wordWrap/>
        <w:overflowPunct/>
        <w:topLinePunct w:val="0"/>
        <w:autoSpaceDE/>
        <w:autoSpaceDN/>
        <w:bidi w:val="0"/>
        <w:adjustRightInd/>
        <w:snapToGrid/>
        <w:spacing w:line="360" w:lineRule="auto"/>
        <w:ind w:firstLine="640" w:firstLineChars="200"/>
        <w:jc w:val="both"/>
        <w:textAlignment w:val="auto"/>
        <w:outlineLvl w:val="9"/>
        <w:rPr>
          <w:rFonts w:hint="eastAsia" w:ascii="仿宋" w:hAnsi="仿宋" w:eastAsia="仿宋" w:cs="仿宋"/>
          <w:spacing w:val="0"/>
          <w:kern w:val="0"/>
          <w:sz w:val="32"/>
          <w:szCs w:val="32"/>
          <w:lang w:eastAsia="zh-CN"/>
        </w:rPr>
      </w:pPr>
      <w:r>
        <w:rPr>
          <w:rFonts w:ascii="仿宋" w:hAnsi="仿宋" w:eastAsia="仿宋" w:cs="仿宋"/>
          <w:spacing w:val="0"/>
          <w:kern w:val="0"/>
          <w:sz w:val="32"/>
          <w:szCs w:val="32"/>
        </w:rPr>
        <w:t>（四）2050999 其他教育费附加安排的支出7.98万元，较上年决算数减少23.01万元，下降74.25%。主要原因是其他教育费附加安排的</w:t>
      </w:r>
      <w:r>
        <w:rPr>
          <w:rFonts w:hint="eastAsia" w:ascii="仿宋" w:hAnsi="仿宋" w:eastAsia="仿宋" w:cs="仿宋"/>
          <w:spacing w:val="0"/>
          <w:kern w:val="0"/>
          <w:sz w:val="32"/>
          <w:szCs w:val="32"/>
          <w:lang w:eastAsia="zh-CN"/>
        </w:rPr>
        <w:t>经费减少等。</w:t>
      </w:r>
    </w:p>
    <w:p>
      <w:pPr>
        <w:pStyle w:val="29"/>
        <w:keepNext w:val="0"/>
        <w:keepLines w:val="0"/>
        <w:pageBreakBefore w:val="0"/>
        <w:widowControl/>
        <w:kinsoku/>
        <w:wordWrap/>
        <w:overflowPunct/>
        <w:topLinePunct w:val="0"/>
        <w:autoSpaceDE/>
        <w:autoSpaceDN/>
        <w:bidi w:val="0"/>
        <w:adjustRightInd/>
        <w:snapToGrid/>
        <w:spacing w:before="100" w:after="100" w:line="360" w:lineRule="auto"/>
        <w:ind w:right="0" w:firstLine="640" w:firstLineChars="200"/>
        <w:jc w:val="both"/>
        <w:textAlignment w:val="auto"/>
        <w:outlineLvl w:val="9"/>
        <w:rPr>
          <w:rFonts w:hint="eastAsia" w:ascii="仿宋" w:hAnsi="仿宋" w:eastAsia="仿宋" w:cs="仿宋"/>
          <w:kern w:val="0"/>
          <w:sz w:val="32"/>
          <w:szCs w:val="32"/>
          <w:shd w:val="clear" w:color="auto" w:fill="FFFFFF"/>
        </w:rPr>
      </w:pPr>
      <w:r>
        <w:rPr>
          <w:rFonts w:ascii="仿宋" w:hAnsi="仿宋" w:eastAsia="仿宋" w:cs="仿宋"/>
          <w:spacing w:val="0"/>
          <w:kern w:val="0"/>
          <w:sz w:val="32"/>
          <w:szCs w:val="32"/>
        </w:rPr>
        <w:t>（五）2080505 机关事业单位基本养老保险缴费支出218.94万元，较上年决算数增加53.62万元，增长32.43%。</w:t>
      </w:r>
      <w:r>
        <w:rPr>
          <w:rFonts w:hint="eastAsia" w:ascii="仿宋" w:hAnsi="仿宋" w:eastAsia="仿宋" w:cs="仿宋"/>
          <w:kern w:val="0"/>
          <w:sz w:val="32"/>
          <w:szCs w:val="32"/>
          <w:shd w:val="clear" w:color="auto" w:fill="FFFFFF"/>
        </w:rPr>
        <w:t>主要原因是人员变动等。</w:t>
      </w:r>
    </w:p>
    <w:p>
      <w:pPr>
        <w:pStyle w:val="29"/>
        <w:keepNext w:val="0"/>
        <w:keepLines w:val="0"/>
        <w:pageBreakBefore w:val="0"/>
        <w:widowControl/>
        <w:kinsoku/>
        <w:wordWrap/>
        <w:overflowPunct/>
        <w:topLinePunct w:val="0"/>
        <w:autoSpaceDE/>
        <w:autoSpaceDN/>
        <w:bidi w:val="0"/>
        <w:adjustRightInd/>
        <w:snapToGrid/>
        <w:spacing w:before="100" w:after="100" w:line="360" w:lineRule="auto"/>
        <w:ind w:right="0" w:firstLine="640" w:firstLineChars="200"/>
        <w:jc w:val="both"/>
        <w:textAlignment w:val="auto"/>
        <w:outlineLvl w:val="9"/>
        <w:rPr>
          <w:rFonts w:hint="eastAsia" w:ascii="仿宋" w:hAnsi="仿宋" w:eastAsia="仿宋" w:cs="仿宋"/>
          <w:kern w:val="0"/>
          <w:sz w:val="32"/>
          <w:szCs w:val="32"/>
          <w:shd w:val="clear" w:color="auto" w:fill="FFFFFF"/>
        </w:rPr>
      </w:pPr>
      <w:r>
        <w:rPr>
          <w:rFonts w:ascii="仿宋" w:hAnsi="仿宋" w:eastAsia="仿宋" w:cs="仿宋"/>
          <w:spacing w:val="0"/>
          <w:kern w:val="0"/>
          <w:sz w:val="32"/>
          <w:szCs w:val="32"/>
        </w:rPr>
        <w:t>（六）2080506 机关事业单位职业年金缴费支出109.47万元，较上年决算数增加26.81万元，增长32.43%。</w:t>
      </w:r>
      <w:r>
        <w:rPr>
          <w:rFonts w:hint="eastAsia" w:ascii="仿宋" w:hAnsi="仿宋" w:eastAsia="仿宋" w:cs="仿宋"/>
          <w:kern w:val="0"/>
          <w:sz w:val="32"/>
          <w:szCs w:val="32"/>
          <w:shd w:val="clear" w:color="auto" w:fill="FFFFFF"/>
        </w:rPr>
        <w:t>主要原因是人员变动等。</w:t>
      </w:r>
    </w:p>
    <w:p>
      <w:pPr>
        <w:pStyle w:val="29"/>
        <w:keepNext w:val="0"/>
        <w:keepLines w:val="0"/>
        <w:pageBreakBefore w:val="0"/>
        <w:widowControl/>
        <w:kinsoku/>
        <w:wordWrap/>
        <w:overflowPunct/>
        <w:topLinePunct w:val="0"/>
        <w:autoSpaceDE/>
        <w:autoSpaceDN/>
        <w:bidi w:val="0"/>
        <w:adjustRightInd/>
        <w:snapToGrid/>
        <w:spacing w:before="100" w:after="100" w:line="360" w:lineRule="auto"/>
        <w:ind w:right="0" w:firstLine="640" w:firstLineChars="200"/>
        <w:jc w:val="both"/>
        <w:textAlignment w:val="auto"/>
        <w:outlineLvl w:val="9"/>
        <w:rPr>
          <w:rFonts w:hint="eastAsia" w:ascii="仿宋" w:hAnsi="仿宋" w:eastAsia="仿宋" w:cs="仿宋"/>
          <w:kern w:val="0"/>
          <w:sz w:val="32"/>
          <w:szCs w:val="32"/>
          <w:shd w:val="clear" w:color="auto" w:fill="FFFFFF"/>
        </w:rPr>
      </w:pPr>
      <w:r>
        <w:rPr>
          <w:rFonts w:ascii="仿宋" w:hAnsi="仿宋" w:eastAsia="仿宋" w:cs="仿宋"/>
          <w:spacing w:val="0"/>
          <w:kern w:val="0"/>
          <w:sz w:val="32"/>
          <w:szCs w:val="32"/>
        </w:rPr>
        <w:t>（七）2101102 事业单位医疗93.74万元，较上年决算数增加23.01万元，增长32.53%。</w:t>
      </w:r>
      <w:r>
        <w:rPr>
          <w:rFonts w:hint="eastAsia" w:ascii="仿宋" w:hAnsi="仿宋" w:eastAsia="仿宋" w:cs="仿宋"/>
          <w:kern w:val="0"/>
          <w:sz w:val="32"/>
          <w:szCs w:val="32"/>
          <w:shd w:val="clear" w:color="auto" w:fill="FFFFFF"/>
        </w:rPr>
        <w:t>主要原因是人员变动等。</w:t>
      </w:r>
    </w:p>
    <w:p>
      <w:pPr>
        <w:pStyle w:val="29"/>
        <w:keepNext w:val="0"/>
        <w:keepLines w:val="0"/>
        <w:pageBreakBefore w:val="0"/>
        <w:widowControl/>
        <w:kinsoku/>
        <w:wordWrap/>
        <w:overflowPunct/>
        <w:topLinePunct w:val="0"/>
        <w:autoSpaceDE/>
        <w:autoSpaceDN/>
        <w:bidi w:val="0"/>
        <w:adjustRightInd/>
        <w:snapToGrid/>
        <w:spacing w:before="100" w:after="100" w:line="360" w:lineRule="auto"/>
        <w:ind w:right="0" w:firstLine="640" w:firstLineChars="200"/>
        <w:jc w:val="both"/>
        <w:textAlignment w:val="auto"/>
        <w:outlineLvl w:val="9"/>
        <w:rPr>
          <w:rFonts w:hint="eastAsia" w:ascii="仿宋" w:hAnsi="仿宋" w:eastAsia="仿宋" w:cs="仿宋"/>
          <w:kern w:val="0"/>
          <w:sz w:val="32"/>
          <w:szCs w:val="32"/>
          <w:shd w:val="clear" w:color="auto" w:fill="FFFFFF"/>
        </w:rPr>
      </w:pPr>
      <w:r>
        <w:rPr>
          <w:rFonts w:ascii="仿宋" w:hAnsi="仿宋" w:eastAsia="仿宋" w:cs="仿宋"/>
          <w:spacing w:val="0"/>
          <w:kern w:val="0"/>
          <w:sz w:val="32"/>
          <w:szCs w:val="32"/>
        </w:rPr>
        <w:t>（八）2101199 其他行政事业单位医疗支出47.90万元，较上年决算数增加11.76万元，增长32.53%。</w:t>
      </w:r>
      <w:r>
        <w:rPr>
          <w:rFonts w:hint="eastAsia" w:ascii="仿宋" w:hAnsi="仿宋" w:eastAsia="仿宋" w:cs="仿宋"/>
          <w:kern w:val="0"/>
          <w:sz w:val="32"/>
          <w:szCs w:val="32"/>
          <w:shd w:val="clear" w:color="auto" w:fill="FFFFFF"/>
        </w:rPr>
        <w:t>主要原因是人员变动等。</w:t>
      </w:r>
    </w:p>
    <w:p>
      <w:pPr>
        <w:pStyle w:val="6"/>
        <w:keepNext w:val="0"/>
        <w:keepLines w:val="0"/>
        <w:pageBreakBefore w:val="0"/>
        <w:kinsoku/>
        <w:wordWrap/>
        <w:overflowPunct/>
        <w:topLinePunct w:val="0"/>
        <w:autoSpaceDE/>
        <w:autoSpaceDN/>
        <w:bidi w:val="0"/>
        <w:adjustRightInd/>
        <w:snapToGrid/>
        <w:spacing w:before="100" w:after="100" w:line="360" w:lineRule="auto"/>
        <w:ind w:left="0" w:right="0" w:firstLine="640" w:firstLineChars="0"/>
        <w:textAlignment w:val="auto"/>
        <w:rPr>
          <w:rFonts w:ascii="Times New Roman" w:hAnsi="Times New Roman" w:eastAsia="Times New Roman" w:cs="Times New Roman"/>
          <w:b/>
          <w:bCs/>
          <w:kern w:val="0"/>
          <w:sz w:val="28"/>
          <w:szCs w:val="28"/>
        </w:rPr>
      </w:pPr>
      <w:bookmarkStart w:id="77" w:name="_Toc256000021"/>
      <w:bookmarkStart w:id="78" w:name="_Toc256000083"/>
      <w:bookmarkStart w:id="79" w:name="_Toc256000114"/>
      <w:bookmarkStart w:id="80" w:name="_Toc256000052"/>
      <w:r>
        <w:rPr>
          <w:rFonts w:ascii="黑体" w:hAnsi="黑体" w:eastAsia="黑体" w:cs="黑体"/>
          <w:b/>
          <w:spacing w:val="0"/>
        </w:rPr>
        <w:t>四、政府性基金预算财政拨款支出决算情况说明</w:t>
      </w:r>
      <w:bookmarkEnd w:id="77"/>
      <w:bookmarkEnd w:id="78"/>
      <w:bookmarkEnd w:id="79"/>
      <w:bookmarkEnd w:id="80"/>
    </w:p>
    <w:p>
      <w:pPr>
        <w:pStyle w:val="29"/>
        <w:keepNext w:val="0"/>
        <w:keepLines w:val="0"/>
        <w:pageBreakBefore w:val="0"/>
        <w:widowControl/>
        <w:kinsoku/>
        <w:wordWrap/>
        <w:overflowPunct/>
        <w:topLinePunct w:val="0"/>
        <w:autoSpaceDE/>
        <w:autoSpaceDN/>
        <w:bidi w:val="0"/>
        <w:adjustRightInd/>
        <w:snapToGrid/>
        <w:spacing w:before="100" w:after="100" w:line="360" w:lineRule="auto"/>
        <w:ind w:left="0" w:right="0" w:firstLine="704"/>
        <w:jc w:val="both"/>
        <w:textAlignment w:val="auto"/>
        <w:rPr>
          <w:rFonts w:ascii="Times New Roman" w:hAnsi="Times New Roman" w:eastAsia="Times New Roman" w:cs="Times New Roman"/>
          <w:kern w:val="0"/>
          <w:sz w:val="24"/>
        </w:rPr>
      </w:pPr>
      <w:r>
        <w:rPr>
          <w:rFonts w:ascii="仿宋" w:hAnsi="仿宋" w:eastAsia="仿宋" w:cs="仿宋"/>
          <w:spacing w:val="0"/>
          <w:kern w:val="0"/>
          <w:sz w:val="32"/>
          <w:szCs w:val="32"/>
        </w:rPr>
        <w:t>2024年度政府性基金支出29.74万元，比上年决算数增加29.74万元，增长0%，具体情况如下(按项级科目统计)：</w:t>
      </w:r>
    </w:p>
    <w:p>
      <w:pPr>
        <w:pStyle w:val="29"/>
        <w:keepNext w:val="0"/>
        <w:keepLines w:val="0"/>
        <w:pageBreakBefore w:val="0"/>
        <w:widowControl/>
        <w:kinsoku/>
        <w:wordWrap/>
        <w:overflowPunct/>
        <w:topLinePunct w:val="0"/>
        <w:autoSpaceDE/>
        <w:autoSpaceDN/>
        <w:bidi w:val="0"/>
        <w:adjustRightInd/>
        <w:snapToGrid/>
        <w:spacing w:before="100" w:after="100" w:line="360" w:lineRule="auto"/>
        <w:ind w:left="0" w:right="0" w:firstLine="640"/>
        <w:jc w:val="both"/>
        <w:textAlignment w:val="auto"/>
        <w:rPr>
          <w:rFonts w:hint="eastAsia" w:ascii="Times New Roman" w:hAnsi="Times New Roman" w:eastAsia="仿宋" w:cs="Times New Roman"/>
          <w:kern w:val="0"/>
          <w:sz w:val="24"/>
          <w:lang w:eastAsia="zh-CN"/>
        </w:rPr>
      </w:pPr>
      <w:r>
        <w:rPr>
          <w:rFonts w:ascii="仿宋" w:hAnsi="仿宋" w:eastAsia="仿宋" w:cs="仿宋"/>
          <w:spacing w:val="0"/>
          <w:kern w:val="0"/>
          <w:sz w:val="32"/>
          <w:szCs w:val="32"/>
        </w:rPr>
        <w:t>2296003用于体育事业的彩票公益金支出29.74万元，较上年决算数增加29.74万元，增长100%。主要原因是</w:t>
      </w:r>
      <w:r>
        <w:rPr>
          <w:rFonts w:hint="eastAsia" w:ascii="仿宋" w:hAnsi="仿宋" w:eastAsia="仿宋" w:cs="仿宋"/>
          <w:spacing w:val="0"/>
          <w:kern w:val="0"/>
          <w:sz w:val="32"/>
          <w:szCs w:val="32"/>
          <w:lang w:eastAsia="zh-CN"/>
        </w:rPr>
        <w:t>项目经费增加。</w:t>
      </w:r>
    </w:p>
    <w:p>
      <w:pPr>
        <w:pStyle w:val="6"/>
        <w:keepNext w:val="0"/>
        <w:keepLines w:val="0"/>
        <w:pageBreakBefore w:val="0"/>
        <w:kinsoku/>
        <w:wordWrap/>
        <w:overflowPunct/>
        <w:topLinePunct w:val="0"/>
        <w:autoSpaceDE/>
        <w:autoSpaceDN/>
        <w:bidi w:val="0"/>
        <w:adjustRightInd/>
        <w:snapToGrid/>
        <w:spacing w:before="100" w:after="100" w:line="360" w:lineRule="auto"/>
        <w:ind w:left="0" w:right="0" w:firstLine="640" w:firstLineChars="0"/>
        <w:textAlignment w:val="auto"/>
        <w:rPr>
          <w:rFonts w:ascii="Times New Roman" w:hAnsi="Times New Roman" w:eastAsia="Times New Roman" w:cs="Times New Roman"/>
          <w:b/>
          <w:bCs/>
          <w:kern w:val="0"/>
          <w:sz w:val="28"/>
          <w:szCs w:val="28"/>
        </w:rPr>
      </w:pPr>
      <w:bookmarkStart w:id="81" w:name="_Toc256000053"/>
      <w:bookmarkStart w:id="82" w:name="_Toc256000115"/>
      <w:bookmarkStart w:id="83" w:name="_Toc256000022"/>
      <w:bookmarkStart w:id="84" w:name="_Toc256000084"/>
      <w:r>
        <w:rPr>
          <w:rFonts w:ascii="黑体" w:hAnsi="黑体" w:eastAsia="黑体" w:cs="黑体"/>
          <w:b/>
          <w:spacing w:val="0"/>
        </w:rPr>
        <w:t>五、国有资本经营预算财政拨款支出决算情况说明</w:t>
      </w:r>
      <w:bookmarkEnd w:id="81"/>
      <w:bookmarkEnd w:id="82"/>
      <w:bookmarkEnd w:id="83"/>
      <w:bookmarkEnd w:id="84"/>
    </w:p>
    <w:p>
      <w:pPr>
        <w:pStyle w:val="29"/>
        <w:keepNext w:val="0"/>
        <w:keepLines w:val="0"/>
        <w:pageBreakBefore w:val="0"/>
        <w:widowControl/>
        <w:kinsoku/>
        <w:wordWrap/>
        <w:overflowPunct/>
        <w:topLinePunct w:val="0"/>
        <w:autoSpaceDE/>
        <w:autoSpaceDN/>
        <w:bidi w:val="0"/>
        <w:adjustRightInd/>
        <w:snapToGrid/>
        <w:spacing w:before="100" w:after="100" w:line="360" w:lineRule="auto"/>
        <w:ind w:left="0" w:right="0" w:firstLine="640"/>
        <w:jc w:val="both"/>
        <w:textAlignment w:val="auto"/>
        <w:rPr>
          <w:rFonts w:hint="eastAsia" w:ascii="仿宋" w:hAnsi="仿宋" w:eastAsia="仿宋" w:cs="仿宋"/>
          <w:spacing w:val="0"/>
          <w:kern w:val="0"/>
          <w:sz w:val="32"/>
          <w:szCs w:val="32"/>
          <w:lang w:eastAsia="zh-CN"/>
        </w:rPr>
      </w:pPr>
      <w:bookmarkStart w:id="85" w:name="_Toc256000116"/>
      <w:bookmarkStart w:id="86" w:name="_Toc256000023"/>
      <w:bookmarkStart w:id="87" w:name="_Toc256000054"/>
      <w:bookmarkStart w:id="88" w:name="_Toc256000085"/>
      <w:r>
        <w:rPr>
          <w:rFonts w:ascii="仿宋" w:hAnsi="仿宋" w:eastAsia="仿宋" w:cs="仿宋"/>
          <w:spacing w:val="0"/>
          <w:kern w:val="0"/>
          <w:sz w:val="32"/>
          <w:szCs w:val="32"/>
        </w:rPr>
        <w:t>2024年度国有资本经营预算支出0万元，比上年决算数增加0万元，增长0%</w:t>
      </w:r>
      <w:r>
        <w:rPr>
          <w:rFonts w:hint="eastAsia" w:ascii="仿宋" w:hAnsi="仿宋" w:eastAsia="仿宋" w:cs="仿宋"/>
          <w:spacing w:val="0"/>
          <w:kern w:val="0"/>
          <w:sz w:val="32"/>
          <w:szCs w:val="32"/>
          <w:lang w:eastAsia="zh-CN"/>
        </w:rPr>
        <w:t>。</w:t>
      </w:r>
    </w:p>
    <w:p>
      <w:pPr>
        <w:pStyle w:val="29"/>
        <w:keepNext w:val="0"/>
        <w:keepLines w:val="0"/>
        <w:pageBreakBefore w:val="0"/>
        <w:widowControl/>
        <w:kinsoku/>
        <w:wordWrap/>
        <w:overflowPunct/>
        <w:topLinePunct w:val="0"/>
        <w:autoSpaceDE/>
        <w:autoSpaceDN/>
        <w:bidi w:val="0"/>
        <w:adjustRightInd/>
        <w:spacing w:before="100" w:after="100" w:line="360" w:lineRule="auto"/>
        <w:ind w:left="0" w:right="0" w:firstLine="640"/>
        <w:jc w:val="both"/>
        <w:textAlignment w:val="auto"/>
        <w:rPr>
          <w:rFonts w:hint="eastAsia" w:ascii="仿宋" w:hAnsi="仿宋" w:eastAsia="仿宋" w:cs="仿宋"/>
          <w:spacing w:val="0"/>
          <w:kern w:val="0"/>
          <w:sz w:val="32"/>
          <w:szCs w:val="32"/>
          <w:lang w:eastAsia="zh-CN"/>
        </w:rPr>
      </w:pPr>
      <w:r>
        <w:rPr>
          <w:rFonts w:ascii="仿宋" w:hAnsi="仿宋" w:eastAsia="仿宋" w:cs="仿宋"/>
          <w:spacing w:val="0"/>
          <w:kern w:val="0"/>
          <w:sz w:val="32"/>
          <w:szCs w:val="32"/>
        </w:rPr>
        <w:t>本单位2024年度没有使用国有资本经营预算财政拨款安排的支出</w:t>
      </w:r>
      <w:r>
        <w:rPr>
          <w:rFonts w:hint="eastAsia" w:ascii="仿宋" w:hAnsi="仿宋" w:eastAsia="仿宋" w:cs="仿宋"/>
          <w:spacing w:val="0"/>
          <w:kern w:val="0"/>
          <w:sz w:val="32"/>
          <w:szCs w:val="32"/>
          <w:lang w:eastAsia="zh-CN"/>
        </w:rPr>
        <w:t>。</w:t>
      </w:r>
    </w:p>
    <w:p>
      <w:pPr>
        <w:pStyle w:val="6"/>
        <w:keepNext w:val="0"/>
        <w:keepLines w:val="0"/>
        <w:pageBreakBefore w:val="0"/>
        <w:kinsoku/>
        <w:wordWrap/>
        <w:overflowPunct/>
        <w:topLinePunct w:val="0"/>
        <w:autoSpaceDE/>
        <w:autoSpaceDN/>
        <w:bidi w:val="0"/>
        <w:adjustRightInd/>
        <w:snapToGrid/>
        <w:spacing w:before="100" w:after="100" w:line="360" w:lineRule="auto"/>
        <w:ind w:left="0" w:right="0" w:firstLine="640" w:firstLineChars="0"/>
        <w:textAlignment w:val="auto"/>
        <w:rPr>
          <w:rFonts w:ascii="Times New Roman" w:hAnsi="Times New Roman" w:eastAsia="Times New Roman" w:cs="Times New Roman"/>
          <w:b/>
          <w:bCs/>
          <w:kern w:val="0"/>
          <w:sz w:val="28"/>
          <w:szCs w:val="28"/>
        </w:rPr>
      </w:pPr>
      <w:r>
        <w:rPr>
          <w:rFonts w:ascii="黑体" w:hAnsi="黑体" w:eastAsia="黑体" w:cs="黑体"/>
          <w:b/>
          <w:spacing w:val="0"/>
        </w:rPr>
        <w:t>六、一般公共预算财政拨款基本支出决算情况说明</w:t>
      </w:r>
      <w:bookmarkEnd w:id="85"/>
      <w:bookmarkEnd w:id="86"/>
      <w:bookmarkEnd w:id="87"/>
      <w:bookmarkEnd w:id="88"/>
    </w:p>
    <w:p>
      <w:pPr>
        <w:pStyle w:val="29"/>
        <w:keepNext w:val="0"/>
        <w:keepLines w:val="0"/>
        <w:pageBreakBefore w:val="0"/>
        <w:widowControl/>
        <w:kinsoku/>
        <w:wordWrap/>
        <w:overflowPunct/>
        <w:topLinePunct w:val="0"/>
        <w:autoSpaceDE/>
        <w:autoSpaceDN/>
        <w:bidi w:val="0"/>
        <w:adjustRightInd/>
        <w:snapToGrid/>
        <w:spacing w:before="100" w:after="100" w:line="360" w:lineRule="auto"/>
        <w:ind w:left="0" w:right="0" w:firstLine="640"/>
        <w:jc w:val="both"/>
        <w:textAlignment w:val="auto"/>
        <w:rPr>
          <w:rFonts w:ascii="Times New Roman" w:hAnsi="Times New Roman" w:eastAsia="Times New Roman" w:cs="Times New Roman"/>
          <w:kern w:val="0"/>
          <w:sz w:val="24"/>
        </w:rPr>
      </w:pPr>
      <w:r>
        <w:rPr>
          <w:rFonts w:ascii="仿宋" w:hAnsi="仿宋" w:eastAsia="仿宋" w:cs="仿宋"/>
          <w:spacing w:val="0"/>
          <w:kern w:val="0"/>
          <w:sz w:val="32"/>
          <w:szCs w:val="32"/>
        </w:rPr>
        <w:t>2024年度一般公共预算财政拨款基本支出3385.50万元，其中：</w:t>
      </w:r>
    </w:p>
    <w:p>
      <w:pPr>
        <w:pStyle w:val="29"/>
        <w:keepNext w:val="0"/>
        <w:keepLines w:val="0"/>
        <w:pageBreakBefore w:val="0"/>
        <w:widowControl/>
        <w:kinsoku/>
        <w:wordWrap/>
        <w:overflowPunct/>
        <w:topLinePunct w:val="0"/>
        <w:autoSpaceDE/>
        <w:autoSpaceDN/>
        <w:bidi w:val="0"/>
        <w:adjustRightInd/>
        <w:snapToGrid/>
        <w:spacing w:before="100" w:after="100" w:line="360" w:lineRule="auto"/>
        <w:ind w:left="0" w:right="0" w:firstLine="640"/>
        <w:jc w:val="both"/>
        <w:textAlignment w:val="auto"/>
        <w:rPr>
          <w:rFonts w:ascii="Times New Roman" w:hAnsi="Times New Roman" w:eastAsia="Times New Roman" w:cs="Times New Roman"/>
          <w:kern w:val="0"/>
          <w:sz w:val="24"/>
        </w:rPr>
      </w:pPr>
      <w:r>
        <w:rPr>
          <w:rFonts w:ascii="仿宋" w:hAnsi="仿宋" w:eastAsia="仿宋" w:cs="仿宋"/>
          <w:spacing w:val="0"/>
          <w:kern w:val="0"/>
          <w:sz w:val="32"/>
          <w:szCs w:val="32"/>
        </w:rPr>
        <w:t>（一）人员经费3014.91万元，主要包括：基本工资、津贴补贴、奖金、绩效工资、机关事业单位基本养老保险缴费、职业年金缴费、职工基本医疗保险缴费、公务员医疗补助缴费、其他社会保障缴费、住房公积金、医疗费、其他工资福利支出、离休费、退休费、抚恤金、生活补助、医疗费补助、奖励金、其他对个人和家庭的补助。</w:t>
      </w:r>
    </w:p>
    <w:p>
      <w:pPr>
        <w:pStyle w:val="29"/>
        <w:keepNext w:val="0"/>
        <w:keepLines w:val="0"/>
        <w:pageBreakBefore w:val="0"/>
        <w:widowControl/>
        <w:kinsoku/>
        <w:wordWrap/>
        <w:overflowPunct/>
        <w:topLinePunct w:val="0"/>
        <w:autoSpaceDE/>
        <w:autoSpaceDN/>
        <w:bidi w:val="0"/>
        <w:adjustRightInd/>
        <w:snapToGrid/>
        <w:spacing w:before="100" w:after="100" w:line="360" w:lineRule="auto"/>
        <w:ind w:left="0" w:right="0" w:firstLine="640"/>
        <w:jc w:val="both"/>
        <w:textAlignment w:val="auto"/>
        <w:rPr>
          <w:rFonts w:ascii="Times New Roman" w:hAnsi="Times New Roman" w:eastAsia="Times New Roman" w:cs="Times New Roman"/>
          <w:kern w:val="0"/>
          <w:sz w:val="24"/>
        </w:rPr>
      </w:pPr>
      <w:r>
        <w:rPr>
          <w:rFonts w:ascii="仿宋" w:hAnsi="仿宋" w:eastAsia="仿宋" w:cs="仿宋"/>
          <w:spacing w:val="0"/>
          <w:kern w:val="0"/>
          <w:sz w:val="32"/>
          <w:szCs w:val="32"/>
        </w:rPr>
        <w:t>（二）公用经费370.59万元，主要包括：办公费、印刷费、咨询费、手续费、水费、电费、邮电费、取暖费、物业管理费、差旅费、维修（护）费、租赁费、会议费、培训费、公务接待费、专用材料费、劳务费、委托业务费、工会经费、福利费、公务用车运行维护费、其他交通费用、税金及附加费用、其他商品和服务支出、办公设备购置、专用设备购置、信息网络及软件购置更新、公务用车购置、其他交通工具购置、文物和陈列品购置、无形资产购置、其他资本性支出、赠与。</w:t>
      </w:r>
    </w:p>
    <w:p>
      <w:pPr>
        <w:pStyle w:val="6"/>
        <w:keepNext w:val="0"/>
        <w:keepLines w:val="0"/>
        <w:pageBreakBefore w:val="0"/>
        <w:kinsoku/>
        <w:wordWrap/>
        <w:overflowPunct/>
        <w:topLinePunct w:val="0"/>
        <w:autoSpaceDE/>
        <w:autoSpaceDN/>
        <w:bidi w:val="0"/>
        <w:adjustRightInd/>
        <w:snapToGrid/>
        <w:spacing w:before="100" w:after="100" w:line="360" w:lineRule="auto"/>
        <w:ind w:left="0" w:right="0" w:firstLine="640" w:firstLineChars="0"/>
        <w:textAlignment w:val="auto"/>
        <w:rPr>
          <w:rFonts w:ascii="Times New Roman" w:hAnsi="Times New Roman" w:eastAsia="Times New Roman" w:cs="Times New Roman"/>
          <w:b/>
          <w:bCs/>
          <w:kern w:val="0"/>
          <w:sz w:val="28"/>
          <w:szCs w:val="28"/>
        </w:rPr>
      </w:pPr>
      <w:bookmarkStart w:id="89" w:name="_Toc256000086"/>
      <w:bookmarkStart w:id="90" w:name="_Toc256000024"/>
      <w:bookmarkStart w:id="91" w:name="_Toc256000055"/>
      <w:bookmarkStart w:id="92" w:name="_Toc256000117"/>
      <w:r>
        <w:rPr>
          <w:rFonts w:ascii="黑体" w:hAnsi="黑体" w:eastAsia="黑体" w:cs="黑体"/>
          <w:b/>
          <w:spacing w:val="0"/>
        </w:rPr>
        <w:t>七、一般公共预算拨款“三公”经费支出决算情况说明</w:t>
      </w:r>
      <w:bookmarkEnd w:id="89"/>
      <w:bookmarkEnd w:id="90"/>
      <w:bookmarkEnd w:id="91"/>
      <w:bookmarkEnd w:id="92"/>
    </w:p>
    <w:p>
      <w:pPr>
        <w:pStyle w:val="29"/>
        <w:keepNext w:val="0"/>
        <w:keepLines w:val="0"/>
        <w:pageBreakBefore w:val="0"/>
        <w:widowControl w:val="0"/>
        <w:kinsoku/>
        <w:wordWrap/>
        <w:overflowPunct/>
        <w:topLinePunct w:val="0"/>
        <w:autoSpaceDE/>
        <w:autoSpaceDN/>
        <w:bidi w:val="0"/>
        <w:adjustRightInd/>
        <w:snapToGrid w:val="0"/>
        <w:spacing w:before="240" w:after="240" w:line="360" w:lineRule="auto"/>
        <w:ind w:firstLine="704"/>
        <w:jc w:val="both"/>
        <w:textAlignment w:val="auto"/>
        <w:rPr>
          <w:rFonts w:ascii="Times New Roman" w:hAnsi="Times New Roman" w:eastAsia="Times New Roman" w:cs="Times New Roman"/>
          <w:kern w:val="0"/>
          <w:sz w:val="32"/>
          <w:szCs w:val="32"/>
        </w:rPr>
      </w:pPr>
      <w:bookmarkStart w:id="93" w:name="_Toc256000118"/>
      <w:bookmarkStart w:id="94" w:name="_Toc256000025"/>
      <w:bookmarkStart w:id="95" w:name="_Toc256000056"/>
      <w:bookmarkStart w:id="96" w:name="_Toc256000087"/>
      <w:r>
        <w:rPr>
          <w:rFonts w:ascii="仿宋" w:hAnsi="仿宋" w:eastAsia="仿宋" w:cs="仿宋"/>
          <w:kern w:val="0"/>
          <w:sz w:val="32"/>
          <w:szCs w:val="32"/>
        </w:rPr>
        <w:t>202</w:t>
      </w:r>
      <w:r>
        <w:rPr>
          <w:rFonts w:hint="eastAsia" w:ascii="仿宋" w:hAnsi="仿宋" w:eastAsia="仿宋" w:cs="仿宋"/>
          <w:kern w:val="0"/>
          <w:sz w:val="32"/>
          <w:szCs w:val="32"/>
          <w:lang w:val="en-US" w:eastAsia="zh-CN"/>
        </w:rPr>
        <w:t>4</w:t>
      </w:r>
      <w:r>
        <w:rPr>
          <w:rFonts w:ascii="仿宋" w:hAnsi="仿宋" w:eastAsia="仿宋" w:cs="仿宋"/>
          <w:kern w:val="0"/>
          <w:sz w:val="32"/>
          <w:szCs w:val="32"/>
        </w:rPr>
        <w:t>年度一般公共预算拨款“三公”经费支出</w:t>
      </w:r>
      <w:r>
        <w:rPr>
          <w:rFonts w:hint="eastAsia" w:ascii="仿宋" w:hAnsi="仿宋" w:eastAsia="仿宋" w:cs="仿宋"/>
          <w:kern w:val="0"/>
          <w:sz w:val="32"/>
          <w:szCs w:val="32"/>
          <w:lang w:val="en-US" w:eastAsia="zh-CN"/>
        </w:rPr>
        <w:t>0</w:t>
      </w:r>
      <w:r>
        <w:rPr>
          <w:rFonts w:ascii="仿宋" w:hAnsi="仿宋" w:eastAsia="仿宋" w:cs="仿宋"/>
          <w:kern w:val="0"/>
          <w:sz w:val="32"/>
          <w:szCs w:val="32"/>
        </w:rPr>
        <w:t>万元，完成全年预算的0%；较上年增加</w:t>
      </w:r>
      <w:r>
        <w:rPr>
          <w:rFonts w:hint="eastAsia" w:ascii="仿宋" w:hAnsi="仿宋" w:eastAsia="仿宋" w:cs="仿宋"/>
          <w:kern w:val="0"/>
          <w:sz w:val="32"/>
          <w:szCs w:val="32"/>
          <w:lang w:val="en-US" w:eastAsia="zh-CN"/>
        </w:rPr>
        <w:t>0</w:t>
      </w:r>
      <w:r>
        <w:rPr>
          <w:rFonts w:ascii="仿宋" w:hAnsi="仿宋" w:eastAsia="仿宋" w:cs="仿宋"/>
          <w:kern w:val="0"/>
          <w:sz w:val="32"/>
          <w:szCs w:val="32"/>
        </w:rPr>
        <w:t>万元，增长0%</w:t>
      </w:r>
      <w:r>
        <w:rPr>
          <w:rFonts w:hint="eastAsia" w:ascii="仿宋" w:hAnsi="仿宋" w:eastAsia="仿宋" w:cs="仿宋"/>
          <w:kern w:val="0"/>
          <w:sz w:val="32"/>
          <w:szCs w:val="32"/>
          <w:lang w:eastAsia="zh-CN"/>
        </w:rPr>
        <w:t>，</w:t>
      </w:r>
      <w:r>
        <w:rPr>
          <w:rFonts w:ascii="仿宋" w:hAnsi="仿宋" w:eastAsia="仿宋" w:cs="仿宋"/>
          <w:kern w:val="0"/>
          <w:sz w:val="32"/>
          <w:szCs w:val="32"/>
        </w:rPr>
        <w:t>与全年预算（或上年决算）持平。</w:t>
      </w:r>
      <w:r>
        <w:rPr>
          <w:rFonts w:hint="eastAsia" w:ascii="仿宋" w:hAnsi="仿宋" w:eastAsia="仿宋" w:cs="仿宋"/>
          <w:sz w:val="32"/>
          <w:szCs w:val="32"/>
          <w:shd w:val="clear" w:color="auto" w:fill="FFFFFF"/>
        </w:rPr>
        <w:t>主要原因是本</w:t>
      </w:r>
      <w:r>
        <w:rPr>
          <w:rFonts w:hint="eastAsia" w:ascii="仿宋" w:hAnsi="仿宋" w:eastAsia="仿宋" w:cs="仿宋"/>
          <w:sz w:val="32"/>
          <w:szCs w:val="32"/>
          <w:shd w:val="clear" w:color="auto" w:fill="FFFFFF"/>
          <w:lang w:eastAsia="zh-CN"/>
        </w:rPr>
        <w:t>单位</w:t>
      </w:r>
      <w:r>
        <w:rPr>
          <w:rFonts w:hint="eastAsia" w:ascii="仿宋" w:hAnsi="仿宋" w:eastAsia="仿宋" w:cs="仿宋"/>
          <w:sz w:val="32"/>
          <w:szCs w:val="32"/>
          <w:shd w:val="clear" w:color="auto" w:fill="FFFFFF"/>
        </w:rPr>
        <w:t>没有使用“三公”经费支出</w:t>
      </w:r>
      <w:r>
        <w:rPr>
          <w:rFonts w:ascii="仿宋" w:hAnsi="仿宋" w:eastAsia="仿宋" w:cs="仿宋"/>
          <w:kern w:val="0"/>
          <w:sz w:val="32"/>
          <w:szCs w:val="32"/>
        </w:rPr>
        <w:t>。具体情况如下：</w:t>
      </w:r>
    </w:p>
    <w:p>
      <w:pPr>
        <w:pStyle w:val="29"/>
        <w:keepNext w:val="0"/>
        <w:keepLines w:val="0"/>
        <w:pageBreakBefore w:val="0"/>
        <w:widowControl w:val="0"/>
        <w:kinsoku/>
        <w:wordWrap/>
        <w:overflowPunct/>
        <w:topLinePunct w:val="0"/>
        <w:autoSpaceDE/>
        <w:autoSpaceDN/>
        <w:bidi w:val="0"/>
        <w:adjustRightInd/>
        <w:snapToGrid w:val="0"/>
        <w:spacing w:before="240" w:after="240" w:line="360" w:lineRule="auto"/>
        <w:ind w:firstLine="704"/>
        <w:jc w:val="both"/>
        <w:textAlignment w:val="auto"/>
        <w:rPr>
          <w:rFonts w:ascii="Times New Roman" w:hAnsi="Times New Roman" w:eastAsia="Times New Roman" w:cs="Times New Roman"/>
          <w:kern w:val="0"/>
          <w:sz w:val="32"/>
          <w:szCs w:val="32"/>
        </w:rPr>
      </w:pPr>
      <w:r>
        <w:rPr>
          <w:rFonts w:ascii="仿宋" w:hAnsi="仿宋" w:eastAsia="仿宋" w:cs="仿宋"/>
          <w:kern w:val="0"/>
          <w:sz w:val="32"/>
          <w:szCs w:val="32"/>
        </w:rPr>
        <w:t>（一）因公出国（境）费支出</w:t>
      </w:r>
      <w:r>
        <w:rPr>
          <w:rFonts w:hint="eastAsia" w:ascii="仿宋" w:hAnsi="仿宋" w:eastAsia="仿宋" w:cs="仿宋"/>
          <w:kern w:val="0"/>
          <w:sz w:val="32"/>
          <w:szCs w:val="32"/>
          <w:lang w:val="en-US" w:eastAsia="zh-CN"/>
        </w:rPr>
        <w:t>0</w:t>
      </w:r>
      <w:r>
        <w:rPr>
          <w:rFonts w:ascii="仿宋" w:hAnsi="仿宋" w:eastAsia="仿宋" w:cs="仿宋"/>
          <w:kern w:val="0"/>
          <w:sz w:val="32"/>
          <w:szCs w:val="32"/>
        </w:rPr>
        <w:t>万元，完成全年预算的0%；较上年增加0万元，增长0%</w:t>
      </w:r>
      <w:r>
        <w:rPr>
          <w:rFonts w:hint="eastAsia" w:ascii="仿宋" w:hAnsi="仿宋" w:eastAsia="仿宋" w:cs="仿宋"/>
          <w:kern w:val="0"/>
          <w:sz w:val="32"/>
          <w:szCs w:val="32"/>
          <w:lang w:eastAsia="zh-CN"/>
        </w:rPr>
        <w:t>，</w:t>
      </w:r>
      <w:r>
        <w:rPr>
          <w:rFonts w:ascii="仿宋" w:hAnsi="仿宋" w:eastAsia="仿宋" w:cs="仿宋"/>
          <w:kern w:val="0"/>
          <w:sz w:val="32"/>
          <w:szCs w:val="32"/>
        </w:rPr>
        <w:t>与全年预算（或上年决算）持平。全年安排本</w:t>
      </w:r>
      <w:r>
        <w:rPr>
          <w:rFonts w:hint="eastAsia" w:ascii="仿宋" w:hAnsi="仿宋" w:eastAsia="仿宋" w:cs="仿宋"/>
          <w:kern w:val="0"/>
          <w:sz w:val="32"/>
          <w:szCs w:val="32"/>
          <w:lang w:eastAsia="zh-CN"/>
        </w:rPr>
        <w:t>单位</w:t>
      </w:r>
      <w:r>
        <w:rPr>
          <w:rFonts w:ascii="仿宋" w:hAnsi="仿宋" w:eastAsia="仿宋" w:cs="仿宋"/>
          <w:kern w:val="0"/>
          <w:sz w:val="32"/>
          <w:szCs w:val="32"/>
        </w:rPr>
        <w:t>组织的出国团组0个，参加其他</w:t>
      </w:r>
      <w:r>
        <w:rPr>
          <w:rFonts w:hint="eastAsia" w:ascii="仿宋" w:hAnsi="仿宋" w:eastAsia="仿宋" w:cs="仿宋"/>
          <w:kern w:val="0"/>
          <w:sz w:val="32"/>
          <w:szCs w:val="32"/>
          <w:lang w:eastAsia="zh-CN"/>
        </w:rPr>
        <w:t>单位</w:t>
      </w:r>
      <w:r>
        <w:rPr>
          <w:rFonts w:ascii="仿宋" w:hAnsi="仿宋" w:eastAsia="仿宋" w:cs="仿宋"/>
          <w:kern w:val="0"/>
          <w:sz w:val="32"/>
          <w:szCs w:val="32"/>
        </w:rPr>
        <w:t>出国团组</w:t>
      </w:r>
      <w:r>
        <w:rPr>
          <w:rFonts w:hint="eastAsia" w:ascii="仿宋" w:hAnsi="仿宋" w:eastAsia="仿宋" w:cs="仿宋"/>
          <w:kern w:val="0"/>
          <w:sz w:val="32"/>
          <w:szCs w:val="32"/>
          <w:lang w:val="en-US" w:eastAsia="zh-CN"/>
        </w:rPr>
        <w:t>0</w:t>
      </w:r>
      <w:r>
        <w:rPr>
          <w:rFonts w:ascii="仿宋" w:hAnsi="仿宋" w:eastAsia="仿宋" w:cs="仿宋"/>
          <w:kern w:val="0"/>
          <w:sz w:val="32"/>
          <w:szCs w:val="32"/>
        </w:rPr>
        <w:t>个；全年因公出国（境）累计0人次。</w:t>
      </w:r>
      <w:r>
        <w:rPr>
          <w:rFonts w:hint="eastAsia" w:ascii="仿宋" w:hAnsi="仿宋" w:eastAsia="仿宋" w:cs="仿宋"/>
          <w:sz w:val="32"/>
          <w:szCs w:val="32"/>
          <w:shd w:val="clear" w:color="auto" w:fill="FFFFFF"/>
        </w:rPr>
        <w:t>主要是本</w:t>
      </w:r>
      <w:r>
        <w:rPr>
          <w:rFonts w:hint="eastAsia" w:ascii="仿宋" w:hAnsi="仿宋" w:eastAsia="仿宋" w:cs="仿宋"/>
          <w:sz w:val="32"/>
          <w:szCs w:val="32"/>
          <w:shd w:val="clear" w:color="auto" w:fill="FFFFFF"/>
          <w:lang w:eastAsia="zh-CN"/>
        </w:rPr>
        <w:t>单位</w:t>
      </w:r>
      <w:r>
        <w:rPr>
          <w:rFonts w:hint="eastAsia" w:ascii="仿宋" w:hAnsi="仿宋" w:eastAsia="仿宋" w:cs="仿宋"/>
          <w:sz w:val="32"/>
          <w:szCs w:val="32"/>
          <w:shd w:val="clear" w:color="auto" w:fill="FFFFFF"/>
        </w:rPr>
        <w:t>没有组织出国团组及参加其他</w:t>
      </w:r>
      <w:r>
        <w:rPr>
          <w:rFonts w:hint="eastAsia" w:ascii="仿宋" w:hAnsi="仿宋" w:eastAsia="仿宋" w:cs="仿宋"/>
          <w:sz w:val="32"/>
          <w:szCs w:val="32"/>
          <w:shd w:val="clear" w:color="auto" w:fill="FFFFFF"/>
          <w:lang w:eastAsia="zh-CN"/>
        </w:rPr>
        <w:t>单位</w:t>
      </w:r>
      <w:r>
        <w:rPr>
          <w:rFonts w:hint="eastAsia" w:ascii="仿宋" w:hAnsi="仿宋" w:eastAsia="仿宋" w:cs="仿宋"/>
          <w:sz w:val="32"/>
          <w:szCs w:val="32"/>
          <w:shd w:val="clear" w:color="auto" w:fill="FFFFFF"/>
        </w:rPr>
        <w:t>出国团组。</w:t>
      </w:r>
    </w:p>
    <w:p>
      <w:pPr>
        <w:pStyle w:val="29"/>
        <w:keepNext w:val="0"/>
        <w:keepLines w:val="0"/>
        <w:pageBreakBefore w:val="0"/>
        <w:widowControl w:val="0"/>
        <w:kinsoku/>
        <w:wordWrap/>
        <w:overflowPunct/>
        <w:topLinePunct w:val="0"/>
        <w:autoSpaceDE/>
        <w:autoSpaceDN/>
        <w:bidi w:val="0"/>
        <w:adjustRightInd/>
        <w:snapToGrid w:val="0"/>
        <w:spacing w:before="240" w:after="240" w:line="360" w:lineRule="auto"/>
        <w:ind w:firstLine="645"/>
        <w:jc w:val="both"/>
        <w:textAlignment w:val="auto"/>
        <w:rPr>
          <w:rFonts w:ascii="Times New Roman" w:hAnsi="Times New Roman" w:eastAsia="Times New Roman" w:cs="Times New Roman"/>
          <w:kern w:val="0"/>
          <w:sz w:val="32"/>
          <w:szCs w:val="32"/>
        </w:rPr>
      </w:pPr>
      <w:r>
        <w:rPr>
          <w:rFonts w:ascii="仿宋" w:hAnsi="仿宋" w:eastAsia="仿宋" w:cs="仿宋"/>
          <w:kern w:val="0"/>
          <w:sz w:val="32"/>
          <w:szCs w:val="32"/>
        </w:rPr>
        <w:t>（二）公务用车购置及运行费支出0万元，完成全年预算的0%；较上年增加0万元，增长 0%</w:t>
      </w:r>
      <w:r>
        <w:rPr>
          <w:rFonts w:hint="eastAsia" w:ascii="仿宋" w:hAnsi="仿宋" w:eastAsia="仿宋" w:cs="仿宋"/>
          <w:kern w:val="0"/>
          <w:sz w:val="32"/>
          <w:szCs w:val="32"/>
          <w:lang w:eastAsia="zh-CN"/>
        </w:rPr>
        <w:t>，</w:t>
      </w:r>
      <w:r>
        <w:rPr>
          <w:rFonts w:ascii="仿宋" w:hAnsi="仿宋" w:eastAsia="仿宋" w:cs="仿宋"/>
          <w:kern w:val="0"/>
          <w:sz w:val="32"/>
          <w:szCs w:val="32"/>
        </w:rPr>
        <w:t>与全年预算（或上年决算）持平。</w:t>
      </w:r>
      <w:r>
        <w:rPr>
          <w:rFonts w:hint="eastAsia" w:ascii="仿宋" w:hAnsi="仿宋" w:eastAsia="仿宋" w:cs="仿宋"/>
          <w:spacing w:val="0"/>
          <w:kern w:val="0"/>
          <w:sz w:val="32"/>
          <w:szCs w:val="32"/>
        </w:rPr>
        <w:t>主要是</w:t>
      </w:r>
      <w:r>
        <w:rPr>
          <w:rFonts w:hint="eastAsia" w:ascii="仿宋" w:hAnsi="仿宋" w:eastAsia="仿宋" w:cs="仿宋"/>
          <w:spacing w:val="0"/>
          <w:kern w:val="0"/>
          <w:sz w:val="32"/>
          <w:szCs w:val="32"/>
          <w:lang w:val="en-US" w:eastAsia="zh-CN"/>
        </w:rPr>
        <w:t>本单位没有购置</w:t>
      </w:r>
      <w:r>
        <w:rPr>
          <w:rFonts w:hint="default" w:ascii="仿宋" w:hAnsi="仿宋" w:eastAsia="仿宋" w:cs="仿宋"/>
          <w:spacing w:val="0"/>
          <w:kern w:val="0"/>
          <w:sz w:val="32"/>
          <w:szCs w:val="32"/>
          <w:lang w:val="en-US" w:eastAsia="zh-CN"/>
        </w:rPr>
        <w:t>公务用车及运行</w:t>
      </w:r>
      <w:r>
        <w:rPr>
          <w:rFonts w:hint="eastAsia" w:ascii="仿宋" w:hAnsi="仿宋" w:eastAsia="仿宋" w:cs="仿宋"/>
          <w:spacing w:val="0"/>
          <w:kern w:val="0"/>
          <w:sz w:val="32"/>
          <w:szCs w:val="32"/>
          <w:lang w:val="en-US" w:eastAsia="zh-CN"/>
        </w:rPr>
        <w:t>维护</w:t>
      </w:r>
      <w:r>
        <w:rPr>
          <w:rFonts w:hint="default" w:ascii="仿宋" w:hAnsi="仿宋" w:eastAsia="仿宋" w:cs="仿宋"/>
          <w:spacing w:val="0"/>
          <w:kern w:val="0"/>
          <w:sz w:val="32"/>
          <w:szCs w:val="32"/>
          <w:lang w:val="en-US" w:eastAsia="zh-CN"/>
        </w:rPr>
        <w:t>费支出。</w:t>
      </w:r>
      <w:r>
        <w:rPr>
          <w:rFonts w:ascii="仿宋" w:hAnsi="仿宋" w:eastAsia="仿宋" w:cs="仿宋"/>
          <w:kern w:val="0"/>
          <w:sz w:val="32"/>
          <w:szCs w:val="32"/>
        </w:rPr>
        <w:t>其中：</w:t>
      </w:r>
    </w:p>
    <w:p>
      <w:pPr>
        <w:keepNext w:val="0"/>
        <w:keepLines w:val="0"/>
        <w:pageBreakBefore w:val="0"/>
        <w:widowControl w:val="0"/>
        <w:suppressLineNumbers w:val="0"/>
        <w:shd w:val="clear" w:color="auto" w:fill="FFFFFF"/>
        <w:kinsoku/>
        <w:wordWrap/>
        <w:overflowPunct/>
        <w:topLinePunct w:val="0"/>
        <w:autoSpaceDE/>
        <w:autoSpaceDN/>
        <w:bidi w:val="0"/>
        <w:adjustRightInd/>
        <w:snapToGrid w:val="0"/>
        <w:spacing w:before="240" w:beforeAutospacing="0" w:after="240" w:afterAutospacing="0" w:line="360" w:lineRule="auto"/>
        <w:ind w:left="0" w:right="0" w:firstLine="640"/>
        <w:jc w:val="both"/>
        <w:textAlignment w:val="auto"/>
        <w:rPr>
          <w:rFonts w:hint="eastAsia" w:ascii="仿宋" w:hAnsi="仿宋" w:eastAsia="仿宋" w:cs="仿宋"/>
          <w:sz w:val="32"/>
          <w:szCs w:val="32"/>
          <w:shd w:val="clear" w:color="auto" w:fill="FFFFFF"/>
          <w:lang w:eastAsia="zh-CN"/>
        </w:rPr>
      </w:pPr>
      <w:r>
        <w:rPr>
          <w:rFonts w:ascii="仿宋" w:hAnsi="仿宋" w:eastAsia="仿宋" w:cs="仿宋"/>
          <w:kern w:val="0"/>
          <w:sz w:val="32"/>
          <w:szCs w:val="32"/>
        </w:rPr>
        <w:t>公务用车购置费支出0万元，完成全年预算的0%；较上年增加0万元，增长0%</w:t>
      </w:r>
      <w:r>
        <w:rPr>
          <w:rFonts w:hint="eastAsia" w:ascii="仿宋" w:hAnsi="仿宋" w:eastAsia="仿宋" w:cs="仿宋"/>
          <w:kern w:val="0"/>
          <w:sz w:val="32"/>
          <w:szCs w:val="32"/>
          <w:lang w:eastAsia="zh-CN"/>
        </w:rPr>
        <w:t>，</w:t>
      </w:r>
      <w:r>
        <w:rPr>
          <w:rFonts w:ascii="仿宋" w:hAnsi="仿宋" w:eastAsia="仿宋" w:cs="仿宋"/>
          <w:kern w:val="0"/>
          <w:sz w:val="32"/>
          <w:szCs w:val="32"/>
        </w:rPr>
        <w:t>与全年预算（或上年决算）持平。202</w:t>
      </w:r>
      <w:r>
        <w:rPr>
          <w:rFonts w:hint="eastAsia" w:ascii="仿宋" w:hAnsi="仿宋" w:eastAsia="仿宋" w:cs="仿宋"/>
          <w:kern w:val="0"/>
          <w:sz w:val="32"/>
          <w:szCs w:val="32"/>
          <w:lang w:val="en-US" w:eastAsia="zh-CN"/>
        </w:rPr>
        <w:t>4</w:t>
      </w:r>
      <w:r>
        <w:rPr>
          <w:rFonts w:ascii="仿宋" w:hAnsi="仿宋" w:eastAsia="仿宋" w:cs="仿宋"/>
          <w:kern w:val="0"/>
          <w:sz w:val="32"/>
          <w:szCs w:val="32"/>
        </w:rPr>
        <w:t>年公务用车购置0辆，</w:t>
      </w:r>
      <w:r>
        <w:rPr>
          <w:rFonts w:hint="eastAsia" w:ascii="仿宋" w:hAnsi="仿宋" w:eastAsia="仿宋" w:cs="仿宋"/>
          <w:sz w:val="32"/>
          <w:szCs w:val="32"/>
          <w:shd w:val="clear" w:color="auto" w:fill="FFFFFF"/>
        </w:rPr>
        <w:t>主要是本</w:t>
      </w:r>
      <w:r>
        <w:rPr>
          <w:rFonts w:hint="eastAsia" w:ascii="仿宋" w:hAnsi="仿宋" w:eastAsia="仿宋" w:cs="仿宋"/>
          <w:sz w:val="32"/>
          <w:szCs w:val="32"/>
          <w:shd w:val="clear" w:color="auto" w:fill="FFFFFF"/>
          <w:lang w:eastAsia="zh-CN"/>
        </w:rPr>
        <w:t>单位</w:t>
      </w:r>
      <w:r>
        <w:rPr>
          <w:rFonts w:hint="eastAsia" w:ascii="仿宋" w:hAnsi="仿宋" w:eastAsia="仿宋" w:cs="仿宋"/>
          <w:sz w:val="32"/>
          <w:szCs w:val="32"/>
          <w:shd w:val="clear" w:color="auto" w:fill="FFFFFF"/>
        </w:rPr>
        <w:t>没有购置公务用车。</w:t>
      </w:r>
    </w:p>
    <w:p>
      <w:pPr>
        <w:pStyle w:val="29"/>
        <w:keepNext w:val="0"/>
        <w:keepLines w:val="0"/>
        <w:pageBreakBefore w:val="0"/>
        <w:widowControl w:val="0"/>
        <w:kinsoku/>
        <w:wordWrap/>
        <w:overflowPunct/>
        <w:topLinePunct w:val="0"/>
        <w:autoSpaceDE/>
        <w:autoSpaceDN/>
        <w:bidi w:val="0"/>
        <w:adjustRightInd/>
        <w:snapToGrid w:val="0"/>
        <w:spacing w:before="240" w:after="240" w:line="360" w:lineRule="auto"/>
        <w:ind w:firstLine="645"/>
        <w:jc w:val="both"/>
        <w:textAlignment w:val="auto"/>
        <w:rPr>
          <w:rFonts w:ascii="Times New Roman" w:hAnsi="Times New Roman" w:eastAsia="Times New Roman" w:cs="Times New Roman"/>
          <w:kern w:val="0"/>
          <w:sz w:val="32"/>
          <w:szCs w:val="32"/>
        </w:rPr>
      </w:pPr>
      <w:r>
        <w:rPr>
          <w:rFonts w:ascii="仿宋" w:hAnsi="仿宋" w:eastAsia="仿宋" w:cs="仿宋"/>
          <w:kern w:val="0"/>
          <w:sz w:val="32"/>
          <w:szCs w:val="32"/>
        </w:rPr>
        <w:t>公务用车运行费支出0万元，完成全年预算的0%；较上年增加0万元，增长0%</w:t>
      </w:r>
      <w:r>
        <w:rPr>
          <w:rFonts w:hint="eastAsia" w:ascii="仿宋" w:hAnsi="仿宋" w:eastAsia="仿宋" w:cs="仿宋"/>
          <w:kern w:val="0"/>
          <w:sz w:val="32"/>
          <w:szCs w:val="32"/>
          <w:lang w:eastAsia="zh-CN"/>
        </w:rPr>
        <w:t>，</w:t>
      </w:r>
      <w:r>
        <w:rPr>
          <w:rFonts w:ascii="仿宋" w:hAnsi="仿宋" w:eastAsia="仿宋" w:cs="仿宋"/>
          <w:kern w:val="0"/>
          <w:sz w:val="32"/>
          <w:szCs w:val="32"/>
        </w:rPr>
        <w:t>与全年预算（或上年决算）持平。</w:t>
      </w:r>
      <w:r>
        <w:rPr>
          <w:rFonts w:hint="eastAsia" w:ascii="仿宋" w:hAnsi="仿宋" w:eastAsia="仿宋" w:cs="仿宋"/>
          <w:sz w:val="32"/>
          <w:szCs w:val="32"/>
          <w:shd w:val="clear" w:color="auto" w:fill="FFFFFF"/>
        </w:rPr>
        <w:t>主要是本</w:t>
      </w:r>
      <w:r>
        <w:rPr>
          <w:rFonts w:hint="eastAsia" w:ascii="仿宋" w:hAnsi="仿宋" w:eastAsia="仿宋" w:cs="仿宋"/>
          <w:sz w:val="32"/>
          <w:szCs w:val="32"/>
          <w:shd w:val="clear" w:color="auto" w:fill="FFFFFF"/>
          <w:lang w:eastAsia="zh-CN"/>
        </w:rPr>
        <w:t>单位</w:t>
      </w:r>
      <w:r>
        <w:rPr>
          <w:rFonts w:hint="eastAsia" w:ascii="仿宋" w:hAnsi="仿宋" w:eastAsia="仿宋" w:cs="仿宋"/>
          <w:sz w:val="32"/>
          <w:szCs w:val="32"/>
          <w:shd w:val="clear" w:color="auto" w:fill="FFFFFF"/>
        </w:rPr>
        <w:t>没有公务用车运行维护费的支出。</w:t>
      </w:r>
      <w:r>
        <w:rPr>
          <w:rFonts w:ascii="仿宋" w:hAnsi="仿宋" w:eastAsia="仿宋" w:cs="仿宋"/>
          <w:kern w:val="0"/>
          <w:sz w:val="32"/>
          <w:szCs w:val="32"/>
        </w:rPr>
        <w:t>截至202</w:t>
      </w:r>
      <w:r>
        <w:rPr>
          <w:rFonts w:hint="eastAsia" w:ascii="仿宋" w:hAnsi="仿宋" w:eastAsia="仿宋" w:cs="仿宋"/>
          <w:kern w:val="0"/>
          <w:sz w:val="32"/>
          <w:szCs w:val="32"/>
          <w:lang w:val="en-US" w:eastAsia="zh-CN"/>
        </w:rPr>
        <w:t>4</w:t>
      </w:r>
      <w:r>
        <w:rPr>
          <w:rFonts w:ascii="仿宋" w:hAnsi="仿宋" w:eastAsia="仿宋" w:cs="仿宋"/>
          <w:kern w:val="0"/>
          <w:sz w:val="32"/>
          <w:szCs w:val="32"/>
        </w:rPr>
        <w:t>年12月31日，本</w:t>
      </w:r>
      <w:r>
        <w:rPr>
          <w:rFonts w:hint="eastAsia" w:ascii="仿宋" w:hAnsi="仿宋" w:eastAsia="仿宋" w:cs="仿宋"/>
          <w:kern w:val="0"/>
          <w:sz w:val="32"/>
          <w:szCs w:val="32"/>
          <w:lang w:eastAsia="zh-CN"/>
        </w:rPr>
        <w:t>单位</w:t>
      </w:r>
      <w:r>
        <w:rPr>
          <w:rFonts w:ascii="仿宋" w:hAnsi="仿宋" w:eastAsia="仿宋" w:cs="仿宋"/>
          <w:kern w:val="0"/>
          <w:sz w:val="32"/>
          <w:szCs w:val="32"/>
        </w:rPr>
        <w:t>公务用车保有量为0辆。</w:t>
      </w:r>
    </w:p>
    <w:p>
      <w:pPr>
        <w:pStyle w:val="29"/>
        <w:keepNext w:val="0"/>
        <w:keepLines w:val="0"/>
        <w:pageBreakBefore w:val="0"/>
        <w:widowControl w:val="0"/>
        <w:kinsoku/>
        <w:wordWrap/>
        <w:overflowPunct/>
        <w:topLinePunct w:val="0"/>
        <w:autoSpaceDE/>
        <w:autoSpaceDN/>
        <w:bidi w:val="0"/>
        <w:adjustRightInd/>
        <w:snapToGrid w:val="0"/>
        <w:spacing w:before="240" w:after="240" w:line="360" w:lineRule="auto"/>
        <w:ind w:firstLine="645"/>
        <w:jc w:val="both"/>
        <w:textAlignment w:val="auto"/>
        <w:rPr>
          <w:rFonts w:ascii="Times New Roman" w:hAnsi="Times New Roman" w:eastAsia="Times New Roman" w:cs="Times New Roman"/>
          <w:kern w:val="0"/>
          <w:sz w:val="32"/>
          <w:szCs w:val="32"/>
        </w:rPr>
      </w:pPr>
      <w:r>
        <w:rPr>
          <w:rFonts w:ascii="仿宋" w:hAnsi="仿宋" w:eastAsia="仿宋" w:cs="仿宋"/>
          <w:kern w:val="0"/>
          <w:sz w:val="32"/>
          <w:szCs w:val="32"/>
        </w:rPr>
        <w:t>（三）公务接待费支出0万元，完成全年预算的0%；较上年增加0万元，增长0%</w:t>
      </w:r>
      <w:r>
        <w:rPr>
          <w:rFonts w:hint="eastAsia" w:ascii="仿宋" w:hAnsi="仿宋" w:eastAsia="仿宋" w:cs="仿宋"/>
          <w:kern w:val="0"/>
          <w:sz w:val="32"/>
          <w:szCs w:val="32"/>
          <w:lang w:eastAsia="zh-CN"/>
        </w:rPr>
        <w:t>，</w:t>
      </w:r>
      <w:r>
        <w:rPr>
          <w:rFonts w:ascii="仿宋" w:hAnsi="仿宋" w:eastAsia="仿宋" w:cs="仿宋"/>
          <w:kern w:val="0"/>
          <w:sz w:val="32"/>
          <w:szCs w:val="32"/>
        </w:rPr>
        <w:t>与全年预算（或上年决算）持平。</w:t>
      </w:r>
      <w:r>
        <w:rPr>
          <w:rFonts w:hint="eastAsia" w:ascii="仿宋" w:hAnsi="仿宋" w:eastAsia="仿宋" w:cs="仿宋"/>
          <w:sz w:val="32"/>
          <w:szCs w:val="32"/>
          <w:shd w:val="clear" w:color="auto" w:fill="FFFFFF"/>
        </w:rPr>
        <w:t>主要是本</w:t>
      </w:r>
      <w:r>
        <w:rPr>
          <w:rFonts w:hint="eastAsia" w:ascii="仿宋" w:hAnsi="仿宋" w:eastAsia="仿宋" w:cs="仿宋"/>
          <w:sz w:val="32"/>
          <w:szCs w:val="32"/>
          <w:shd w:val="clear" w:color="auto" w:fill="FFFFFF"/>
          <w:lang w:eastAsia="zh-CN"/>
        </w:rPr>
        <w:t>单位</w:t>
      </w:r>
      <w:r>
        <w:rPr>
          <w:rFonts w:hint="eastAsia" w:ascii="仿宋" w:hAnsi="仿宋" w:eastAsia="仿宋" w:cs="仿宋"/>
          <w:sz w:val="32"/>
          <w:szCs w:val="32"/>
          <w:shd w:val="clear" w:color="auto" w:fill="FFFFFF"/>
        </w:rPr>
        <w:t>没有公务接待活动</w:t>
      </w:r>
      <w:r>
        <w:rPr>
          <w:rFonts w:ascii="仿宋" w:hAnsi="仿宋" w:eastAsia="仿宋" w:cs="仿宋"/>
          <w:kern w:val="0"/>
          <w:sz w:val="32"/>
          <w:szCs w:val="32"/>
        </w:rPr>
        <w:t>。累计接待0批次、0人次。</w:t>
      </w:r>
    </w:p>
    <w:p>
      <w:pPr>
        <w:pStyle w:val="6"/>
        <w:keepNext w:val="0"/>
        <w:keepLines w:val="0"/>
        <w:pageBreakBefore w:val="0"/>
        <w:kinsoku/>
        <w:wordWrap/>
        <w:overflowPunct/>
        <w:topLinePunct w:val="0"/>
        <w:autoSpaceDE/>
        <w:autoSpaceDN/>
        <w:bidi w:val="0"/>
        <w:adjustRightInd/>
        <w:snapToGrid/>
        <w:spacing w:before="100" w:after="100" w:line="360" w:lineRule="auto"/>
        <w:ind w:left="0" w:right="0" w:firstLine="640" w:firstLineChars="0"/>
        <w:textAlignment w:val="auto"/>
        <w:rPr>
          <w:rFonts w:ascii="黑体" w:hAnsi="黑体" w:eastAsia="黑体" w:cs="黑体"/>
          <w:b/>
          <w:spacing w:val="0"/>
        </w:rPr>
      </w:pPr>
    </w:p>
    <w:p>
      <w:pPr>
        <w:pStyle w:val="6"/>
        <w:keepNext w:val="0"/>
        <w:keepLines w:val="0"/>
        <w:pageBreakBefore w:val="0"/>
        <w:kinsoku/>
        <w:wordWrap/>
        <w:overflowPunct/>
        <w:topLinePunct w:val="0"/>
        <w:autoSpaceDE/>
        <w:autoSpaceDN/>
        <w:bidi w:val="0"/>
        <w:adjustRightInd/>
        <w:snapToGrid/>
        <w:spacing w:before="100" w:after="100" w:line="360" w:lineRule="auto"/>
        <w:ind w:left="0" w:right="0" w:firstLine="640" w:firstLineChars="0"/>
        <w:textAlignment w:val="auto"/>
        <w:rPr>
          <w:rFonts w:ascii="Times New Roman" w:hAnsi="Times New Roman" w:eastAsia="Times New Roman" w:cs="Times New Roman"/>
          <w:b/>
          <w:bCs/>
          <w:kern w:val="0"/>
          <w:sz w:val="28"/>
          <w:szCs w:val="28"/>
        </w:rPr>
      </w:pPr>
      <w:r>
        <w:rPr>
          <w:rFonts w:ascii="黑体" w:hAnsi="黑体" w:eastAsia="黑体" w:cs="黑体"/>
          <w:b/>
          <w:spacing w:val="0"/>
        </w:rPr>
        <w:t>八、预算绩效情况说明</w:t>
      </w:r>
      <w:bookmarkEnd w:id="93"/>
      <w:bookmarkEnd w:id="94"/>
      <w:bookmarkEnd w:id="95"/>
      <w:bookmarkEnd w:id="96"/>
    </w:p>
    <w:p>
      <w:pPr>
        <w:pStyle w:val="29"/>
        <w:keepNext w:val="0"/>
        <w:keepLines w:val="0"/>
        <w:pageBreakBefore w:val="0"/>
        <w:widowControl w:val="0"/>
        <w:kinsoku/>
        <w:wordWrap/>
        <w:overflowPunct/>
        <w:topLinePunct w:val="0"/>
        <w:autoSpaceDE/>
        <w:autoSpaceDN/>
        <w:bidi w:val="0"/>
        <w:adjustRightInd/>
        <w:snapToGrid w:val="0"/>
        <w:spacing w:before="100" w:after="100" w:line="360" w:lineRule="auto"/>
        <w:ind w:left="0" w:right="0" w:firstLine="640"/>
        <w:jc w:val="both"/>
        <w:textAlignment w:val="auto"/>
        <w:rPr>
          <w:rFonts w:ascii="Times New Roman" w:hAnsi="Times New Roman" w:eastAsia="Times New Roman" w:cs="Times New Roman"/>
          <w:kern w:val="0"/>
          <w:sz w:val="24"/>
        </w:rPr>
      </w:pPr>
      <w:bookmarkStart w:id="97" w:name="_Toc256000119"/>
      <w:bookmarkStart w:id="98" w:name="_Toc256000057"/>
      <w:bookmarkStart w:id="99" w:name="_Toc256000088"/>
      <w:bookmarkStart w:id="100" w:name="_Toc256000026"/>
      <w:r>
        <w:rPr>
          <w:rFonts w:ascii="仿宋" w:hAnsi="仿宋" w:eastAsia="仿宋" w:cs="仿宋"/>
          <w:spacing w:val="0"/>
          <w:kern w:val="0"/>
          <w:sz w:val="32"/>
          <w:szCs w:val="32"/>
        </w:rPr>
        <w:t>根据预算绩效管理要求，本单位组织对2024年度</w:t>
      </w:r>
      <w:r>
        <w:rPr>
          <w:rFonts w:hint="eastAsia" w:ascii="仿宋" w:hAnsi="仿宋" w:eastAsia="仿宋" w:cs="仿宋"/>
          <w:spacing w:val="0"/>
          <w:kern w:val="0"/>
          <w:sz w:val="32"/>
          <w:szCs w:val="32"/>
          <w:lang w:val="en-US" w:eastAsia="zh-CN"/>
        </w:rPr>
        <w:t>1</w:t>
      </w:r>
      <w:r>
        <w:rPr>
          <w:rFonts w:ascii="仿宋" w:hAnsi="仿宋" w:eastAsia="仿宋" w:cs="仿宋"/>
          <w:spacing w:val="0"/>
          <w:kern w:val="0"/>
          <w:sz w:val="32"/>
          <w:szCs w:val="32"/>
        </w:rPr>
        <w:t>个项目实施单位自评，</w:t>
      </w:r>
      <w:r>
        <w:rPr>
          <w:rFonts w:hint="eastAsia" w:ascii="仿宋" w:hAnsi="仿宋" w:eastAsia="仿宋" w:cs="仿宋"/>
          <w:spacing w:val="0"/>
          <w:kern w:val="0"/>
          <w:sz w:val="32"/>
          <w:szCs w:val="32"/>
          <w:lang w:eastAsia="zh-CN"/>
        </w:rPr>
        <w:t>项目名称为</w:t>
      </w:r>
      <w:r>
        <w:rPr>
          <w:rFonts w:hint="eastAsia" w:ascii="仿宋" w:hAnsi="仿宋" w:eastAsia="仿宋" w:cs="仿宋"/>
          <w:spacing w:val="0"/>
          <w:kern w:val="0"/>
          <w:sz w:val="32"/>
          <w:szCs w:val="32"/>
          <w:lang w:val="en-US" w:eastAsia="zh-CN"/>
        </w:rPr>
        <w:t>义务教育阶段家庭经济困难学生营养餐补助</w:t>
      </w:r>
      <w:r>
        <w:rPr>
          <w:rFonts w:ascii="仿宋" w:hAnsi="仿宋" w:eastAsia="仿宋" w:cs="仿宋"/>
          <w:spacing w:val="0"/>
          <w:kern w:val="0"/>
          <w:sz w:val="32"/>
          <w:szCs w:val="32"/>
        </w:rPr>
        <w:t>，涉及财政拨款资金共计</w:t>
      </w:r>
      <w:r>
        <w:rPr>
          <w:rFonts w:hint="eastAsia" w:ascii="仿宋" w:hAnsi="仿宋" w:eastAsia="仿宋" w:cs="仿宋"/>
          <w:spacing w:val="0"/>
          <w:kern w:val="0"/>
          <w:sz w:val="32"/>
          <w:szCs w:val="32"/>
          <w:highlight w:val="none"/>
          <w:lang w:val="en-US" w:eastAsia="zh-CN"/>
        </w:rPr>
        <w:t>0.91</w:t>
      </w:r>
      <w:r>
        <w:rPr>
          <w:rFonts w:ascii="仿宋" w:hAnsi="仿宋" w:eastAsia="仿宋" w:cs="仿宋"/>
          <w:spacing w:val="0"/>
          <w:kern w:val="0"/>
          <w:sz w:val="32"/>
          <w:szCs w:val="32"/>
        </w:rPr>
        <w:t>万元。（《项目支出绩效自评表》详见附件）</w:t>
      </w:r>
    </w:p>
    <w:p>
      <w:pPr>
        <w:pStyle w:val="6"/>
        <w:keepNext w:val="0"/>
        <w:keepLines w:val="0"/>
        <w:pageBreakBefore w:val="0"/>
        <w:kinsoku/>
        <w:wordWrap/>
        <w:overflowPunct/>
        <w:topLinePunct w:val="0"/>
        <w:autoSpaceDE/>
        <w:autoSpaceDN/>
        <w:bidi w:val="0"/>
        <w:adjustRightInd/>
        <w:snapToGrid/>
        <w:spacing w:before="100" w:after="100" w:line="360" w:lineRule="auto"/>
        <w:ind w:left="0" w:right="0" w:firstLine="640" w:firstLineChars="0"/>
        <w:textAlignment w:val="auto"/>
        <w:rPr>
          <w:rFonts w:ascii="Times New Roman" w:hAnsi="Times New Roman" w:eastAsia="Times New Roman" w:cs="Times New Roman"/>
          <w:b/>
          <w:bCs/>
          <w:kern w:val="0"/>
          <w:sz w:val="28"/>
          <w:szCs w:val="28"/>
        </w:rPr>
      </w:pPr>
      <w:r>
        <w:rPr>
          <w:rFonts w:ascii="黑体" w:hAnsi="黑体" w:eastAsia="黑体" w:cs="黑体"/>
          <w:b/>
          <w:spacing w:val="0"/>
        </w:rPr>
        <w:t>九、其他重要事项说明</w:t>
      </w:r>
      <w:bookmarkEnd w:id="97"/>
      <w:bookmarkEnd w:id="98"/>
      <w:bookmarkEnd w:id="99"/>
      <w:bookmarkEnd w:id="100"/>
    </w:p>
    <w:p>
      <w:pPr>
        <w:pStyle w:val="29"/>
        <w:keepNext w:val="0"/>
        <w:keepLines w:val="0"/>
        <w:pageBreakBefore w:val="0"/>
        <w:widowControl/>
        <w:kinsoku/>
        <w:wordWrap/>
        <w:overflowPunct/>
        <w:topLinePunct w:val="0"/>
        <w:autoSpaceDE/>
        <w:autoSpaceDN/>
        <w:bidi w:val="0"/>
        <w:adjustRightInd/>
        <w:snapToGrid/>
        <w:spacing w:before="100" w:after="100" w:line="360" w:lineRule="auto"/>
        <w:ind w:left="0" w:right="0" w:firstLine="643"/>
        <w:jc w:val="left"/>
        <w:textAlignment w:val="auto"/>
        <w:rPr>
          <w:rFonts w:hint="eastAsia" w:ascii="仿宋_GB2312" w:hAnsi="仿宋_GB2312" w:eastAsia="仿宋_GB2312" w:cs="仿宋_GB2312"/>
          <w:b w:val="0"/>
          <w:bCs w:val="0"/>
          <w:kern w:val="0"/>
          <w:sz w:val="32"/>
          <w:szCs w:val="32"/>
        </w:rPr>
      </w:pPr>
      <w:r>
        <w:rPr>
          <w:rFonts w:hint="eastAsia" w:ascii="仿宋_GB2312" w:hAnsi="仿宋_GB2312" w:eastAsia="仿宋_GB2312" w:cs="仿宋_GB2312"/>
          <w:b w:val="0"/>
          <w:bCs w:val="0"/>
          <w:spacing w:val="0"/>
          <w:kern w:val="0"/>
          <w:sz w:val="32"/>
          <w:szCs w:val="32"/>
        </w:rPr>
        <w:t>（一）机关运行经费 </w:t>
      </w:r>
    </w:p>
    <w:p>
      <w:pPr>
        <w:pStyle w:val="29"/>
        <w:keepNext w:val="0"/>
        <w:keepLines w:val="0"/>
        <w:pageBreakBefore w:val="0"/>
        <w:widowControl/>
        <w:kinsoku/>
        <w:wordWrap/>
        <w:overflowPunct/>
        <w:topLinePunct w:val="0"/>
        <w:autoSpaceDE/>
        <w:autoSpaceDN/>
        <w:bidi w:val="0"/>
        <w:adjustRightInd/>
        <w:spacing w:before="100" w:after="100" w:line="360" w:lineRule="auto"/>
        <w:ind w:left="0" w:right="0" w:firstLine="643"/>
        <w:jc w:val="left"/>
        <w:textAlignment w:val="auto"/>
        <w:rPr>
          <w:rFonts w:ascii="仿宋" w:hAnsi="仿宋" w:eastAsia="仿宋" w:cs="仿宋"/>
          <w:spacing w:val="0"/>
          <w:kern w:val="0"/>
          <w:sz w:val="32"/>
          <w:szCs w:val="32"/>
        </w:rPr>
      </w:pPr>
      <w:r>
        <w:rPr>
          <w:rFonts w:ascii="仿宋" w:hAnsi="仿宋" w:eastAsia="仿宋" w:cs="仿宋"/>
          <w:spacing w:val="0"/>
          <w:kern w:val="0"/>
          <w:sz w:val="32"/>
          <w:szCs w:val="32"/>
        </w:rPr>
        <w:t>2024年度机关运行经费支出0万元，比上年决算数增加0万元，增长0%，主要原因是:本单位为事业单位</w:t>
      </w:r>
      <w:r>
        <w:rPr>
          <w:rFonts w:hint="eastAsia" w:ascii="仿宋" w:hAnsi="仿宋" w:eastAsia="仿宋" w:cs="仿宋"/>
          <w:spacing w:val="0"/>
          <w:kern w:val="0"/>
          <w:sz w:val="32"/>
          <w:szCs w:val="32"/>
          <w:lang w:eastAsia="zh-CN"/>
        </w:rPr>
        <w:t>，</w:t>
      </w:r>
      <w:r>
        <w:rPr>
          <w:rFonts w:ascii="仿宋" w:hAnsi="仿宋" w:eastAsia="仿宋" w:cs="仿宋"/>
          <w:spacing w:val="0"/>
          <w:kern w:val="0"/>
          <w:sz w:val="32"/>
          <w:szCs w:val="32"/>
        </w:rPr>
        <w:t>没有机关运行经费。</w:t>
      </w:r>
    </w:p>
    <w:p>
      <w:pPr>
        <w:pStyle w:val="29"/>
        <w:keepNext w:val="0"/>
        <w:keepLines w:val="0"/>
        <w:pageBreakBefore w:val="0"/>
        <w:widowControl/>
        <w:kinsoku/>
        <w:wordWrap/>
        <w:overflowPunct/>
        <w:topLinePunct w:val="0"/>
        <w:autoSpaceDE/>
        <w:autoSpaceDN/>
        <w:bidi w:val="0"/>
        <w:adjustRightInd/>
        <w:snapToGrid/>
        <w:spacing w:before="100" w:after="100" w:line="360" w:lineRule="auto"/>
        <w:ind w:left="0" w:right="0" w:firstLine="643"/>
        <w:jc w:val="left"/>
        <w:textAlignment w:val="auto"/>
        <w:rPr>
          <w:rFonts w:hint="eastAsia" w:ascii="仿宋_GB2312" w:hAnsi="仿宋_GB2312" w:eastAsia="仿宋_GB2312" w:cs="仿宋_GB2312"/>
          <w:b w:val="0"/>
          <w:bCs w:val="0"/>
          <w:kern w:val="0"/>
          <w:sz w:val="32"/>
          <w:szCs w:val="32"/>
        </w:rPr>
      </w:pPr>
      <w:r>
        <w:rPr>
          <w:rStyle w:val="31"/>
          <w:rFonts w:hint="eastAsia" w:ascii="仿宋_GB2312" w:hAnsi="仿宋_GB2312" w:eastAsia="仿宋_GB2312" w:cs="仿宋_GB2312"/>
          <w:b w:val="0"/>
          <w:bCs w:val="0"/>
          <w:spacing w:val="0"/>
          <w:kern w:val="0"/>
          <w:sz w:val="32"/>
          <w:szCs w:val="32"/>
        </w:rPr>
        <w:t>（二）政府采购情况</w:t>
      </w:r>
    </w:p>
    <w:p>
      <w:pPr>
        <w:pStyle w:val="29"/>
        <w:keepNext w:val="0"/>
        <w:keepLines w:val="0"/>
        <w:pageBreakBefore w:val="0"/>
        <w:widowControl/>
        <w:kinsoku/>
        <w:wordWrap/>
        <w:overflowPunct/>
        <w:topLinePunct w:val="0"/>
        <w:autoSpaceDE/>
        <w:autoSpaceDN/>
        <w:bidi w:val="0"/>
        <w:adjustRightInd/>
        <w:snapToGrid/>
        <w:spacing w:before="100" w:after="100" w:line="360" w:lineRule="auto"/>
        <w:ind w:left="0" w:right="0" w:firstLine="640"/>
        <w:jc w:val="both"/>
        <w:textAlignment w:val="auto"/>
        <w:rPr>
          <w:rFonts w:ascii="Times New Roman" w:hAnsi="Times New Roman" w:eastAsia="Times New Roman" w:cs="Times New Roman"/>
          <w:kern w:val="0"/>
          <w:sz w:val="24"/>
        </w:rPr>
      </w:pPr>
      <w:r>
        <w:rPr>
          <w:rFonts w:ascii="仿宋" w:hAnsi="仿宋" w:eastAsia="仿宋" w:cs="仿宋"/>
          <w:spacing w:val="0"/>
          <w:kern w:val="0"/>
          <w:sz w:val="32"/>
          <w:szCs w:val="32"/>
        </w:rPr>
        <w:t>本单位2024年度政府采购支出总额0万元，其中：政府采购货物支出0万元、政府采购工程支出0万元、政府采购服务支出0万元。授予中小企业合同金额0万元，占政府采购支出总额的0%，其中：授予小微企业合同金额0万元，占授予中小企业合同金额的0%；货物采购授予中小企业合同金额占货物支出金额的</w:t>
      </w:r>
      <w:r>
        <w:rPr>
          <w:rFonts w:hint="eastAsia" w:ascii="仿宋" w:hAnsi="仿宋" w:eastAsia="仿宋" w:cs="仿宋"/>
          <w:spacing w:val="0"/>
          <w:kern w:val="0"/>
          <w:sz w:val="32"/>
          <w:szCs w:val="32"/>
          <w:lang w:val="en-US" w:eastAsia="zh-CN"/>
        </w:rPr>
        <w:t>0</w:t>
      </w:r>
      <w:r>
        <w:rPr>
          <w:rFonts w:ascii="仿宋" w:hAnsi="仿宋" w:eastAsia="仿宋" w:cs="仿宋"/>
          <w:spacing w:val="0"/>
          <w:kern w:val="0"/>
          <w:sz w:val="32"/>
          <w:szCs w:val="32"/>
        </w:rPr>
        <w:t>%，工程采购授予中小企业合同金额占工程支出金额的</w:t>
      </w:r>
      <w:r>
        <w:rPr>
          <w:rFonts w:hint="eastAsia" w:ascii="仿宋" w:hAnsi="仿宋" w:eastAsia="仿宋" w:cs="仿宋"/>
          <w:spacing w:val="0"/>
          <w:kern w:val="0"/>
          <w:sz w:val="32"/>
          <w:szCs w:val="32"/>
          <w:lang w:val="en-US" w:eastAsia="zh-CN"/>
        </w:rPr>
        <w:t>0</w:t>
      </w:r>
      <w:r>
        <w:rPr>
          <w:rFonts w:ascii="仿宋" w:hAnsi="仿宋" w:eastAsia="仿宋" w:cs="仿宋"/>
          <w:spacing w:val="0"/>
          <w:kern w:val="0"/>
          <w:sz w:val="32"/>
          <w:szCs w:val="32"/>
        </w:rPr>
        <w:t>%，服务采购授予中小企业合同金额占服务支出金额的</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rPr>
        <w:t>%。</w:t>
      </w:r>
    </w:p>
    <w:p>
      <w:pPr>
        <w:pStyle w:val="29"/>
        <w:keepNext w:val="0"/>
        <w:keepLines w:val="0"/>
        <w:pageBreakBefore w:val="0"/>
        <w:widowControl/>
        <w:kinsoku/>
        <w:wordWrap/>
        <w:overflowPunct/>
        <w:topLinePunct w:val="0"/>
        <w:autoSpaceDE/>
        <w:autoSpaceDN/>
        <w:bidi w:val="0"/>
        <w:adjustRightInd/>
        <w:snapToGrid/>
        <w:spacing w:before="100" w:after="100" w:line="360" w:lineRule="auto"/>
        <w:ind w:left="0" w:right="0" w:firstLine="640"/>
        <w:jc w:val="both"/>
        <w:textAlignment w:val="auto"/>
        <w:rPr>
          <w:rFonts w:ascii="仿宋" w:hAnsi="仿宋" w:eastAsia="仿宋" w:cs="仿宋"/>
          <w:spacing w:val="0"/>
          <w:kern w:val="0"/>
          <w:sz w:val="32"/>
          <w:szCs w:val="32"/>
        </w:rPr>
      </w:pPr>
      <w:r>
        <w:rPr>
          <w:rFonts w:ascii="仿宋" w:hAnsi="仿宋" w:eastAsia="仿宋" w:cs="仿宋"/>
          <w:spacing w:val="0"/>
          <w:kern w:val="0"/>
          <w:sz w:val="32"/>
          <w:szCs w:val="32"/>
        </w:rPr>
        <w:t>本单位2024年度没有政府采购支出。</w:t>
      </w:r>
    </w:p>
    <w:p>
      <w:pPr>
        <w:pStyle w:val="29"/>
        <w:keepNext w:val="0"/>
        <w:keepLines w:val="0"/>
        <w:pageBreakBefore w:val="0"/>
        <w:widowControl/>
        <w:kinsoku/>
        <w:wordWrap/>
        <w:overflowPunct/>
        <w:topLinePunct w:val="0"/>
        <w:autoSpaceDE/>
        <w:autoSpaceDN/>
        <w:bidi w:val="0"/>
        <w:adjustRightInd/>
        <w:snapToGrid/>
        <w:spacing w:before="100" w:after="100" w:line="360" w:lineRule="auto"/>
        <w:ind w:left="0" w:right="0" w:firstLine="707"/>
        <w:jc w:val="left"/>
        <w:textAlignment w:val="auto"/>
        <w:rPr>
          <w:rFonts w:hint="eastAsia" w:ascii="仿宋_GB2312" w:hAnsi="仿宋_GB2312" w:eastAsia="仿宋_GB2312" w:cs="仿宋_GB2312"/>
          <w:b w:val="0"/>
          <w:bCs w:val="0"/>
          <w:kern w:val="0"/>
          <w:sz w:val="32"/>
          <w:szCs w:val="32"/>
        </w:rPr>
      </w:pPr>
      <w:r>
        <w:rPr>
          <w:rStyle w:val="31"/>
          <w:rFonts w:hint="eastAsia" w:ascii="仿宋_GB2312" w:hAnsi="仿宋_GB2312" w:eastAsia="仿宋_GB2312" w:cs="仿宋_GB2312"/>
          <w:b w:val="0"/>
          <w:bCs w:val="0"/>
          <w:spacing w:val="0"/>
          <w:kern w:val="0"/>
          <w:sz w:val="32"/>
          <w:szCs w:val="32"/>
        </w:rPr>
        <w:t>（三）国有资产占用使用情况</w:t>
      </w:r>
      <w:r>
        <w:rPr>
          <w:rFonts w:hint="eastAsia" w:ascii="仿宋_GB2312" w:hAnsi="仿宋_GB2312" w:eastAsia="仿宋_GB2312" w:cs="仿宋_GB2312"/>
          <w:b w:val="0"/>
          <w:bCs w:val="0"/>
          <w:spacing w:val="0"/>
          <w:kern w:val="0"/>
          <w:sz w:val="32"/>
          <w:szCs w:val="32"/>
        </w:rPr>
        <w:t> </w:t>
      </w:r>
    </w:p>
    <w:p>
      <w:pPr>
        <w:pStyle w:val="29"/>
        <w:keepNext w:val="0"/>
        <w:keepLines w:val="0"/>
        <w:pageBreakBefore w:val="0"/>
        <w:widowControl/>
        <w:kinsoku/>
        <w:wordWrap/>
        <w:overflowPunct/>
        <w:topLinePunct w:val="0"/>
        <w:autoSpaceDE/>
        <w:autoSpaceDN/>
        <w:bidi w:val="0"/>
        <w:adjustRightInd/>
        <w:snapToGrid/>
        <w:spacing w:before="100" w:after="100" w:line="360" w:lineRule="auto"/>
        <w:ind w:left="0" w:right="0" w:firstLine="704"/>
        <w:jc w:val="both"/>
        <w:textAlignment w:val="auto"/>
        <w:sectPr>
          <w:footerReference r:id="rId5" w:type="default"/>
          <w:pgSz w:w="11906" w:h="16838"/>
          <w:pgMar w:top="1440" w:right="1080" w:bottom="1440" w:left="1080" w:header="720" w:footer="720" w:gutter="0"/>
          <w:cols w:space="720" w:num="1"/>
        </w:sectPr>
      </w:pPr>
      <w:r>
        <w:rPr>
          <w:rFonts w:hint="eastAsia" w:ascii="仿宋_GB2312" w:hAnsi="仿宋_GB2312" w:eastAsia="仿宋_GB2312" w:cs="仿宋_GB2312"/>
          <w:b w:val="0"/>
          <w:bCs w:val="0"/>
          <w:spacing w:val="0"/>
          <w:kern w:val="0"/>
          <w:sz w:val="32"/>
          <w:szCs w:val="32"/>
        </w:rPr>
        <w:t>截至2024年12月31日，本单位共有车辆0 辆，其中：副部（省）级以上领导用车0 辆、主要领导干部用车0 辆、机要通信用车0辆、应急保障用车0辆、执法执勤用车0辆、特种专业技术用车0辆、离退休干部用车0辆、其他用车0辆；单位价值100万元以上设备（不含车辆）0台（套）。</w:t>
      </w:r>
    </w:p>
    <w:p>
      <w:pPr>
        <w:keepNext w:val="0"/>
        <w:keepLines w:val="0"/>
        <w:pageBreakBefore w:val="0"/>
        <w:widowControl/>
        <w:kinsoku/>
        <w:wordWrap/>
        <w:overflowPunct/>
        <w:topLinePunct w:val="0"/>
        <w:autoSpaceDE/>
        <w:autoSpaceDN/>
        <w:bidi w:val="0"/>
        <w:adjustRightInd/>
        <w:snapToGrid/>
        <w:spacing w:before="240" w:after="240" w:line="360" w:lineRule="auto"/>
        <w:jc w:val="left"/>
        <w:textAlignment w:val="auto"/>
        <w:rPr>
          <w:rFonts w:ascii="Times New Roman" w:hAnsi="Times New Roman" w:eastAsia="Times New Roman" w:cs="Times New Roman"/>
          <w:vanish/>
          <w:kern w:val="0"/>
          <w:sz w:val="24"/>
        </w:rPr>
      </w:pPr>
      <w:r>
        <w:rPr>
          <w:rFonts w:ascii="Times New Roman" w:hAnsi="Times New Roman" w:eastAsia="Times New Roman" w:cs="Times New Roman"/>
          <w:vanish/>
          <w:kern w:val="0"/>
          <w:sz w:val="24"/>
        </w:rPr>
        <w:t>word page break</w:t>
      </w:r>
    </w:p>
    <w:p>
      <w:pPr>
        <w:pStyle w:val="4"/>
        <w:keepNext w:val="0"/>
        <w:keepLines w:val="0"/>
        <w:pageBreakBefore w:val="0"/>
        <w:kinsoku/>
        <w:wordWrap/>
        <w:overflowPunct/>
        <w:topLinePunct w:val="0"/>
        <w:autoSpaceDE/>
        <w:autoSpaceDN/>
        <w:bidi w:val="0"/>
        <w:adjustRightInd/>
        <w:snapToGrid/>
        <w:spacing w:before="100" w:after="100" w:line="360" w:lineRule="auto"/>
        <w:ind w:left="0" w:right="0" w:firstLine="0" w:firstLineChars="0"/>
        <w:jc w:val="center"/>
        <w:textAlignment w:val="auto"/>
        <w:rPr>
          <w:rFonts w:ascii="Times New Roman" w:hAnsi="Times New Roman" w:eastAsia="Times New Roman" w:cs="Times New Roman"/>
          <w:vanish/>
          <w:kern w:val="0"/>
          <w:sz w:val="24"/>
        </w:rPr>
      </w:pPr>
      <w:bookmarkStart w:id="101" w:name="_Toc256000058"/>
      <w:bookmarkStart w:id="102" w:name="_Toc256000120"/>
      <w:bookmarkStart w:id="103" w:name="_Toc256000027"/>
      <w:bookmarkStart w:id="104" w:name="_Toc256000089"/>
      <w:r>
        <w:rPr>
          <w:rFonts w:ascii="黑体" w:hAnsi="黑体" w:eastAsia="黑体" w:cs="黑体"/>
          <w:b/>
          <w:spacing w:val="0"/>
          <w:sz w:val="32"/>
          <w:szCs w:val="32"/>
        </w:rPr>
        <w:t>第四部分</w:t>
      </w:r>
      <w:bookmarkEnd w:id="101"/>
      <w:bookmarkEnd w:id="102"/>
      <w:bookmarkEnd w:id="103"/>
      <w:bookmarkEnd w:id="104"/>
      <w:bookmarkStart w:id="105" w:name="_Toc256000059"/>
      <w:bookmarkStart w:id="106" w:name="_Toc256000121"/>
      <w:bookmarkStart w:id="107" w:name="_Toc256000090"/>
      <w:bookmarkStart w:id="108" w:name="_Toc256000028"/>
      <w:r>
        <w:rPr>
          <w:rFonts w:hint="eastAsia" w:ascii="黑体" w:hAnsi="黑体" w:eastAsia="黑体" w:cs="黑体"/>
          <w:b/>
          <w:spacing w:val="0"/>
          <w:sz w:val="32"/>
          <w:szCs w:val="32"/>
          <w:lang w:val="en-US" w:eastAsia="zh-CN"/>
        </w:rPr>
        <w:t xml:space="preserve">  </w:t>
      </w:r>
      <w:r>
        <w:rPr>
          <w:rFonts w:ascii="黑体" w:hAnsi="黑体" w:eastAsia="黑体" w:cs="黑体"/>
          <w:b/>
          <w:spacing w:val="0"/>
          <w:sz w:val="32"/>
          <w:szCs w:val="32"/>
        </w:rPr>
        <w:t>名词解释</w:t>
      </w:r>
      <w:bookmarkEnd w:id="105"/>
      <w:bookmarkEnd w:id="106"/>
      <w:bookmarkEnd w:id="107"/>
      <w:bookmarkEnd w:id="108"/>
      <w:r>
        <w:rPr>
          <w:rFonts w:ascii="Times New Roman" w:hAnsi="Times New Roman" w:eastAsia="Times New Roman" w:cs="Times New Roman"/>
          <w:vanish/>
          <w:kern w:val="0"/>
          <w:sz w:val="24"/>
        </w:rPr>
        <w:t>word page break</w:t>
      </w:r>
    </w:p>
    <w:p>
      <w:pPr>
        <w:keepNext w:val="0"/>
        <w:keepLines w:val="0"/>
        <w:pageBreakBefore w:val="0"/>
        <w:widowControl/>
        <w:kinsoku/>
        <w:wordWrap/>
        <w:overflowPunct/>
        <w:topLinePunct w:val="0"/>
        <w:autoSpaceDE/>
        <w:autoSpaceDN/>
        <w:bidi w:val="0"/>
        <w:adjustRightInd/>
        <w:snapToGrid/>
        <w:spacing w:before="240" w:after="240" w:line="360" w:lineRule="auto"/>
        <w:jc w:val="left"/>
        <w:textAlignment w:val="auto"/>
        <w:rPr>
          <w:rFonts w:ascii="Times New Roman" w:hAnsi="Times New Roman" w:eastAsia="Times New Roman" w:cs="Times New Roman"/>
          <w:kern w:val="0"/>
          <w:sz w:val="24"/>
        </w:rPr>
      </w:pPr>
    </w:p>
    <w:p>
      <w:pPr>
        <w:pStyle w:val="29"/>
        <w:keepNext w:val="0"/>
        <w:keepLines w:val="0"/>
        <w:pageBreakBefore w:val="0"/>
        <w:widowControl/>
        <w:kinsoku/>
        <w:wordWrap/>
        <w:overflowPunct/>
        <w:topLinePunct w:val="0"/>
        <w:autoSpaceDE/>
        <w:autoSpaceDN/>
        <w:bidi w:val="0"/>
        <w:adjustRightInd/>
        <w:snapToGrid/>
        <w:spacing w:before="100" w:after="100" w:line="360" w:lineRule="auto"/>
        <w:ind w:left="0" w:right="0" w:firstLine="710"/>
        <w:jc w:val="both"/>
        <w:textAlignment w:val="auto"/>
        <w:rPr>
          <w:rFonts w:ascii="Times New Roman" w:hAnsi="Times New Roman" w:eastAsia="Times New Roman" w:cs="Times New Roman"/>
          <w:kern w:val="0"/>
          <w:sz w:val="24"/>
        </w:rPr>
      </w:pPr>
      <w:r>
        <w:rPr>
          <w:rStyle w:val="31"/>
          <w:rFonts w:ascii="仿宋" w:hAnsi="仿宋" w:eastAsia="仿宋" w:cs="仿宋"/>
          <w:b/>
          <w:bCs/>
          <w:spacing w:val="0"/>
          <w:kern w:val="0"/>
          <w:sz w:val="32"/>
          <w:szCs w:val="32"/>
        </w:rPr>
        <w:t>一、财政拨款收入：</w:t>
      </w:r>
      <w:r>
        <w:rPr>
          <w:rFonts w:ascii="仿宋" w:hAnsi="仿宋" w:eastAsia="仿宋" w:cs="仿宋"/>
          <w:spacing w:val="0"/>
          <w:kern w:val="0"/>
          <w:sz w:val="32"/>
          <w:szCs w:val="32"/>
        </w:rPr>
        <w:t>指单位从本级财政单位取得的财政预算资金，包括一般公共预算财政拨款、政府性基金预算财政拨款和国有资本经营预算财政拨款。</w:t>
      </w:r>
    </w:p>
    <w:p>
      <w:pPr>
        <w:pStyle w:val="29"/>
        <w:keepNext w:val="0"/>
        <w:keepLines w:val="0"/>
        <w:pageBreakBefore w:val="0"/>
        <w:widowControl/>
        <w:kinsoku/>
        <w:wordWrap/>
        <w:overflowPunct/>
        <w:topLinePunct w:val="0"/>
        <w:autoSpaceDE/>
        <w:autoSpaceDN/>
        <w:bidi w:val="0"/>
        <w:adjustRightInd/>
        <w:snapToGrid/>
        <w:spacing w:before="100" w:after="100" w:line="360" w:lineRule="auto"/>
        <w:ind w:left="0" w:right="0" w:firstLine="710"/>
        <w:jc w:val="both"/>
        <w:textAlignment w:val="auto"/>
        <w:rPr>
          <w:rFonts w:ascii="Times New Roman" w:hAnsi="Times New Roman" w:eastAsia="Times New Roman" w:cs="Times New Roman"/>
          <w:kern w:val="0"/>
          <w:sz w:val="24"/>
        </w:rPr>
      </w:pPr>
      <w:r>
        <w:rPr>
          <w:rStyle w:val="31"/>
          <w:rFonts w:ascii="仿宋" w:hAnsi="仿宋" w:eastAsia="仿宋" w:cs="仿宋"/>
          <w:b/>
          <w:bCs/>
          <w:spacing w:val="0"/>
          <w:kern w:val="0"/>
          <w:sz w:val="32"/>
          <w:szCs w:val="32"/>
        </w:rPr>
        <w:t>二、事业收入：</w:t>
      </w:r>
      <w:r>
        <w:rPr>
          <w:rFonts w:ascii="仿宋" w:hAnsi="仿宋" w:eastAsia="仿宋" w:cs="仿宋"/>
          <w:spacing w:val="0"/>
          <w:kern w:val="0"/>
          <w:sz w:val="32"/>
          <w:szCs w:val="32"/>
        </w:rPr>
        <w:t>指事业单位开展专业业务活动及辅助活动所取得的收入。</w:t>
      </w:r>
    </w:p>
    <w:p>
      <w:pPr>
        <w:pStyle w:val="29"/>
        <w:keepNext w:val="0"/>
        <w:keepLines w:val="0"/>
        <w:pageBreakBefore w:val="0"/>
        <w:widowControl/>
        <w:kinsoku/>
        <w:wordWrap/>
        <w:overflowPunct/>
        <w:topLinePunct w:val="0"/>
        <w:autoSpaceDE/>
        <w:autoSpaceDN/>
        <w:bidi w:val="0"/>
        <w:adjustRightInd/>
        <w:snapToGrid/>
        <w:spacing w:before="100" w:after="100" w:line="360" w:lineRule="auto"/>
        <w:ind w:left="0" w:right="0" w:firstLine="710"/>
        <w:jc w:val="both"/>
        <w:textAlignment w:val="auto"/>
        <w:rPr>
          <w:rFonts w:ascii="Times New Roman" w:hAnsi="Times New Roman" w:eastAsia="Times New Roman" w:cs="Times New Roman"/>
          <w:kern w:val="0"/>
          <w:sz w:val="24"/>
        </w:rPr>
      </w:pPr>
      <w:r>
        <w:rPr>
          <w:rStyle w:val="31"/>
          <w:rFonts w:ascii="仿宋" w:hAnsi="仿宋" w:eastAsia="仿宋" w:cs="仿宋"/>
          <w:b/>
          <w:bCs/>
          <w:spacing w:val="0"/>
          <w:kern w:val="0"/>
          <w:sz w:val="32"/>
          <w:szCs w:val="32"/>
        </w:rPr>
        <w:t>三、经营收入：</w:t>
      </w:r>
      <w:r>
        <w:rPr>
          <w:rFonts w:ascii="仿宋" w:hAnsi="仿宋" w:eastAsia="仿宋" w:cs="仿宋"/>
          <w:spacing w:val="0"/>
          <w:kern w:val="0"/>
          <w:sz w:val="32"/>
          <w:szCs w:val="32"/>
        </w:rPr>
        <w:t>指事业单位在专业业务活动及其辅助活动之外开展非独立核算经营活动取得的收入。</w:t>
      </w:r>
    </w:p>
    <w:p>
      <w:pPr>
        <w:pStyle w:val="29"/>
        <w:keepNext w:val="0"/>
        <w:keepLines w:val="0"/>
        <w:pageBreakBefore w:val="0"/>
        <w:widowControl/>
        <w:kinsoku/>
        <w:wordWrap/>
        <w:overflowPunct/>
        <w:topLinePunct w:val="0"/>
        <w:autoSpaceDE/>
        <w:autoSpaceDN/>
        <w:bidi w:val="0"/>
        <w:adjustRightInd/>
        <w:snapToGrid/>
        <w:spacing w:before="100" w:after="100" w:line="360" w:lineRule="auto"/>
        <w:ind w:left="0" w:right="0" w:firstLine="710"/>
        <w:jc w:val="both"/>
        <w:textAlignment w:val="auto"/>
        <w:rPr>
          <w:rFonts w:ascii="Times New Roman" w:hAnsi="Times New Roman" w:eastAsia="Times New Roman" w:cs="Times New Roman"/>
          <w:kern w:val="0"/>
          <w:sz w:val="24"/>
        </w:rPr>
      </w:pPr>
      <w:r>
        <w:rPr>
          <w:rStyle w:val="31"/>
          <w:rFonts w:ascii="仿宋" w:hAnsi="仿宋" w:eastAsia="仿宋" w:cs="仿宋"/>
          <w:b/>
          <w:bCs/>
          <w:spacing w:val="0"/>
          <w:kern w:val="0"/>
          <w:sz w:val="32"/>
          <w:szCs w:val="32"/>
        </w:rPr>
        <w:t>四、其他收入：</w:t>
      </w:r>
      <w:r>
        <w:rPr>
          <w:rFonts w:ascii="仿宋" w:hAnsi="仿宋" w:eastAsia="仿宋" w:cs="仿宋"/>
          <w:spacing w:val="0"/>
          <w:kern w:val="0"/>
          <w:sz w:val="32"/>
          <w:szCs w:val="32"/>
        </w:rPr>
        <w:t>指除上述“财政拨款收入”“事业收入”</w:t>
      </w:r>
      <w:r>
        <w:rPr>
          <w:rFonts w:ascii="宋体" w:hAnsi="宋体" w:cs="宋体"/>
          <w:spacing w:val="0"/>
          <w:kern w:val="0"/>
          <w:szCs w:val="21"/>
        </w:rPr>
        <w:t> </w:t>
      </w:r>
      <w:r>
        <w:rPr>
          <w:rFonts w:ascii="仿宋" w:hAnsi="仿宋" w:eastAsia="仿宋" w:cs="仿宋"/>
          <w:spacing w:val="0"/>
          <w:kern w:val="0"/>
          <w:sz w:val="32"/>
          <w:szCs w:val="32"/>
        </w:rPr>
        <w:t>“上级补助收入”“附属单位上缴收入”“经营收入”等以外取得的各项收入。主要是事业单位固定资产出租收入等。</w:t>
      </w:r>
    </w:p>
    <w:p>
      <w:pPr>
        <w:pStyle w:val="29"/>
        <w:keepNext w:val="0"/>
        <w:keepLines w:val="0"/>
        <w:pageBreakBefore w:val="0"/>
        <w:widowControl/>
        <w:kinsoku/>
        <w:wordWrap/>
        <w:overflowPunct/>
        <w:topLinePunct w:val="0"/>
        <w:autoSpaceDE/>
        <w:autoSpaceDN/>
        <w:bidi w:val="0"/>
        <w:adjustRightInd/>
        <w:snapToGrid/>
        <w:spacing w:before="100" w:after="100" w:line="360" w:lineRule="auto"/>
        <w:ind w:left="0" w:right="0" w:firstLine="710"/>
        <w:jc w:val="both"/>
        <w:textAlignment w:val="auto"/>
        <w:rPr>
          <w:rFonts w:ascii="Times New Roman" w:hAnsi="Times New Roman" w:eastAsia="Times New Roman" w:cs="Times New Roman"/>
          <w:kern w:val="0"/>
          <w:sz w:val="24"/>
        </w:rPr>
      </w:pPr>
      <w:r>
        <w:rPr>
          <w:rStyle w:val="31"/>
          <w:rFonts w:ascii="仿宋" w:hAnsi="仿宋" w:eastAsia="仿宋" w:cs="仿宋"/>
          <w:b/>
          <w:bCs/>
          <w:spacing w:val="0"/>
          <w:kern w:val="0"/>
          <w:sz w:val="32"/>
          <w:szCs w:val="32"/>
        </w:rPr>
        <w:t>五、使用非财政拨款结余：</w:t>
      </w:r>
      <w:r>
        <w:rPr>
          <w:rFonts w:ascii="仿宋" w:hAnsi="仿宋" w:eastAsia="仿宋" w:cs="仿宋"/>
          <w:spacing w:val="0"/>
          <w:kern w:val="0"/>
          <w:sz w:val="32"/>
          <w:szCs w:val="32"/>
        </w:rPr>
        <w:t>指事业单位使用以前年度积累的非财政拨款结余弥补当年收支差额的金额。</w:t>
      </w:r>
    </w:p>
    <w:p>
      <w:pPr>
        <w:pStyle w:val="29"/>
        <w:keepNext w:val="0"/>
        <w:keepLines w:val="0"/>
        <w:pageBreakBefore w:val="0"/>
        <w:widowControl/>
        <w:kinsoku/>
        <w:wordWrap/>
        <w:overflowPunct/>
        <w:topLinePunct w:val="0"/>
        <w:autoSpaceDE/>
        <w:autoSpaceDN/>
        <w:bidi w:val="0"/>
        <w:adjustRightInd/>
        <w:snapToGrid/>
        <w:spacing w:before="100" w:after="100" w:line="360" w:lineRule="auto"/>
        <w:ind w:left="0" w:right="0" w:firstLine="710"/>
        <w:jc w:val="both"/>
        <w:textAlignment w:val="auto"/>
        <w:rPr>
          <w:rFonts w:ascii="Times New Roman" w:hAnsi="Times New Roman" w:eastAsia="Times New Roman" w:cs="Times New Roman"/>
          <w:kern w:val="0"/>
          <w:sz w:val="24"/>
        </w:rPr>
      </w:pPr>
      <w:r>
        <w:rPr>
          <w:rStyle w:val="31"/>
          <w:rFonts w:ascii="仿宋" w:hAnsi="仿宋" w:eastAsia="仿宋" w:cs="仿宋"/>
          <w:b/>
          <w:bCs/>
          <w:spacing w:val="0"/>
          <w:kern w:val="0"/>
          <w:sz w:val="32"/>
          <w:szCs w:val="32"/>
        </w:rPr>
        <w:t>六、年初结转和结余：</w:t>
      </w:r>
      <w:r>
        <w:rPr>
          <w:rFonts w:ascii="仿宋" w:hAnsi="仿宋" w:eastAsia="仿宋" w:cs="仿宋"/>
          <w:spacing w:val="0"/>
          <w:kern w:val="0"/>
          <w:sz w:val="32"/>
          <w:szCs w:val="32"/>
        </w:rPr>
        <w:t>指单位以前年度尚未完成、结转到本年仍按原规定用途继续使用的资金，或项目已完成等产生的结余资金。</w:t>
      </w:r>
    </w:p>
    <w:p>
      <w:pPr>
        <w:pStyle w:val="30"/>
        <w:keepNext w:val="0"/>
        <w:keepLines w:val="0"/>
        <w:pageBreakBefore w:val="0"/>
        <w:widowControl/>
        <w:kinsoku/>
        <w:wordWrap/>
        <w:overflowPunct/>
        <w:topLinePunct w:val="0"/>
        <w:autoSpaceDE/>
        <w:autoSpaceDN/>
        <w:bidi w:val="0"/>
        <w:adjustRightInd/>
        <w:snapToGrid/>
        <w:spacing w:before="100" w:after="100" w:line="360" w:lineRule="auto"/>
        <w:ind w:left="0" w:right="0" w:firstLine="640"/>
        <w:jc w:val="both"/>
        <w:textAlignment w:val="auto"/>
        <w:rPr>
          <w:rFonts w:ascii="Times New Roman" w:hAnsi="Times New Roman" w:eastAsia="Times New Roman" w:cs="Times New Roman"/>
          <w:kern w:val="0"/>
          <w:sz w:val="24"/>
        </w:rPr>
      </w:pPr>
      <w:r>
        <w:rPr>
          <w:rStyle w:val="31"/>
          <w:rFonts w:ascii="仿宋" w:hAnsi="仿宋" w:eastAsia="仿宋" w:cs="仿宋"/>
          <w:b/>
          <w:bCs/>
          <w:spacing w:val="0"/>
          <w:kern w:val="0"/>
          <w:sz w:val="32"/>
          <w:szCs w:val="32"/>
        </w:rPr>
        <w:t>七、结余分配：</w:t>
      </w:r>
      <w:r>
        <w:rPr>
          <w:rFonts w:ascii="仿宋" w:hAnsi="仿宋" w:eastAsia="仿宋" w:cs="仿宋"/>
          <w:spacing w:val="0"/>
          <w:kern w:val="0"/>
          <w:sz w:val="32"/>
          <w:szCs w:val="32"/>
        </w:rPr>
        <w:t>指事业单位按照会计制度规定缴纳的所得税、提取的专用结余以及转入非财政拨款结余的金额等。</w:t>
      </w:r>
    </w:p>
    <w:p>
      <w:pPr>
        <w:pStyle w:val="30"/>
        <w:keepNext w:val="0"/>
        <w:keepLines w:val="0"/>
        <w:pageBreakBefore w:val="0"/>
        <w:widowControl/>
        <w:kinsoku/>
        <w:wordWrap/>
        <w:overflowPunct/>
        <w:topLinePunct w:val="0"/>
        <w:autoSpaceDE/>
        <w:autoSpaceDN/>
        <w:bidi w:val="0"/>
        <w:adjustRightInd/>
        <w:snapToGrid/>
        <w:spacing w:before="100" w:after="100" w:line="360" w:lineRule="auto"/>
        <w:ind w:left="0" w:right="0" w:firstLine="640"/>
        <w:jc w:val="both"/>
        <w:textAlignment w:val="auto"/>
        <w:rPr>
          <w:rFonts w:ascii="Times New Roman" w:hAnsi="Times New Roman" w:eastAsia="Times New Roman" w:cs="Times New Roman"/>
          <w:kern w:val="0"/>
          <w:sz w:val="24"/>
        </w:rPr>
      </w:pPr>
      <w:r>
        <w:rPr>
          <w:rStyle w:val="31"/>
          <w:rFonts w:ascii="仿宋" w:hAnsi="仿宋" w:eastAsia="仿宋" w:cs="仿宋"/>
          <w:b/>
          <w:bCs/>
          <w:spacing w:val="0"/>
          <w:kern w:val="0"/>
          <w:sz w:val="32"/>
          <w:szCs w:val="32"/>
        </w:rPr>
        <w:t>八、年末结转和结余：</w:t>
      </w:r>
      <w:r>
        <w:rPr>
          <w:rFonts w:ascii="仿宋" w:hAnsi="仿宋" w:eastAsia="仿宋" w:cs="仿宋"/>
          <w:spacing w:val="0"/>
          <w:kern w:val="0"/>
          <w:sz w:val="32"/>
          <w:szCs w:val="32"/>
        </w:rPr>
        <w:t>指单位按有关规定结转到下年或以后年度继续使用的资金，或项目已完成等产生的结余资金。</w:t>
      </w:r>
    </w:p>
    <w:p>
      <w:pPr>
        <w:pStyle w:val="30"/>
        <w:keepNext w:val="0"/>
        <w:keepLines w:val="0"/>
        <w:pageBreakBefore w:val="0"/>
        <w:widowControl/>
        <w:kinsoku/>
        <w:wordWrap/>
        <w:overflowPunct/>
        <w:topLinePunct w:val="0"/>
        <w:autoSpaceDE/>
        <w:autoSpaceDN/>
        <w:bidi w:val="0"/>
        <w:adjustRightInd/>
        <w:snapToGrid/>
        <w:spacing w:before="100" w:after="100" w:line="360" w:lineRule="auto"/>
        <w:ind w:left="0" w:right="0" w:firstLine="640"/>
        <w:jc w:val="both"/>
        <w:textAlignment w:val="auto"/>
        <w:rPr>
          <w:rFonts w:ascii="Times New Roman" w:hAnsi="Times New Roman" w:eastAsia="Times New Roman" w:cs="Times New Roman"/>
          <w:kern w:val="0"/>
          <w:sz w:val="24"/>
        </w:rPr>
      </w:pPr>
      <w:r>
        <w:rPr>
          <w:rStyle w:val="31"/>
          <w:rFonts w:ascii="仿宋" w:hAnsi="仿宋" w:eastAsia="仿宋" w:cs="仿宋"/>
          <w:b/>
          <w:bCs/>
          <w:spacing w:val="0"/>
          <w:kern w:val="0"/>
          <w:sz w:val="32"/>
          <w:szCs w:val="32"/>
        </w:rPr>
        <w:t>九、基本支出：</w:t>
      </w:r>
      <w:r>
        <w:rPr>
          <w:rFonts w:ascii="仿宋" w:hAnsi="仿宋" w:eastAsia="仿宋" w:cs="仿宋"/>
          <w:spacing w:val="0"/>
          <w:kern w:val="0"/>
          <w:sz w:val="32"/>
          <w:szCs w:val="32"/>
        </w:rPr>
        <w:t>指为保障机构正常运转、完成日常工作任务而发生的人员支出和公用支出。</w:t>
      </w:r>
    </w:p>
    <w:p>
      <w:pPr>
        <w:pStyle w:val="30"/>
        <w:keepNext w:val="0"/>
        <w:keepLines w:val="0"/>
        <w:pageBreakBefore w:val="0"/>
        <w:widowControl/>
        <w:kinsoku/>
        <w:wordWrap/>
        <w:overflowPunct/>
        <w:topLinePunct w:val="0"/>
        <w:autoSpaceDE/>
        <w:autoSpaceDN/>
        <w:bidi w:val="0"/>
        <w:adjustRightInd/>
        <w:snapToGrid/>
        <w:spacing w:before="100" w:after="100" w:line="360" w:lineRule="auto"/>
        <w:ind w:left="0" w:right="0" w:firstLine="640"/>
        <w:jc w:val="both"/>
        <w:textAlignment w:val="auto"/>
        <w:rPr>
          <w:rFonts w:ascii="Times New Roman" w:hAnsi="Times New Roman" w:eastAsia="Times New Roman" w:cs="Times New Roman"/>
          <w:kern w:val="0"/>
          <w:sz w:val="24"/>
        </w:rPr>
      </w:pPr>
      <w:r>
        <w:rPr>
          <w:rStyle w:val="31"/>
          <w:rFonts w:ascii="仿宋" w:hAnsi="仿宋" w:eastAsia="仿宋" w:cs="仿宋"/>
          <w:b/>
          <w:bCs/>
          <w:spacing w:val="0"/>
          <w:kern w:val="0"/>
          <w:sz w:val="32"/>
          <w:szCs w:val="32"/>
        </w:rPr>
        <w:t>十、项目支出：</w:t>
      </w:r>
      <w:r>
        <w:rPr>
          <w:rFonts w:ascii="仿宋" w:hAnsi="仿宋" w:eastAsia="仿宋" w:cs="仿宋"/>
          <w:spacing w:val="0"/>
          <w:kern w:val="0"/>
          <w:sz w:val="32"/>
          <w:szCs w:val="32"/>
        </w:rPr>
        <w:t>指在基本支出之外为完成特定行政任务和事业发展目标所发生的支出。</w:t>
      </w:r>
    </w:p>
    <w:p>
      <w:pPr>
        <w:pStyle w:val="30"/>
        <w:keepNext w:val="0"/>
        <w:keepLines w:val="0"/>
        <w:pageBreakBefore w:val="0"/>
        <w:widowControl/>
        <w:kinsoku/>
        <w:wordWrap/>
        <w:overflowPunct/>
        <w:topLinePunct w:val="0"/>
        <w:autoSpaceDE/>
        <w:autoSpaceDN/>
        <w:bidi w:val="0"/>
        <w:adjustRightInd/>
        <w:snapToGrid/>
        <w:spacing w:before="100" w:after="100" w:line="360" w:lineRule="auto"/>
        <w:ind w:left="0" w:right="0" w:firstLine="640"/>
        <w:jc w:val="both"/>
        <w:textAlignment w:val="auto"/>
        <w:rPr>
          <w:rFonts w:ascii="Times New Roman" w:hAnsi="Times New Roman" w:eastAsia="Times New Roman" w:cs="Times New Roman"/>
          <w:kern w:val="0"/>
          <w:sz w:val="24"/>
        </w:rPr>
      </w:pPr>
      <w:r>
        <w:rPr>
          <w:rStyle w:val="31"/>
          <w:rFonts w:ascii="仿宋" w:hAnsi="仿宋" w:eastAsia="仿宋" w:cs="仿宋"/>
          <w:b/>
          <w:bCs/>
          <w:spacing w:val="0"/>
          <w:kern w:val="0"/>
          <w:sz w:val="32"/>
          <w:szCs w:val="32"/>
        </w:rPr>
        <w:t>十一、经营支出：</w:t>
      </w:r>
      <w:r>
        <w:rPr>
          <w:rFonts w:ascii="仿宋" w:hAnsi="仿宋" w:eastAsia="仿宋" w:cs="仿宋"/>
          <w:spacing w:val="0"/>
          <w:kern w:val="0"/>
          <w:sz w:val="32"/>
          <w:szCs w:val="32"/>
        </w:rPr>
        <w:t>指事业单位在专业业务活动及其辅助活动之外开展非独立核算经营活动发生的支出。</w:t>
      </w:r>
    </w:p>
    <w:p>
      <w:pPr>
        <w:pStyle w:val="30"/>
        <w:keepNext w:val="0"/>
        <w:keepLines w:val="0"/>
        <w:pageBreakBefore w:val="0"/>
        <w:widowControl/>
        <w:kinsoku/>
        <w:wordWrap/>
        <w:overflowPunct/>
        <w:topLinePunct w:val="0"/>
        <w:autoSpaceDE/>
        <w:autoSpaceDN/>
        <w:bidi w:val="0"/>
        <w:adjustRightInd/>
        <w:snapToGrid/>
        <w:spacing w:before="100" w:after="100" w:line="360" w:lineRule="auto"/>
        <w:ind w:left="0" w:right="0" w:firstLine="640"/>
        <w:jc w:val="both"/>
        <w:textAlignment w:val="auto"/>
        <w:rPr>
          <w:rFonts w:ascii="Times New Roman" w:hAnsi="Times New Roman" w:eastAsia="Times New Roman" w:cs="Times New Roman"/>
          <w:kern w:val="0"/>
          <w:sz w:val="24"/>
        </w:rPr>
      </w:pPr>
      <w:r>
        <w:rPr>
          <w:rStyle w:val="31"/>
          <w:rFonts w:ascii="仿宋" w:hAnsi="仿宋" w:eastAsia="仿宋" w:cs="仿宋"/>
          <w:b/>
          <w:bCs/>
          <w:spacing w:val="0"/>
          <w:kern w:val="0"/>
          <w:sz w:val="32"/>
          <w:szCs w:val="32"/>
        </w:rPr>
        <w:t>十二、“三公”经费：</w:t>
      </w:r>
      <w:r>
        <w:rPr>
          <w:rFonts w:ascii="仿宋" w:hAnsi="仿宋" w:eastAsia="仿宋" w:cs="仿宋"/>
          <w:spacing w:val="0"/>
          <w:kern w:val="0"/>
          <w:sz w:val="32"/>
          <w:szCs w:val="32"/>
        </w:rPr>
        <w:t>纳入本级财政预决算管理的“三公”经费，是指本级单位用一般公共预算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牌照费）及燃料费、维修费、过桥过路费、保险费、安全奖励费用等支出；公务接待费反映单位按规定开支的各类公务接待（含外宾接待）支出。</w:t>
      </w:r>
    </w:p>
    <w:p>
      <w:pPr>
        <w:pStyle w:val="30"/>
        <w:keepNext w:val="0"/>
        <w:keepLines w:val="0"/>
        <w:pageBreakBefore w:val="0"/>
        <w:widowControl/>
        <w:kinsoku/>
        <w:wordWrap/>
        <w:overflowPunct/>
        <w:topLinePunct w:val="0"/>
        <w:autoSpaceDE/>
        <w:autoSpaceDN/>
        <w:bidi w:val="0"/>
        <w:adjustRightInd/>
        <w:snapToGrid/>
        <w:spacing w:before="100" w:after="100" w:line="360" w:lineRule="auto"/>
        <w:ind w:left="0" w:right="0" w:firstLine="640"/>
        <w:jc w:val="both"/>
        <w:textAlignment w:val="auto"/>
        <w:rPr>
          <w:rFonts w:ascii="Times New Roman" w:hAnsi="Times New Roman" w:eastAsia="Times New Roman" w:cs="Times New Roman"/>
          <w:kern w:val="0"/>
          <w:sz w:val="24"/>
        </w:rPr>
      </w:pPr>
      <w:r>
        <w:rPr>
          <w:rStyle w:val="31"/>
          <w:rFonts w:ascii="仿宋" w:hAnsi="仿宋" w:eastAsia="仿宋" w:cs="仿宋"/>
          <w:b/>
          <w:bCs/>
          <w:spacing w:val="0"/>
          <w:kern w:val="0"/>
          <w:sz w:val="32"/>
          <w:szCs w:val="32"/>
        </w:rPr>
        <w:t>十三、机关运行经费：</w:t>
      </w:r>
      <w:r>
        <w:rPr>
          <w:rFonts w:ascii="仿宋" w:hAnsi="仿宋" w:eastAsia="仿宋" w:cs="仿宋"/>
          <w:spacing w:val="0"/>
          <w:kern w:val="0"/>
          <w:sz w:val="32"/>
          <w:szCs w:val="32"/>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29"/>
        <w:keepNext w:val="0"/>
        <w:keepLines w:val="0"/>
        <w:pageBreakBefore w:val="0"/>
        <w:widowControl/>
        <w:kinsoku/>
        <w:wordWrap/>
        <w:overflowPunct/>
        <w:topLinePunct w:val="0"/>
        <w:autoSpaceDE/>
        <w:autoSpaceDN/>
        <w:bidi w:val="0"/>
        <w:adjustRightInd/>
        <w:snapToGrid/>
        <w:spacing w:before="240" w:after="240" w:line="360" w:lineRule="auto"/>
        <w:jc w:val="left"/>
        <w:textAlignment w:val="auto"/>
        <w:rPr>
          <w:rFonts w:ascii="Times New Roman" w:hAnsi="Times New Roman" w:eastAsia="Times New Roman" w:cs="Times New Roman"/>
          <w:kern w:val="0"/>
          <w:sz w:val="24"/>
        </w:rPr>
      </w:pPr>
    </w:p>
    <w:p>
      <w:pPr>
        <w:keepNext w:val="0"/>
        <w:keepLines w:val="0"/>
        <w:pageBreakBefore w:val="0"/>
        <w:kinsoku/>
        <w:wordWrap/>
        <w:overflowPunct/>
        <w:topLinePunct w:val="0"/>
        <w:autoSpaceDE/>
        <w:autoSpaceDN/>
        <w:bidi w:val="0"/>
        <w:adjustRightInd/>
        <w:snapToGrid/>
        <w:spacing w:line="360" w:lineRule="auto"/>
        <w:textAlignment w:val="auto"/>
        <w:sectPr>
          <w:footerReference r:id="rId6" w:type="default"/>
          <w:pgSz w:w="11906" w:h="16838"/>
          <w:pgMar w:top="1440" w:right="1080" w:bottom="1440" w:left="1080" w:header="720" w:footer="720" w:gutter="0"/>
          <w:cols w:space="720" w:num="1"/>
        </w:sectPr>
      </w:pPr>
    </w:p>
    <w:p>
      <w:pPr>
        <w:widowControl/>
        <w:spacing w:before="240" w:after="240"/>
        <w:jc w:val="left"/>
        <w:rPr>
          <w:rFonts w:ascii="Times New Roman" w:hAnsi="Times New Roman" w:eastAsia="Times New Roman" w:cs="Times New Roman"/>
          <w:vanish/>
          <w:kern w:val="0"/>
          <w:sz w:val="24"/>
        </w:rPr>
      </w:pPr>
      <w:r>
        <w:rPr>
          <w:rFonts w:ascii="Times New Roman" w:hAnsi="Times New Roman" w:eastAsia="Times New Roman" w:cs="Times New Roman"/>
          <w:vanish/>
          <w:kern w:val="0"/>
          <w:sz w:val="24"/>
        </w:rPr>
        <w:t>word page break</w:t>
      </w:r>
    </w:p>
    <w:p>
      <w:pPr>
        <w:pStyle w:val="4"/>
        <w:keepNext w:val="0"/>
        <w:keepLines w:val="0"/>
        <w:spacing w:before="100" w:after="100" w:line="240" w:lineRule="auto"/>
        <w:ind w:left="0" w:right="0" w:firstLine="0" w:firstLineChars="0"/>
        <w:jc w:val="center"/>
        <w:rPr>
          <w:rFonts w:ascii="Times New Roman" w:hAnsi="Times New Roman" w:eastAsia="Times New Roman" w:cs="Times New Roman"/>
          <w:vanish/>
          <w:kern w:val="0"/>
          <w:sz w:val="24"/>
        </w:rPr>
      </w:pPr>
      <w:bookmarkStart w:id="109" w:name="_Toc256000122"/>
      <w:bookmarkStart w:id="110" w:name="_Toc256000029"/>
      <w:bookmarkStart w:id="111" w:name="_Toc256000060"/>
      <w:bookmarkStart w:id="112" w:name="_Toc256000091"/>
      <w:r>
        <w:rPr>
          <w:rFonts w:ascii="黑体" w:hAnsi="黑体" w:eastAsia="黑体" w:cs="黑体"/>
          <w:b/>
          <w:spacing w:val="0"/>
          <w:sz w:val="32"/>
          <w:szCs w:val="32"/>
        </w:rPr>
        <w:t>第五部分</w:t>
      </w:r>
      <w:bookmarkEnd w:id="109"/>
      <w:bookmarkEnd w:id="110"/>
      <w:bookmarkEnd w:id="111"/>
      <w:bookmarkEnd w:id="112"/>
      <w:bookmarkStart w:id="113" w:name="_Toc256000061"/>
      <w:bookmarkStart w:id="114" w:name="_Toc256000030"/>
      <w:bookmarkStart w:id="115" w:name="_Toc256000123"/>
      <w:bookmarkStart w:id="116" w:name="_Toc256000092"/>
      <w:r>
        <w:rPr>
          <w:rFonts w:hint="eastAsia" w:ascii="黑体" w:hAnsi="黑体" w:eastAsia="黑体" w:cs="黑体"/>
          <w:b/>
          <w:spacing w:val="0"/>
          <w:sz w:val="32"/>
          <w:szCs w:val="32"/>
          <w:lang w:val="en-US" w:eastAsia="zh-CN"/>
        </w:rPr>
        <w:t xml:space="preserve">  </w:t>
      </w:r>
      <w:r>
        <w:rPr>
          <w:rFonts w:ascii="黑体" w:hAnsi="黑体" w:eastAsia="黑体" w:cs="黑体"/>
          <w:b/>
          <w:spacing w:val="0"/>
          <w:sz w:val="32"/>
          <w:szCs w:val="32"/>
        </w:rPr>
        <w:t>附件</w:t>
      </w:r>
      <w:bookmarkEnd w:id="113"/>
      <w:bookmarkEnd w:id="114"/>
      <w:bookmarkEnd w:id="115"/>
      <w:bookmarkEnd w:id="116"/>
      <w:r>
        <w:rPr>
          <w:rFonts w:ascii="Times New Roman" w:hAnsi="Times New Roman" w:eastAsia="Times New Roman" w:cs="Times New Roman"/>
          <w:vanish/>
          <w:kern w:val="0"/>
          <w:sz w:val="24"/>
        </w:rPr>
        <w:t>word page break</w:t>
      </w:r>
    </w:p>
    <w:p>
      <w:pPr>
        <w:widowControl/>
        <w:spacing w:before="240" w:after="240"/>
        <w:jc w:val="left"/>
        <w:rPr>
          <w:rFonts w:ascii="Times New Roman" w:hAnsi="Times New Roman" w:eastAsia="Times New Roman" w:cs="Times New Roman"/>
          <w:kern w:val="0"/>
          <w:sz w:val="24"/>
        </w:rPr>
      </w:pPr>
    </w:p>
    <w:bookmarkEnd w:id="4"/>
    <w:tbl>
      <w:tblPr>
        <w:tblStyle w:val="23"/>
        <w:tblW w:w="977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969"/>
        <w:gridCol w:w="486"/>
        <w:gridCol w:w="1843"/>
        <w:gridCol w:w="1635"/>
        <w:gridCol w:w="570"/>
        <w:gridCol w:w="870"/>
        <w:gridCol w:w="765"/>
        <w:gridCol w:w="645"/>
        <w:gridCol w:w="465"/>
        <w:gridCol w:w="420"/>
        <w:gridCol w:w="110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75" w:hRule="atLeast"/>
        </w:trPr>
        <w:tc>
          <w:tcPr>
            <w:tcW w:w="9770" w:type="dxa"/>
            <w:gridSpan w:val="11"/>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部门（单位）项目支出绩效自评表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60" w:hRule="atLeast"/>
        </w:trPr>
        <w:tc>
          <w:tcPr>
            <w:tcW w:w="9770" w:type="dxa"/>
            <w:gridSpan w:val="11"/>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90" w:hRule="atLeast"/>
        </w:trPr>
        <w:tc>
          <w:tcPr>
            <w:tcW w:w="3298" w:type="dxa"/>
            <w:gridSpan w:val="3"/>
            <w:tcBorders>
              <w:bottom w:val="single" w:color="000000" w:sz="4" w:space="0"/>
            </w:tcBorders>
            <w:shd w:val="clear" w:color="auto" w:fill="auto"/>
            <w:vAlign w:val="center"/>
          </w:tcPr>
          <w:p>
            <w:pP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预算单位：</w:t>
            </w:r>
            <w:r>
              <w:rPr>
                <w:rFonts w:ascii="宋体" w:hAnsi="宋体" w:eastAsia="宋体" w:cs="宋体"/>
                <w:b w:val="0"/>
                <w:bCs w:val="0"/>
                <w:i w:val="0"/>
                <w:iCs w:val="0"/>
                <w:smallCaps w:val="0"/>
                <w:color w:val="000000"/>
                <w:kern w:val="0"/>
                <w:sz w:val="21"/>
                <w:szCs w:val="21"/>
              </w:rPr>
              <w:t>厦门市梧桐实验学校</w:t>
            </w:r>
            <w:r>
              <w:rPr>
                <w:rFonts w:hint="eastAsia" w:ascii="宋体" w:hAnsi="宋体" w:eastAsia="宋体" w:cs="宋体"/>
                <w:i w:val="0"/>
                <w:color w:val="000000"/>
                <w:kern w:val="0"/>
                <w:sz w:val="21"/>
                <w:szCs w:val="21"/>
                <w:u w:val="none"/>
                <w:lang w:val="en-US" w:eastAsia="zh-CN" w:bidi="ar"/>
              </w:rPr>
              <w:t xml:space="preserve">                                                                                                 </w:t>
            </w:r>
          </w:p>
        </w:tc>
        <w:tc>
          <w:tcPr>
            <w:tcW w:w="1635" w:type="dxa"/>
            <w:tcBorders>
              <w:bottom w:val="single" w:color="000000" w:sz="4" w:space="0"/>
            </w:tcBorders>
            <w:shd w:val="clear" w:color="auto" w:fill="auto"/>
            <w:vAlign w:val="center"/>
          </w:tcPr>
          <w:p>
            <w:pPr>
              <w:rPr>
                <w:rFonts w:hint="eastAsia" w:ascii="宋体" w:hAnsi="宋体" w:eastAsia="宋体" w:cs="宋体"/>
                <w:i w:val="0"/>
                <w:color w:val="000000"/>
                <w:sz w:val="21"/>
                <w:szCs w:val="21"/>
                <w:u w:val="none"/>
              </w:rPr>
            </w:pPr>
          </w:p>
        </w:tc>
        <w:tc>
          <w:tcPr>
            <w:tcW w:w="570" w:type="dxa"/>
            <w:tcBorders>
              <w:bottom w:val="single" w:color="000000" w:sz="4" w:space="0"/>
            </w:tcBorders>
            <w:shd w:val="clear" w:color="auto" w:fill="auto"/>
            <w:vAlign w:val="center"/>
          </w:tcPr>
          <w:p>
            <w:pPr>
              <w:rPr>
                <w:rFonts w:hint="eastAsia" w:ascii="宋体" w:hAnsi="宋体" w:eastAsia="宋体" w:cs="宋体"/>
                <w:i w:val="0"/>
                <w:color w:val="000000"/>
                <w:sz w:val="21"/>
                <w:szCs w:val="21"/>
                <w:u w:val="none"/>
              </w:rPr>
            </w:pPr>
          </w:p>
        </w:tc>
        <w:tc>
          <w:tcPr>
            <w:tcW w:w="870" w:type="dxa"/>
            <w:tcBorders>
              <w:bottom w:val="single" w:color="000000" w:sz="4" w:space="0"/>
            </w:tcBorders>
            <w:shd w:val="clear" w:color="auto" w:fill="auto"/>
            <w:vAlign w:val="center"/>
          </w:tcPr>
          <w:p>
            <w:pPr>
              <w:jc w:val="center"/>
              <w:rPr>
                <w:rFonts w:hint="eastAsia" w:ascii="宋体" w:hAnsi="宋体" w:eastAsia="宋体" w:cs="宋体"/>
                <w:i w:val="0"/>
                <w:color w:val="000000"/>
                <w:sz w:val="21"/>
                <w:szCs w:val="21"/>
                <w:u w:val="none"/>
              </w:rPr>
            </w:pPr>
          </w:p>
        </w:tc>
        <w:tc>
          <w:tcPr>
            <w:tcW w:w="765" w:type="dxa"/>
            <w:tcBorders>
              <w:bottom w:val="single" w:color="000000" w:sz="4" w:space="0"/>
            </w:tcBorders>
            <w:shd w:val="clear" w:color="auto" w:fill="auto"/>
            <w:vAlign w:val="center"/>
          </w:tcPr>
          <w:p>
            <w:pPr>
              <w:rPr>
                <w:rFonts w:hint="eastAsia" w:ascii="宋体" w:hAnsi="宋体" w:eastAsia="宋体" w:cs="宋体"/>
                <w:i w:val="0"/>
                <w:color w:val="000000"/>
                <w:sz w:val="21"/>
                <w:szCs w:val="21"/>
                <w:u w:val="none"/>
              </w:rPr>
            </w:pPr>
          </w:p>
        </w:tc>
        <w:tc>
          <w:tcPr>
            <w:tcW w:w="645" w:type="dxa"/>
            <w:tcBorders>
              <w:bottom w:val="single" w:color="000000" w:sz="4" w:space="0"/>
            </w:tcBorders>
            <w:shd w:val="clear" w:color="auto" w:fill="auto"/>
            <w:vAlign w:val="center"/>
          </w:tcPr>
          <w:p>
            <w:pPr>
              <w:rPr>
                <w:rFonts w:hint="eastAsia" w:ascii="宋体" w:hAnsi="宋体" w:eastAsia="宋体" w:cs="宋体"/>
                <w:i w:val="0"/>
                <w:color w:val="000000"/>
                <w:sz w:val="21"/>
                <w:szCs w:val="21"/>
                <w:u w:val="none"/>
              </w:rPr>
            </w:pPr>
          </w:p>
        </w:tc>
        <w:tc>
          <w:tcPr>
            <w:tcW w:w="1987" w:type="dxa"/>
            <w:gridSpan w:val="3"/>
            <w:tcBorders>
              <w:bottom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 xml:space="preserve"> 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60" w:hRule="atLeast"/>
        </w:trPr>
        <w:tc>
          <w:tcPr>
            <w:tcW w:w="1455" w:type="dxa"/>
            <w:gridSpan w:val="2"/>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项目名称</w:t>
            </w:r>
          </w:p>
        </w:tc>
        <w:tc>
          <w:tcPr>
            <w:tcW w:w="4918" w:type="dxa"/>
            <w:gridSpan w:val="4"/>
            <w:tcBorders>
              <w:top w:val="single" w:color="000000" w:sz="4" w:space="0"/>
              <w:left w:val="single" w:color="000000" w:sz="4" w:space="0"/>
              <w:bottom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义务教育阶段家庭经济困难学生营养餐补助</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自评年度</w:t>
            </w:r>
          </w:p>
        </w:tc>
        <w:tc>
          <w:tcPr>
            <w:tcW w:w="263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2024年1月1日-2024年12月31日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60" w:hRule="atLeast"/>
        </w:trPr>
        <w:tc>
          <w:tcPr>
            <w:tcW w:w="14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主管部门</w:t>
            </w:r>
          </w:p>
        </w:tc>
        <w:tc>
          <w:tcPr>
            <w:tcW w:w="491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湖里区教育局</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实施单位</w:t>
            </w:r>
          </w:p>
        </w:tc>
        <w:tc>
          <w:tcPr>
            <w:tcW w:w="263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r>
              <w:rPr>
                <w:rFonts w:hint="eastAsia" w:ascii="宋体" w:hAnsi="宋体" w:eastAsia="宋体" w:cs="宋体"/>
                <w:b/>
                <w:i w:val="0"/>
                <w:color w:val="000000"/>
                <w:kern w:val="0"/>
                <w:sz w:val="18"/>
                <w:szCs w:val="18"/>
                <w:u w:val="none"/>
                <w:lang w:val="en-US" w:eastAsia="zh-CN" w:bidi="ar"/>
              </w:rPr>
              <w:t>厦门市梧桐实验学校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660" w:hRule="atLeast"/>
        </w:trPr>
        <w:tc>
          <w:tcPr>
            <w:tcW w:w="145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年度预算执行情况</w:t>
            </w:r>
          </w:p>
        </w:tc>
        <w:tc>
          <w:tcPr>
            <w:tcW w:w="18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年初预算数</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已调整数</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调整后预算数</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全年执行数</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执行率</w:t>
            </w:r>
          </w:p>
        </w:tc>
        <w:tc>
          <w:tcPr>
            <w:tcW w:w="465" w:type="dxa"/>
            <w:tcBorders>
              <w:top w:val="single" w:color="000000" w:sz="4" w:space="0"/>
              <w:left w:val="single" w:color="000000" w:sz="4" w:space="0"/>
              <w:bottom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设置分值</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得分</w:t>
            </w:r>
          </w:p>
        </w:tc>
        <w:tc>
          <w:tcPr>
            <w:tcW w:w="11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存在问题及原因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30" w:hRule="atLeast"/>
        </w:trPr>
        <w:tc>
          <w:tcPr>
            <w:tcW w:w="145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18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年度资金总额</w:t>
            </w: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1.8</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0.91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50.</w:t>
            </w:r>
            <w:r>
              <w:rPr>
                <w:rFonts w:hint="eastAsia" w:ascii="宋体" w:hAnsi="宋体" w:cs="宋体"/>
                <w:i w:val="0"/>
                <w:color w:val="000000"/>
                <w:kern w:val="0"/>
                <w:sz w:val="18"/>
                <w:szCs w:val="18"/>
                <w:u w:val="none"/>
                <w:lang w:val="en-US" w:eastAsia="zh-CN" w:bidi="ar"/>
              </w:rPr>
              <w:t>56</w:t>
            </w:r>
            <w:r>
              <w:rPr>
                <w:rFonts w:hint="eastAsia" w:ascii="宋体" w:hAnsi="宋体" w:eastAsia="宋体" w:cs="宋体"/>
                <w:i w:val="0"/>
                <w:color w:val="000000"/>
                <w:kern w:val="0"/>
                <w:sz w:val="18"/>
                <w:szCs w:val="18"/>
                <w:u w:val="none"/>
                <w:lang w:val="en-US" w:eastAsia="zh-CN" w:bidi="ar"/>
              </w:rPr>
              <w:t>%</w:t>
            </w:r>
          </w:p>
        </w:tc>
        <w:tc>
          <w:tcPr>
            <w:tcW w:w="465" w:type="dxa"/>
            <w:tcBorders>
              <w:top w:val="single" w:color="000000" w:sz="4" w:space="0"/>
              <w:left w:val="single" w:color="000000" w:sz="4" w:space="0"/>
              <w:bottom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w:t>
            </w:r>
          </w:p>
        </w:tc>
        <w:tc>
          <w:tcPr>
            <w:tcW w:w="11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系统困难生自愿放弃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30" w:hRule="atLeast"/>
        </w:trPr>
        <w:tc>
          <w:tcPr>
            <w:tcW w:w="145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18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其中：当年财政拨款</w:t>
            </w: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1.8</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0.91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50.</w:t>
            </w:r>
            <w:r>
              <w:rPr>
                <w:rFonts w:hint="eastAsia" w:ascii="宋体" w:hAnsi="宋体" w:cs="宋体"/>
                <w:i w:val="0"/>
                <w:color w:val="000000"/>
                <w:kern w:val="0"/>
                <w:sz w:val="18"/>
                <w:szCs w:val="18"/>
                <w:u w:val="none"/>
                <w:lang w:val="en-US" w:eastAsia="zh-CN" w:bidi="ar"/>
              </w:rPr>
              <w:t>56</w:t>
            </w:r>
            <w:r>
              <w:rPr>
                <w:rFonts w:hint="eastAsia" w:ascii="宋体" w:hAnsi="宋体" w:eastAsia="宋体" w:cs="宋体"/>
                <w:i w:val="0"/>
                <w:color w:val="000000"/>
                <w:kern w:val="0"/>
                <w:sz w:val="18"/>
                <w:szCs w:val="18"/>
                <w:u w:val="none"/>
                <w:lang w:val="en-US" w:eastAsia="zh-CN" w:bidi="ar"/>
              </w:rPr>
              <w:t>%</w:t>
            </w:r>
          </w:p>
        </w:tc>
        <w:tc>
          <w:tcPr>
            <w:tcW w:w="465" w:type="dxa"/>
            <w:tcBorders>
              <w:top w:val="single" w:color="000000" w:sz="4" w:space="0"/>
              <w:left w:val="single" w:color="000000" w:sz="4" w:space="0"/>
              <w:bottom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11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30" w:hRule="atLeast"/>
        </w:trPr>
        <w:tc>
          <w:tcPr>
            <w:tcW w:w="145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18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上年结转资金</w:t>
            </w: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465" w:type="dxa"/>
            <w:tcBorders>
              <w:top w:val="single" w:color="000000" w:sz="4" w:space="0"/>
              <w:left w:val="single" w:color="000000" w:sz="4" w:space="0"/>
              <w:bottom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110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30" w:hRule="atLeast"/>
        </w:trPr>
        <w:tc>
          <w:tcPr>
            <w:tcW w:w="145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18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其他资金</w:t>
            </w: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465" w:type="dxa"/>
            <w:tcBorders>
              <w:top w:val="single" w:color="000000" w:sz="4" w:space="0"/>
              <w:left w:val="single" w:color="000000" w:sz="4" w:space="0"/>
              <w:bottom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110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75" w:hRule="atLeast"/>
        </w:trPr>
        <w:tc>
          <w:tcPr>
            <w:tcW w:w="96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年度</w:t>
            </w:r>
            <w:r>
              <w:rPr>
                <w:rFonts w:hint="eastAsia" w:ascii="宋体" w:hAnsi="宋体" w:eastAsia="宋体" w:cs="宋体"/>
                <w:b/>
                <w:i w:val="0"/>
                <w:color w:val="000000"/>
                <w:kern w:val="0"/>
                <w:sz w:val="18"/>
                <w:szCs w:val="18"/>
                <w:u w:val="none"/>
                <w:lang w:val="en-US" w:eastAsia="zh-CN" w:bidi="ar"/>
              </w:rPr>
              <w:br w:type="textWrapping"/>
            </w:r>
            <w:r>
              <w:rPr>
                <w:rFonts w:hint="eastAsia" w:ascii="宋体" w:hAnsi="宋体" w:eastAsia="宋体" w:cs="宋体"/>
                <w:b/>
                <w:i w:val="0"/>
                <w:color w:val="000000"/>
                <w:kern w:val="0"/>
                <w:sz w:val="18"/>
                <w:szCs w:val="18"/>
                <w:u w:val="none"/>
                <w:lang w:val="en-US" w:eastAsia="zh-CN" w:bidi="ar"/>
              </w:rPr>
              <w:t>总体</w:t>
            </w:r>
            <w:r>
              <w:rPr>
                <w:rFonts w:hint="eastAsia" w:ascii="宋体" w:hAnsi="宋体" w:eastAsia="宋体" w:cs="宋体"/>
                <w:b/>
                <w:i w:val="0"/>
                <w:color w:val="000000"/>
                <w:kern w:val="0"/>
                <w:sz w:val="18"/>
                <w:szCs w:val="18"/>
                <w:u w:val="none"/>
                <w:lang w:val="en-US" w:eastAsia="zh-CN" w:bidi="ar"/>
              </w:rPr>
              <w:br w:type="textWrapping"/>
            </w:r>
            <w:r>
              <w:rPr>
                <w:rFonts w:hint="eastAsia" w:ascii="宋体" w:hAnsi="宋体" w:eastAsia="宋体" w:cs="宋体"/>
                <w:b/>
                <w:i w:val="0"/>
                <w:color w:val="000000"/>
                <w:kern w:val="0"/>
                <w:sz w:val="18"/>
                <w:szCs w:val="18"/>
                <w:u w:val="none"/>
                <w:lang w:val="en-US" w:eastAsia="zh-CN" w:bidi="ar"/>
              </w:rPr>
              <w:t>目标</w:t>
            </w:r>
          </w:p>
        </w:tc>
        <w:tc>
          <w:tcPr>
            <w:tcW w:w="540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预期目标</w:t>
            </w:r>
          </w:p>
        </w:tc>
        <w:tc>
          <w:tcPr>
            <w:tcW w:w="339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85" w:hRule="atLeast"/>
        </w:trPr>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5404" w:type="dxa"/>
            <w:gridSpan w:val="5"/>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厦门市教育局等五部门关于印发《厦门市学生资助资金管理实施办法》的通知（厦教发〔2022〕83号）及厦门市教育局等八部门关于印发《厦门市家庭经济困难学生认定办法》的通知（厦教规【2022】3号）等文件，对义务教育阶段公办校（学校提供午餐）家庭经济困难学生营养餐补助，确保补助工作顺利实施。</w:t>
            </w:r>
          </w:p>
        </w:tc>
        <w:tc>
          <w:tcPr>
            <w:tcW w:w="3397" w:type="dxa"/>
            <w:gridSpan w:val="5"/>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2024年完成春、秋两季关于我区义务教育阶段公办校（学校提供午餐）家庭经济困难学生营养餐补助对象审核及资金下拨。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845" w:hRule="atLeast"/>
        </w:trPr>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5404"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3397"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675" w:hRule="atLeast"/>
        </w:trPr>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一级指标</w:t>
            </w:r>
          </w:p>
        </w:tc>
        <w:tc>
          <w:tcPr>
            <w:tcW w:w="18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二级指标</w:t>
            </w: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三级指标</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指标类型</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绩效目标值</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实际完成值</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完成比例</w:t>
            </w:r>
          </w:p>
        </w:tc>
        <w:tc>
          <w:tcPr>
            <w:tcW w:w="465" w:type="dxa"/>
            <w:tcBorders>
              <w:top w:val="single" w:color="000000" w:sz="4" w:space="0"/>
              <w:left w:val="single" w:color="000000" w:sz="4" w:space="0"/>
              <w:bottom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设置分值</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得分</w:t>
            </w:r>
          </w:p>
        </w:tc>
        <w:tc>
          <w:tcPr>
            <w:tcW w:w="11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存在问题及原因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450" w:hRule="atLeast"/>
        </w:trPr>
        <w:tc>
          <w:tcPr>
            <w:tcW w:w="96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绩</w:t>
            </w:r>
            <w:r>
              <w:rPr>
                <w:rFonts w:hint="eastAsia" w:ascii="宋体" w:hAnsi="宋体" w:eastAsia="宋体" w:cs="宋体"/>
                <w:b/>
                <w:i w:val="0"/>
                <w:color w:val="000000"/>
                <w:kern w:val="0"/>
                <w:sz w:val="18"/>
                <w:szCs w:val="18"/>
                <w:u w:val="none"/>
                <w:lang w:val="en-US" w:eastAsia="zh-CN" w:bidi="ar"/>
              </w:rPr>
              <w:br w:type="textWrapping"/>
            </w:r>
            <w:r>
              <w:rPr>
                <w:rFonts w:hint="eastAsia" w:ascii="宋体" w:hAnsi="宋体" w:eastAsia="宋体" w:cs="宋体"/>
                <w:b/>
                <w:i w:val="0"/>
                <w:color w:val="000000"/>
                <w:kern w:val="0"/>
                <w:sz w:val="18"/>
                <w:szCs w:val="18"/>
                <w:u w:val="none"/>
                <w:lang w:val="en-US" w:eastAsia="zh-CN" w:bidi="ar"/>
              </w:rPr>
              <w:t>效</w:t>
            </w:r>
            <w:r>
              <w:rPr>
                <w:rFonts w:hint="eastAsia" w:ascii="宋体" w:hAnsi="宋体" w:eastAsia="宋体" w:cs="宋体"/>
                <w:b/>
                <w:i w:val="0"/>
                <w:color w:val="000000"/>
                <w:kern w:val="0"/>
                <w:sz w:val="18"/>
                <w:szCs w:val="18"/>
                <w:u w:val="none"/>
                <w:lang w:val="en-US" w:eastAsia="zh-CN" w:bidi="ar"/>
              </w:rPr>
              <w:br w:type="textWrapping"/>
            </w:r>
            <w:r>
              <w:rPr>
                <w:rFonts w:hint="eastAsia" w:ascii="宋体" w:hAnsi="宋体" w:eastAsia="宋体" w:cs="宋体"/>
                <w:b/>
                <w:i w:val="0"/>
                <w:color w:val="000000"/>
                <w:kern w:val="0"/>
                <w:sz w:val="18"/>
                <w:szCs w:val="18"/>
                <w:u w:val="none"/>
                <w:lang w:val="en-US" w:eastAsia="zh-CN" w:bidi="ar"/>
              </w:rPr>
              <w:t>指</w:t>
            </w:r>
            <w:r>
              <w:rPr>
                <w:rFonts w:hint="eastAsia" w:ascii="宋体" w:hAnsi="宋体" w:eastAsia="宋体" w:cs="宋体"/>
                <w:b/>
                <w:i w:val="0"/>
                <w:color w:val="000000"/>
                <w:kern w:val="0"/>
                <w:sz w:val="18"/>
                <w:szCs w:val="18"/>
                <w:u w:val="none"/>
                <w:lang w:val="en-US" w:eastAsia="zh-CN" w:bidi="ar"/>
              </w:rPr>
              <w:br w:type="textWrapping"/>
            </w:r>
            <w:r>
              <w:rPr>
                <w:rFonts w:hint="eastAsia" w:ascii="宋体" w:hAnsi="宋体" w:eastAsia="宋体" w:cs="宋体"/>
                <w:b/>
                <w:i w:val="0"/>
                <w:color w:val="000000"/>
                <w:kern w:val="0"/>
                <w:sz w:val="18"/>
                <w:szCs w:val="18"/>
                <w:u w:val="none"/>
                <w:lang w:val="en-US" w:eastAsia="zh-CN" w:bidi="ar"/>
              </w:rPr>
              <w:t>标</w:t>
            </w:r>
            <w:r>
              <w:rPr>
                <w:rFonts w:hint="eastAsia" w:ascii="宋体" w:hAnsi="宋体" w:eastAsia="宋体" w:cs="宋体"/>
                <w:b/>
                <w:i w:val="0"/>
                <w:color w:val="000000"/>
                <w:kern w:val="0"/>
                <w:sz w:val="18"/>
                <w:szCs w:val="18"/>
                <w:u w:val="none"/>
                <w:lang w:val="en-US" w:eastAsia="zh-CN" w:bidi="ar"/>
              </w:rPr>
              <w:br w:type="textWrapping"/>
            </w:r>
            <w:r>
              <w:rPr>
                <w:rFonts w:hint="eastAsia" w:ascii="宋体" w:hAnsi="宋体" w:eastAsia="宋体" w:cs="宋体"/>
                <w:b/>
                <w:i w:val="0"/>
                <w:color w:val="000000"/>
                <w:kern w:val="0"/>
                <w:sz w:val="18"/>
                <w:szCs w:val="18"/>
                <w:u w:val="none"/>
                <w:lang w:val="en-US" w:eastAsia="zh-CN" w:bidi="ar"/>
              </w:rPr>
              <w:t>完</w:t>
            </w:r>
            <w:r>
              <w:rPr>
                <w:rFonts w:hint="eastAsia" w:ascii="宋体" w:hAnsi="宋体" w:eastAsia="宋体" w:cs="宋体"/>
                <w:b/>
                <w:i w:val="0"/>
                <w:color w:val="000000"/>
                <w:kern w:val="0"/>
                <w:sz w:val="18"/>
                <w:szCs w:val="18"/>
                <w:u w:val="none"/>
                <w:lang w:val="en-US" w:eastAsia="zh-CN" w:bidi="ar"/>
              </w:rPr>
              <w:br w:type="textWrapping"/>
            </w:r>
            <w:r>
              <w:rPr>
                <w:rFonts w:hint="eastAsia" w:ascii="宋体" w:hAnsi="宋体" w:eastAsia="宋体" w:cs="宋体"/>
                <w:b/>
                <w:i w:val="0"/>
                <w:color w:val="000000"/>
                <w:kern w:val="0"/>
                <w:sz w:val="18"/>
                <w:szCs w:val="18"/>
                <w:u w:val="none"/>
                <w:lang w:val="en-US" w:eastAsia="zh-CN" w:bidi="ar"/>
              </w:rPr>
              <w:t>成</w:t>
            </w:r>
            <w:r>
              <w:rPr>
                <w:rFonts w:hint="eastAsia" w:ascii="宋体" w:hAnsi="宋体" w:eastAsia="宋体" w:cs="宋体"/>
                <w:b/>
                <w:i w:val="0"/>
                <w:color w:val="000000"/>
                <w:kern w:val="0"/>
                <w:sz w:val="18"/>
                <w:szCs w:val="18"/>
                <w:u w:val="none"/>
                <w:lang w:val="en-US" w:eastAsia="zh-CN" w:bidi="ar"/>
              </w:rPr>
              <w:br w:type="textWrapping"/>
            </w:r>
            <w:r>
              <w:rPr>
                <w:rFonts w:hint="eastAsia" w:ascii="宋体" w:hAnsi="宋体" w:eastAsia="宋体" w:cs="宋体"/>
                <w:b/>
                <w:i w:val="0"/>
                <w:color w:val="000000"/>
                <w:kern w:val="0"/>
                <w:sz w:val="18"/>
                <w:szCs w:val="18"/>
                <w:u w:val="none"/>
                <w:lang w:val="en-US" w:eastAsia="zh-CN" w:bidi="ar"/>
              </w:rPr>
              <w:t>情</w:t>
            </w:r>
            <w:r>
              <w:rPr>
                <w:rFonts w:hint="eastAsia" w:ascii="宋体" w:hAnsi="宋体" w:eastAsia="宋体" w:cs="宋体"/>
                <w:b/>
                <w:i w:val="0"/>
                <w:color w:val="000000"/>
                <w:kern w:val="0"/>
                <w:sz w:val="18"/>
                <w:szCs w:val="18"/>
                <w:u w:val="none"/>
                <w:lang w:val="en-US" w:eastAsia="zh-CN" w:bidi="ar"/>
              </w:rPr>
              <w:br w:type="textWrapping"/>
            </w:r>
            <w:r>
              <w:rPr>
                <w:rFonts w:hint="eastAsia" w:ascii="宋体" w:hAnsi="宋体" w:eastAsia="宋体" w:cs="宋体"/>
                <w:b/>
                <w:i w:val="0"/>
                <w:color w:val="000000"/>
                <w:kern w:val="0"/>
                <w:sz w:val="18"/>
                <w:szCs w:val="18"/>
                <w:u w:val="none"/>
                <w:lang w:val="en-US" w:eastAsia="zh-CN" w:bidi="ar"/>
              </w:rPr>
              <w:t>况</w:t>
            </w:r>
          </w:p>
        </w:tc>
        <w:tc>
          <w:tcPr>
            <w:tcW w:w="4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产出指标</w:t>
            </w:r>
          </w:p>
        </w:tc>
        <w:tc>
          <w:tcPr>
            <w:tcW w:w="18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数量指标</w:t>
            </w: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审核义务教育阶段受助学生</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定量</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大于等于17人</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17人</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11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450" w:hRule="atLeast"/>
        </w:trPr>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18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数量指标</w:t>
            </w: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全年营养餐补助学生</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定量</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大于等于17人</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17人</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11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450" w:hRule="atLeast"/>
        </w:trPr>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18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成本指标</w:t>
            </w: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营养餐发放标准</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定量</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6元/餐</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6元/餐</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11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615" w:hRule="atLeast"/>
        </w:trPr>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18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时效指标</w:t>
            </w: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义务教育困难生资助资金下拨及时率</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定量</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11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615" w:hRule="atLeast"/>
        </w:trPr>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486" w:type="dxa"/>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效益指标</w:t>
            </w:r>
          </w:p>
        </w:tc>
        <w:tc>
          <w:tcPr>
            <w:tcW w:w="18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社会效益指标</w:t>
            </w: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改善受助学生学习生活质量</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定性</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有所改善</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有所改善</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w:t>
            </w:r>
          </w:p>
        </w:tc>
        <w:tc>
          <w:tcPr>
            <w:tcW w:w="11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615" w:hRule="atLeast"/>
        </w:trPr>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满意度</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指标</w:t>
            </w:r>
          </w:p>
        </w:tc>
        <w:tc>
          <w:tcPr>
            <w:tcW w:w="18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服务对象满意度指标</w:t>
            </w: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受资助对象满意度</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定量</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大于等于90%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98%</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11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540" w:hRule="atLeast"/>
        </w:trPr>
        <w:tc>
          <w:tcPr>
            <w:tcW w:w="7783"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总分</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100</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96</w:t>
            </w:r>
          </w:p>
        </w:tc>
        <w:tc>
          <w:tcPr>
            <w:tcW w:w="11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1516" w:hRule="atLeast"/>
        </w:trPr>
        <w:tc>
          <w:tcPr>
            <w:tcW w:w="97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填表说明：1.年度总体目标和绩效指标中的“具体指标”“年度指标值”按照部门预算批复的绩效目标填写，必须有量化指标。</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 xml:space="preserve">         2.设置分值原则：预算执行率和一级指标权重统一设置为：预算执行率10%、产出指标50%、效益指标30%、服务对象满意度指标10%。如有特殊情况，一级指标权重可做适当调整。二、三级指标应当根据指标重要程度等因素综合确定，准确反映项目的产出和效益。</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 xml:space="preserve">         3.存在问题及原因主要针对进度是否滞后，管理制度是否健全，是否违反财务管理制度，绩效目标完成情况是否明显偏离，以及其他资金使用及管理方面的问题进行阐述，并分析产生问题的原因。</w:t>
            </w:r>
          </w:p>
        </w:tc>
      </w:tr>
    </w:tbl>
    <w:p>
      <w:pPr>
        <w:keepNext w:val="0"/>
        <w:keepLines w:val="0"/>
        <w:pageBreakBefore w:val="0"/>
        <w:widowControl w:val="0"/>
        <w:tabs>
          <w:tab w:val="left" w:pos="8415"/>
        </w:tabs>
        <w:kinsoku/>
        <w:wordWrap/>
        <w:overflowPunct/>
        <w:topLinePunct w:val="0"/>
        <w:autoSpaceDE/>
        <w:autoSpaceDN/>
        <w:bidi w:val="0"/>
        <w:adjustRightInd/>
        <w:snapToGrid/>
        <w:textAlignment w:val="auto"/>
      </w:pPr>
    </w:p>
    <w:sectPr>
      <w:footerReference r:id="rId7" w:type="default"/>
      <w:pgSz w:w="11906" w:h="16838"/>
      <w:pgMar w:top="1440" w:right="1080" w:bottom="1440" w:left="1080" w:header="0" w:footer="720" w:gutter="0"/>
      <w:cols w:space="0" w:num="1"/>
      <w:rtlGutter w:val="0"/>
      <w:docGrid w:type="lines" w:linePitch="31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方正小标宋简体">
    <w:altName w:val="黑体"/>
    <w:panose1 w:val="03000509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30</w:t>
    </w:r>
    <w:r>
      <w:rPr>
        <w:rFonts w:ascii="宋体" w:hAnsi="宋体" w:eastAsia="宋体" w:cs="宋体"/>
        <w:sz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38</w:t>
    </w:r>
    <w:r>
      <w:rPr>
        <w:rFonts w:ascii="宋体" w:hAnsi="宋体" w:eastAsia="宋体" w:cs="宋体"/>
        <w:sz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41</w:t>
    </w:r>
    <w:r>
      <w:rPr>
        <w:rFonts w:ascii="宋体" w:hAnsi="宋体" w:eastAsia="宋体" w:cs="宋体"/>
        <w:sz w:val="18"/>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43</w:t>
    </w:r>
    <w:r>
      <w:rPr>
        <w:rFonts w:ascii="宋体" w:hAnsi="宋体" w:eastAsia="宋体" w:cs="宋体"/>
        <w:sz w:val="18"/>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96FA858"/>
    <w:multiLevelType w:val="singleLevel"/>
    <w:tmpl w:val="996FA858"/>
    <w:lvl w:ilvl="0" w:tentative="0">
      <w:start w:val="1"/>
      <w:numFmt w:val="chineseCounting"/>
      <w:suff w:val="space"/>
      <w:lvlText w:val="第%1部分"/>
      <w:lvlJc w:val="left"/>
      <w:rPr>
        <w:rFonts w:hint="eastAsia"/>
      </w:rPr>
    </w:lvl>
  </w:abstractNum>
  <w:abstractNum w:abstractNumId="1">
    <w:nsid w:val="CB4706BA"/>
    <w:multiLevelType w:val="singleLevel"/>
    <w:tmpl w:val="CB4706BA"/>
    <w:lvl w:ilvl="0" w:tentative="0">
      <w:start w:val="2"/>
      <w:numFmt w:val="chineseCounting"/>
      <w:suff w:val="space"/>
      <w:lvlText w:val="第%1部分"/>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isplayHorizontalDrawingGridEvery w:val="1"/>
  <w:displayVerticalDrawingGridEvery w:val="1"/>
  <w:noPunctuationKerning w:val="1"/>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C20654"/>
    <w:rsid w:val="05906418"/>
    <w:rsid w:val="05F95831"/>
    <w:rsid w:val="10E31C1A"/>
    <w:rsid w:val="1AF14DD9"/>
    <w:rsid w:val="2621347D"/>
    <w:rsid w:val="298E5D15"/>
    <w:rsid w:val="318F52EC"/>
    <w:rsid w:val="31E672F7"/>
    <w:rsid w:val="38EF66E5"/>
    <w:rsid w:val="41D34A48"/>
    <w:rsid w:val="44E159A0"/>
    <w:rsid w:val="50B754FE"/>
    <w:rsid w:val="600C6432"/>
    <w:rsid w:val="6504521D"/>
    <w:rsid w:val="65A1601C"/>
    <w:rsid w:val="665963DC"/>
    <w:rsid w:val="67FC5529"/>
    <w:rsid w:val="69EF06DE"/>
    <w:rsid w:val="6C522D69"/>
    <w:rsid w:val="6C9C6E2E"/>
    <w:rsid w:val="7E66476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after="330" w:line="578" w:lineRule="auto"/>
      <w:outlineLvl w:val="0"/>
    </w:pPr>
    <w:rPr>
      <w:rFonts w:eastAsia="仿宋"/>
      <w:bCs/>
      <w:kern w:val="44"/>
      <w:sz w:val="32"/>
      <w:szCs w:val="44"/>
    </w:rPr>
  </w:style>
  <w:style w:type="paragraph" w:styleId="4">
    <w:name w:val="heading 2"/>
    <w:basedOn w:val="5"/>
    <w:next w:val="5"/>
    <w:qFormat/>
    <w:uiPriority w:val="0"/>
    <w:pPr>
      <w:keepNext/>
      <w:keepLines/>
      <w:spacing w:before="260" w:after="260" w:line="416" w:lineRule="auto"/>
      <w:outlineLvl w:val="1"/>
    </w:pPr>
    <w:rPr>
      <w:rFonts w:ascii="Arial" w:hAnsi="Arial" w:eastAsia="仿宋"/>
      <w:bCs/>
      <w:sz w:val="32"/>
      <w:szCs w:val="32"/>
    </w:rPr>
  </w:style>
  <w:style w:type="paragraph" w:styleId="6">
    <w:name w:val="heading 3"/>
    <w:basedOn w:val="5"/>
    <w:next w:val="5"/>
    <w:link w:val="28"/>
    <w:qFormat/>
    <w:uiPriority w:val="0"/>
    <w:pPr>
      <w:keepNext/>
      <w:keepLines/>
      <w:spacing w:before="260" w:after="260" w:line="416" w:lineRule="auto"/>
      <w:outlineLvl w:val="2"/>
    </w:pPr>
    <w:rPr>
      <w:rFonts w:eastAsia="仿宋"/>
      <w:bCs/>
      <w:sz w:val="32"/>
      <w:szCs w:val="32"/>
    </w:rPr>
  </w:style>
  <w:style w:type="paragraph" w:styleId="7">
    <w:name w:val="heading 4"/>
    <w:basedOn w:val="5"/>
    <w:next w:val="5"/>
    <w:link w:val="24"/>
    <w:qFormat/>
    <w:uiPriority w:val="0"/>
    <w:pPr>
      <w:keepNext/>
      <w:keepLines/>
      <w:spacing w:before="280" w:after="290" w:line="376" w:lineRule="auto"/>
      <w:outlineLvl w:val="3"/>
    </w:pPr>
    <w:rPr>
      <w:rFonts w:ascii="Cambria" w:hAnsi="Cambria" w:eastAsia="仿宋"/>
      <w:bCs/>
      <w:sz w:val="32"/>
      <w:szCs w:val="28"/>
    </w:rPr>
  </w:style>
  <w:style w:type="character" w:default="1" w:styleId="20">
    <w:name w:val="Default Paragraph Font"/>
    <w:semiHidden/>
    <w:unhideWhenUsed/>
    <w:qFormat/>
    <w:uiPriority w:val="1"/>
  </w:style>
  <w:style w:type="table" w:default="1" w:styleId="23">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1.正文"/>
    <w:basedOn w:val="1"/>
    <w:qFormat/>
    <w:uiPriority w:val="0"/>
    <w:pPr>
      <w:spacing w:before="0" w:beforeAutospacing="0" w:after="0" w:afterAutospacing="0"/>
      <w:ind w:left="0" w:right="0"/>
      <w:jc w:val="left"/>
    </w:pPr>
    <w:rPr>
      <w:rFonts w:hint="eastAsia" w:ascii="宋体" w:hAnsi="Times New Roman" w:eastAsia="宋体" w:cs="宋体"/>
      <w:kern w:val="0"/>
      <w:sz w:val="24"/>
      <w:szCs w:val="24"/>
      <w:lang w:val="en-US" w:eastAsia="zh-CN" w:bidi="ar"/>
    </w:rPr>
  </w:style>
  <w:style w:type="paragraph" w:styleId="5">
    <w:name w:val="No Spacing"/>
    <w:link w:val="25"/>
    <w:qFormat/>
    <w:uiPriority w:val="0"/>
    <w:pPr>
      <w:ind w:firstLine="200" w:firstLineChars="200"/>
    </w:pPr>
    <w:rPr>
      <w:rFonts w:ascii="Times New Roman" w:hAnsi="Times New Roman" w:eastAsia="仿宋_GB2312" w:cs="Times New Roman"/>
      <w:sz w:val="30"/>
      <w:szCs w:val="22"/>
      <w:lang w:val="en-US" w:eastAsia="zh-CN" w:bidi="ar-SA"/>
    </w:rPr>
  </w:style>
  <w:style w:type="paragraph" w:styleId="8">
    <w:name w:val="toc 7"/>
    <w:basedOn w:val="1"/>
    <w:next w:val="1"/>
    <w:qFormat/>
    <w:uiPriority w:val="0"/>
    <w:pPr>
      <w:ind w:left="1260"/>
      <w:jc w:val="left"/>
    </w:pPr>
    <w:rPr>
      <w:sz w:val="20"/>
      <w:szCs w:val="20"/>
    </w:rPr>
  </w:style>
  <w:style w:type="paragraph" w:styleId="9">
    <w:name w:val="Document Map"/>
    <w:basedOn w:val="1"/>
    <w:qFormat/>
    <w:uiPriority w:val="0"/>
    <w:pPr>
      <w:shd w:val="clear" w:color="auto" w:fill="000080"/>
    </w:pPr>
  </w:style>
  <w:style w:type="paragraph" w:styleId="10">
    <w:name w:val="toc 5"/>
    <w:basedOn w:val="1"/>
    <w:next w:val="1"/>
    <w:qFormat/>
    <w:uiPriority w:val="0"/>
    <w:pPr>
      <w:ind w:left="840"/>
      <w:jc w:val="left"/>
    </w:pPr>
    <w:rPr>
      <w:sz w:val="20"/>
      <w:szCs w:val="20"/>
    </w:rPr>
  </w:style>
  <w:style w:type="paragraph" w:styleId="11">
    <w:name w:val="toc 3"/>
    <w:next w:val="6"/>
    <w:qFormat/>
    <w:uiPriority w:val="0"/>
    <w:pPr>
      <w:adjustRightInd w:val="0"/>
      <w:snapToGrid w:val="0"/>
      <w:spacing w:line="360" w:lineRule="auto"/>
      <w:ind w:firstLine="400" w:firstLineChars="400"/>
      <w:jc w:val="left"/>
    </w:pPr>
    <w:rPr>
      <w:rFonts w:ascii="Times New Roman" w:hAnsi="Times New Roman" w:eastAsia="仿宋" w:cs="Times New Roman"/>
      <w:sz w:val="32"/>
      <w:szCs w:val="20"/>
      <w:lang w:val="en-US" w:eastAsia="en-US" w:bidi="ar-SA"/>
    </w:rPr>
  </w:style>
  <w:style w:type="paragraph" w:styleId="12">
    <w:name w:val="toc 8"/>
    <w:basedOn w:val="1"/>
    <w:next w:val="1"/>
    <w:qFormat/>
    <w:uiPriority w:val="0"/>
    <w:pPr>
      <w:ind w:left="1470"/>
      <w:jc w:val="left"/>
    </w:pPr>
    <w:rPr>
      <w:sz w:val="20"/>
      <w:szCs w:val="20"/>
    </w:rPr>
  </w:style>
  <w:style w:type="paragraph" w:styleId="13">
    <w:name w:val="footer"/>
    <w:basedOn w:val="1"/>
    <w:link w:val="26"/>
    <w:qFormat/>
    <w:uiPriority w:val="0"/>
    <w:pPr>
      <w:tabs>
        <w:tab w:val="center" w:pos="4153"/>
        <w:tab w:val="right" w:pos="8306"/>
      </w:tabs>
      <w:snapToGrid w:val="0"/>
      <w:jc w:val="left"/>
    </w:pPr>
    <w:rPr>
      <w:sz w:val="18"/>
      <w:szCs w:val="18"/>
    </w:rPr>
  </w:style>
  <w:style w:type="paragraph" w:styleId="1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5">
    <w:name w:val="toc 1"/>
    <w:next w:val="5"/>
    <w:qFormat/>
    <w:uiPriority w:val="0"/>
    <w:pPr>
      <w:adjustRightInd w:val="0"/>
      <w:snapToGrid w:val="0"/>
      <w:spacing w:line="360" w:lineRule="auto"/>
      <w:jc w:val="left"/>
    </w:pPr>
    <w:rPr>
      <w:rFonts w:ascii="Times New Roman" w:hAnsi="Times New Roman" w:eastAsia="仿宋" w:cs="Times New Roman"/>
      <w:bCs/>
      <w:sz w:val="32"/>
      <w:szCs w:val="20"/>
      <w:lang w:val="en-US" w:eastAsia="en-US" w:bidi="ar-SA"/>
    </w:rPr>
  </w:style>
  <w:style w:type="paragraph" w:styleId="16">
    <w:name w:val="toc 4"/>
    <w:basedOn w:val="1"/>
    <w:next w:val="1"/>
    <w:qFormat/>
    <w:uiPriority w:val="0"/>
    <w:pPr>
      <w:ind w:left="630"/>
      <w:jc w:val="left"/>
    </w:pPr>
    <w:rPr>
      <w:sz w:val="20"/>
      <w:szCs w:val="20"/>
    </w:rPr>
  </w:style>
  <w:style w:type="paragraph" w:styleId="17">
    <w:name w:val="toc 6"/>
    <w:basedOn w:val="1"/>
    <w:next w:val="1"/>
    <w:qFormat/>
    <w:uiPriority w:val="0"/>
    <w:pPr>
      <w:ind w:left="1050"/>
      <w:jc w:val="left"/>
    </w:pPr>
    <w:rPr>
      <w:sz w:val="20"/>
      <w:szCs w:val="20"/>
    </w:rPr>
  </w:style>
  <w:style w:type="paragraph" w:styleId="18">
    <w:name w:val="toc 2"/>
    <w:next w:val="5"/>
    <w:qFormat/>
    <w:uiPriority w:val="0"/>
    <w:pPr>
      <w:adjustRightInd w:val="0"/>
      <w:snapToGrid w:val="0"/>
      <w:spacing w:line="360" w:lineRule="auto"/>
      <w:ind w:firstLine="200" w:firstLineChars="200"/>
      <w:jc w:val="left"/>
    </w:pPr>
    <w:rPr>
      <w:rFonts w:ascii="Times New Roman" w:hAnsi="Times New Roman" w:eastAsia="仿宋" w:cs="Times New Roman"/>
      <w:iCs/>
      <w:sz w:val="32"/>
      <w:szCs w:val="20"/>
      <w:lang w:val="en-US" w:eastAsia="en-US" w:bidi="ar-SA"/>
    </w:rPr>
  </w:style>
  <w:style w:type="paragraph" w:styleId="19">
    <w:name w:val="toc 9"/>
    <w:basedOn w:val="1"/>
    <w:next w:val="1"/>
    <w:qFormat/>
    <w:uiPriority w:val="0"/>
    <w:pPr>
      <w:ind w:left="1680"/>
      <w:jc w:val="left"/>
    </w:pPr>
    <w:rPr>
      <w:sz w:val="20"/>
      <w:szCs w:val="20"/>
    </w:rPr>
  </w:style>
  <w:style w:type="character" w:styleId="21">
    <w:name w:val="page number"/>
    <w:basedOn w:val="20"/>
    <w:qFormat/>
    <w:uiPriority w:val="0"/>
  </w:style>
  <w:style w:type="character" w:styleId="22">
    <w:name w:val="Hyperlink"/>
    <w:qFormat/>
    <w:uiPriority w:val="0"/>
    <w:rPr>
      <w:rFonts w:ascii="宋体" w:hAnsi="宋体" w:eastAsia="仿宋" w:cs="Times New Roman"/>
      <w:kern w:val="2"/>
      <w:sz w:val="32"/>
      <w:szCs w:val="32"/>
      <w:lang w:val="en-US" w:eastAsia="zh-CN" w:bidi="ar-SA"/>
    </w:rPr>
  </w:style>
  <w:style w:type="character" w:customStyle="1" w:styleId="24">
    <w:name w:val="标题 4 字符"/>
    <w:basedOn w:val="20"/>
    <w:link w:val="7"/>
    <w:qFormat/>
    <w:uiPriority w:val="0"/>
    <w:rPr>
      <w:rFonts w:ascii="Cambria" w:hAnsi="Cambria" w:eastAsia="仿宋"/>
      <w:bCs/>
      <w:kern w:val="2"/>
      <w:sz w:val="32"/>
      <w:szCs w:val="28"/>
    </w:rPr>
  </w:style>
  <w:style w:type="character" w:customStyle="1" w:styleId="25">
    <w:name w:val="无间隔 字符"/>
    <w:link w:val="5"/>
    <w:qFormat/>
    <w:locked/>
    <w:uiPriority w:val="0"/>
    <w:rPr>
      <w:rFonts w:eastAsia="仿宋_GB2312"/>
      <w:sz w:val="30"/>
      <w:szCs w:val="22"/>
      <w:lang w:bidi="ar-SA"/>
    </w:rPr>
  </w:style>
  <w:style w:type="character" w:customStyle="1" w:styleId="26">
    <w:name w:val="页脚 字符"/>
    <w:basedOn w:val="20"/>
    <w:link w:val="13"/>
    <w:qFormat/>
    <w:uiPriority w:val="0"/>
    <w:rPr>
      <w:kern w:val="2"/>
      <w:sz w:val="18"/>
      <w:szCs w:val="18"/>
    </w:rPr>
  </w:style>
  <w:style w:type="paragraph" w:styleId="27">
    <w:name w:val="List Paragraph"/>
    <w:basedOn w:val="1"/>
    <w:qFormat/>
    <w:uiPriority w:val="0"/>
    <w:pPr>
      <w:ind w:firstLine="420" w:firstLineChars="200"/>
    </w:pPr>
  </w:style>
  <w:style w:type="character" w:customStyle="1" w:styleId="28">
    <w:name w:val="标题 3 字符"/>
    <w:basedOn w:val="20"/>
    <w:link w:val="6"/>
    <w:qFormat/>
    <w:uiPriority w:val="0"/>
    <w:rPr>
      <w:rFonts w:eastAsia="仿宋"/>
      <w:bCs/>
      <w:kern w:val="2"/>
      <w:sz w:val="32"/>
      <w:szCs w:val="32"/>
    </w:rPr>
  </w:style>
  <w:style w:type="paragraph" w:customStyle="1" w:styleId="29">
    <w:name w:val="MsoNormal"/>
    <w:basedOn w:val="1"/>
    <w:qFormat/>
    <w:uiPriority w:val="0"/>
  </w:style>
  <w:style w:type="paragraph" w:customStyle="1" w:styleId="30">
    <w:name w:val="p"/>
    <w:basedOn w:val="1"/>
    <w:qFormat/>
    <w:uiPriority w:val="0"/>
  </w:style>
  <w:style w:type="character" w:customStyle="1" w:styleId="31">
    <w:name w:val="15"/>
    <w:basedOn w:val="20"/>
    <w:qFormat/>
    <w:uiPriority w:val="0"/>
  </w:style>
  <w:style w:type="character" w:customStyle="1" w:styleId="32">
    <w:name w:val="17"/>
    <w:basedOn w:val="20"/>
    <w:qFormat/>
    <w:uiPriority w:val="0"/>
    <w:rPr>
      <w:rFonts w:hint="default" w:ascii="Times New Roman" w:hAnsi="Times New Roman" w:eastAsia="楷体_GB2312" w:cs="楷体_GB2312"/>
      <w:sz w:val="28"/>
      <w:szCs w:val="2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s:customData>
</file>

<file path=customXml/item2.xml><?xml version="1.0" encoding="utf-8"?>
<b:Source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SelectedStyle="\APASixthEditionOfficeOnline.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57559B6-2DC7-41B5-818F-6E7F243775C0}">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46</Pages>
  <Words>1093</Words>
  <Characters>1276</Characters>
  <Lines>1</Lines>
  <Paragraphs>1</Paragraphs>
  <TotalTime>0</TotalTime>
  <ScaleCrop>false</ScaleCrop>
  <LinksUpToDate>false</LinksUpToDate>
  <CharactersWithSpaces>1465</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2022-03-23T12:40:00Z</dcterms:created>
  <dc:creator>Administrator</dc:creator>
  <cp:lastModifiedBy>Administrator</cp:lastModifiedBy>
  <cp:lastPrinted>2021-04-16T00:45:00Z</cp:lastPrinted>
  <dcterms:modified xsi:type="dcterms:W3CDTF">2025-09-16T05:14:26Z</dcterms:modified>
  <dc:title>××年度××部门/单位</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C7216DF257144B0F9A2C34110F2024F1</vt:lpwstr>
  </property>
  <property fmtid="{D5CDD505-2E9C-101B-9397-08002B2CF9AE}" pid="3" name="KSOProductBuildVer">
    <vt:lpwstr>2052-11.8.2.8053</vt:lpwstr>
  </property>
  <property fmtid="{D5CDD505-2E9C-101B-9397-08002B2CF9AE}" pid="4" name="KSOTemplateDocerSaveRecord">
    <vt:lpwstr>eyJoZGlkIjoiYjRmNDkxMjZjN2Y2NTZlY2Y0ZmE5OGRlNDE2OTVkOTAiLCJ1c2VySWQiOiIyMDk4NjEwMzkifQ==</vt:lpwstr>
  </property>
</Properties>
</file>