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rPr>
      </w:pPr>
    </w:p>
    <w:p>
      <w:pPr>
        <w:widowControl/>
        <w:rPr>
          <w:sz w:val="84"/>
          <w:szCs w:val="84"/>
        </w:rPr>
      </w:pP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2024年度</w:t>
      </w: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厦门市湖里中学</w:t>
      </w:r>
    </w:p>
    <w:p>
      <w:pPr>
        <w:widowControl/>
        <w:jc w:val="center"/>
        <w:rPr>
          <w:rFonts w:ascii="方正小标宋简体" w:eastAsia="方正小标宋简体"/>
          <w:b/>
          <w:bCs/>
          <w:sz w:val="84"/>
          <w:szCs w:val="84"/>
        </w:rPr>
        <w:sectPr>
          <w:footerReference r:id="rId3" w:type="default"/>
          <w:pgSz w:w="11906" w:h="16838"/>
          <w:pgMar w:top="1440" w:right="1083" w:bottom="1440" w:left="1083" w:header="0" w:footer="720" w:gutter="0"/>
          <w:cols w:space="0" w:num="1"/>
          <w:docGrid w:type="lines" w:linePitch="317" w:charSpace="0"/>
        </w:sectPr>
      </w:pPr>
      <w:r>
        <w:rPr>
          <w:rFonts w:hint="eastAsia" w:ascii="方正小标宋简体" w:eastAsia="方正小标宋简体"/>
          <w:b/>
          <w:bCs/>
          <w:sz w:val="84"/>
          <w:szCs w:val="84"/>
        </w:rPr>
        <w:t>单位决算</w:t>
      </w:r>
    </w:p>
    <w:sdt>
      <w:sdtPr>
        <w:rPr>
          <w:rFonts w:hint="eastAsia" w:ascii="仿宋" w:hAnsi="仿宋" w:eastAsia="仿宋" w:cs="仿宋"/>
          <w:b/>
          <w:bCs/>
          <w:kern w:val="0"/>
          <w:sz w:val="32"/>
          <w:szCs w:val="32"/>
        </w:rPr>
        <w:id w:val="147456983"/>
        <w15:color w:val="DBDBDB"/>
        <w:docPartObj>
          <w:docPartGallery w:val="Table of Contents"/>
          <w:docPartUnique/>
        </w:docPartObj>
      </w:sdtPr>
      <w:sdtEndPr>
        <w:rPr>
          <w:rFonts w:hint="eastAsia" w:ascii="宋体" w:hAnsi="宋体" w:eastAsia="宋体" w:cs="Times New Roman"/>
          <w:b/>
          <w:bCs/>
          <w:kern w:val="2"/>
          <w:sz w:val="32"/>
          <w:szCs w:val="32"/>
        </w:rPr>
      </w:sdtEndPr>
      <w:sdtContent>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40"/>
            </w:tabs>
          </w:pPr>
          <w:r>
            <w:rPr>
              <w:rFonts w:hint="eastAsia" w:ascii="仿宋" w:hAnsi="仿宋" w:cs="仿宋"/>
              <w:bCs/>
              <w:kern w:val="2"/>
              <w:szCs w:val="32"/>
              <w:lang w:eastAsia="zh-CN"/>
            </w:rPr>
            <w:fldChar w:fldCharType="begin"/>
          </w:r>
          <w:r>
            <w:rPr>
              <w:rFonts w:hint="eastAsia" w:ascii="仿宋" w:hAnsi="仿宋" w:cs="仿宋"/>
              <w:bCs/>
              <w:kern w:val="2"/>
              <w:szCs w:val="32"/>
              <w:lang w:eastAsia="zh-CN"/>
            </w:rPr>
            <w:instrText xml:space="preserve">TOC \o "1-3" \h \u </w:instrText>
          </w:r>
          <w:r>
            <w:rPr>
              <w:rFonts w:hint="eastAsia" w:ascii="仿宋" w:hAnsi="仿宋" w:cs="仿宋"/>
              <w:bCs/>
              <w:kern w:val="2"/>
              <w:szCs w:val="32"/>
              <w:lang w:eastAsia="zh-CN"/>
            </w:rPr>
            <w:fldChar w:fldCharType="separate"/>
          </w:r>
          <w:r>
            <w:rPr>
              <w:rFonts w:hint="eastAsia" w:ascii="仿宋" w:hAnsi="仿宋" w:cs="仿宋"/>
              <w:bCs/>
              <w:kern w:val="2"/>
              <w:szCs w:val="32"/>
              <w:lang w:eastAsia="zh-CN"/>
            </w:rPr>
            <w:fldChar w:fldCharType="begin"/>
          </w:r>
          <w:r>
            <w:rPr>
              <w:rFonts w:hint="eastAsia" w:ascii="仿宋" w:hAnsi="仿宋" w:cs="仿宋"/>
              <w:bCs/>
              <w:kern w:val="2"/>
              <w:szCs w:val="32"/>
              <w:lang w:eastAsia="zh-CN"/>
            </w:rPr>
            <w:instrText xml:space="preserve"> HYPERLINK \l _Toc14690 </w:instrText>
          </w:r>
          <w:r>
            <w:rPr>
              <w:rFonts w:hint="eastAsia" w:ascii="仿宋" w:hAnsi="仿宋" w:cs="仿宋"/>
              <w:bCs/>
              <w:kern w:val="2"/>
              <w:szCs w:val="32"/>
              <w:lang w:eastAsia="zh-CN"/>
            </w:rPr>
            <w:fldChar w:fldCharType="separate"/>
          </w:r>
          <w:r>
            <w:rPr>
              <w:rFonts w:ascii="黑体" w:hAnsi="黑体" w:eastAsia="黑体" w:cs="黑体"/>
              <w:szCs w:val="56"/>
            </w:rPr>
            <w:t>第一部分</w:t>
          </w:r>
          <w:r>
            <w:tab/>
          </w:r>
          <w:r>
            <w:fldChar w:fldCharType="begin"/>
          </w:r>
          <w:r>
            <w:instrText xml:space="preserve"> PAGEREF _Toc14690 \h </w:instrText>
          </w:r>
          <w:r>
            <w:fldChar w:fldCharType="separate"/>
          </w:r>
          <w:r>
            <w:t>4</w:t>
          </w:r>
          <w:r>
            <w:fldChar w:fldCharType="end"/>
          </w:r>
          <w:r>
            <w:rPr>
              <w:rFonts w:hint="eastAsia" w:ascii="仿宋" w:hAnsi="仿宋" w:cs="仿宋"/>
              <w:bCs/>
              <w:kern w:val="2"/>
              <w:szCs w:val="32"/>
              <w:lang w:eastAsia="zh-CN"/>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_Toc27711 </w:instrText>
          </w:r>
          <w:r>
            <w:rPr>
              <w:rFonts w:hint="eastAsia" w:ascii="仿宋" w:hAnsi="仿宋" w:eastAsia="仿宋" w:cs="仿宋"/>
              <w:bCs/>
              <w:szCs w:val="32"/>
            </w:rPr>
            <w:fldChar w:fldCharType="separate"/>
          </w:r>
          <w:r>
            <w:rPr>
              <w:rFonts w:ascii="黑体" w:hAnsi="黑体" w:eastAsia="黑体" w:cs="黑体"/>
              <w:szCs w:val="56"/>
            </w:rPr>
            <w:t>单位概况</w:t>
          </w:r>
          <w:r>
            <w:tab/>
          </w:r>
          <w:r>
            <w:fldChar w:fldCharType="begin"/>
          </w:r>
          <w:r>
            <w:instrText xml:space="preserve"> PAGEREF _Toc27711 \h </w:instrText>
          </w:r>
          <w:r>
            <w:fldChar w:fldCharType="separate"/>
          </w:r>
          <w:r>
            <w:t>4</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_Toc3036 </w:instrText>
          </w:r>
          <w:r>
            <w:rPr>
              <w:rFonts w:hint="eastAsia" w:ascii="仿宋" w:hAnsi="仿宋" w:eastAsia="仿宋" w:cs="仿宋"/>
              <w:bCs/>
              <w:szCs w:val="32"/>
            </w:rPr>
            <w:fldChar w:fldCharType="separate"/>
          </w:r>
          <w:r>
            <w:rPr>
              <w:rFonts w:ascii="黑体" w:hAnsi="黑体" w:eastAsia="黑体" w:cs="黑体"/>
            </w:rPr>
            <w:t>一、单位主要职责</w:t>
          </w:r>
          <w:r>
            <w:tab/>
          </w:r>
          <w:r>
            <w:fldChar w:fldCharType="begin"/>
          </w:r>
          <w:r>
            <w:instrText xml:space="preserve"> PAGEREF _Toc3036 \h </w:instrText>
          </w:r>
          <w:r>
            <w:fldChar w:fldCharType="separate"/>
          </w:r>
          <w:r>
            <w:t>5</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_Toc915 </w:instrText>
          </w:r>
          <w:r>
            <w:rPr>
              <w:rFonts w:hint="eastAsia" w:ascii="仿宋" w:hAnsi="仿宋" w:eastAsia="仿宋" w:cs="仿宋"/>
              <w:bCs/>
              <w:szCs w:val="32"/>
            </w:rPr>
            <w:fldChar w:fldCharType="separate"/>
          </w:r>
          <w:r>
            <w:rPr>
              <w:rFonts w:ascii="黑体" w:hAnsi="黑体" w:eastAsia="黑体" w:cs="黑体"/>
            </w:rPr>
            <w:t>二、单位基本情况</w:t>
          </w:r>
          <w:r>
            <w:tab/>
          </w:r>
          <w:r>
            <w:fldChar w:fldCharType="begin"/>
          </w:r>
          <w:r>
            <w:instrText xml:space="preserve"> PAGEREF _Toc915 \h </w:instrText>
          </w:r>
          <w:r>
            <w:fldChar w:fldCharType="separate"/>
          </w:r>
          <w:r>
            <w:t>6</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_Toc23350 </w:instrText>
          </w:r>
          <w:r>
            <w:rPr>
              <w:rFonts w:hint="eastAsia" w:ascii="仿宋" w:hAnsi="仿宋" w:eastAsia="仿宋" w:cs="仿宋"/>
              <w:bCs/>
              <w:szCs w:val="32"/>
            </w:rPr>
            <w:fldChar w:fldCharType="separate"/>
          </w:r>
          <w:r>
            <w:rPr>
              <w:rFonts w:ascii="黑体" w:hAnsi="黑体" w:eastAsia="黑体" w:cs="黑体"/>
            </w:rPr>
            <w:t>三、单位主要工作总结</w:t>
          </w:r>
          <w:r>
            <w:tab/>
          </w:r>
          <w:r>
            <w:fldChar w:fldCharType="begin"/>
          </w:r>
          <w:r>
            <w:instrText xml:space="preserve"> PAGEREF _Toc23350 \h </w:instrText>
          </w:r>
          <w:r>
            <w:fldChar w:fldCharType="separate"/>
          </w:r>
          <w:r>
            <w:t>6</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_Toc4264 </w:instrText>
          </w:r>
          <w:r>
            <w:rPr>
              <w:rFonts w:hint="eastAsia" w:ascii="仿宋" w:hAnsi="仿宋" w:eastAsia="仿宋" w:cs="仿宋"/>
              <w:bCs/>
              <w:szCs w:val="32"/>
            </w:rPr>
            <w:fldChar w:fldCharType="separate"/>
          </w:r>
          <w:r>
            <w:rPr>
              <w:rFonts w:ascii="黑体" w:hAnsi="黑体" w:eastAsia="黑体" w:cs="黑体"/>
              <w:szCs w:val="56"/>
            </w:rPr>
            <w:t>第二部分</w:t>
          </w:r>
          <w:r>
            <w:tab/>
          </w:r>
          <w:r>
            <w:fldChar w:fldCharType="begin"/>
          </w:r>
          <w:r>
            <w:instrText xml:space="preserve"> PAGEREF _Toc4264 \h </w:instrText>
          </w:r>
          <w:r>
            <w:fldChar w:fldCharType="separate"/>
          </w:r>
          <w:r>
            <w:t>9</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_Toc4396 </w:instrText>
          </w:r>
          <w:r>
            <w:rPr>
              <w:rFonts w:hint="eastAsia" w:ascii="仿宋" w:hAnsi="仿宋" w:eastAsia="仿宋" w:cs="仿宋"/>
              <w:bCs/>
              <w:szCs w:val="32"/>
            </w:rPr>
            <w:fldChar w:fldCharType="separate"/>
          </w:r>
          <w:r>
            <w:rPr>
              <w:rFonts w:ascii="黑体" w:hAnsi="黑体" w:eastAsia="黑体" w:cs="黑体"/>
              <w:szCs w:val="56"/>
            </w:rPr>
            <w:t>2024年度决算表</w:t>
          </w:r>
          <w:r>
            <w:tab/>
          </w:r>
          <w:r>
            <w:fldChar w:fldCharType="begin"/>
          </w:r>
          <w:r>
            <w:instrText xml:space="preserve"> PAGEREF _Toc4396 \h </w:instrText>
          </w:r>
          <w:r>
            <w:fldChar w:fldCharType="separate"/>
          </w:r>
          <w:r>
            <w:t>9</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_Toc27459 </w:instrText>
          </w:r>
          <w:r>
            <w:rPr>
              <w:rFonts w:hint="eastAsia" w:ascii="仿宋" w:hAnsi="仿宋" w:eastAsia="仿宋" w:cs="仿宋"/>
              <w:bCs/>
              <w:szCs w:val="32"/>
            </w:rPr>
            <w:fldChar w:fldCharType="separate"/>
          </w:r>
          <w:r>
            <w:rPr>
              <w:rFonts w:ascii="黑体" w:hAnsi="黑体" w:eastAsia="黑体" w:cs="黑体"/>
            </w:rPr>
            <w:t>一、收入支出决算总表</w:t>
          </w:r>
          <w:r>
            <w:tab/>
          </w:r>
          <w:r>
            <w:fldChar w:fldCharType="begin"/>
          </w:r>
          <w:r>
            <w:instrText xml:space="preserve"> PAGEREF _Toc27459 \h </w:instrText>
          </w:r>
          <w:r>
            <w:fldChar w:fldCharType="separate"/>
          </w:r>
          <w:r>
            <w:t>10</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_Toc20359 </w:instrText>
          </w:r>
          <w:r>
            <w:rPr>
              <w:rFonts w:hint="eastAsia" w:ascii="仿宋" w:hAnsi="仿宋" w:eastAsia="仿宋" w:cs="仿宋"/>
              <w:bCs/>
              <w:szCs w:val="32"/>
            </w:rPr>
            <w:fldChar w:fldCharType="separate"/>
          </w:r>
          <w:r>
            <w:rPr>
              <w:rFonts w:ascii="黑体" w:hAnsi="黑体" w:eastAsia="黑体" w:cs="黑体"/>
            </w:rPr>
            <w:t>二、收入决算表</w:t>
          </w:r>
          <w:r>
            <w:tab/>
          </w:r>
          <w:r>
            <w:fldChar w:fldCharType="begin"/>
          </w:r>
          <w:r>
            <w:instrText xml:space="preserve"> PAGEREF _Toc20359 \h </w:instrText>
          </w:r>
          <w:r>
            <w:fldChar w:fldCharType="separate"/>
          </w:r>
          <w:r>
            <w:t>11</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_Toc31443 </w:instrText>
          </w:r>
          <w:r>
            <w:rPr>
              <w:rFonts w:hint="eastAsia" w:ascii="仿宋" w:hAnsi="仿宋" w:eastAsia="仿宋" w:cs="仿宋"/>
              <w:bCs/>
              <w:szCs w:val="32"/>
            </w:rPr>
            <w:fldChar w:fldCharType="separate"/>
          </w:r>
          <w:r>
            <w:rPr>
              <w:rFonts w:ascii="黑体" w:hAnsi="黑体" w:eastAsia="黑体" w:cs="黑体"/>
            </w:rPr>
            <w:t>三、支出决算表</w:t>
          </w:r>
          <w:r>
            <w:tab/>
          </w:r>
          <w:r>
            <w:fldChar w:fldCharType="begin"/>
          </w:r>
          <w:r>
            <w:instrText xml:space="preserve"> PAGEREF _Toc31443 \h </w:instrText>
          </w:r>
          <w:r>
            <w:fldChar w:fldCharType="separate"/>
          </w:r>
          <w:r>
            <w:t>12</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_Toc8600 </w:instrText>
          </w:r>
          <w:r>
            <w:rPr>
              <w:rFonts w:hint="eastAsia" w:ascii="仿宋" w:hAnsi="仿宋" w:eastAsia="仿宋" w:cs="仿宋"/>
              <w:bCs/>
              <w:szCs w:val="32"/>
            </w:rPr>
            <w:fldChar w:fldCharType="separate"/>
          </w:r>
          <w:r>
            <w:rPr>
              <w:rFonts w:ascii="黑体" w:hAnsi="黑体" w:eastAsia="黑体" w:cs="黑体"/>
            </w:rPr>
            <w:t>四、财政拨款收入支出决算总表</w:t>
          </w:r>
          <w:r>
            <w:tab/>
          </w:r>
          <w:r>
            <w:fldChar w:fldCharType="begin"/>
          </w:r>
          <w:r>
            <w:instrText xml:space="preserve"> PAGEREF _Toc8600 \h </w:instrText>
          </w:r>
          <w:r>
            <w:fldChar w:fldCharType="separate"/>
          </w:r>
          <w:r>
            <w:t>13</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_Toc24700 </w:instrText>
          </w:r>
          <w:r>
            <w:rPr>
              <w:rFonts w:hint="eastAsia" w:ascii="仿宋" w:hAnsi="仿宋" w:eastAsia="仿宋" w:cs="仿宋"/>
              <w:bCs/>
              <w:szCs w:val="32"/>
            </w:rPr>
            <w:fldChar w:fldCharType="separate"/>
          </w:r>
          <w:r>
            <w:rPr>
              <w:rFonts w:ascii="黑体" w:hAnsi="黑体" w:eastAsia="黑体" w:cs="黑体"/>
            </w:rPr>
            <w:t>五、一般公共预算财政拨款支出决算表</w:t>
          </w:r>
          <w:r>
            <w:tab/>
          </w:r>
          <w:r>
            <w:fldChar w:fldCharType="begin"/>
          </w:r>
          <w:r>
            <w:instrText xml:space="preserve"> PAGEREF _Toc24700 \h </w:instrText>
          </w:r>
          <w:r>
            <w:fldChar w:fldCharType="separate"/>
          </w:r>
          <w:r>
            <w:t>14</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_Toc17062 </w:instrText>
          </w:r>
          <w:r>
            <w:rPr>
              <w:rFonts w:hint="eastAsia" w:ascii="仿宋" w:hAnsi="仿宋" w:eastAsia="仿宋" w:cs="仿宋"/>
              <w:bCs/>
              <w:szCs w:val="32"/>
            </w:rPr>
            <w:fldChar w:fldCharType="separate"/>
          </w:r>
          <w:r>
            <w:rPr>
              <w:rFonts w:ascii="黑体" w:hAnsi="黑体" w:eastAsia="黑体" w:cs="黑体"/>
            </w:rPr>
            <w:t>六、一般公共预算财政拨款基本支出决算表</w:t>
          </w:r>
          <w:r>
            <w:tab/>
          </w:r>
          <w:r>
            <w:fldChar w:fldCharType="begin"/>
          </w:r>
          <w:r>
            <w:instrText xml:space="preserve"> PAGEREF _Toc17062 \h </w:instrText>
          </w:r>
          <w:r>
            <w:fldChar w:fldCharType="separate"/>
          </w:r>
          <w:r>
            <w:t>15</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_Toc22103 </w:instrText>
          </w:r>
          <w:r>
            <w:rPr>
              <w:rFonts w:hint="eastAsia" w:ascii="仿宋" w:hAnsi="仿宋" w:eastAsia="仿宋" w:cs="仿宋"/>
              <w:bCs/>
              <w:szCs w:val="32"/>
            </w:rPr>
            <w:fldChar w:fldCharType="separate"/>
          </w:r>
          <w:r>
            <w:rPr>
              <w:rFonts w:ascii="黑体" w:hAnsi="黑体" w:eastAsia="黑体" w:cs="黑体"/>
            </w:rPr>
            <w:t>七、一般公共预算财政拨款“三公”经费支出决算表</w:t>
          </w:r>
          <w:r>
            <w:tab/>
          </w:r>
          <w:r>
            <w:fldChar w:fldCharType="begin"/>
          </w:r>
          <w:r>
            <w:instrText xml:space="preserve"> PAGEREF _Toc22103 \h </w:instrText>
          </w:r>
          <w:r>
            <w:fldChar w:fldCharType="separate"/>
          </w:r>
          <w:r>
            <w:t>16</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_Toc26794 </w:instrText>
          </w:r>
          <w:r>
            <w:rPr>
              <w:rFonts w:hint="eastAsia" w:ascii="仿宋" w:hAnsi="仿宋" w:eastAsia="仿宋" w:cs="仿宋"/>
              <w:bCs/>
              <w:szCs w:val="32"/>
            </w:rPr>
            <w:fldChar w:fldCharType="separate"/>
          </w:r>
          <w:r>
            <w:rPr>
              <w:rFonts w:ascii="黑体" w:hAnsi="黑体" w:eastAsia="黑体" w:cs="黑体"/>
            </w:rPr>
            <w:t>八、政府性基金预算财政拨款收入支出决算表</w:t>
          </w:r>
          <w:r>
            <w:tab/>
          </w:r>
          <w:r>
            <w:fldChar w:fldCharType="begin"/>
          </w:r>
          <w:r>
            <w:instrText xml:space="preserve"> PAGEREF _Toc26794 \h </w:instrText>
          </w:r>
          <w:r>
            <w:fldChar w:fldCharType="separate"/>
          </w:r>
          <w:r>
            <w:t>17</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_Toc5552 </w:instrText>
          </w:r>
          <w:r>
            <w:rPr>
              <w:rFonts w:hint="eastAsia" w:ascii="仿宋" w:hAnsi="仿宋" w:eastAsia="仿宋" w:cs="仿宋"/>
              <w:bCs/>
              <w:szCs w:val="32"/>
            </w:rPr>
            <w:fldChar w:fldCharType="separate"/>
          </w:r>
          <w:r>
            <w:rPr>
              <w:rFonts w:ascii="黑体" w:hAnsi="黑体" w:eastAsia="黑体" w:cs="黑体"/>
            </w:rPr>
            <w:t>九、国有资本经营预算财政拨款支出决算表</w:t>
          </w:r>
          <w:r>
            <w:tab/>
          </w:r>
          <w:r>
            <w:fldChar w:fldCharType="begin"/>
          </w:r>
          <w:r>
            <w:instrText xml:space="preserve"> PAGEREF _Toc5552 \h </w:instrText>
          </w:r>
          <w:r>
            <w:fldChar w:fldCharType="separate"/>
          </w:r>
          <w:r>
            <w:t>18</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_Toc15886 </w:instrText>
          </w:r>
          <w:r>
            <w:rPr>
              <w:rFonts w:hint="eastAsia" w:ascii="仿宋" w:hAnsi="仿宋" w:eastAsia="仿宋" w:cs="仿宋"/>
              <w:bCs/>
              <w:szCs w:val="32"/>
            </w:rPr>
            <w:fldChar w:fldCharType="separate"/>
          </w:r>
          <w:r>
            <w:rPr>
              <w:rFonts w:ascii="黑体" w:hAnsi="黑体" w:eastAsia="黑体" w:cs="黑体"/>
              <w:szCs w:val="56"/>
            </w:rPr>
            <w:t>第三部分</w:t>
          </w:r>
          <w:r>
            <w:tab/>
          </w:r>
          <w:r>
            <w:fldChar w:fldCharType="begin"/>
          </w:r>
          <w:r>
            <w:instrText xml:space="preserve"> PAGEREF _Toc15886 \h </w:instrText>
          </w:r>
          <w:r>
            <w:fldChar w:fldCharType="separate"/>
          </w:r>
          <w:r>
            <w:t>19</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_Toc25685 </w:instrText>
          </w:r>
          <w:r>
            <w:rPr>
              <w:rFonts w:hint="eastAsia" w:ascii="仿宋" w:hAnsi="仿宋" w:eastAsia="仿宋" w:cs="仿宋"/>
              <w:bCs/>
              <w:szCs w:val="32"/>
            </w:rPr>
            <w:fldChar w:fldCharType="separate"/>
          </w:r>
          <w:r>
            <w:rPr>
              <w:rFonts w:ascii="黑体" w:hAnsi="黑体" w:eastAsia="黑体" w:cs="黑体"/>
              <w:szCs w:val="56"/>
            </w:rPr>
            <w:t>2024年度决算情况说明</w:t>
          </w:r>
          <w:r>
            <w:tab/>
          </w:r>
          <w:r>
            <w:fldChar w:fldCharType="begin"/>
          </w:r>
          <w:r>
            <w:instrText xml:space="preserve"> PAGEREF _Toc25685 \h </w:instrText>
          </w:r>
          <w:r>
            <w:fldChar w:fldCharType="separate"/>
          </w:r>
          <w:r>
            <w:t>19</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_Toc19021 </w:instrText>
          </w:r>
          <w:r>
            <w:rPr>
              <w:rFonts w:hint="eastAsia" w:ascii="仿宋" w:hAnsi="仿宋" w:eastAsia="仿宋" w:cs="仿宋"/>
              <w:bCs/>
              <w:szCs w:val="32"/>
            </w:rPr>
            <w:fldChar w:fldCharType="separate"/>
          </w:r>
          <w:r>
            <w:rPr>
              <w:rFonts w:ascii="黑体" w:hAnsi="黑体" w:eastAsia="黑体" w:cs="黑体"/>
            </w:rPr>
            <w:t>一、收入支出决算总体情况说明</w:t>
          </w:r>
          <w:r>
            <w:tab/>
          </w:r>
          <w:r>
            <w:fldChar w:fldCharType="begin"/>
          </w:r>
          <w:r>
            <w:instrText xml:space="preserve"> PAGEREF _Toc19021 \h </w:instrText>
          </w:r>
          <w:r>
            <w:fldChar w:fldCharType="separate"/>
          </w:r>
          <w:r>
            <w:t>19</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_Toc10541 </w:instrText>
          </w:r>
          <w:r>
            <w:rPr>
              <w:rFonts w:hint="eastAsia" w:ascii="仿宋" w:hAnsi="仿宋" w:eastAsia="仿宋" w:cs="仿宋"/>
              <w:bCs/>
              <w:szCs w:val="32"/>
            </w:rPr>
            <w:fldChar w:fldCharType="separate"/>
          </w:r>
          <w:r>
            <w:rPr>
              <w:rFonts w:ascii="黑体" w:hAnsi="黑体" w:eastAsia="黑体" w:cs="黑体"/>
            </w:rPr>
            <w:t>二、财政拨款收入支出决算总体情况说明</w:t>
          </w:r>
          <w:r>
            <w:tab/>
          </w:r>
          <w:r>
            <w:fldChar w:fldCharType="begin"/>
          </w:r>
          <w:r>
            <w:instrText xml:space="preserve"> PAGEREF _Toc10541 \h </w:instrText>
          </w:r>
          <w:r>
            <w:fldChar w:fldCharType="separate"/>
          </w:r>
          <w:r>
            <w:t>20</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_Toc18596 </w:instrText>
          </w:r>
          <w:r>
            <w:rPr>
              <w:rFonts w:hint="eastAsia" w:ascii="仿宋" w:hAnsi="仿宋" w:eastAsia="仿宋" w:cs="仿宋"/>
              <w:bCs/>
              <w:szCs w:val="32"/>
            </w:rPr>
            <w:fldChar w:fldCharType="separate"/>
          </w:r>
          <w:r>
            <w:rPr>
              <w:rFonts w:ascii="黑体" w:hAnsi="黑体" w:eastAsia="黑体" w:cs="黑体"/>
            </w:rPr>
            <w:t>三、一般公共预算拨款支出决算情况说明</w:t>
          </w:r>
          <w:r>
            <w:tab/>
          </w:r>
          <w:r>
            <w:fldChar w:fldCharType="begin"/>
          </w:r>
          <w:r>
            <w:instrText xml:space="preserve"> PAGEREF _Toc18596 \h </w:instrText>
          </w:r>
          <w:r>
            <w:fldChar w:fldCharType="separate"/>
          </w:r>
          <w:r>
            <w:t>20</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_Toc10925 </w:instrText>
          </w:r>
          <w:r>
            <w:rPr>
              <w:rFonts w:hint="eastAsia" w:ascii="仿宋" w:hAnsi="仿宋" w:eastAsia="仿宋" w:cs="仿宋"/>
              <w:bCs/>
              <w:szCs w:val="32"/>
            </w:rPr>
            <w:fldChar w:fldCharType="separate"/>
          </w:r>
          <w:r>
            <w:rPr>
              <w:rFonts w:ascii="黑体" w:hAnsi="黑体" w:eastAsia="黑体" w:cs="黑体"/>
            </w:rPr>
            <w:t>四、政府性基金预算财政拨款支出决算情况说明</w:t>
          </w:r>
          <w:r>
            <w:tab/>
          </w:r>
          <w:r>
            <w:fldChar w:fldCharType="begin"/>
          </w:r>
          <w:r>
            <w:instrText xml:space="preserve"> PAGEREF _Toc10925 \h </w:instrText>
          </w:r>
          <w:r>
            <w:fldChar w:fldCharType="separate"/>
          </w:r>
          <w:r>
            <w:t>21</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_Toc9522 </w:instrText>
          </w:r>
          <w:r>
            <w:rPr>
              <w:rFonts w:hint="eastAsia" w:ascii="仿宋" w:hAnsi="仿宋" w:eastAsia="仿宋" w:cs="仿宋"/>
              <w:bCs/>
              <w:szCs w:val="32"/>
            </w:rPr>
            <w:fldChar w:fldCharType="separate"/>
          </w:r>
          <w:r>
            <w:rPr>
              <w:rFonts w:ascii="黑体" w:hAnsi="黑体" w:eastAsia="黑体" w:cs="黑体"/>
            </w:rPr>
            <w:t>五、国有资本经营预算财政拨款支出决算情况说明</w:t>
          </w:r>
          <w:r>
            <w:tab/>
          </w:r>
          <w:r>
            <w:fldChar w:fldCharType="begin"/>
          </w:r>
          <w:r>
            <w:instrText xml:space="preserve"> PAGEREF _Toc9522 \h </w:instrText>
          </w:r>
          <w:r>
            <w:fldChar w:fldCharType="separate"/>
          </w:r>
          <w:r>
            <w:t>22</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_Toc28145 </w:instrText>
          </w:r>
          <w:r>
            <w:rPr>
              <w:rFonts w:hint="eastAsia" w:ascii="仿宋" w:hAnsi="仿宋" w:eastAsia="仿宋" w:cs="仿宋"/>
              <w:bCs/>
              <w:szCs w:val="32"/>
            </w:rPr>
            <w:fldChar w:fldCharType="separate"/>
          </w:r>
          <w:r>
            <w:rPr>
              <w:rFonts w:ascii="黑体" w:hAnsi="黑体" w:eastAsia="黑体" w:cs="黑体"/>
            </w:rPr>
            <w:t>六、一般公共预算财政拨款基本支出决算情况说明</w:t>
          </w:r>
          <w:r>
            <w:tab/>
          </w:r>
          <w:r>
            <w:fldChar w:fldCharType="begin"/>
          </w:r>
          <w:r>
            <w:instrText xml:space="preserve"> PAGEREF _Toc28145 \h </w:instrText>
          </w:r>
          <w:r>
            <w:fldChar w:fldCharType="separate"/>
          </w:r>
          <w:r>
            <w:t>22</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_Toc23613 </w:instrText>
          </w:r>
          <w:r>
            <w:rPr>
              <w:rFonts w:hint="eastAsia" w:ascii="仿宋" w:hAnsi="仿宋" w:eastAsia="仿宋" w:cs="仿宋"/>
              <w:bCs/>
              <w:szCs w:val="32"/>
            </w:rPr>
            <w:fldChar w:fldCharType="separate"/>
          </w:r>
          <w:r>
            <w:rPr>
              <w:rFonts w:ascii="黑体" w:hAnsi="黑体" w:eastAsia="黑体" w:cs="黑体"/>
            </w:rPr>
            <w:t>七、一般公共预算拨款“三公”经费支出决算情况说明</w:t>
          </w:r>
          <w:r>
            <w:tab/>
          </w:r>
          <w:r>
            <w:fldChar w:fldCharType="begin"/>
          </w:r>
          <w:r>
            <w:instrText xml:space="preserve"> PAGEREF _Toc23613 \h </w:instrText>
          </w:r>
          <w:r>
            <w:fldChar w:fldCharType="separate"/>
          </w:r>
          <w:r>
            <w:t>23</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_Toc9074 </w:instrText>
          </w:r>
          <w:r>
            <w:rPr>
              <w:rFonts w:hint="eastAsia" w:ascii="仿宋" w:hAnsi="仿宋" w:eastAsia="仿宋" w:cs="仿宋"/>
              <w:bCs/>
              <w:szCs w:val="32"/>
            </w:rPr>
            <w:fldChar w:fldCharType="separate"/>
          </w:r>
          <w:r>
            <w:rPr>
              <w:rFonts w:ascii="黑体" w:hAnsi="黑体" w:eastAsia="黑体" w:cs="黑体"/>
            </w:rPr>
            <w:t>八、预算绩效情况说明</w:t>
          </w:r>
          <w:r>
            <w:tab/>
          </w:r>
          <w:r>
            <w:fldChar w:fldCharType="begin"/>
          </w:r>
          <w:r>
            <w:instrText xml:space="preserve"> PAGEREF _Toc9074 \h </w:instrText>
          </w:r>
          <w:r>
            <w:fldChar w:fldCharType="separate"/>
          </w:r>
          <w:r>
            <w:t>24</w:t>
          </w:r>
          <w:r>
            <w:fldChar w:fldCharType="end"/>
          </w:r>
          <w:r>
            <w:rPr>
              <w:rFonts w:hint="eastAsia" w:ascii="仿宋" w:hAnsi="仿宋" w:eastAsia="仿宋" w:cs="仿宋"/>
              <w:bCs/>
              <w:szCs w:val="32"/>
            </w:rPr>
            <w:fldChar w:fldCharType="end"/>
          </w:r>
        </w:p>
        <w:p>
          <w:pPr>
            <w:pStyle w:val="10"/>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_Toc5235 </w:instrText>
          </w:r>
          <w:r>
            <w:rPr>
              <w:rFonts w:hint="eastAsia" w:ascii="仿宋" w:hAnsi="仿宋" w:eastAsia="仿宋" w:cs="仿宋"/>
              <w:bCs/>
              <w:szCs w:val="32"/>
            </w:rPr>
            <w:fldChar w:fldCharType="separate"/>
          </w:r>
          <w:r>
            <w:rPr>
              <w:rFonts w:ascii="黑体" w:hAnsi="黑体" w:eastAsia="黑体" w:cs="黑体"/>
            </w:rPr>
            <w:t>九、其他重要事项说明</w:t>
          </w:r>
          <w:r>
            <w:tab/>
          </w:r>
          <w:r>
            <w:fldChar w:fldCharType="begin"/>
          </w:r>
          <w:r>
            <w:instrText xml:space="preserve"> PAGEREF _Toc5235 \h </w:instrText>
          </w:r>
          <w:r>
            <w:fldChar w:fldCharType="separate"/>
          </w:r>
          <w:r>
            <w:t>24</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_Toc14015 </w:instrText>
          </w:r>
          <w:r>
            <w:rPr>
              <w:rFonts w:hint="eastAsia" w:ascii="仿宋" w:hAnsi="仿宋" w:eastAsia="仿宋" w:cs="仿宋"/>
              <w:bCs/>
              <w:szCs w:val="32"/>
            </w:rPr>
            <w:fldChar w:fldCharType="separate"/>
          </w:r>
          <w:r>
            <w:rPr>
              <w:rFonts w:ascii="黑体" w:hAnsi="黑体" w:eastAsia="黑体" w:cs="黑体"/>
              <w:szCs w:val="56"/>
            </w:rPr>
            <w:t>第四部分</w:t>
          </w:r>
          <w:r>
            <w:tab/>
          </w:r>
          <w:r>
            <w:fldChar w:fldCharType="begin"/>
          </w:r>
          <w:r>
            <w:instrText xml:space="preserve"> PAGEREF _Toc14015 \h </w:instrText>
          </w:r>
          <w:r>
            <w:fldChar w:fldCharType="separate"/>
          </w:r>
          <w:r>
            <w:t>26</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_Toc21601 </w:instrText>
          </w:r>
          <w:r>
            <w:rPr>
              <w:rFonts w:hint="eastAsia" w:ascii="仿宋" w:hAnsi="仿宋" w:eastAsia="仿宋" w:cs="仿宋"/>
              <w:bCs/>
              <w:szCs w:val="32"/>
            </w:rPr>
            <w:fldChar w:fldCharType="separate"/>
          </w:r>
          <w:r>
            <w:rPr>
              <w:rFonts w:ascii="黑体" w:hAnsi="黑体" w:eastAsia="黑体" w:cs="黑体"/>
              <w:szCs w:val="56"/>
            </w:rPr>
            <w:t>名词解释</w:t>
          </w:r>
          <w:r>
            <w:tab/>
          </w:r>
          <w:r>
            <w:fldChar w:fldCharType="begin"/>
          </w:r>
          <w:r>
            <w:instrText xml:space="preserve"> PAGEREF _Toc21601 \h </w:instrText>
          </w:r>
          <w:r>
            <w:fldChar w:fldCharType="separate"/>
          </w:r>
          <w:r>
            <w:t>26</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_Toc156 </w:instrText>
          </w:r>
          <w:r>
            <w:rPr>
              <w:rFonts w:hint="eastAsia" w:ascii="仿宋" w:hAnsi="仿宋" w:eastAsia="仿宋" w:cs="仿宋"/>
              <w:bCs/>
              <w:szCs w:val="32"/>
            </w:rPr>
            <w:fldChar w:fldCharType="separate"/>
          </w:r>
          <w:r>
            <w:rPr>
              <w:rFonts w:ascii="黑体" w:hAnsi="黑体" w:eastAsia="黑体" w:cs="黑体"/>
              <w:szCs w:val="56"/>
            </w:rPr>
            <w:t>第五部分</w:t>
          </w:r>
          <w:r>
            <w:tab/>
          </w:r>
          <w:r>
            <w:fldChar w:fldCharType="begin"/>
          </w:r>
          <w:r>
            <w:instrText xml:space="preserve"> PAGEREF _Toc156 \h </w:instrText>
          </w:r>
          <w:r>
            <w:fldChar w:fldCharType="separate"/>
          </w:r>
          <w:r>
            <w:t>28</w:t>
          </w:r>
          <w:r>
            <w:fldChar w:fldCharType="end"/>
          </w:r>
          <w:r>
            <w:rPr>
              <w:rFonts w:hint="eastAsia" w:ascii="仿宋" w:hAnsi="仿宋" w:eastAsia="仿宋" w:cs="仿宋"/>
              <w:bCs/>
              <w:szCs w:val="32"/>
            </w:rPr>
            <w:fldChar w:fldCharType="end"/>
          </w:r>
        </w:p>
        <w:p>
          <w:pPr>
            <w:pStyle w:val="17"/>
            <w:tabs>
              <w:tab w:val="right" w:leader="dot" w:pos="9740"/>
            </w:tabs>
          </w:pPr>
          <w:r>
            <w:rPr>
              <w:rFonts w:hint="eastAsia" w:ascii="仿宋" w:hAnsi="仿宋" w:eastAsia="仿宋" w:cs="仿宋"/>
              <w:bCs/>
              <w:szCs w:val="32"/>
            </w:rPr>
            <w:fldChar w:fldCharType="begin"/>
          </w:r>
          <w:r>
            <w:rPr>
              <w:rFonts w:hint="eastAsia" w:ascii="仿宋" w:hAnsi="仿宋" w:eastAsia="仿宋" w:cs="仿宋"/>
              <w:bCs/>
              <w:szCs w:val="32"/>
            </w:rPr>
            <w:instrText xml:space="preserve"> HYPERLINK \l _Toc29815 </w:instrText>
          </w:r>
          <w:r>
            <w:rPr>
              <w:rFonts w:hint="eastAsia" w:ascii="仿宋" w:hAnsi="仿宋" w:eastAsia="仿宋" w:cs="仿宋"/>
              <w:bCs/>
              <w:szCs w:val="32"/>
            </w:rPr>
            <w:fldChar w:fldCharType="separate"/>
          </w:r>
          <w:r>
            <w:rPr>
              <w:rFonts w:ascii="黑体" w:hAnsi="黑体" w:eastAsia="黑体" w:cs="黑体"/>
              <w:szCs w:val="56"/>
            </w:rPr>
            <w:t>附件</w:t>
          </w:r>
          <w:r>
            <w:tab/>
          </w:r>
          <w:r>
            <w:fldChar w:fldCharType="begin"/>
          </w:r>
          <w:r>
            <w:instrText xml:space="preserve"> PAGEREF _Toc29815 \h </w:instrText>
          </w:r>
          <w:r>
            <w:fldChar w:fldCharType="separate"/>
          </w:r>
          <w:r>
            <w:t>28</w:t>
          </w:r>
          <w:r>
            <w:fldChar w:fldCharType="end"/>
          </w:r>
          <w:r>
            <w:rPr>
              <w:rFonts w:hint="eastAsia" w:ascii="仿宋" w:hAnsi="仿宋" w:eastAsia="仿宋" w:cs="仿宋"/>
              <w:bCs/>
              <w:szCs w:val="32"/>
            </w:rPr>
            <w:fldChar w:fldCharType="end"/>
          </w:r>
        </w:p>
        <w:p>
          <w:pPr>
            <w:adjustRightInd w:val="0"/>
            <w:snapToGrid w:val="0"/>
            <w:rPr>
              <w:rFonts w:ascii="仿宋" w:hAnsi="仿宋" w:eastAsia="仿宋" w:cs="仿宋"/>
              <w:bCs/>
              <w:sz w:val="32"/>
              <w:szCs w:val="32"/>
            </w:rPr>
            <w:sectPr>
              <w:footerReference r:id="rId4" w:type="default"/>
              <w:pgSz w:w="11906" w:h="16838"/>
              <w:pgMar w:top="1440" w:right="1083" w:bottom="1440" w:left="1083" w:header="0" w:footer="720" w:gutter="0"/>
              <w:cols w:space="0" w:num="1"/>
              <w:docGrid w:type="lines" w:linePitch="317" w:charSpace="0"/>
            </w:sectPr>
          </w:pPr>
          <w:r>
            <w:rPr>
              <w:rFonts w:hint="eastAsia" w:ascii="仿宋" w:hAnsi="仿宋" w:eastAsia="仿宋" w:cs="仿宋"/>
              <w:bCs/>
              <w:szCs w:val="32"/>
            </w:rPr>
            <w:fldChar w:fldCharType="end"/>
          </w:r>
        </w:p>
      </w:sdtContent>
    </w:sdt>
    <w:p>
      <w:pPr>
        <w:pStyle w:val="28"/>
        <w:widowControl/>
        <w:spacing w:before="100" w:after="270"/>
        <w:jc w:val="center"/>
        <w:rPr>
          <w:rFonts w:eastAsia="Times New Roman"/>
          <w:kern w:val="0"/>
          <w:sz w:val="24"/>
        </w:rPr>
      </w:pPr>
      <w:bookmarkStart w:id="0" w:name="a000"/>
    </w:p>
    <w:p>
      <w:pPr>
        <w:pStyle w:val="28"/>
        <w:widowControl/>
        <w:spacing w:before="100" w:after="100"/>
        <w:jc w:val="center"/>
        <w:rPr>
          <w:rFonts w:eastAsia="Times New Roman"/>
          <w:kern w:val="0"/>
          <w:sz w:val="24"/>
        </w:rPr>
      </w:pPr>
      <w:r>
        <w:rPr>
          <w:rFonts w:ascii="Calibri" w:hAnsi="Calibri" w:eastAsia="Calibri" w:cs="Calibri"/>
          <w:kern w:val="0"/>
          <w:sz w:val="84"/>
          <w:szCs w:val="84"/>
        </w:rPr>
        <w:t> </w:t>
      </w: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1" w:name="_Toc14690"/>
      <w:bookmarkStart w:id="2" w:name="_Toc256000062"/>
      <w:bookmarkStart w:id="3" w:name="_Toc256000031"/>
      <w:bookmarkStart w:id="4" w:name="_Toc256000000"/>
      <w:r>
        <w:rPr>
          <w:rFonts w:ascii="黑体" w:hAnsi="黑体" w:eastAsia="黑体" w:cs="黑体"/>
          <w:b/>
          <w:sz w:val="56"/>
          <w:szCs w:val="56"/>
        </w:rPr>
        <w:t>第一部分</w:t>
      </w:r>
      <w:bookmarkEnd w:id="1"/>
      <w:bookmarkEnd w:id="2"/>
      <w:bookmarkEnd w:id="3"/>
      <w:bookmarkEnd w:id="4"/>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5" w:name="_Toc27711"/>
      <w:bookmarkStart w:id="6" w:name="_Toc256000032"/>
      <w:bookmarkStart w:id="7" w:name="_Toc256000063"/>
      <w:bookmarkStart w:id="8" w:name="_Toc256000001"/>
      <w:r>
        <w:rPr>
          <w:rFonts w:ascii="黑体" w:hAnsi="黑体" w:eastAsia="黑体" w:cs="黑体"/>
          <w:b/>
          <w:sz w:val="56"/>
          <w:szCs w:val="56"/>
        </w:rPr>
        <w:t>单位概况</w:t>
      </w:r>
      <w:bookmarkEnd w:id="5"/>
      <w:bookmarkEnd w:id="6"/>
      <w:bookmarkEnd w:id="7"/>
      <w:bookmarkEnd w:id="8"/>
    </w:p>
    <w:p>
      <w:pPr>
        <w:pStyle w:val="29"/>
        <w:widowControl/>
        <w:spacing w:before="100" w:after="100"/>
        <w:jc w:val="center"/>
        <w:rPr>
          <w:rFonts w:eastAsia="Times New Roman"/>
          <w:kern w:val="0"/>
          <w:sz w:val="24"/>
        </w:rPr>
      </w:pPr>
    </w:p>
    <w:p>
      <w:pPr>
        <w:sectPr>
          <w:footerReference r:id="rId5"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pStyle w:val="5"/>
        <w:keepNext w:val="0"/>
        <w:keepLines w:val="0"/>
        <w:spacing w:before="100" w:after="100" w:line="600" w:lineRule="atLeast"/>
        <w:ind w:firstLine="640" w:firstLineChars="0"/>
        <w:rPr>
          <w:rFonts w:ascii="黑体" w:hAnsi="黑体" w:eastAsia="黑体" w:cs="黑体"/>
          <w:b/>
        </w:rPr>
      </w:pPr>
      <w:bookmarkStart w:id="9" w:name="_Toc3036"/>
      <w:bookmarkStart w:id="10" w:name="_Toc256000002"/>
      <w:bookmarkStart w:id="11" w:name="_Toc256000064"/>
      <w:bookmarkStart w:id="12" w:name="_Toc256000033"/>
      <w:r>
        <w:rPr>
          <w:rFonts w:ascii="黑体" w:hAnsi="黑体" w:eastAsia="黑体" w:cs="黑体"/>
          <w:b/>
        </w:rPr>
        <w:t>一、单位主要职责</w:t>
      </w:r>
      <w:bookmarkEnd w:id="9"/>
      <w:bookmarkEnd w:id="10"/>
      <w:bookmarkEnd w:id="11"/>
      <w:bookmarkEnd w:id="12"/>
    </w:p>
    <w:p>
      <w:pPr>
        <w:pStyle w:val="28"/>
        <w:widowControl/>
        <w:spacing w:before="240" w:after="24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厦门市湖里中学单位的主要职责是：</w:t>
      </w:r>
      <w:r>
        <w:rPr>
          <w:rFonts w:hint="eastAsia" w:ascii="仿宋" w:hAnsi="仿宋" w:eastAsia="仿宋" w:cs="仿宋"/>
          <w:kern w:val="0"/>
          <w:sz w:val="32"/>
          <w:szCs w:val="32"/>
        </w:rPr>
        <w:t>我校是事业编制财政全额拨款单位，承担初中义务教育教学工作。学校加强教师的师德师风和意识形态教育，持续推进教育教学改革，以教育质量为核心，以健康安全为重点，不断规范学校管理，不断加强学校内涵建设，不断推进阳光教育改革。围绕福建省教改示范校建设和争创厦门市级文明校园两大任务，不断加强管理队伍、教师队伍建设，精心谋划毕业班工作，全面提升学校的教育质量。</w:t>
      </w:r>
    </w:p>
    <w:p>
      <w:pPr>
        <w:pStyle w:val="28"/>
        <w:widowControl/>
        <w:spacing w:before="240" w:after="24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（一）加强学校的党建工作，充分发挥党总支部战斗堡垒和党员先锋模范作用。</w:t>
      </w:r>
    </w:p>
    <w:p>
      <w:pPr>
        <w:pStyle w:val="28"/>
        <w:widowControl/>
        <w:spacing w:before="240" w:after="24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（二）加强学校班子建设，提高班子成员的政治思想觉悟，提升管理水平和服务意识，形成团结和谐、执行有力的一支管理队伍。</w:t>
      </w:r>
    </w:p>
    <w:p>
      <w:pPr>
        <w:pStyle w:val="28"/>
        <w:widowControl/>
        <w:spacing w:before="240" w:after="24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（三）加强学校制度规划建设，突出学校教学改革与文明创建的两大任务。</w:t>
      </w:r>
    </w:p>
    <w:p>
      <w:pPr>
        <w:pStyle w:val="28"/>
        <w:widowControl/>
        <w:spacing w:before="240" w:after="24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（四）加强教师队伍建设，通过课程建设、课堂教学改革，课题的研究等，促进和引领教师专业化成长。</w:t>
      </w:r>
    </w:p>
    <w:p>
      <w:pPr>
        <w:pStyle w:val="28"/>
        <w:widowControl/>
        <w:spacing w:before="240" w:after="24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（五）加强学校文化建设，追求共同的价值观，在师生、家长中形成自主管理、民主监督、社会参与的奋发和谐的校风。</w:t>
      </w:r>
    </w:p>
    <w:p>
      <w:pPr>
        <w:pStyle w:val="28"/>
        <w:widowControl/>
        <w:spacing w:before="100" w:after="100" w:line="600" w:lineRule="atLeast"/>
        <w:ind w:firstLine="640"/>
        <w:jc w:val="left"/>
        <w:rPr>
          <w:rFonts w:eastAsia="Times New Roman"/>
          <w:kern w:val="0"/>
          <w:sz w:val="24"/>
        </w:rPr>
      </w:pPr>
    </w:p>
    <w:p>
      <w:pPr>
        <w:pStyle w:val="5"/>
        <w:keepNext w:val="0"/>
        <w:keepLines w:val="0"/>
        <w:spacing w:before="100" w:after="100" w:line="600" w:lineRule="atLeast"/>
        <w:ind w:firstLine="640" w:firstLineChars="0"/>
        <w:rPr>
          <w:rFonts w:ascii="黑体" w:hAnsi="黑体" w:eastAsia="黑体" w:cs="黑体"/>
          <w:b/>
        </w:rPr>
      </w:pPr>
      <w:bookmarkStart w:id="13" w:name="_Toc256000034"/>
      <w:bookmarkStart w:id="14" w:name="_Toc915"/>
      <w:bookmarkStart w:id="15" w:name="_Toc256000065"/>
      <w:bookmarkStart w:id="16" w:name="_Toc256000003"/>
    </w:p>
    <w:p>
      <w:pPr>
        <w:pStyle w:val="5"/>
        <w:keepNext w:val="0"/>
        <w:keepLines w:val="0"/>
        <w:spacing w:before="100" w:after="100" w:line="600" w:lineRule="atLeast"/>
        <w:ind w:firstLine="640" w:firstLineChars="0"/>
        <w:rPr>
          <w:rFonts w:ascii="黑体" w:hAnsi="黑体" w:eastAsia="黑体" w:cs="黑体"/>
          <w:b/>
        </w:rPr>
      </w:pPr>
    </w:p>
    <w:p>
      <w:pPr>
        <w:pStyle w:val="5"/>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二、单位基本情况</w:t>
      </w:r>
      <w:bookmarkEnd w:id="13"/>
      <w:bookmarkEnd w:id="14"/>
      <w:bookmarkEnd w:id="15"/>
      <w:bookmarkEnd w:id="16"/>
    </w:p>
    <w:p>
      <w:pPr>
        <w:pStyle w:val="28"/>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从决算单位构成看，</w:t>
      </w:r>
      <w:r>
        <w:rPr>
          <w:rFonts w:hint="eastAsia" w:ascii="仿宋" w:hAnsi="仿宋" w:eastAsia="仿宋" w:cs="仿宋"/>
          <w:kern w:val="0"/>
          <w:sz w:val="32"/>
          <w:szCs w:val="32"/>
        </w:rPr>
        <w:t>厦门市湖里中学</w:t>
      </w:r>
      <w:r>
        <w:rPr>
          <w:rFonts w:ascii="仿宋" w:hAnsi="仿宋" w:eastAsia="仿宋" w:cs="仿宋"/>
          <w:kern w:val="0"/>
          <w:sz w:val="32"/>
          <w:szCs w:val="32"/>
        </w:rPr>
        <w:t>包括</w:t>
      </w:r>
      <w:r>
        <w:rPr>
          <w:rFonts w:hint="eastAsia" w:ascii="仿宋" w:hAnsi="仿宋" w:eastAsia="仿宋" w:cs="仿宋"/>
          <w:kern w:val="0"/>
          <w:sz w:val="32"/>
          <w:szCs w:val="32"/>
          <w:lang w:val="en-US" w:eastAsia="zh-CN"/>
        </w:rPr>
        <w:t>6</w:t>
      </w:r>
      <w:r>
        <w:rPr>
          <w:rFonts w:ascii="仿宋" w:hAnsi="仿宋" w:eastAsia="仿宋" w:cs="仿宋"/>
          <w:kern w:val="0"/>
          <w:sz w:val="32"/>
          <w:szCs w:val="32"/>
        </w:rPr>
        <w:t>个内设机构，其中：列入2024年决算编制范围的单位详细情况见下表:</w:t>
      </w:r>
    </w:p>
    <w:tbl>
      <w:tblPr>
        <w:tblStyle w:val="22"/>
        <w:tblW w:w="10510"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665"/>
        <w:gridCol w:w="6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ascii="仿宋" w:hAnsi="仿宋" w:eastAsia="仿宋" w:cs="仿宋"/>
                <w:b/>
                <w:bCs/>
                <w:color w:val="000000"/>
                <w:kern w:val="0"/>
                <w:sz w:val="24"/>
              </w:rPr>
              <w:t>序号</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ascii="仿宋" w:hAnsi="仿宋" w:eastAsia="仿宋" w:cs="仿宋"/>
                <w:b/>
                <w:bCs/>
                <w:color w:val="000000"/>
                <w:kern w:val="0"/>
                <w:sz w:val="24"/>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hint="eastAsia" w:ascii="仿宋" w:hAnsi="仿宋" w:eastAsia="仿宋" w:cs="仿宋"/>
                <w:b/>
                <w:bCs/>
                <w:color w:val="000000"/>
                <w:kern w:val="0"/>
                <w:sz w:val="24"/>
              </w:rPr>
              <w:t>1</w:t>
            </w:r>
          </w:p>
        </w:tc>
        <w:tc>
          <w:tcPr>
            <w:tcW w:w="6845" w:type="dxa"/>
            <w:tcMar>
              <w:top w:w="22" w:type="dxa"/>
              <w:left w:w="22" w:type="dxa"/>
              <w:bottom w:w="22" w:type="dxa"/>
              <w:right w:w="22" w:type="dxa"/>
            </w:tcMar>
            <w:vAlign w:val="center"/>
          </w:tcPr>
          <w:p>
            <w:pPr>
              <w:widowControl/>
              <w:ind w:firstLine="640"/>
              <w:jc w:val="center"/>
              <w:rPr>
                <w:rFonts w:hint="eastAsia" w:ascii="仿宋" w:hAnsi="仿宋" w:eastAsia="仿宋" w:cs="仿宋"/>
                <w:b/>
                <w:bCs/>
                <w:color w:val="000000"/>
                <w:kern w:val="0"/>
                <w:sz w:val="24"/>
                <w:lang w:eastAsia="zh-CN"/>
              </w:rPr>
            </w:pPr>
            <w:r>
              <w:rPr>
                <w:rFonts w:hint="eastAsia" w:ascii="仿宋" w:hAnsi="仿宋" w:eastAsia="仿宋" w:cs="仿宋"/>
                <w:b/>
                <w:bCs/>
                <w:color w:val="000000"/>
                <w:kern w:val="0"/>
                <w:sz w:val="24"/>
              </w:rPr>
              <w:t>厦门市湖里</w:t>
            </w:r>
            <w:r>
              <w:rPr>
                <w:rFonts w:hint="eastAsia" w:ascii="仿宋" w:hAnsi="仿宋" w:eastAsia="仿宋" w:cs="仿宋"/>
                <w:b/>
                <w:bCs/>
                <w:color w:val="000000"/>
                <w:kern w:val="0"/>
                <w:sz w:val="24"/>
                <w:lang w:val="en-US" w:eastAsia="zh-CN"/>
              </w:rPr>
              <w:t>中学</w:t>
            </w:r>
          </w:p>
        </w:tc>
      </w:tr>
    </w:tbl>
    <w:p>
      <w:pPr>
        <w:pStyle w:val="28"/>
        <w:widowControl/>
        <w:spacing w:before="100" w:after="100" w:line="600" w:lineRule="atLeast"/>
        <w:ind w:firstLine="640"/>
        <w:jc w:val="left"/>
        <w:rPr>
          <w:rFonts w:ascii="仿宋" w:hAnsi="仿宋" w:eastAsia="仿宋" w:cs="仿宋"/>
          <w:kern w:val="0"/>
          <w:sz w:val="32"/>
          <w:szCs w:val="32"/>
        </w:rPr>
      </w:pPr>
    </w:p>
    <w:p>
      <w:pPr>
        <w:pStyle w:val="5"/>
        <w:keepNext w:val="0"/>
        <w:keepLines w:val="0"/>
        <w:spacing w:before="100" w:after="100" w:line="600" w:lineRule="atLeast"/>
        <w:ind w:firstLine="640" w:firstLineChars="0"/>
        <w:rPr>
          <w:rFonts w:eastAsia="Times New Roman"/>
          <w:b/>
          <w:sz w:val="28"/>
          <w:szCs w:val="28"/>
        </w:rPr>
      </w:pPr>
      <w:bookmarkStart w:id="17" w:name="_Toc256000066"/>
      <w:bookmarkStart w:id="18" w:name="_Toc256000035"/>
      <w:bookmarkStart w:id="19" w:name="_Toc23350"/>
      <w:bookmarkStart w:id="20" w:name="_Toc256000004"/>
      <w:r>
        <w:rPr>
          <w:rFonts w:ascii="黑体" w:hAnsi="黑体" w:eastAsia="黑体" w:cs="黑体"/>
          <w:b/>
        </w:rPr>
        <w:t>三、单位主要工作总结</w:t>
      </w:r>
      <w:bookmarkEnd w:id="17"/>
      <w:bookmarkEnd w:id="18"/>
      <w:bookmarkEnd w:id="19"/>
      <w:bookmarkEnd w:id="20"/>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2024年，厦门市湖里中学单位主要任务是：</w:t>
      </w:r>
      <w:r>
        <w:rPr>
          <w:rFonts w:hint="eastAsia" w:ascii="仿宋" w:hAnsi="仿宋" w:eastAsia="仿宋" w:cs="仿宋"/>
          <w:kern w:val="0"/>
          <w:sz w:val="32"/>
          <w:szCs w:val="32"/>
        </w:rPr>
        <w:t>承担初中义务教育教学工作，加强教师的师德师风和意识形态教育，持续推进教育教学改革，以教育质量为核心，以健康安全为重点，不断规范学校管理，不断加强学校内涵建设，不断推进阳光教育改革。围绕福建省教改示范校建设和争创厦门市级文明校园两大任务，不断加强管理队伍、教师队伍建设，精心谋划毕业班工作，全面提升学校的教育质量</w:t>
      </w:r>
      <w:r>
        <w:rPr>
          <w:rFonts w:ascii="仿宋" w:hAnsi="仿宋" w:eastAsia="仿宋" w:cs="仿宋"/>
          <w:kern w:val="0"/>
          <w:sz w:val="32"/>
          <w:szCs w:val="32"/>
        </w:rPr>
        <w:t>。围绕上述任务，重点完成了以下工作：</w:t>
      </w:r>
    </w:p>
    <w:p/>
    <w:p>
      <w:pPr>
        <w:pStyle w:val="28"/>
        <w:widowControl/>
        <w:numPr>
          <w:ilvl w:val="0"/>
          <w:numId w:val="1"/>
        </w:numPr>
        <w:spacing w:before="240" w:after="240" w:line="600" w:lineRule="atLeas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坚持党的教育方针，坚持为党育人，为国育才的宗旨，落实立德树人的根本任务。</w:t>
      </w:r>
      <w:bookmarkStart w:id="21" w:name="OLE_LINK2"/>
    </w:p>
    <w:p>
      <w:pPr>
        <w:pStyle w:val="28"/>
        <w:widowControl/>
        <w:numPr>
          <w:ilvl w:val="0"/>
          <w:numId w:val="1"/>
        </w:numPr>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根据教育工委精神</w:t>
      </w:r>
      <w:bookmarkEnd w:id="21"/>
      <w:r>
        <w:rPr>
          <w:rFonts w:hint="eastAsia" w:ascii="仿宋" w:hAnsi="仿宋" w:eastAsia="仿宋" w:cs="仿宋"/>
          <w:kern w:val="0"/>
          <w:sz w:val="32"/>
          <w:szCs w:val="32"/>
        </w:rPr>
        <w:t>，学校积极开展爱心校园创建活动。学校与甘肃临夏回族自治州东乡四中建立对口帮扶协作关系，从管理、教学、师资、资源、学生等5个方面展开帮扶；各年段开展“家校携手联动 共育阳光少年”的家访活动，重点关心“特殊”学生；各支部对上级指定的帮扶对象进行了探访慰问，送上了各种生活所需用品、食物、党员自愿捐款的慰问金。开展“公益活动”、文明创建等志愿者活动。与湖里街道党工委、南山社区党委、海天社区党委签订了共建协议书，促进学校和街道、社区之间优势互补、资源共享、互促共建等。</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在校党总支引领下各支部依托党员示范课、党员先锋岗、党员进社区、党员志愿者先锋队、改革攻坚党支部、质量提升党支部等载体，深化“一支部一项目”活动。党总支确立“阳光教育，照亮人生”的党建品牌，行政支部确立“阳光服务 勤学笃行”党建品牌，文科支部“依托“五重”平台  绘就最大同心圆”党建品牌。理科支部以“阳光教育 落实‘五个一’”为党建品牌。</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（四）按照现代学校制度的要求，随着学校的发展，</w:t>
      </w:r>
      <w:r>
        <w:rPr>
          <w:rFonts w:hint="eastAsia" w:ascii="仿宋" w:hAnsi="仿宋" w:eastAsia="仿宋" w:cs="仿宋"/>
          <w:kern w:val="0"/>
          <w:sz w:val="32"/>
          <w:szCs w:val="32"/>
          <w:lang w:eastAsia="zh-CN"/>
        </w:rPr>
        <w:t>修订</w:t>
      </w:r>
      <w:bookmarkStart w:id="126" w:name="_GoBack"/>
      <w:bookmarkEnd w:id="126"/>
      <w:r>
        <w:rPr>
          <w:rFonts w:hint="eastAsia" w:ascii="仿宋" w:hAnsi="仿宋" w:eastAsia="仿宋" w:cs="仿宋"/>
          <w:kern w:val="0"/>
          <w:sz w:val="32"/>
          <w:szCs w:val="32"/>
        </w:rPr>
        <w:t>完善了《厦门市湖里中学章程》，充实了《秉承特区改革精神 彰显现代教育活力》发展规划，持续开展《基于核心素养，构建阳光教育课程体系实践研究》的创建省教改示范校的课题研究。通过章程、规划、课题的制度的修定与完善，使学校管理更加科学化、人性化、精细化，进一步提升学校的内涵式发展。</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五）学校以“深化阳光教育，构建阳光校园”为核心，培育学生核心素养，落实立德树人的根本任务，作为创建市级文明校园重要抓手，把教育教学改革与文明创建融为一体。2024年，我校完成了市级文明校园的创建工作，提升了市级垃圾分类示范校到2.0版，加强综治安全和新一轮平安校园的创建，加强校园安全、消防安全的硬件设施。</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六）扎实推进阳光课程建设。学校围绕着创建省级教改示范校的课题，继续开发完善阳光德育---主题化；国家课程---校本化，拓展类课程---多样化，基本完成了阳光课程（1.0版本）研发工作，已经全部成册。制定社团活动计划与管理制度，每年都开设五大领域内容丰富的30多门社团活动课程。同时还推动学科微课程开发、网络空间、一师一优课等课程资源建设。每年对不同年段的学生定期开展拓展训练、劳动体验、社区服务、研学活动的综合实践活动。2</w:t>
      </w:r>
      <w:r>
        <w:rPr>
          <w:rFonts w:ascii="仿宋" w:hAnsi="仿宋" w:eastAsia="仿宋" w:cs="仿宋"/>
          <w:kern w:val="0"/>
          <w:sz w:val="32"/>
          <w:szCs w:val="32"/>
        </w:rPr>
        <w:t>024</w:t>
      </w:r>
      <w:r>
        <w:rPr>
          <w:rFonts w:hint="eastAsia" w:ascii="仿宋" w:hAnsi="仿宋" w:eastAsia="仿宋" w:cs="仿宋"/>
          <w:kern w:val="0"/>
          <w:sz w:val="32"/>
          <w:szCs w:val="32"/>
        </w:rPr>
        <w:t>年，学校正在拟定劳动课程的开发，逐步完成五育并举的课程资源建设。</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让核心素养落地阳光课堂。学校围绕“学科核心素养在课堂如何落地？”的主题，制定教学改革的方案与措施，课堂教学的改革是的关键，也是改革的难点。学校抓住市青年教师基本功、市教学技能赛为契机，组织全校教师参与到学科核心素养的学习、培训、研讨，从理论学习、课标解读到进入课堂教学实践观摩，借助外力，加速青年教师的培养。</w:t>
      </w:r>
    </w:p>
    <w:p>
      <w:pPr>
        <w:pStyle w:val="28"/>
        <w:widowControl/>
        <w:spacing w:before="240" w:after="24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八）加强硬件建设。在财政资金紧张的情况下，学校利用有限资金，加大了对教育教学设施设备的投入，把有限的资金用在“刀刃上”，采购教育教学物资，应急药品物品。改造提升了学校的教学设施、安全设施，优化绿化美化育人环境。同时，开展“开源节流”、提高预算执行率等措施，用好每一分钱。</w:t>
      </w:r>
    </w:p>
    <w:p>
      <w:pPr>
        <w:sectPr>
          <w:footerReference r:id="rId6" w:type="default"/>
          <w:pgSz w:w="11906" w:h="16838"/>
          <w:pgMar w:top="1440" w:right="720" w:bottom="1440" w:left="720" w:header="720" w:footer="720" w:gutter="0"/>
          <w:cols w:space="720" w:num="1"/>
        </w:sectPr>
      </w:pPr>
      <w:r>
        <w:rPr>
          <w:rFonts w:hint="eastAsia" w:ascii="仿宋" w:hAnsi="仿宋" w:eastAsia="仿宋" w:cs="仿宋"/>
          <w:kern w:val="0"/>
          <w:sz w:val="32"/>
          <w:szCs w:val="32"/>
        </w:rPr>
        <w:t>（九）加强文化提升。加强校园的文化建设，围绕社会主义核心价值观，宣传党的教育方针、文明校园创建活动，更新改造文化内容，提升校园育人氛围。</w:t>
      </w:r>
    </w:p>
    <w:p>
      <w:pPr>
        <w:widowControl/>
        <w:spacing w:before="240" w:after="240"/>
        <w:jc w:val="left"/>
        <w:rPr>
          <w:rFonts w:eastAsia="Times New Roman"/>
          <w:vanish/>
          <w:kern w:val="0"/>
          <w:sz w:val="24"/>
        </w:rPr>
      </w:pPr>
      <w:r>
        <w:rPr>
          <w:rFonts w:eastAsia="Times New Roman"/>
          <w:vanish/>
          <w:kern w:val="0"/>
          <w:sz w:val="24"/>
        </w:rPr>
        <w:t>word page break</w:t>
      </w:r>
    </w:p>
    <w:p>
      <w:pPr>
        <w:widowControl/>
        <w:spacing w:before="240" w:after="24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22" w:name="_Toc256000067"/>
      <w:bookmarkStart w:id="23" w:name="_Toc4264"/>
      <w:bookmarkStart w:id="24" w:name="_Toc256000036"/>
      <w:bookmarkStart w:id="25" w:name="_Toc256000005"/>
      <w:r>
        <w:rPr>
          <w:rFonts w:ascii="黑体" w:hAnsi="黑体" w:eastAsia="黑体" w:cs="黑体"/>
          <w:b/>
          <w:sz w:val="56"/>
          <w:szCs w:val="56"/>
        </w:rPr>
        <w:t>第二部分</w:t>
      </w:r>
      <w:bookmarkEnd w:id="22"/>
      <w:bookmarkEnd w:id="23"/>
      <w:bookmarkEnd w:id="24"/>
      <w:bookmarkEnd w:id="25"/>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26" w:name="_Toc256000068"/>
      <w:bookmarkStart w:id="27" w:name="_Toc256000037"/>
      <w:bookmarkStart w:id="28" w:name="_Toc256000006"/>
      <w:bookmarkStart w:id="29" w:name="_Toc4396"/>
      <w:r>
        <w:rPr>
          <w:rFonts w:ascii="黑体" w:hAnsi="黑体" w:eastAsia="黑体" w:cs="黑体"/>
          <w:b/>
          <w:sz w:val="56"/>
          <w:szCs w:val="56"/>
        </w:rPr>
        <w:t>2024年度决算表</w:t>
      </w:r>
      <w:bookmarkEnd w:id="26"/>
      <w:bookmarkEnd w:id="27"/>
      <w:bookmarkEnd w:id="28"/>
      <w:bookmarkEnd w:id="29"/>
    </w:p>
    <w:p>
      <w:pPr>
        <w:pStyle w:val="29"/>
        <w:widowControl/>
        <w:spacing w:before="100" w:after="100"/>
        <w:jc w:val="center"/>
        <w:rPr>
          <w:rFonts w:eastAsia="Times New Roman"/>
          <w:kern w:val="0"/>
          <w:sz w:val="24"/>
        </w:rPr>
      </w:pPr>
    </w:p>
    <w:p>
      <w:pPr>
        <w:sectPr>
          <w:footerReference r:id="rId7" w:type="default"/>
          <w:pgSz w:w="11906" w:h="16838"/>
          <w:pgMar w:top="1440" w:right="720" w:bottom="1440" w:left="720" w:header="720" w:footer="720" w:gutter="0"/>
          <w:cols w:space="720" w:num="1"/>
        </w:sectPr>
      </w:pPr>
    </w:p>
    <w:tbl>
      <w:tblPr>
        <w:tblStyle w:val="22"/>
        <w:tblpPr w:leftFromText="180" w:rightFromText="180" w:vertAnchor="text" w:horzAnchor="page" w:tblpX="996" w:tblpY="1388"/>
        <w:tblOverlap w:val="never"/>
        <w:tblW w:w="9584" w:type="dxa"/>
        <w:tblInd w:w="0" w:type="dxa"/>
        <w:tblLayout w:type="fixed"/>
        <w:tblCellMar>
          <w:top w:w="15" w:type="dxa"/>
          <w:left w:w="15" w:type="dxa"/>
          <w:bottom w:w="15" w:type="dxa"/>
          <w:right w:w="15" w:type="dxa"/>
        </w:tblCellMar>
      </w:tblPr>
      <w:tblGrid>
        <w:gridCol w:w="3244"/>
        <w:gridCol w:w="444"/>
        <w:gridCol w:w="744"/>
        <w:gridCol w:w="3194"/>
        <w:gridCol w:w="444"/>
        <w:gridCol w:w="1514"/>
      </w:tblGrid>
      <w:tr>
        <w:tblPrEx>
          <w:tblLayout w:type="fixed"/>
          <w:tblCellMar>
            <w:top w:w="15" w:type="dxa"/>
            <w:left w:w="15" w:type="dxa"/>
            <w:bottom w:w="15" w:type="dxa"/>
            <w:right w:w="15" w:type="dxa"/>
          </w:tblCellMar>
        </w:tblPrEx>
        <w:trPr>
          <w:trHeight w:val="90" w:hRule="atLeast"/>
          <w:tblHeader/>
        </w:trPr>
        <w:tc>
          <w:tcPr>
            <w:tcW w:w="9584" w:type="dxa"/>
            <w:gridSpan w:val="6"/>
            <w:tcMar>
              <w:top w:w="20" w:type="dxa"/>
              <w:left w:w="20" w:type="dxa"/>
              <w:bottom w:w="20" w:type="dxa"/>
              <w:right w:w="20"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eastAsia="Times New Roman"/>
                <w:color w:val="000000"/>
                <w:kern w:val="0"/>
                <w:sz w:val="20"/>
                <w:szCs w:val="20"/>
              </w:rPr>
            </w:pPr>
            <w:bookmarkStart w:id="30" w:name="_Toc256000007"/>
            <w:bookmarkStart w:id="31" w:name="_Toc256000069"/>
            <w:bookmarkStart w:id="32" w:name="_Toc256000038"/>
            <w:r>
              <w:rPr>
                <w:rFonts w:ascii="宋体" w:hAnsi="宋体" w:cs="宋体"/>
                <w:color w:val="000000"/>
                <w:kern w:val="0"/>
                <w:sz w:val="20"/>
                <w:szCs w:val="20"/>
              </w:rPr>
              <w:t>收入支出决算总表</w:t>
            </w:r>
          </w:p>
        </w:tc>
      </w:tr>
      <w:tr>
        <w:tblPrEx>
          <w:tblLayout w:type="fixed"/>
          <w:tblCellMar>
            <w:top w:w="15" w:type="dxa"/>
            <w:left w:w="15" w:type="dxa"/>
            <w:bottom w:w="15" w:type="dxa"/>
            <w:right w:w="15" w:type="dxa"/>
          </w:tblCellMar>
        </w:tblPrEx>
        <w:trPr>
          <w:trHeight w:val="90" w:hRule="atLeast"/>
          <w:tblHeader/>
        </w:trPr>
        <w:tc>
          <w:tcPr>
            <w:tcW w:w="3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部门</w:t>
            </w:r>
            <w:r>
              <w:rPr>
                <w:rFonts w:eastAsia="Times New Roman"/>
                <w:color w:val="000000"/>
                <w:kern w:val="0"/>
                <w:sz w:val="21"/>
                <w:szCs w:val="21"/>
              </w:rPr>
              <w:t>/</w:t>
            </w:r>
            <w:r>
              <w:rPr>
                <w:rFonts w:ascii="宋体" w:hAnsi="宋体" w:cs="宋体"/>
                <w:color w:val="000000"/>
                <w:kern w:val="0"/>
                <w:sz w:val="21"/>
                <w:szCs w:val="21"/>
              </w:rPr>
              <w:t>单位：厦门市湖里中学</w:t>
            </w:r>
          </w:p>
        </w:tc>
        <w:tc>
          <w:tcPr>
            <w:tcW w:w="4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2024</w:t>
            </w:r>
            <w:r>
              <w:rPr>
                <w:rFonts w:ascii="宋体" w:hAnsi="宋体" w:cs="宋体"/>
                <w:color w:val="000000"/>
                <w:kern w:val="0"/>
                <w:sz w:val="21"/>
                <w:szCs w:val="21"/>
              </w:rPr>
              <w:t>年度</w:t>
            </w:r>
          </w:p>
        </w:tc>
        <w:tc>
          <w:tcPr>
            <w:tcW w:w="4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5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ascii="宋体" w:hAnsi="宋体" w:cs="宋体"/>
                <w:color w:val="000000"/>
                <w:kern w:val="0"/>
                <w:sz w:val="21"/>
                <w:szCs w:val="21"/>
              </w:rPr>
              <w:t>金额单位：万元</w:t>
            </w:r>
          </w:p>
        </w:tc>
      </w:tr>
      <w:tr>
        <w:tblPrEx>
          <w:tblLayout w:type="fixed"/>
          <w:tblCellMar>
            <w:top w:w="15" w:type="dxa"/>
            <w:left w:w="15" w:type="dxa"/>
            <w:bottom w:w="15" w:type="dxa"/>
            <w:right w:w="15" w:type="dxa"/>
          </w:tblCellMar>
        </w:tblPrEx>
        <w:trPr>
          <w:trHeight w:val="90" w:hRule="atLeast"/>
        </w:trPr>
        <w:tc>
          <w:tcPr>
            <w:tcW w:w="443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收入</w:t>
            </w:r>
          </w:p>
        </w:tc>
        <w:tc>
          <w:tcPr>
            <w:tcW w:w="515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支出</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一、一般公共预算财政拨款收入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7,989.27</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一、一般公共服务支出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32</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二、政府性基金预算财政拨款收入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二、外交支出</w:t>
            </w:r>
            <w:r>
              <w:rPr>
                <w:rFonts w:eastAsia="Times New Roman"/>
                <w:color w:val="000000"/>
                <w:kern w:val="0"/>
                <w:sz w:val="20"/>
                <w:szCs w:val="20"/>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33</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三、国有资本经营预算财政拨款收入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三、国防支出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34</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四、上级补助收入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四、公共安全支出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35</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五、事业收入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五、教育支出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36</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6,317.06</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六、经营收入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六、科学技术支出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37</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七、附属单位上缴收入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七、文化旅游体育与传媒支出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38</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八、其他收入</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八、社会保障和就业支出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39</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1,255.21</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九、卫生健康支出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40</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290.84</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十、节能环保支出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41</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18</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十一、城乡社区支出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42</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十二、农林水支出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43</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十三、交通运输支出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44</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十四、资源勘探工业信息等支出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45</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十五、商业服务业等支出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46</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十六、金融支出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47</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十七、援助其他地区支出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48</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十八、自然资源海洋气象等支出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49</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十九、住房保障支出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50</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108.16</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二十、粮油物资储备支出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51</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二十一、国有资本经营预算支出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52</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二十二、灾害防治及应急管理支出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53</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二十三、其他支出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54</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2</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二十四、债务还本支出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55</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二十五、债务付息支出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56</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eastAsia="Times New Roman"/>
                <w:color w:val="000000"/>
                <w:kern w:val="0"/>
                <w:sz w:val="21"/>
                <w:szCs w:val="21"/>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二十六、抗疫特别国债安排的支出</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57</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本年收入合计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7,991.27</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本年支出合计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58</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7,991.27</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使用非财政拨款结余（含专用结余）</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结余分配</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59</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年初结转和结余</w:t>
            </w:r>
            <w:r>
              <w:rPr>
                <w:rFonts w:eastAsia="Times New Roman"/>
                <w:color w:val="000000"/>
                <w:kern w:val="0"/>
                <w:sz w:val="20"/>
                <w:szCs w:val="20"/>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年末结转和结余</w:t>
            </w:r>
            <w:r>
              <w:rPr>
                <w:rFonts w:eastAsia="Times New Roman"/>
                <w:color w:val="000000"/>
                <w:kern w:val="0"/>
                <w:sz w:val="20"/>
                <w:szCs w:val="20"/>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60</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61</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90" w:hRule="atLeast"/>
        </w:trPr>
        <w:tc>
          <w:tcPr>
            <w:tcW w:w="3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7,991.27</w:t>
            </w:r>
          </w:p>
        </w:tc>
        <w:tc>
          <w:tcPr>
            <w:tcW w:w="31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62</w:t>
            </w:r>
          </w:p>
        </w:tc>
        <w:tc>
          <w:tcPr>
            <w:tcW w:w="15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7,991.27</w:t>
            </w:r>
          </w:p>
        </w:tc>
      </w:tr>
      <w:tr>
        <w:tblPrEx>
          <w:tblLayout w:type="fixed"/>
          <w:tblCellMar>
            <w:top w:w="15" w:type="dxa"/>
            <w:left w:w="15" w:type="dxa"/>
            <w:bottom w:w="15" w:type="dxa"/>
            <w:right w:w="15" w:type="dxa"/>
          </w:tblCellMar>
        </w:tblPrEx>
        <w:trPr>
          <w:trHeight w:val="90" w:hRule="atLeast"/>
        </w:trPr>
        <w:tc>
          <w:tcPr>
            <w:tcW w:w="9584" w:type="dxa"/>
            <w:gridSpan w:val="6"/>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w:t>
            </w:r>
            <w:r>
              <w:rPr>
                <w:rFonts w:eastAsia="Times New Roman"/>
                <w:color w:val="000000"/>
                <w:kern w:val="0"/>
                <w:sz w:val="20"/>
                <w:szCs w:val="20"/>
              </w:rPr>
              <w:t>1.</w:t>
            </w:r>
            <w:r>
              <w:rPr>
                <w:rFonts w:ascii="宋体" w:hAnsi="宋体" w:cs="宋体"/>
                <w:color w:val="000000"/>
                <w:kern w:val="0"/>
                <w:sz w:val="20"/>
                <w:szCs w:val="20"/>
              </w:rPr>
              <w:t>本表反映部门本年度的总收支和年末结转结余情况。</w:t>
            </w:r>
          </w:p>
        </w:tc>
      </w:tr>
      <w:tr>
        <w:tblPrEx>
          <w:tblLayout w:type="fixed"/>
          <w:tblCellMar>
            <w:top w:w="15" w:type="dxa"/>
            <w:left w:w="15" w:type="dxa"/>
            <w:bottom w:w="15" w:type="dxa"/>
            <w:right w:w="15" w:type="dxa"/>
          </w:tblCellMar>
        </w:tblPrEx>
        <w:trPr>
          <w:trHeight w:val="90" w:hRule="atLeast"/>
        </w:trPr>
        <w:tc>
          <w:tcPr>
            <w:tcW w:w="9584" w:type="dxa"/>
            <w:gridSpan w:val="6"/>
            <w:tcMar>
              <w:top w:w="20" w:type="dxa"/>
              <w:left w:w="485" w:type="dxa"/>
              <w:bottom w:w="20" w:type="dxa"/>
              <w:right w:w="20" w:type="dxa"/>
            </w:tcMar>
            <w:vAlign w:val="center"/>
          </w:tcPr>
          <w:p>
            <w:pPr>
              <w:widowControl/>
              <w:spacing w:line="375" w:lineRule="atLeast"/>
              <w:jc w:val="left"/>
              <w:rPr>
                <w:rFonts w:eastAsia="Times New Roman"/>
                <w:color w:val="000000"/>
                <w:kern w:val="0"/>
                <w:sz w:val="20"/>
                <w:szCs w:val="20"/>
              </w:rPr>
            </w:pPr>
            <w:r>
              <w:rPr>
                <w:rFonts w:eastAsia="Times New Roman"/>
                <w:color w:val="000000"/>
                <w:kern w:val="0"/>
                <w:sz w:val="20"/>
                <w:szCs w:val="20"/>
              </w:rPr>
              <w:t>2.</w:t>
            </w:r>
            <w:r>
              <w:rPr>
                <w:rFonts w:ascii="宋体" w:hAnsi="宋体" w:cs="宋体"/>
                <w:color w:val="000000"/>
                <w:kern w:val="0"/>
                <w:sz w:val="20"/>
                <w:szCs w:val="20"/>
              </w:rPr>
              <w:t>本套报表金额单位转换时可能存在尾数误差。</w:t>
            </w:r>
          </w:p>
        </w:tc>
      </w:tr>
      <w:bookmarkEnd w:id="30"/>
      <w:bookmarkEnd w:id="31"/>
      <w:bookmarkEnd w:id="32"/>
    </w:tbl>
    <w:p>
      <w:pPr>
        <w:pStyle w:val="5"/>
        <w:keepNext w:val="0"/>
        <w:keepLines w:val="0"/>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eastAsia="Times New Roman"/>
          <w:kern w:val="0"/>
          <w:sz w:val="24"/>
        </w:rPr>
      </w:pPr>
      <w:bookmarkStart w:id="33" w:name="_Toc27459"/>
      <w:r>
        <w:rPr>
          <w:rFonts w:ascii="黑体" w:hAnsi="黑体" w:eastAsia="黑体" w:cs="黑体"/>
          <w:b/>
        </w:rPr>
        <w:t>一、收入支出决算总表</w:t>
      </w:r>
      <w:bookmarkEnd w:id="33"/>
    </w:p>
    <w:p>
      <w:pPr>
        <w:widowControl/>
        <w:spacing w:before="240" w:after="240"/>
        <w:jc w:val="left"/>
        <w:rPr>
          <w:rFonts w:eastAsia="Times New Roman"/>
          <w:vanish/>
          <w:kern w:val="0"/>
          <w:sz w:val="24"/>
        </w:rPr>
      </w:pPr>
      <w:r>
        <w:rPr>
          <w:rFonts w:eastAsia="Times New Roman"/>
          <w:vanish/>
          <w:kern w:val="0"/>
          <w:sz w:val="24"/>
        </w:rPr>
        <w:t>word page break</w:t>
      </w:r>
    </w:p>
    <w:p>
      <w:pPr>
        <w:sectPr>
          <w:footerReference r:id="rId8"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315" w:tblpY="968"/>
        <w:tblOverlap w:val="never"/>
        <w:tblW w:w="9066" w:type="dxa"/>
        <w:tblInd w:w="0" w:type="dxa"/>
        <w:tblLayout w:type="fixed"/>
        <w:tblCellMar>
          <w:top w:w="15" w:type="dxa"/>
          <w:left w:w="15" w:type="dxa"/>
          <w:bottom w:w="15" w:type="dxa"/>
          <w:right w:w="15" w:type="dxa"/>
        </w:tblCellMar>
      </w:tblPr>
      <w:tblGrid>
        <w:gridCol w:w="735"/>
        <w:gridCol w:w="2066"/>
        <w:gridCol w:w="981"/>
        <w:gridCol w:w="981"/>
        <w:gridCol w:w="908"/>
        <w:gridCol w:w="592"/>
        <w:gridCol w:w="592"/>
        <w:gridCol w:w="1084"/>
        <w:gridCol w:w="1127"/>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18"/>
                <w:szCs w:val="18"/>
              </w:rPr>
            </w:pPr>
            <w:bookmarkStart w:id="34" w:name="_Toc256000039"/>
            <w:bookmarkStart w:id="35" w:name="_Toc256000008"/>
            <w:bookmarkStart w:id="36" w:name="_Toc256000070"/>
            <w:r>
              <w:rPr>
                <w:rFonts w:ascii="宋体" w:hAnsi="宋体" w:cs="宋体"/>
                <w:color w:val="000000"/>
                <w:kern w:val="0"/>
                <w:sz w:val="18"/>
                <w:szCs w:val="18"/>
              </w:rPr>
              <w:t>收入决算表</w:t>
            </w:r>
          </w:p>
        </w:tc>
      </w:tr>
      <w:tr>
        <w:tblPrEx>
          <w:tblLayout w:type="fixed"/>
          <w:tblCellMar>
            <w:top w:w="15" w:type="dxa"/>
            <w:left w:w="15" w:type="dxa"/>
            <w:bottom w:w="15" w:type="dxa"/>
            <w:right w:w="15" w:type="dxa"/>
          </w:tblCellMar>
        </w:tblPrEx>
        <w:trPr>
          <w:tblHeader/>
        </w:trPr>
        <w:tc>
          <w:tcPr>
            <w:tcW w:w="7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20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9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9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9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476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单位：厦门市湖里中学</w:t>
            </w:r>
          </w:p>
        </w:tc>
        <w:tc>
          <w:tcPr>
            <w:tcW w:w="9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blHeader/>
        </w:trPr>
        <w:tc>
          <w:tcPr>
            <w:tcW w:w="28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项目</w:t>
            </w:r>
          </w:p>
        </w:tc>
        <w:tc>
          <w:tcPr>
            <w:tcW w:w="9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本年收入合计</w:t>
            </w:r>
          </w:p>
        </w:tc>
        <w:tc>
          <w:tcPr>
            <w:tcW w:w="9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财政拨款收入</w:t>
            </w:r>
            <w:r>
              <w:rPr>
                <w:rFonts w:eastAsia="Times New Roman"/>
                <w:color w:val="000000"/>
                <w:kern w:val="0"/>
                <w:sz w:val="18"/>
                <w:szCs w:val="18"/>
              </w:rPr>
              <w:t xml:space="preserve"> </w:t>
            </w:r>
          </w:p>
        </w:tc>
        <w:tc>
          <w:tcPr>
            <w:tcW w:w="9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上级补助收入</w:t>
            </w:r>
          </w:p>
        </w:tc>
        <w:tc>
          <w:tcPr>
            <w:tcW w:w="5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事业收入</w:t>
            </w:r>
          </w:p>
        </w:tc>
        <w:tc>
          <w:tcPr>
            <w:tcW w:w="5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经营收入</w:t>
            </w:r>
          </w:p>
        </w:tc>
        <w:tc>
          <w:tcPr>
            <w:tcW w:w="10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附属单位上缴收入</w:t>
            </w:r>
          </w:p>
        </w:tc>
        <w:tc>
          <w:tcPr>
            <w:tcW w:w="11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其他收入</w:t>
            </w:r>
          </w:p>
        </w:tc>
      </w:tr>
      <w:tr>
        <w:tblPrEx>
          <w:tblLayout w:type="fixed"/>
          <w:tblCellMar>
            <w:top w:w="15" w:type="dxa"/>
            <w:left w:w="15" w:type="dxa"/>
            <w:bottom w:w="15" w:type="dxa"/>
            <w:right w:w="15" w:type="dxa"/>
          </w:tblCellMar>
        </w:tblPrEx>
        <w:trPr>
          <w:trHeight w:val="299" w:hRule="atLeast"/>
          <w:tblHeader/>
        </w:trPr>
        <w:tc>
          <w:tcPr>
            <w:tcW w:w="7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科目代码</w:t>
            </w:r>
          </w:p>
        </w:tc>
        <w:tc>
          <w:tcPr>
            <w:tcW w:w="20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科目名称</w:t>
            </w:r>
          </w:p>
        </w:tc>
        <w:tc>
          <w:tcPr>
            <w:tcW w:w="9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9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9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112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r>
      <w:tr>
        <w:tblPrEx>
          <w:tblLayout w:type="fixed"/>
          <w:tblCellMar>
            <w:top w:w="15" w:type="dxa"/>
            <w:left w:w="15" w:type="dxa"/>
            <w:bottom w:w="15" w:type="dxa"/>
            <w:right w:w="15" w:type="dxa"/>
          </w:tblCellMar>
        </w:tblPrEx>
        <w:trPr>
          <w:trHeight w:val="299" w:hRule="atLeast"/>
          <w:tblHeader/>
        </w:trPr>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206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9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9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9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c>
          <w:tcPr>
            <w:tcW w:w="112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8"/>
                <w:szCs w:val="18"/>
              </w:rPr>
            </w:pPr>
          </w:p>
        </w:tc>
      </w:tr>
      <w:tr>
        <w:tblPrEx>
          <w:tblLayout w:type="fixed"/>
          <w:tblCellMar>
            <w:top w:w="15" w:type="dxa"/>
            <w:left w:w="15" w:type="dxa"/>
            <w:bottom w:w="15" w:type="dxa"/>
            <w:right w:w="15" w:type="dxa"/>
          </w:tblCellMar>
        </w:tblPrEx>
        <w:tc>
          <w:tcPr>
            <w:tcW w:w="28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栏次</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1</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3</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4</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6</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7</w:t>
            </w:r>
          </w:p>
        </w:tc>
      </w:tr>
      <w:tr>
        <w:tblPrEx>
          <w:tblLayout w:type="fixed"/>
          <w:tblCellMar>
            <w:top w:w="15" w:type="dxa"/>
            <w:left w:w="15" w:type="dxa"/>
            <w:bottom w:w="15" w:type="dxa"/>
            <w:right w:w="15" w:type="dxa"/>
          </w:tblCellMar>
        </w:tblPrEx>
        <w:tc>
          <w:tcPr>
            <w:tcW w:w="28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ascii="宋体" w:hAnsi="宋体" w:cs="宋体"/>
                <w:color w:val="000000"/>
                <w:kern w:val="0"/>
                <w:sz w:val="18"/>
                <w:szCs w:val="18"/>
              </w:rPr>
              <w:t>合计</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7,991.27</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7,991.27</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教育支出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6,317.06</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6,317.06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20502</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普通教育</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5,988.55</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5,988.55</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2050203</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初中教育</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5,534.02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5,534.02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2050299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其他普通教育支出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454.52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454.52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20509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教育费附加安排的支出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327.31</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327.31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2050999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其他教育费附加安排的支出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327.31</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327.31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其他教育支出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2059999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其他教育支出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208</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社会保障和就业支出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1,255.21</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1,255.21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20805</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行政事业单位养老支出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1,255.21</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1,255.21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2080502</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事业单位离退休</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469.93</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469.93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2080505</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机关事业单位基本养老保险缴费支出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449.6</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449.6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2080506</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机关事业单位职业年金缴费支出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335.69</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335.69</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210</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卫生健康支出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290.84</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290.84</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21011</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行政事业单位医疗</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290.84</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290.84</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2101102</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事业单位医疗</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192.49</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192.49</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2101199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其他行政事业单位医疗支出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98.35</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98.35</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211</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节能环保支出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21101</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环境保护管理事务</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2110199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其他环境保护管理事务支出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221</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住房保障支出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22102</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住房改革支出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2210203</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购房补贴</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108.16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229</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其他支出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22960</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彩票公益金安排的支出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eastAsia="Times New Roman"/>
                <w:color w:val="000000"/>
                <w:kern w:val="0"/>
                <w:sz w:val="18"/>
                <w:szCs w:val="18"/>
              </w:rPr>
              <w:t>2296003</w:t>
            </w:r>
          </w:p>
        </w:tc>
        <w:tc>
          <w:tcPr>
            <w:tcW w:w="2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用于体育事业的彩票公益金支出</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11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18"/>
                <w:szCs w:val="18"/>
              </w:rPr>
            </w:pPr>
            <w:r>
              <w:rPr>
                <w:rFonts w:ascii="宋体" w:hAnsi="宋体" w:cs="宋体"/>
                <w:color w:val="000000"/>
                <w:kern w:val="0"/>
                <w:sz w:val="18"/>
                <w:szCs w:val="18"/>
              </w:rPr>
              <w:t>注：本表反映部门本年度取得的各项收入情况。</w:t>
            </w:r>
          </w:p>
        </w:tc>
      </w:tr>
    </w:tbl>
    <w:p>
      <w:pPr>
        <w:pStyle w:val="5"/>
        <w:keepNext w:val="0"/>
        <w:keepLines w:val="0"/>
        <w:spacing w:before="100" w:after="100" w:line="240" w:lineRule="auto"/>
        <w:ind w:left="720" w:hanging="720" w:firstLineChars="0"/>
        <w:rPr>
          <w:rFonts w:eastAsia="Times New Roman"/>
          <w:b/>
          <w:sz w:val="28"/>
          <w:szCs w:val="28"/>
        </w:rPr>
      </w:pPr>
      <w:bookmarkStart w:id="37" w:name="_Toc20359"/>
      <w:r>
        <w:rPr>
          <w:rFonts w:ascii="黑体" w:hAnsi="黑体" w:eastAsia="黑体" w:cs="黑体"/>
          <w:b/>
        </w:rPr>
        <w:t>二、收入决算表</w:t>
      </w:r>
      <w:bookmarkEnd w:id="34"/>
      <w:bookmarkEnd w:id="35"/>
      <w:bookmarkEnd w:id="36"/>
      <w:bookmarkEnd w:id="37"/>
    </w:p>
    <w:p>
      <w:pPr>
        <w:sectPr>
          <w:footerReference r:id="rId9" w:type="default"/>
          <w:pgSz w:w="11906" w:h="16383"/>
          <w:pgMar w:top="720" w:right="1440" w:bottom="720" w:left="144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465" w:tblpY="690"/>
        <w:tblOverlap w:val="never"/>
        <w:tblW w:w="9066" w:type="dxa"/>
        <w:tblInd w:w="0" w:type="dxa"/>
        <w:tblLayout w:type="fixed"/>
        <w:tblCellMar>
          <w:top w:w="15" w:type="dxa"/>
          <w:left w:w="15" w:type="dxa"/>
          <w:bottom w:w="15" w:type="dxa"/>
          <w:right w:w="15" w:type="dxa"/>
        </w:tblCellMar>
      </w:tblPr>
      <w:tblGrid>
        <w:gridCol w:w="271"/>
        <w:gridCol w:w="272"/>
        <w:gridCol w:w="272"/>
        <w:gridCol w:w="2402"/>
        <w:gridCol w:w="1104"/>
        <w:gridCol w:w="876"/>
        <w:gridCol w:w="774"/>
        <w:gridCol w:w="963"/>
        <w:gridCol w:w="676"/>
        <w:gridCol w:w="1456"/>
      </w:tblGrid>
      <w:tr>
        <w:tblPrEx>
          <w:tblLayout w:type="fixed"/>
          <w:tblCellMar>
            <w:top w:w="15" w:type="dxa"/>
            <w:left w:w="15" w:type="dxa"/>
            <w:bottom w:w="15" w:type="dxa"/>
            <w:right w:w="15" w:type="dxa"/>
          </w:tblCellMar>
        </w:tblPrEx>
        <w:trPr>
          <w:tblHeader/>
        </w:trPr>
        <w:tc>
          <w:tcPr>
            <w:tcW w:w="9066" w:type="dxa"/>
            <w:gridSpan w:val="10"/>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bookmarkStart w:id="38" w:name="_Toc256000040"/>
            <w:bookmarkStart w:id="39" w:name="_Toc256000071"/>
            <w:bookmarkStart w:id="40" w:name="_Toc256000009"/>
            <w:r>
              <w:rPr>
                <w:rFonts w:ascii="宋体" w:hAnsi="宋体" w:cs="宋体"/>
                <w:color w:val="000000"/>
                <w:kern w:val="0"/>
                <w:sz w:val="20"/>
                <w:szCs w:val="20"/>
              </w:rPr>
              <w:t>支出决算表</w:t>
            </w:r>
          </w:p>
        </w:tc>
      </w:tr>
      <w:tr>
        <w:tblPrEx>
          <w:tblLayout w:type="fixed"/>
          <w:tblCellMar>
            <w:top w:w="15" w:type="dxa"/>
            <w:left w:w="15" w:type="dxa"/>
            <w:bottom w:w="15" w:type="dxa"/>
            <w:right w:w="15" w:type="dxa"/>
          </w:tblCellMar>
        </w:tblPrEx>
        <w:trPr>
          <w:tblHeader/>
        </w:trPr>
        <w:tc>
          <w:tcPr>
            <w:tcW w:w="27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7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7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4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eastAsia="Times New Roman"/>
                <w:color w:val="000000"/>
                <w:kern w:val="0"/>
                <w:sz w:val="21"/>
                <w:szCs w:val="21"/>
              </w:rPr>
              <w:t> </w:t>
            </w:r>
          </w:p>
        </w:tc>
      </w:tr>
      <w:tr>
        <w:tblPrEx>
          <w:tblLayout w:type="fixed"/>
          <w:tblCellMar>
            <w:top w:w="15" w:type="dxa"/>
            <w:left w:w="15" w:type="dxa"/>
            <w:bottom w:w="15" w:type="dxa"/>
            <w:right w:w="15" w:type="dxa"/>
          </w:tblCellMar>
        </w:tblPrEx>
        <w:tc>
          <w:tcPr>
            <w:tcW w:w="4321"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1"/>
                <w:szCs w:val="21"/>
              </w:rPr>
            </w:pPr>
            <w:r>
              <w:rPr>
                <w:rFonts w:ascii="宋体" w:hAnsi="宋体" w:cs="宋体"/>
                <w:color w:val="000000"/>
                <w:kern w:val="0"/>
                <w:sz w:val="21"/>
                <w:szCs w:val="21"/>
              </w:rPr>
              <w:t>部门</w:t>
            </w:r>
            <w:r>
              <w:rPr>
                <w:rFonts w:eastAsia="Times New Roman"/>
                <w:color w:val="000000"/>
                <w:kern w:val="0"/>
                <w:sz w:val="21"/>
                <w:szCs w:val="21"/>
              </w:rPr>
              <w:t>/</w:t>
            </w:r>
            <w:r>
              <w:rPr>
                <w:rFonts w:ascii="宋体" w:hAnsi="宋体" w:cs="宋体"/>
                <w:color w:val="000000"/>
                <w:kern w:val="0"/>
                <w:sz w:val="21"/>
                <w:szCs w:val="21"/>
              </w:rPr>
              <w:t>单位：厦门市湖里中学</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2024</w:t>
            </w:r>
            <w:r>
              <w:rPr>
                <w:rFonts w:ascii="宋体" w:hAnsi="宋体" w:cs="宋体"/>
                <w:color w:val="000000"/>
                <w:kern w:val="0"/>
                <w:sz w:val="21"/>
                <w:szCs w:val="21"/>
              </w:rPr>
              <w:t>年度</w:t>
            </w:r>
          </w:p>
        </w:tc>
        <w:tc>
          <w:tcPr>
            <w:tcW w:w="7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1"/>
                <w:szCs w:val="21"/>
              </w:rPr>
            </w:pPr>
            <w:r>
              <w:rPr>
                <w:rFonts w:ascii="宋体" w:hAnsi="宋体" w:cs="宋体"/>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21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11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本年支出合计</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基本支出</w:t>
            </w:r>
          </w:p>
        </w:tc>
        <w:tc>
          <w:tcPr>
            <w:tcW w:w="77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项目支出</w:t>
            </w:r>
          </w:p>
        </w:tc>
        <w:tc>
          <w:tcPr>
            <w:tcW w:w="9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上缴上级支出</w:t>
            </w:r>
          </w:p>
        </w:tc>
        <w:tc>
          <w:tcPr>
            <w:tcW w:w="6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经营支出</w:t>
            </w:r>
          </w:p>
        </w:tc>
        <w:tc>
          <w:tcPr>
            <w:tcW w:w="14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对附属单位补助支出</w:t>
            </w:r>
          </w:p>
        </w:tc>
      </w:tr>
      <w:tr>
        <w:tblPrEx>
          <w:tblLayout w:type="fixed"/>
          <w:tblCellMar>
            <w:top w:w="15" w:type="dxa"/>
            <w:left w:w="15" w:type="dxa"/>
            <w:bottom w:w="15" w:type="dxa"/>
            <w:right w:w="15" w:type="dxa"/>
          </w:tblCellMar>
        </w:tblPrEx>
        <w:trPr>
          <w:trHeight w:val="299" w:hRule="atLeast"/>
          <w:tblHeader/>
        </w:trPr>
        <w:tc>
          <w:tcPr>
            <w:tcW w:w="815"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科目代码</w:t>
            </w:r>
          </w:p>
        </w:tc>
        <w:tc>
          <w:tcPr>
            <w:tcW w:w="24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1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7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67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45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299" w:hRule="atLeast"/>
          <w:tblHeader/>
        </w:trPr>
        <w:tc>
          <w:tcPr>
            <w:tcW w:w="81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240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7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67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45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c>
          <w:tcPr>
            <w:tcW w:w="321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ascii="宋体" w:hAnsi="宋体" w:cs="宋体"/>
                <w:color w:val="000000"/>
                <w:kern w:val="0"/>
                <w:sz w:val="21"/>
                <w:szCs w:val="21"/>
              </w:rPr>
              <w:t>栏次</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2</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3</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4</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5</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1"/>
                <w:szCs w:val="21"/>
              </w:rPr>
            </w:pPr>
            <w:r>
              <w:rPr>
                <w:rFonts w:eastAsia="Times New Roman"/>
                <w:color w:val="000000"/>
                <w:kern w:val="0"/>
                <w:sz w:val="21"/>
                <w:szCs w:val="21"/>
              </w:rPr>
              <w:t>6</w:t>
            </w:r>
          </w:p>
        </w:tc>
      </w:tr>
      <w:tr>
        <w:tblPrEx>
          <w:tblLayout w:type="fixed"/>
          <w:tblCellMar>
            <w:top w:w="15" w:type="dxa"/>
            <w:left w:w="15" w:type="dxa"/>
            <w:bottom w:w="15" w:type="dxa"/>
            <w:right w:w="15" w:type="dxa"/>
          </w:tblCellMar>
        </w:tblPrEx>
        <w:tc>
          <w:tcPr>
            <w:tcW w:w="321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7,991.27</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7,344.34</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646.93</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6,317.06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5,690.13</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626.93</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普通教育</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5,988.55</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5,690.13</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298.42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2050203</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初中教育</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5,534.02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5,534.02</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其他普通教育支出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454.52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156.1</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298.42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教育费附加安排的支出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327.31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327.31</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其他教育费附加安排的支出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327.31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327.31</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社会保障和就业支出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1,255.21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1,255.21</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行政事业单位养老支出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1,255.21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1,255.21</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2080502</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事业单位离退休</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469.93</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469.93</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2080505</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机关事业单位基本养老保险缴费支出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449.6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449.6</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2080506</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机关事业单位职业年金缴费支出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335.69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335.69</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卫生健康支出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290.84</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290.84</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行政事业单位医疗</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290.84</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290.84</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2101102</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事业单位医疗</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192.49</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192.49</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其他行政事业单位医疗支出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98.35</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98.35</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211</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节能环保支出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21101</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环境保护管理事务</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2110199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其他环境保护管理事务支出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住房保障支出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住房改革支出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2210203</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购房补贴</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108.16</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229</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22960</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彩票公益金安排的支出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8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2296003</w:t>
            </w:r>
          </w:p>
        </w:tc>
        <w:tc>
          <w:tcPr>
            <w:tcW w:w="24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用于体育事业的彩票公益金支出</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6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4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066" w:type="dxa"/>
            <w:gridSpan w:val="10"/>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注：本表反映部门本年度各项支出情况。</w:t>
            </w:r>
          </w:p>
        </w:tc>
      </w:tr>
    </w:tbl>
    <w:p>
      <w:pPr>
        <w:pStyle w:val="5"/>
        <w:keepNext w:val="0"/>
        <w:keepLines w:val="0"/>
        <w:spacing w:before="100" w:after="100" w:line="240" w:lineRule="auto"/>
        <w:ind w:left="720" w:hanging="720" w:firstLineChars="0"/>
        <w:rPr>
          <w:rFonts w:eastAsia="Times New Roman"/>
          <w:b/>
          <w:sz w:val="28"/>
          <w:szCs w:val="28"/>
        </w:rPr>
      </w:pPr>
      <w:bookmarkStart w:id="41" w:name="_Toc31443"/>
      <w:r>
        <w:rPr>
          <w:rFonts w:ascii="黑体" w:hAnsi="黑体" w:eastAsia="黑体" w:cs="黑体"/>
          <w:b/>
        </w:rPr>
        <w:t>三、支出决算表</w:t>
      </w:r>
      <w:bookmarkEnd w:id="38"/>
      <w:bookmarkEnd w:id="39"/>
      <w:bookmarkEnd w:id="40"/>
      <w:bookmarkEnd w:id="41"/>
    </w:p>
    <w:p>
      <w:pPr>
        <w:sectPr>
          <w:footerReference r:id="rId10" w:type="default"/>
          <w:pgSz w:w="11906" w:h="16383"/>
          <w:pgMar w:top="720" w:right="1440" w:bottom="720" w:left="144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202" w:tblpY="695"/>
        <w:tblOverlap w:val="never"/>
        <w:tblW w:w="9220" w:type="dxa"/>
        <w:tblInd w:w="0" w:type="dxa"/>
        <w:tblLayout w:type="fixed"/>
        <w:tblCellMar>
          <w:top w:w="15" w:type="dxa"/>
          <w:left w:w="15" w:type="dxa"/>
          <w:bottom w:w="15" w:type="dxa"/>
          <w:right w:w="15" w:type="dxa"/>
        </w:tblCellMar>
      </w:tblPr>
      <w:tblGrid>
        <w:gridCol w:w="1718"/>
        <w:gridCol w:w="278"/>
        <w:gridCol w:w="505"/>
        <w:gridCol w:w="1824"/>
        <w:gridCol w:w="597"/>
        <w:gridCol w:w="499"/>
        <w:gridCol w:w="1144"/>
        <w:gridCol w:w="1166"/>
        <w:gridCol w:w="1489"/>
      </w:tblGrid>
      <w:tr>
        <w:tblPrEx>
          <w:tblLayout w:type="fixed"/>
          <w:tblCellMar>
            <w:top w:w="15" w:type="dxa"/>
            <w:left w:w="15" w:type="dxa"/>
            <w:bottom w:w="15" w:type="dxa"/>
            <w:right w:w="15" w:type="dxa"/>
          </w:tblCellMar>
        </w:tblPrEx>
        <w:trPr>
          <w:tblHeader/>
        </w:trPr>
        <w:tc>
          <w:tcPr>
            <w:tcW w:w="9220"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13"/>
                <w:szCs w:val="13"/>
              </w:rPr>
            </w:pPr>
            <w:bookmarkStart w:id="42" w:name="_Toc256000041"/>
            <w:bookmarkStart w:id="43" w:name="_Toc256000072"/>
            <w:bookmarkStart w:id="44" w:name="_Toc256000010"/>
            <w:r>
              <w:rPr>
                <w:rFonts w:ascii="宋体" w:hAnsi="宋体" w:cs="宋体"/>
                <w:color w:val="000000"/>
                <w:kern w:val="0"/>
                <w:sz w:val="13"/>
                <w:szCs w:val="13"/>
              </w:rPr>
              <w:t>财政拨款收入支出决算总表</w:t>
            </w:r>
          </w:p>
        </w:tc>
      </w:tr>
      <w:tr>
        <w:tblPrEx>
          <w:tblLayout w:type="fixed"/>
          <w:tblCellMar>
            <w:top w:w="15" w:type="dxa"/>
            <w:left w:w="15" w:type="dxa"/>
            <w:bottom w:w="15" w:type="dxa"/>
            <w:right w:w="15" w:type="dxa"/>
          </w:tblCellMar>
        </w:tblPrEx>
        <w:trPr>
          <w:tblHeader/>
        </w:trPr>
        <w:tc>
          <w:tcPr>
            <w:tcW w:w="199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5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5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4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rPr>
          <w:tblHeader/>
        </w:trPr>
        <w:tc>
          <w:tcPr>
            <w:tcW w:w="17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部门</w:t>
            </w:r>
            <w:r>
              <w:rPr>
                <w:rFonts w:eastAsia="Times New Roman"/>
                <w:color w:val="000000"/>
                <w:kern w:val="0"/>
                <w:sz w:val="15"/>
                <w:szCs w:val="15"/>
              </w:rPr>
              <w:t>/</w:t>
            </w:r>
            <w:r>
              <w:rPr>
                <w:rFonts w:ascii="宋体" w:hAnsi="宋体" w:cs="宋体"/>
                <w:color w:val="000000"/>
                <w:kern w:val="0"/>
                <w:sz w:val="15"/>
                <w:szCs w:val="15"/>
              </w:rPr>
              <w:t>单位：厦门市湖里中学</w:t>
            </w:r>
          </w:p>
        </w:tc>
        <w:tc>
          <w:tcPr>
            <w:tcW w:w="27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5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5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2024</w:t>
            </w:r>
            <w:r>
              <w:rPr>
                <w:rFonts w:ascii="宋体" w:hAnsi="宋体" w:cs="宋体"/>
                <w:color w:val="000000"/>
                <w:kern w:val="0"/>
                <w:sz w:val="15"/>
                <w:szCs w:val="15"/>
              </w:rPr>
              <w:t>年度</w:t>
            </w:r>
          </w:p>
        </w:tc>
        <w:tc>
          <w:tcPr>
            <w:tcW w:w="4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ascii="宋体" w:hAnsi="宋体" w:cs="宋体"/>
                <w:color w:val="000000"/>
                <w:kern w:val="0"/>
                <w:sz w:val="15"/>
                <w:szCs w:val="15"/>
              </w:rPr>
              <w:t>金额单位：万元</w:t>
            </w:r>
          </w:p>
        </w:tc>
      </w:tr>
      <w:tr>
        <w:tblPrEx>
          <w:tblLayout w:type="fixed"/>
          <w:tblCellMar>
            <w:top w:w="15" w:type="dxa"/>
            <w:left w:w="15" w:type="dxa"/>
            <w:bottom w:w="15" w:type="dxa"/>
            <w:right w:w="15" w:type="dxa"/>
          </w:tblCellMar>
        </w:tblPrEx>
        <w:tc>
          <w:tcPr>
            <w:tcW w:w="250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收入</w:t>
            </w:r>
          </w:p>
        </w:tc>
        <w:tc>
          <w:tcPr>
            <w:tcW w:w="6719"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支出</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项目</w:t>
            </w:r>
            <w:r>
              <w:rPr>
                <w:rFonts w:eastAsia="Times New Roman"/>
                <w:color w:val="000000"/>
                <w:kern w:val="0"/>
                <w:sz w:val="13"/>
                <w:szCs w:val="13"/>
              </w:rPr>
              <w:t xml:space="preserve">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行次</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金额</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项目</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行次</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合计</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一般公共预算财政拨款</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政府性基金预算财政拨款</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ascii="宋体" w:hAnsi="宋体" w:cs="宋体"/>
                <w:color w:val="000000"/>
                <w:kern w:val="0"/>
                <w:sz w:val="15"/>
                <w:szCs w:val="15"/>
              </w:rPr>
              <w:t>国有资本经营预算财政拨款</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栏次</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1</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栏次</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2</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4</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一、一般公共预算财政拨款</w:t>
            </w:r>
            <w:r>
              <w:rPr>
                <w:rFonts w:eastAsia="Times New Roman"/>
                <w:color w:val="000000"/>
                <w:kern w:val="0"/>
                <w:sz w:val="13"/>
                <w:szCs w:val="13"/>
              </w:rPr>
              <w:t xml:space="preserve">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1</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7,989.27</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一、一般公共服务支出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33</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二、政府性基金预算财政拨款</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2</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2</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二、外交支出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34</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三、国有资本经营预算财政拨款</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三、国防支出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35</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4</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四、公共安全支出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36</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5</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五、教育支出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37</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6,317.06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6,317.06</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6</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六、科学技术支出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38</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7</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七、文化旅游体育与传媒支出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39</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8</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八、社会保障和就业支出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40</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1,255.21</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1,255.21</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9</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九、卫生健康支出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41</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290.84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290.84</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10</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十、节能环保支出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42</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18</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18</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11</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十一、城乡社区支出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43</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12</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十二、农林水支出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44</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13</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十三、交通运输支出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45</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14</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十四、资源勘探工业信息等支出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46</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15</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十五、商业服务业等支出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47</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16</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十六、金融支出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48</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17</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十七、援助其他地区支出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49</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18</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十八、自然资源海洋气象等支出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50</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19</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十九、住房保障支出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51</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108.16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108.16</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20</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二十、粮油物资储备支出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52</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21</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二十一、国有资本经营预算支出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53</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22</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二十二、灾害防治及应急管理支出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54</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23</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二十三、其他支出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55</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2</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2</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24</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二十四、债务还本支出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56</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25</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二十五、债务付息支出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57</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26</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二十六、抗疫特别国债安排的支出</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58</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本年收入合计</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27</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7,991.27</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本年支出合计</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59</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7,991.27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7,989.27</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2</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年初财政拨款结转和结余</w:t>
            </w:r>
            <w:r>
              <w:rPr>
                <w:rFonts w:eastAsia="Times New Roman"/>
                <w:color w:val="000000"/>
                <w:kern w:val="0"/>
                <w:sz w:val="13"/>
                <w:szCs w:val="13"/>
              </w:rPr>
              <w:t xml:space="preserve">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28</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年末财政拨款结转和结余</w:t>
            </w:r>
            <w:r>
              <w:rPr>
                <w:rFonts w:eastAsia="Times New Roman"/>
                <w:color w:val="000000"/>
                <w:kern w:val="0"/>
                <w:sz w:val="13"/>
                <w:szCs w:val="13"/>
              </w:rPr>
              <w:t xml:space="preserve"> </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60</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一、一般公共预算财政拨款</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29</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61</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ascii="宋体" w:hAnsi="宋体" w:cs="宋体"/>
                <w:color w:val="000000"/>
                <w:kern w:val="0"/>
                <w:sz w:val="13"/>
                <w:szCs w:val="13"/>
              </w:rPr>
              <w:t>二、政府性基金预算财政拨款</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30</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3"/>
                <w:szCs w:val="13"/>
              </w:rPr>
            </w:pPr>
            <w:r>
              <w:rPr>
                <w:rFonts w:eastAsia="Times New Roman"/>
                <w:color w:val="000000"/>
                <w:kern w:val="0"/>
                <w:sz w:val="13"/>
                <w:szCs w:val="13"/>
              </w:rPr>
              <w:t> </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62</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ascii="宋体" w:hAnsi="宋体" w:cs="宋体"/>
                <w:color w:val="000000"/>
                <w:kern w:val="0"/>
                <w:sz w:val="15"/>
                <w:szCs w:val="15"/>
              </w:rPr>
              <w:t>三、国有资本经营预算财政拨款</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31</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5"/>
                <w:szCs w:val="15"/>
              </w:rPr>
            </w:pPr>
            <w:r>
              <w:rPr>
                <w:rFonts w:eastAsia="Times New Roman"/>
                <w:color w:val="000000"/>
                <w:kern w:val="0"/>
                <w:sz w:val="15"/>
                <w:szCs w:val="15"/>
              </w:rPr>
              <w:t>63</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17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总计</w:t>
            </w:r>
            <w:r>
              <w:rPr>
                <w:rFonts w:eastAsia="Times New Roman"/>
                <w:color w:val="000000"/>
                <w:kern w:val="0"/>
                <w:sz w:val="13"/>
                <w:szCs w:val="13"/>
              </w:rPr>
              <w:t xml:space="preserve"> </w:t>
            </w:r>
          </w:p>
        </w:tc>
        <w:tc>
          <w:tcPr>
            <w:tcW w:w="2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32</w:t>
            </w:r>
          </w:p>
        </w:tc>
        <w:tc>
          <w:tcPr>
            <w:tcW w:w="5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7,991.27</w:t>
            </w:r>
          </w:p>
        </w:tc>
        <w:tc>
          <w:tcPr>
            <w:tcW w:w="18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ascii="宋体" w:hAnsi="宋体" w:cs="宋体"/>
                <w:color w:val="000000"/>
                <w:kern w:val="0"/>
                <w:sz w:val="13"/>
                <w:szCs w:val="13"/>
              </w:rPr>
              <w:t>总计</w:t>
            </w:r>
            <w:r>
              <w:rPr>
                <w:rFonts w:eastAsia="Times New Roman"/>
                <w:color w:val="000000"/>
                <w:kern w:val="0"/>
                <w:sz w:val="13"/>
                <w:szCs w:val="13"/>
              </w:rPr>
              <w:t xml:space="preserve"> </w:t>
            </w:r>
          </w:p>
        </w:tc>
        <w:tc>
          <w:tcPr>
            <w:tcW w:w="5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3"/>
                <w:szCs w:val="13"/>
              </w:rPr>
            </w:pPr>
            <w:r>
              <w:rPr>
                <w:rFonts w:eastAsia="Times New Roman"/>
                <w:color w:val="000000"/>
                <w:kern w:val="0"/>
                <w:sz w:val="13"/>
                <w:szCs w:val="13"/>
              </w:rPr>
              <w:t>64</w:t>
            </w:r>
          </w:p>
        </w:tc>
        <w:tc>
          <w:tcPr>
            <w:tcW w:w="4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7,991.27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7,989.27</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3"/>
                <w:szCs w:val="13"/>
              </w:rPr>
            </w:pPr>
            <w:r>
              <w:rPr>
                <w:rFonts w:eastAsia="Times New Roman"/>
                <w:color w:val="000000"/>
                <w:kern w:val="0"/>
                <w:sz w:val="13"/>
                <w:szCs w:val="13"/>
              </w:rPr>
              <w:t>2</w:t>
            </w:r>
          </w:p>
        </w:tc>
        <w:tc>
          <w:tcPr>
            <w:tcW w:w="1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5"/>
                <w:szCs w:val="15"/>
              </w:rPr>
            </w:pPr>
            <w:r>
              <w:rPr>
                <w:rFonts w:eastAsia="Times New Roman"/>
                <w:color w:val="000000"/>
                <w:kern w:val="0"/>
                <w:sz w:val="15"/>
                <w:szCs w:val="15"/>
              </w:rPr>
              <w:t> </w:t>
            </w:r>
          </w:p>
        </w:tc>
      </w:tr>
      <w:tr>
        <w:tblPrEx>
          <w:tblLayout w:type="fixed"/>
          <w:tblCellMar>
            <w:top w:w="15" w:type="dxa"/>
            <w:left w:w="15" w:type="dxa"/>
            <w:bottom w:w="15" w:type="dxa"/>
            <w:right w:w="15" w:type="dxa"/>
          </w:tblCellMar>
        </w:tblPrEx>
        <w:tc>
          <w:tcPr>
            <w:tcW w:w="9220"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13"/>
                <w:szCs w:val="13"/>
              </w:rPr>
            </w:pPr>
            <w:r>
              <w:rPr>
                <w:rFonts w:ascii="宋体" w:hAnsi="宋体" w:cs="宋体"/>
                <w:color w:val="000000"/>
                <w:kern w:val="0"/>
                <w:sz w:val="13"/>
                <w:szCs w:val="13"/>
              </w:rPr>
              <w:t>注：本表反映部门本年度一般公共预算财政拨款、政府性基金预算财政拨款和国有资本经营预算财政拨款的总收支和年末结转结余情况。</w:t>
            </w:r>
          </w:p>
        </w:tc>
      </w:tr>
    </w:tbl>
    <w:p>
      <w:pPr>
        <w:pStyle w:val="5"/>
        <w:keepNext w:val="0"/>
        <w:keepLines w:val="0"/>
        <w:spacing w:before="100" w:after="100" w:line="240" w:lineRule="auto"/>
        <w:ind w:left="720" w:hanging="720" w:firstLineChars="0"/>
        <w:rPr>
          <w:rFonts w:eastAsia="Times New Roman"/>
          <w:b/>
          <w:sz w:val="28"/>
          <w:szCs w:val="28"/>
        </w:rPr>
      </w:pPr>
      <w:bookmarkStart w:id="45" w:name="_Toc8600"/>
      <w:r>
        <w:rPr>
          <w:rFonts w:ascii="黑体" w:hAnsi="黑体" w:eastAsia="黑体" w:cs="黑体"/>
          <w:b/>
        </w:rPr>
        <w:t>四、财政拨款收入支出决算总表</w:t>
      </w:r>
      <w:bookmarkEnd w:id="42"/>
      <w:bookmarkEnd w:id="43"/>
      <w:bookmarkEnd w:id="44"/>
      <w:bookmarkEnd w:id="45"/>
    </w:p>
    <w:p>
      <w:pPr>
        <w:sectPr>
          <w:footerReference r:id="rId11" w:type="default"/>
          <w:pgSz w:w="11906" w:h="16383"/>
          <w:pgMar w:top="720" w:right="1440" w:bottom="720" w:left="144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446" w:tblpY="842"/>
        <w:tblOverlap w:val="never"/>
        <w:tblW w:w="8997" w:type="dxa"/>
        <w:tblInd w:w="0" w:type="dxa"/>
        <w:tblLayout w:type="fixed"/>
        <w:tblCellMar>
          <w:top w:w="15" w:type="dxa"/>
          <w:left w:w="15" w:type="dxa"/>
          <w:bottom w:w="15" w:type="dxa"/>
          <w:right w:w="15" w:type="dxa"/>
        </w:tblCellMar>
      </w:tblPr>
      <w:tblGrid>
        <w:gridCol w:w="335"/>
        <w:gridCol w:w="334"/>
        <w:gridCol w:w="335"/>
        <w:gridCol w:w="3884"/>
        <w:gridCol w:w="884"/>
        <w:gridCol w:w="1221"/>
        <w:gridCol w:w="2004"/>
      </w:tblGrid>
      <w:tr>
        <w:tblPrEx>
          <w:tblLayout w:type="fixed"/>
          <w:tblCellMar>
            <w:top w:w="15" w:type="dxa"/>
            <w:left w:w="15" w:type="dxa"/>
            <w:bottom w:w="15" w:type="dxa"/>
            <w:right w:w="15" w:type="dxa"/>
          </w:tblCellMar>
        </w:tblPrEx>
        <w:trPr>
          <w:tblHeader/>
        </w:trPr>
        <w:tc>
          <w:tcPr>
            <w:tcW w:w="8997" w:type="dxa"/>
            <w:gridSpan w:val="7"/>
            <w:tcMar>
              <w:top w:w="20" w:type="dxa"/>
              <w:left w:w="20" w:type="dxa"/>
              <w:bottom w:w="20" w:type="dxa"/>
              <w:right w:w="20" w:type="dxa"/>
            </w:tcMar>
            <w:vAlign w:val="center"/>
          </w:tcPr>
          <w:p>
            <w:pPr>
              <w:widowControl/>
              <w:spacing w:line="900" w:lineRule="atLeast"/>
              <w:jc w:val="center"/>
              <w:rPr>
                <w:rFonts w:eastAsia="Times New Roman"/>
                <w:color w:val="000000"/>
                <w:kern w:val="0"/>
                <w:sz w:val="24"/>
                <w:szCs w:val="24"/>
              </w:rPr>
            </w:pPr>
            <w:bookmarkStart w:id="46" w:name="_Toc256000042"/>
            <w:bookmarkStart w:id="47" w:name="_Toc256000011"/>
            <w:bookmarkStart w:id="48" w:name="_Toc256000073"/>
            <w:r>
              <w:rPr>
                <w:rFonts w:ascii="宋体" w:hAnsi="宋体" w:cs="宋体"/>
                <w:color w:val="000000"/>
                <w:kern w:val="0"/>
                <w:sz w:val="24"/>
                <w:szCs w:val="24"/>
              </w:rPr>
              <w:t>一般公共预算财政拨款支出决算表</w:t>
            </w:r>
          </w:p>
        </w:tc>
      </w:tr>
      <w:tr>
        <w:tblPrEx>
          <w:tblLayout w:type="fixed"/>
          <w:tblCellMar>
            <w:top w:w="15" w:type="dxa"/>
            <w:left w:w="15" w:type="dxa"/>
            <w:bottom w:w="15" w:type="dxa"/>
            <w:right w:w="15" w:type="dxa"/>
          </w:tblCellMar>
        </w:tblPrEx>
        <w:trPr>
          <w:tblHeader/>
        </w:trPr>
        <w:tc>
          <w:tcPr>
            <w:tcW w:w="3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3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3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38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8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12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8"/>
                <w:szCs w:val="28"/>
              </w:rPr>
            </w:pPr>
            <w:r>
              <w:rPr>
                <w:rFonts w:eastAsia="Times New Roman"/>
                <w:color w:val="000000"/>
                <w:kern w:val="0"/>
                <w:sz w:val="28"/>
                <w:szCs w:val="28"/>
              </w:rPr>
              <w:t> </w:t>
            </w:r>
          </w:p>
        </w:tc>
      </w:tr>
      <w:tr>
        <w:tblPrEx>
          <w:tblLayout w:type="fixed"/>
          <w:tblCellMar>
            <w:top w:w="15" w:type="dxa"/>
            <w:left w:w="15" w:type="dxa"/>
            <w:bottom w:w="15" w:type="dxa"/>
            <w:right w:w="15" w:type="dxa"/>
          </w:tblCellMar>
        </w:tblPrEx>
        <w:tc>
          <w:tcPr>
            <w:tcW w:w="577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8"/>
                <w:szCs w:val="28"/>
              </w:rPr>
            </w:pPr>
            <w:r>
              <w:rPr>
                <w:rFonts w:ascii="宋体" w:hAnsi="宋体" w:cs="宋体"/>
                <w:color w:val="000000"/>
                <w:kern w:val="0"/>
                <w:sz w:val="28"/>
                <w:szCs w:val="28"/>
              </w:rPr>
              <w:t>部门</w:t>
            </w:r>
            <w:r>
              <w:rPr>
                <w:rFonts w:eastAsia="Times New Roman"/>
                <w:color w:val="000000"/>
                <w:kern w:val="0"/>
                <w:sz w:val="28"/>
                <w:szCs w:val="28"/>
              </w:rPr>
              <w:t>/</w:t>
            </w:r>
            <w:r>
              <w:rPr>
                <w:rFonts w:ascii="宋体" w:hAnsi="宋体" w:cs="宋体"/>
                <w:color w:val="000000"/>
                <w:kern w:val="0"/>
                <w:sz w:val="28"/>
                <w:szCs w:val="28"/>
              </w:rPr>
              <w:t>单位：厦门市湖里中学</w:t>
            </w:r>
          </w:p>
        </w:tc>
        <w:tc>
          <w:tcPr>
            <w:tcW w:w="12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8"/>
                <w:szCs w:val="28"/>
              </w:rPr>
            </w:pPr>
            <w:r>
              <w:rPr>
                <w:rFonts w:eastAsia="Times New Roman"/>
                <w:color w:val="000000"/>
                <w:kern w:val="0"/>
                <w:sz w:val="28"/>
                <w:szCs w:val="28"/>
              </w:rPr>
              <w:t>2024</w:t>
            </w:r>
            <w:r>
              <w:rPr>
                <w:rFonts w:ascii="宋体" w:hAnsi="宋体" w:cs="宋体"/>
                <w:color w:val="000000"/>
                <w:kern w:val="0"/>
                <w:sz w:val="28"/>
                <w:szCs w:val="28"/>
              </w:rPr>
              <w:t>年度</w:t>
            </w:r>
          </w:p>
        </w:tc>
        <w:tc>
          <w:tcPr>
            <w:tcW w:w="2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8"/>
                <w:szCs w:val="28"/>
              </w:rPr>
            </w:pPr>
            <w:r>
              <w:rPr>
                <w:rFonts w:ascii="宋体" w:hAnsi="宋体" w:cs="宋体"/>
                <w:color w:val="000000"/>
                <w:kern w:val="0"/>
                <w:sz w:val="28"/>
                <w:szCs w:val="28"/>
              </w:rPr>
              <w:t>金额单位：万元</w:t>
            </w:r>
          </w:p>
        </w:tc>
      </w:tr>
      <w:tr>
        <w:tblPrEx>
          <w:tblLayout w:type="fixed"/>
          <w:tblCellMar>
            <w:top w:w="15" w:type="dxa"/>
            <w:left w:w="15" w:type="dxa"/>
            <w:bottom w:w="15" w:type="dxa"/>
            <w:right w:w="15" w:type="dxa"/>
          </w:tblCellMar>
        </w:tblPrEx>
        <w:tc>
          <w:tcPr>
            <w:tcW w:w="488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项目</w:t>
            </w:r>
          </w:p>
        </w:tc>
        <w:tc>
          <w:tcPr>
            <w:tcW w:w="410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本年支出</w:t>
            </w:r>
          </w:p>
        </w:tc>
      </w:tr>
      <w:tr>
        <w:tblPrEx>
          <w:tblLayout w:type="fixed"/>
          <w:tblCellMar>
            <w:top w:w="15" w:type="dxa"/>
            <w:left w:w="15" w:type="dxa"/>
            <w:bottom w:w="15" w:type="dxa"/>
            <w:right w:w="15" w:type="dxa"/>
          </w:tblCellMar>
        </w:tblPrEx>
        <w:trPr>
          <w:trHeight w:val="299" w:hRule="atLeast"/>
          <w:tblHeader/>
        </w:trPr>
        <w:tc>
          <w:tcPr>
            <w:tcW w:w="1004"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科目代码</w:t>
            </w:r>
          </w:p>
        </w:tc>
        <w:tc>
          <w:tcPr>
            <w:tcW w:w="38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科目名称</w:t>
            </w:r>
          </w:p>
        </w:tc>
        <w:tc>
          <w:tcPr>
            <w:tcW w:w="8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小计</w:t>
            </w:r>
          </w:p>
        </w:tc>
        <w:tc>
          <w:tcPr>
            <w:tcW w:w="12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基本支出</w:t>
            </w:r>
          </w:p>
        </w:tc>
        <w:tc>
          <w:tcPr>
            <w:tcW w:w="20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项目支出</w:t>
            </w:r>
          </w:p>
        </w:tc>
      </w:tr>
      <w:tr>
        <w:tblPrEx>
          <w:tblLayout w:type="fixed"/>
          <w:tblCellMar>
            <w:top w:w="15" w:type="dxa"/>
            <w:left w:w="15" w:type="dxa"/>
            <w:bottom w:w="15" w:type="dxa"/>
            <w:right w:w="15" w:type="dxa"/>
          </w:tblCellMar>
        </w:tblPrEx>
        <w:trPr>
          <w:trHeight w:val="299" w:hRule="atLeast"/>
          <w:tblHeader/>
        </w:trPr>
        <w:tc>
          <w:tcPr>
            <w:tcW w:w="10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38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8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12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20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r>
      <w:tr>
        <w:tblPrEx>
          <w:tblLayout w:type="fixed"/>
          <w:tblCellMar>
            <w:top w:w="15" w:type="dxa"/>
            <w:left w:w="15" w:type="dxa"/>
            <w:bottom w:w="15" w:type="dxa"/>
            <w:right w:w="15" w:type="dxa"/>
          </w:tblCellMar>
        </w:tblPrEx>
        <w:trPr>
          <w:tblHeader/>
        </w:trPr>
        <w:tc>
          <w:tcPr>
            <w:tcW w:w="10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38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4"/>
                <w:szCs w:val="24"/>
              </w:rPr>
            </w:pP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eastAsia="Times New Roman"/>
                <w:color w:val="000000"/>
                <w:kern w:val="0"/>
                <w:sz w:val="24"/>
                <w:szCs w:val="24"/>
              </w:rPr>
              <w:t>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eastAsia="Times New Roman"/>
                <w:color w:val="000000"/>
                <w:kern w:val="0"/>
                <w:sz w:val="24"/>
                <w:szCs w:val="24"/>
              </w:rPr>
              <w:t>2</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eastAsia="Times New Roman"/>
                <w:color w:val="000000"/>
                <w:kern w:val="0"/>
                <w:sz w:val="24"/>
                <w:szCs w:val="24"/>
              </w:rPr>
              <w:t>3</w:t>
            </w:r>
          </w:p>
        </w:tc>
      </w:tr>
      <w:tr>
        <w:tblPrEx>
          <w:tblLayout w:type="fixed"/>
          <w:tblCellMar>
            <w:top w:w="15" w:type="dxa"/>
            <w:left w:w="15" w:type="dxa"/>
            <w:bottom w:w="15" w:type="dxa"/>
            <w:right w:w="15" w:type="dxa"/>
          </w:tblCellMar>
        </w:tblPrEx>
        <w:tc>
          <w:tcPr>
            <w:tcW w:w="488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4"/>
                <w:szCs w:val="24"/>
              </w:rPr>
            </w:pPr>
            <w:r>
              <w:rPr>
                <w:rFonts w:ascii="宋体" w:hAnsi="宋体" w:cs="宋体"/>
                <w:color w:val="000000"/>
                <w:kern w:val="0"/>
                <w:sz w:val="24"/>
                <w:szCs w:val="24"/>
              </w:rPr>
              <w:t>合计</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7,989.27</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7,344.34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644.93</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6,317.06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5,690.13</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626.93</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普通教育</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5,988.55</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5,690.13</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298.42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2050203</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初中教育</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5,534.02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5,534.02</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2050299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其他普通教育支出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454.52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156.1</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298.42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20509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教育费附加安排的支出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327.31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327.31</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2050999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其他教育费附加安排的支出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327.31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327.31</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2059999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其他教育支出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208</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社会保障和就业支出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1,255.21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1,255.21</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20805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行政事业单位养老支出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1,255.21</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1,255.21</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2080502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事业单位离退休</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469.93</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469.93</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2080505</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机关事业单位基本养老保险缴费支出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449.6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449.6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2080506</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机关事业单位职业年金缴费支出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335.69</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335.69</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210</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卫生健康支出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290.84</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290.84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21011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行政事业单位医疗</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290.84</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290.84</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2101102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事业单位医疗</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192.49</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192.49</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2101199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其他行政事业单位医疗支出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98.35</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98.35</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节能环保支出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21101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环境保护管理事务</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2110199</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其他环境保护管理事务支出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18</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221</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住房保障支出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22102</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住房改革支出</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100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eastAsia="Times New Roman"/>
                <w:color w:val="000000"/>
                <w:kern w:val="0"/>
                <w:sz w:val="24"/>
                <w:szCs w:val="24"/>
              </w:rPr>
              <w:t>2210203</w:t>
            </w:r>
          </w:p>
        </w:tc>
        <w:tc>
          <w:tcPr>
            <w:tcW w:w="3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4"/>
                <w:szCs w:val="24"/>
              </w:rPr>
            </w:pPr>
            <w:r>
              <w:rPr>
                <w:rFonts w:ascii="宋体" w:hAnsi="宋体" w:cs="宋体"/>
                <w:color w:val="000000"/>
                <w:kern w:val="0"/>
                <w:sz w:val="24"/>
                <w:szCs w:val="24"/>
              </w:rPr>
              <w:t>购房补贴</w:t>
            </w:r>
          </w:p>
        </w:tc>
        <w:tc>
          <w:tcPr>
            <w:tcW w:w="8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12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108.16</w:t>
            </w:r>
          </w:p>
        </w:tc>
        <w:tc>
          <w:tcPr>
            <w:tcW w:w="2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4"/>
                <w:szCs w:val="24"/>
              </w:rPr>
            </w:pPr>
            <w:r>
              <w:rPr>
                <w:rFonts w:eastAsia="Times New Roman"/>
                <w:color w:val="000000"/>
                <w:kern w:val="0"/>
                <w:sz w:val="24"/>
                <w:szCs w:val="24"/>
              </w:rPr>
              <w:t> </w:t>
            </w:r>
          </w:p>
        </w:tc>
      </w:tr>
      <w:tr>
        <w:tblPrEx>
          <w:tblLayout w:type="fixed"/>
          <w:tblCellMar>
            <w:top w:w="15" w:type="dxa"/>
            <w:left w:w="15" w:type="dxa"/>
            <w:bottom w:w="15" w:type="dxa"/>
            <w:right w:w="15" w:type="dxa"/>
          </w:tblCellMar>
        </w:tblPrEx>
        <w:tc>
          <w:tcPr>
            <w:tcW w:w="8997" w:type="dxa"/>
            <w:gridSpan w:val="7"/>
            <w:tcMar>
              <w:top w:w="20" w:type="dxa"/>
              <w:left w:w="20" w:type="dxa"/>
              <w:bottom w:w="20" w:type="dxa"/>
              <w:right w:w="20" w:type="dxa"/>
            </w:tcMar>
            <w:vAlign w:val="center"/>
          </w:tcPr>
          <w:p>
            <w:pPr>
              <w:widowControl/>
              <w:spacing w:line="375" w:lineRule="atLeast"/>
              <w:jc w:val="left"/>
              <w:rPr>
                <w:rFonts w:eastAsia="Times New Roman"/>
                <w:color w:val="000000"/>
                <w:kern w:val="0"/>
                <w:sz w:val="24"/>
                <w:szCs w:val="24"/>
              </w:rPr>
            </w:pPr>
            <w:r>
              <w:rPr>
                <w:rFonts w:ascii="宋体" w:hAnsi="宋体" w:cs="宋体"/>
                <w:color w:val="000000"/>
                <w:kern w:val="0"/>
                <w:sz w:val="24"/>
                <w:szCs w:val="24"/>
              </w:rPr>
              <w:t>注：本表反映部门本年度一般公共预算财政拨款支出情况。</w:t>
            </w:r>
          </w:p>
        </w:tc>
      </w:tr>
    </w:tbl>
    <w:p>
      <w:pPr>
        <w:pStyle w:val="5"/>
        <w:keepNext w:val="0"/>
        <w:keepLines w:val="0"/>
        <w:spacing w:before="100" w:after="100" w:line="240" w:lineRule="auto"/>
        <w:ind w:left="720" w:hanging="720" w:firstLineChars="0"/>
        <w:rPr>
          <w:rFonts w:eastAsia="Times New Roman"/>
          <w:b/>
          <w:sz w:val="28"/>
          <w:szCs w:val="28"/>
        </w:rPr>
      </w:pPr>
      <w:bookmarkStart w:id="49" w:name="_Toc24700"/>
      <w:r>
        <w:rPr>
          <w:rFonts w:ascii="黑体" w:hAnsi="黑体" w:eastAsia="黑体" w:cs="黑体"/>
          <w:b/>
        </w:rPr>
        <w:t>五、一般公共预算财政拨款支出决算表</w:t>
      </w:r>
      <w:bookmarkEnd w:id="46"/>
      <w:bookmarkEnd w:id="47"/>
      <w:bookmarkEnd w:id="48"/>
      <w:bookmarkEnd w:id="49"/>
    </w:p>
    <w:p>
      <w:pPr>
        <w:sectPr>
          <w:footerReference r:id="rId12" w:type="default"/>
          <w:pgSz w:w="11906" w:h="16383"/>
          <w:pgMar w:top="720" w:right="1440" w:bottom="720" w:left="144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203" w:tblpY="869"/>
        <w:tblOverlap w:val="never"/>
        <w:tblW w:w="9066" w:type="dxa"/>
        <w:tblInd w:w="0" w:type="dxa"/>
        <w:tblLayout w:type="fixed"/>
        <w:tblCellMar>
          <w:top w:w="15" w:type="dxa"/>
          <w:left w:w="15" w:type="dxa"/>
          <w:bottom w:w="15" w:type="dxa"/>
          <w:right w:w="15" w:type="dxa"/>
        </w:tblCellMar>
      </w:tblPr>
      <w:tblGrid>
        <w:gridCol w:w="933"/>
        <w:gridCol w:w="1502"/>
        <w:gridCol w:w="604"/>
        <w:gridCol w:w="933"/>
        <w:gridCol w:w="1057"/>
        <w:gridCol w:w="484"/>
        <w:gridCol w:w="933"/>
        <w:gridCol w:w="1715"/>
        <w:gridCol w:w="905"/>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16"/>
                <w:szCs w:val="16"/>
              </w:rPr>
            </w:pPr>
            <w:bookmarkStart w:id="50" w:name="_Toc256000074"/>
            <w:bookmarkStart w:id="51" w:name="_Toc256000012"/>
            <w:bookmarkStart w:id="52" w:name="_Toc256000043"/>
            <w:r>
              <w:rPr>
                <w:rFonts w:ascii="宋体" w:hAnsi="宋体" w:cs="宋体"/>
                <w:color w:val="000000"/>
                <w:kern w:val="0"/>
                <w:sz w:val="16"/>
                <w:szCs w:val="16"/>
              </w:rPr>
              <w:t>一般公共预算财政拨款基本支出决算表</w:t>
            </w:r>
          </w:p>
        </w:tc>
      </w:tr>
      <w:tr>
        <w:tblPrEx>
          <w:tblLayout w:type="fixed"/>
          <w:tblCellMar>
            <w:top w:w="15" w:type="dxa"/>
            <w:left w:w="15" w:type="dxa"/>
            <w:bottom w:w="15" w:type="dxa"/>
            <w:right w:w="15" w:type="dxa"/>
          </w:tblCellMar>
        </w:tblPrEx>
        <w:trPr>
          <w:tblHeader/>
        </w:trPr>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10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4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17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9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rPr>
          <w:tblHeader/>
        </w:trPr>
        <w:tc>
          <w:tcPr>
            <w:tcW w:w="3972"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18"/>
                <w:szCs w:val="18"/>
              </w:rPr>
            </w:pPr>
            <w:r>
              <w:rPr>
                <w:rFonts w:ascii="宋体" w:hAnsi="宋体" w:cs="宋体"/>
                <w:color w:val="000000"/>
                <w:kern w:val="0"/>
                <w:sz w:val="18"/>
                <w:szCs w:val="18"/>
              </w:rPr>
              <w:t>部门</w:t>
            </w:r>
            <w:r>
              <w:rPr>
                <w:rFonts w:eastAsia="Times New Roman"/>
                <w:color w:val="000000"/>
                <w:kern w:val="0"/>
                <w:sz w:val="18"/>
                <w:szCs w:val="18"/>
              </w:rPr>
              <w:t>/</w:t>
            </w:r>
            <w:r>
              <w:rPr>
                <w:rFonts w:ascii="宋体" w:hAnsi="宋体" w:cs="宋体"/>
                <w:color w:val="000000"/>
                <w:kern w:val="0"/>
                <w:sz w:val="18"/>
                <w:szCs w:val="18"/>
              </w:rPr>
              <w:t>单位：厦门市湖里中学</w:t>
            </w:r>
          </w:p>
        </w:tc>
        <w:tc>
          <w:tcPr>
            <w:tcW w:w="10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18"/>
                <w:szCs w:val="18"/>
              </w:rPr>
            </w:pPr>
            <w:r>
              <w:rPr>
                <w:rFonts w:eastAsia="Times New Roman"/>
                <w:color w:val="000000"/>
                <w:kern w:val="0"/>
                <w:sz w:val="18"/>
                <w:szCs w:val="18"/>
              </w:rPr>
              <w:t>2024</w:t>
            </w:r>
            <w:r>
              <w:rPr>
                <w:rFonts w:ascii="宋体" w:hAnsi="宋体" w:cs="宋体"/>
                <w:color w:val="000000"/>
                <w:kern w:val="0"/>
                <w:sz w:val="18"/>
                <w:szCs w:val="18"/>
              </w:rPr>
              <w:t>年度</w:t>
            </w:r>
          </w:p>
        </w:tc>
        <w:tc>
          <w:tcPr>
            <w:tcW w:w="4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17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16"/>
                <w:szCs w:val="16"/>
              </w:rPr>
            </w:pPr>
            <w:r>
              <w:rPr>
                <w:rFonts w:eastAsia="Times New Roman"/>
                <w:color w:val="000000"/>
                <w:kern w:val="0"/>
                <w:sz w:val="16"/>
                <w:szCs w:val="16"/>
              </w:rPr>
              <w:t> </w:t>
            </w:r>
          </w:p>
        </w:tc>
        <w:tc>
          <w:tcPr>
            <w:tcW w:w="9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ascii="宋体" w:hAnsi="宋体" w:cs="宋体"/>
                <w:color w:val="000000"/>
                <w:kern w:val="0"/>
                <w:sz w:val="18"/>
                <w:szCs w:val="18"/>
              </w:rPr>
              <w:t>金额单位：万元</w:t>
            </w:r>
          </w:p>
        </w:tc>
      </w:tr>
      <w:tr>
        <w:tblPrEx>
          <w:tblLayout w:type="fixed"/>
          <w:tblCellMar>
            <w:top w:w="15" w:type="dxa"/>
            <w:left w:w="15" w:type="dxa"/>
            <w:bottom w:w="15" w:type="dxa"/>
            <w:right w:w="15" w:type="dxa"/>
          </w:tblCellMar>
        </w:tblPrEx>
        <w:trPr>
          <w:trHeight w:val="299" w:hRule="atLeast"/>
          <w:tblHeader/>
        </w:trPr>
        <w:tc>
          <w:tcPr>
            <w:tcW w:w="9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经济分类科目编码</w:t>
            </w:r>
          </w:p>
        </w:tc>
        <w:tc>
          <w:tcPr>
            <w:tcW w:w="15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科目名称</w:t>
            </w:r>
          </w:p>
        </w:tc>
        <w:tc>
          <w:tcPr>
            <w:tcW w:w="6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金额</w:t>
            </w:r>
          </w:p>
        </w:tc>
        <w:tc>
          <w:tcPr>
            <w:tcW w:w="9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经济分类科目编码</w:t>
            </w:r>
          </w:p>
        </w:tc>
        <w:tc>
          <w:tcPr>
            <w:tcW w:w="10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科目名称</w:t>
            </w:r>
          </w:p>
        </w:tc>
        <w:tc>
          <w:tcPr>
            <w:tcW w:w="4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金额</w:t>
            </w:r>
          </w:p>
        </w:tc>
        <w:tc>
          <w:tcPr>
            <w:tcW w:w="9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经济分类科目编码</w:t>
            </w:r>
          </w:p>
        </w:tc>
        <w:tc>
          <w:tcPr>
            <w:tcW w:w="17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科目名称</w:t>
            </w:r>
          </w:p>
        </w:tc>
        <w:tc>
          <w:tcPr>
            <w:tcW w:w="9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金额</w:t>
            </w:r>
          </w:p>
        </w:tc>
      </w:tr>
      <w:tr>
        <w:tblPrEx>
          <w:tblLayout w:type="fixed"/>
          <w:tblCellMar>
            <w:top w:w="15" w:type="dxa"/>
            <w:left w:w="15" w:type="dxa"/>
            <w:bottom w:w="15" w:type="dxa"/>
            <w:right w:w="15" w:type="dxa"/>
          </w:tblCellMar>
        </w:tblPrEx>
        <w:trPr>
          <w:trHeight w:val="299" w:hRule="atLeast"/>
          <w:tblHeader/>
        </w:trPr>
        <w:tc>
          <w:tcPr>
            <w:tcW w:w="9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150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6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9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105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4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9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171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c>
          <w:tcPr>
            <w:tcW w:w="9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16"/>
                <w:szCs w:val="16"/>
              </w:rPr>
            </w:pP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工资福利支出</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6,151.16</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商品和服务支出</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615.77</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30703</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国内债务发行费用</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30101</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基本工资</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782.9</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30201</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办公费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165.05</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30704</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国外债务发行费用</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30102</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津贴补贴</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1,190.53</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30202</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印刷费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37.96</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资本性支出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49.58</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30103</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奖金</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1,915.86</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30203</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咨询费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31001</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房屋建筑物购建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30106</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伙食补助费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30204</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手续费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31002</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办公设备购置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49.58</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30107</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绩效工资</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338.12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30205</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水费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13.96</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31003</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专用设备购置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30108</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机关事业单位基本养老保险缴费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453.91</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30206</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电费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62.31</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31005</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基础设施建设</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30109</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职业年金缴费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337.84</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邮电费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1.98</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31006</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大型修缮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30110</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职工基本医疗保险缴费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194.33</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30208</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取暖费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31007</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信息网络及软件购置更新</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30111</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公务员医疗补助缴费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0.94</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30209</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物业管理费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31008</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物资储备</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30112</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其他社会保障缴费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132.89</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30211</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差旅费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2.9</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31009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土地补偿</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30113</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住房公积金</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475.31</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30212</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因公出国（境）费用</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31010</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安置补助</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30114</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医疗费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30213</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维修（护）费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103.11</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31011</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地上附着物和青苗补偿</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30199</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其他工资福利支出</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328.52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30214</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租赁费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31012</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拆迁补偿</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对个人和家庭的补助</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527.84</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30215</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会议费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31013</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公务用车购置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30301</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离休费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30216</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培训费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41.55</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31019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其他交通工具购置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30302</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退休费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公务接待费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31021</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文物和陈列品购置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30303</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退职（役）费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30218</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专用材料费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3.08</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31022</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无形资产购置</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30304</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抚恤金</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13.34</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30224</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被装购置费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31099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其他资本性支出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30305</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生活补助</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23.26</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30225</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专用燃料费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对企业补助</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30306</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救济费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30226</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劳务费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3.22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31201</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资本金注入</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30307</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医疗费补助</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委托业务费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31203</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政府投资基金股权投资</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30308</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助学金</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30228</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工会经费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112.01</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31204</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费用补贴</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30309</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奖励金</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15.02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30229</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福利费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24.65</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31205</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利息补贴</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30310</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个人农业生产补贴</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30231</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公务用车运行维护费</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31206</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其他资本性补助</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8"/>
                <w:szCs w:val="18"/>
              </w:rPr>
            </w:pPr>
            <w:r>
              <w:rPr>
                <w:rFonts w:eastAsia="Times New Roman"/>
                <w:color w:val="000000"/>
                <w:kern w:val="0"/>
                <w:sz w:val="18"/>
                <w:szCs w:val="18"/>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30311</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代缴社会保险费</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30239</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其他交通费用</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2.72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31299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其他对企业补助</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30399</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其他对个人和家庭的补助</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476.23</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30240</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税金及附加费用</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其他支出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30299</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其他商品和服务支出</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41.25</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39907</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国家赔偿费用支出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债务利息及费用支出</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39908</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对民间非营利组织和群众性自治组织补贴</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30701</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国内债务付息</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39909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经常性赠与</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30702</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国外债务付息</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39910</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资本性赠与</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15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4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 </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eastAsia="Times New Roman"/>
                <w:color w:val="000000"/>
                <w:kern w:val="0"/>
                <w:sz w:val="16"/>
                <w:szCs w:val="16"/>
              </w:rPr>
              <w:t>39999</w:t>
            </w:r>
          </w:p>
        </w:tc>
        <w:tc>
          <w:tcPr>
            <w:tcW w:w="17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16"/>
                <w:szCs w:val="16"/>
              </w:rPr>
            </w:pPr>
            <w:r>
              <w:rPr>
                <w:rFonts w:ascii="宋体" w:hAnsi="宋体" w:cs="宋体"/>
                <w:color w:val="000000"/>
                <w:kern w:val="0"/>
                <w:sz w:val="16"/>
                <w:szCs w:val="16"/>
              </w:rPr>
              <w:t>其他支出</w:t>
            </w:r>
          </w:p>
        </w:tc>
        <w:tc>
          <w:tcPr>
            <w:tcW w:w="9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 </w:t>
            </w:r>
          </w:p>
        </w:tc>
      </w:tr>
      <w:tr>
        <w:tblPrEx>
          <w:tblLayout w:type="fixed"/>
          <w:tblCellMar>
            <w:top w:w="15" w:type="dxa"/>
            <w:left w:w="15" w:type="dxa"/>
            <w:bottom w:w="15" w:type="dxa"/>
            <w:right w:w="15" w:type="dxa"/>
          </w:tblCellMar>
        </w:tblPrEx>
        <w:trPr>
          <w:tblHeader/>
        </w:trPr>
        <w:tc>
          <w:tcPr>
            <w:tcW w:w="243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人员经费合计</w:t>
            </w:r>
            <w:r>
              <w:rPr>
                <w:rFonts w:eastAsia="Times New Roman"/>
                <w:color w:val="000000"/>
                <w:kern w:val="0"/>
                <w:sz w:val="16"/>
                <w:szCs w:val="16"/>
              </w:rPr>
              <w:t xml:space="preserve"> </w:t>
            </w:r>
          </w:p>
        </w:tc>
        <w:tc>
          <w:tcPr>
            <w:tcW w:w="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6,679</w:t>
            </w:r>
          </w:p>
        </w:tc>
        <w:tc>
          <w:tcPr>
            <w:tcW w:w="340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16"/>
                <w:szCs w:val="16"/>
              </w:rPr>
            </w:pPr>
            <w:r>
              <w:rPr>
                <w:rFonts w:ascii="宋体" w:hAnsi="宋体" w:cs="宋体"/>
                <w:color w:val="000000"/>
                <w:kern w:val="0"/>
                <w:sz w:val="16"/>
                <w:szCs w:val="16"/>
              </w:rPr>
              <w:t>公用经费合计</w:t>
            </w:r>
          </w:p>
        </w:tc>
        <w:tc>
          <w:tcPr>
            <w:tcW w:w="262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16"/>
                <w:szCs w:val="16"/>
              </w:rPr>
            </w:pPr>
            <w:r>
              <w:rPr>
                <w:rFonts w:eastAsia="Times New Roman"/>
                <w:color w:val="000000"/>
                <w:kern w:val="0"/>
                <w:sz w:val="16"/>
                <w:szCs w:val="16"/>
              </w:rPr>
              <w:t>665.34</w:t>
            </w:r>
          </w:p>
        </w:tc>
      </w:tr>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16"/>
                <w:szCs w:val="16"/>
              </w:rPr>
            </w:pPr>
            <w:r>
              <w:rPr>
                <w:rFonts w:ascii="宋体" w:hAnsi="宋体" w:cs="宋体"/>
                <w:color w:val="000000"/>
                <w:kern w:val="0"/>
                <w:sz w:val="16"/>
                <w:szCs w:val="16"/>
              </w:rPr>
              <w:t>注：本表反映部门本年度一般公共预算财政拨款基本支出明细情况。</w:t>
            </w:r>
          </w:p>
        </w:tc>
      </w:tr>
    </w:tbl>
    <w:p>
      <w:pPr>
        <w:pStyle w:val="5"/>
        <w:keepNext w:val="0"/>
        <w:keepLines w:val="0"/>
        <w:spacing w:before="100" w:after="100" w:line="240" w:lineRule="auto"/>
        <w:ind w:left="720" w:hanging="720" w:firstLineChars="0"/>
        <w:rPr>
          <w:rFonts w:eastAsia="Times New Roman"/>
          <w:b/>
          <w:sz w:val="28"/>
          <w:szCs w:val="28"/>
        </w:rPr>
      </w:pPr>
      <w:bookmarkStart w:id="53" w:name="_Toc17062"/>
      <w:r>
        <w:rPr>
          <w:rFonts w:ascii="黑体" w:hAnsi="黑体" w:eastAsia="黑体" w:cs="黑体"/>
          <w:b/>
        </w:rPr>
        <w:t>六、一般公共预算财政拨款基本支出决算表</w:t>
      </w:r>
      <w:bookmarkEnd w:id="50"/>
      <w:bookmarkEnd w:id="51"/>
      <w:bookmarkEnd w:id="52"/>
      <w:bookmarkEnd w:id="53"/>
    </w:p>
    <w:p>
      <w:pPr>
        <w:pStyle w:val="29"/>
        <w:widowControl/>
        <w:spacing w:before="100" w:after="100"/>
        <w:jc w:val="left"/>
        <w:rPr>
          <w:rFonts w:eastAsia="Times New Roman"/>
          <w:kern w:val="0"/>
          <w:sz w:val="24"/>
        </w:rPr>
      </w:pPr>
    </w:p>
    <w:tbl>
      <w:tblPr>
        <w:tblStyle w:val="22"/>
        <w:tblpPr w:leftFromText="180" w:rightFromText="180" w:vertAnchor="text" w:horzAnchor="page" w:tblpX="1203" w:tblpY="807"/>
        <w:tblOverlap w:val="never"/>
        <w:tblW w:w="9460" w:type="dxa"/>
        <w:tblInd w:w="0" w:type="dxa"/>
        <w:tblLayout w:type="fixed"/>
        <w:tblCellMar>
          <w:top w:w="15" w:type="dxa"/>
          <w:left w:w="15" w:type="dxa"/>
          <w:bottom w:w="15" w:type="dxa"/>
          <w:right w:w="15" w:type="dxa"/>
        </w:tblCellMar>
      </w:tblPr>
      <w:tblGrid>
        <w:gridCol w:w="391"/>
        <w:gridCol w:w="1244"/>
        <w:gridCol w:w="391"/>
        <w:gridCol w:w="753"/>
        <w:gridCol w:w="897"/>
        <w:gridCol w:w="608"/>
        <w:gridCol w:w="832"/>
        <w:gridCol w:w="1244"/>
        <w:gridCol w:w="391"/>
        <w:gridCol w:w="753"/>
        <w:gridCol w:w="897"/>
        <w:gridCol w:w="1059"/>
      </w:tblGrid>
      <w:tr>
        <w:tblPrEx>
          <w:tblLayout w:type="fixed"/>
          <w:tblCellMar>
            <w:top w:w="15" w:type="dxa"/>
            <w:left w:w="15" w:type="dxa"/>
            <w:bottom w:w="15" w:type="dxa"/>
            <w:right w:w="15" w:type="dxa"/>
          </w:tblCellMar>
        </w:tblPrEx>
        <w:trPr>
          <w:trHeight w:val="1356" w:hRule="atLeast"/>
          <w:tblHeader/>
        </w:trPr>
        <w:tc>
          <w:tcPr>
            <w:tcW w:w="9460" w:type="dxa"/>
            <w:gridSpan w:val="12"/>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54" w:name="_Toc256000044"/>
            <w:bookmarkStart w:id="55" w:name="_Toc256000075"/>
            <w:bookmarkStart w:id="56" w:name="_Toc256000013"/>
            <w:r>
              <w:rPr>
                <w:rFonts w:ascii="宋体" w:hAnsi="宋体" w:cs="宋体"/>
                <w:color w:val="000000"/>
                <w:kern w:val="0"/>
                <w:sz w:val="27"/>
                <w:szCs w:val="27"/>
              </w:rPr>
              <w:t>一般公共预算财政拨款</w:t>
            </w:r>
            <w:r>
              <w:rPr>
                <w:rFonts w:eastAsia="Times New Roman"/>
                <w:color w:val="000000"/>
                <w:kern w:val="0"/>
                <w:sz w:val="27"/>
                <w:szCs w:val="27"/>
              </w:rPr>
              <w:t>“</w:t>
            </w:r>
            <w:r>
              <w:rPr>
                <w:rFonts w:ascii="宋体" w:hAnsi="宋体" w:cs="宋体"/>
                <w:color w:val="000000"/>
                <w:kern w:val="0"/>
                <w:sz w:val="27"/>
                <w:szCs w:val="27"/>
              </w:rPr>
              <w:t>三公</w:t>
            </w:r>
            <w:r>
              <w:rPr>
                <w:rFonts w:eastAsia="Times New Roman"/>
                <w:color w:val="000000"/>
                <w:kern w:val="0"/>
                <w:sz w:val="27"/>
                <w:szCs w:val="27"/>
              </w:rPr>
              <w:t>”</w:t>
            </w:r>
            <w:r>
              <w:rPr>
                <w:rFonts w:ascii="宋体" w:hAnsi="宋体" w:cs="宋体"/>
                <w:color w:val="000000"/>
                <w:kern w:val="0"/>
                <w:sz w:val="27"/>
                <w:szCs w:val="27"/>
              </w:rPr>
              <w:t>经费支出决算</w:t>
            </w:r>
          </w:p>
        </w:tc>
      </w:tr>
      <w:tr>
        <w:tblPrEx>
          <w:tblLayout w:type="fixed"/>
          <w:tblCellMar>
            <w:top w:w="15" w:type="dxa"/>
            <w:left w:w="15" w:type="dxa"/>
            <w:bottom w:w="15" w:type="dxa"/>
            <w:right w:w="15" w:type="dxa"/>
          </w:tblCellMar>
        </w:tblPrEx>
        <w:trPr>
          <w:trHeight w:val="840" w:hRule="atLeast"/>
          <w:tblHeader/>
        </w:trPr>
        <w:tc>
          <w:tcPr>
            <w:tcW w:w="3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rPr>
          <w:trHeight w:val="1766" w:hRule="atLeast"/>
        </w:trPr>
        <w:tc>
          <w:tcPr>
            <w:tcW w:w="4284"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单位：厦门市湖里中学</w:t>
            </w:r>
          </w:p>
        </w:tc>
        <w:tc>
          <w:tcPr>
            <w:tcW w:w="8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rHeight w:val="845" w:hRule="atLeast"/>
        </w:trPr>
        <w:tc>
          <w:tcPr>
            <w:tcW w:w="4284"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预算数</w:t>
            </w:r>
          </w:p>
        </w:tc>
        <w:tc>
          <w:tcPr>
            <w:tcW w:w="5176"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决算数</w:t>
            </w:r>
          </w:p>
        </w:tc>
      </w:tr>
      <w:tr>
        <w:tblPrEx>
          <w:tblLayout w:type="fixed"/>
          <w:tblCellMar>
            <w:top w:w="15" w:type="dxa"/>
            <w:left w:w="15" w:type="dxa"/>
            <w:bottom w:w="15" w:type="dxa"/>
            <w:right w:w="15" w:type="dxa"/>
          </w:tblCellMar>
        </w:tblPrEx>
        <w:trPr>
          <w:trHeight w:val="1237" w:hRule="atLeast"/>
          <w:tblHeader/>
        </w:trPr>
        <w:tc>
          <w:tcPr>
            <w:tcW w:w="39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204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6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c>
          <w:tcPr>
            <w:tcW w:w="8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204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10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r>
      <w:tr>
        <w:tblPrEx>
          <w:tblLayout w:type="fixed"/>
          <w:tblCellMar>
            <w:top w:w="15" w:type="dxa"/>
            <w:left w:w="15" w:type="dxa"/>
            <w:bottom w:w="15" w:type="dxa"/>
            <w:right w:w="15" w:type="dxa"/>
          </w:tblCellMar>
        </w:tblPrEx>
        <w:trPr>
          <w:trHeight w:val="800" w:hRule="atLeast"/>
          <w:tblHeader/>
        </w:trPr>
        <w:tc>
          <w:tcPr>
            <w:tcW w:w="39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9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7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8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6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9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7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8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105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1507" w:hRule="atLeast"/>
          <w:tblHeader/>
        </w:trPr>
        <w:tc>
          <w:tcPr>
            <w:tcW w:w="39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9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9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5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799" w:hRule="atLeast"/>
        </w:trPr>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7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8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6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7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10</w:t>
            </w:r>
          </w:p>
        </w:tc>
        <w:tc>
          <w:tcPr>
            <w:tcW w:w="8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11</w:t>
            </w:r>
          </w:p>
        </w:tc>
        <w:tc>
          <w:tcPr>
            <w:tcW w:w="1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12</w:t>
            </w:r>
          </w:p>
        </w:tc>
      </w:tr>
      <w:tr>
        <w:tblPrEx>
          <w:tblLayout w:type="fixed"/>
          <w:tblCellMar>
            <w:top w:w="15" w:type="dxa"/>
            <w:left w:w="15" w:type="dxa"/>
            <w:bottom w:w="15" w:type="dxa"/>
            <w:right w:w="15" w:type="dxa"/>
          </w:tblCellMar>
        </w:tblPrEx>
        <w:trPr>
          <w:trHeight w:val="799" w:hRule="atLeast"/>
        </w:trPr>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r>
              <w:rPr>
                <w:rFonts w:eastAsia="Times New Roman"/>
                <w:color w:val="000000"/>
                <w:kern w:val="0"/>
                <w:sz w:val="26"/>
                <w:szCs w:val="26"/>
              </w:rPr>
              <w:t> </w:t>
            </w: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7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6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3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7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1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r>
      <w:tr>
        <w:tblPrEx>
          <w:tblLayout w:type="fixed"/>
          <w:tblCellMar>
            <w:top w:w="15" w:type="dxa"/>
            <w:left w:w="15" w:type="dxa"/>
            <w:bottom w:w="15" w:type="dxa"/>
            <w:right w:w="15" w:type="dxa"/>
          </w:tblCellMar>
        </w:tblPrEx>
        <w:trPr>
          <w:trHeight w:val="1617" w:hRule="atLeast"/>
        </w:trPr>
        <w:tc>
          <w:tcPr>
            <w:tcW w:w="9460" w:type="dxa"/>
            <w:gridSpan w:val="12"/>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注：本表反映部门本年度财政拨款</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经费支出预决算情况。其中，预算数为</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经费全年预算数，反映按规定程序调整后的预算数；决算数是包括当年财政拨款和以前年度结转资金安排的实际支出。</w:t>
            </w:r>
          </w:p>
        </w:tc>
      </w:tr>
    </w:tbl>
    <w:p>
      <w:pPr>
        <w:pStyle w:val="5"/>
        <w:keepNext w:val="0"/>
        <w:keepLines w:val="0"/>
        <w:spacing w:before="100" w:after="100" w:line="240" w:lineRule="auto"/>
        <w:ind w:left="720" w:hanging="720" w:firstLineChars="0"/>
        <w:rPr>
          <w:rFonts w:eastAsia="Times New Roman"/>
          <w:b/>
          <w:sz w:val="28"/>
          <w:szCs w:val="28"/>
        </w:rPr>
      </w:pPr>
      <w:bookmarkStart w:id="57" w:name="_Toc22103"/>
      <w:r>
        <w:rPr>
          <w:rFonts w:ascii="黑体" w:hAnsi="黑体" w:eastAsia="黑体" w:cs="黑体"/>
          <w:b/>
        </w:rPr>
        <w:t>七、一般公共预算财政拨款“三公”经费支出决算表</w:t>
      </w:r>
      <w:bookmarkEnd w:id="54"/>
      <w:bookmarkEnd w:id="55"/>
      <w:bookmarkEnd w:id="56"/>
      <w:bookmarkEnd w:id="57"/>
    </w:p>
    <w:p/>
    <w:p/>
    <w:p>
      <w:pPr>
        <w:keepNext w:val="0"/>
        <w:keepLines w:val="0"/>
        <w:pageBreakBefore w:val="0"/>
        <w:kinsoku/>
        <w:wordWrap/>
        <w:overflowPunct/>
        <w:topLinePunct w:val="0"/>
        <w:autoSpaceDE/>
        <w:autoSpaceDN/>
        <w:bidi w:val="0"/>
        <w:adjustRightInd/>
        <w:snapToGrid/>
        <w:ind w:firstLine="640" w:firstLineChars="200"/>
        <w:textAlignment w:val="auto"/>
        <w:sectPr>
          <w:footerReference r:id="rId13" w:type="default"/>
          <w:pgSz w:w="11906" w:h="16383"/>
          <w:pgMar w:top="720" w:right="1440" w:bottom="720" w:left="1440" w:header="720" w:footer="720" w:gutter="0"/>
          <w:cols w:space="720" w:num="1"/>
        </w:sectPr>
      </w:pPr>
      <w:r>
        <w:rPr>
          <w:rFonts w:hint="eastAsia" w:ascii="宋体" w:hAnsi="宋体" w:cs="宋体"/>
          <w:kern w:val="0"/>
          <w:sz w:val="32"/>
          <w:szCs w:val="32"/>
        </w:rPr>
        <w:t>本单位2024年度没有使用一般公共预算财政拨款“三公”经费支出。</w:t>
      </w:r>
    </w:p>
    <w:p>
      <w:pPr>
        <w:keepNext w:val="0"/>
        <w:keepLines w:val="0"/>
        <w:pageBreakBefore w:val="0"/>
        <w:widowControl/>
        <w:kinsoku/>
        <w:wordWrap/>
        <w:overflowPunct/>
        <w:topLinePunct w:val="0"/>
        <w:autoSpaceDE/>
        <w:autoSpaceDN/>
        <w:bidi w:val="0"/>
        <w:adjustRightInd/>
        <w:snapToGrid/>
        <w:spacing w:before="240" w:after="240"/>
        <w:ind w:firstLine="480" w:firstLineChars="200"/>
        <w:jc w:val="left"/>
        <w:textAlignment w:val="auto"/>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428" w:tblpY="858"/>
        <w:tblOverlap w:val="never"/>
        <w:tblW w:w="9066" w:type="dxa"/>
        <w:tblInd w:w="0" w:type="dxa"/>
        <w:tblLayout w:type="fixed"/>
        <w:tblCellMar>
          <w:top w:w="15" w:type="dxa"/>
          <w:left w:w="15" w:type="dxa"/>
          <w:bottom w:w="15" w:type="dxa"/>
          <w:right w:w="15" w:type="dxa"/>
        </w:tblCellMar>
      </w:tblPr>
      <w:tblGrid>
        <w:gridCol w:w="1770"/>
        <w:gridCol w:w="1937"/>
        <w:gridCol w:w="1058"/>
        <w:gridCol w:w="681"/>
        <w:gridCol w:w="933"/>
        <w:gridCol w:w="681"/>
        <w:gridCol w:w="681"/>
        <w:gridCol w:w="1325"/>
      </w:tblGrid>
      <w:tr>
        <w:tblPrEx>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58" w:name="_Toc256000014"/>
            <w:bookmarkStart w:id="59" w:name="_Toc256000045"/>
            <w:bookmarkStart w:id="60" w:name="_Toc256000076"/>
            <w:r>
              <w:rPr>
                <w:rFonts w:ascii="宋体" w:hAnsi="宋体" w:cs="宋体"/>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rPr>
          <w:tblHeader/>
        </w:trPr>
        <w:tc>
          <w:tcPr>
            <w:tcW w:w="17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9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5446"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单位：厦门市湖里中学</w:t>
            </w:r>
          </w:p>
        </w:tc>
        <w:tc>
          <w:tcPr>
            <w:tcW w:w="9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6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370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0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年初结转和结余</w:t>
            </w:r>
            <w:r>
              <w:rPr>
                <w:rFonts w:eastAsia="Times New Roman"/>
                <w:color w:val="000000"/>
                <w:kern w:val="0"/>
                <w:sz w:val="26"/>
                <w:szCs w:val="26"/>
              </w:rPr>
              <w:t xml:space="preserve"> </w:t>
            </w:r>
          </w:p>
        </w:tc>
        <w:tc>
          <w:tcPr>
            <w:tcW w:w="6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w:t>
            </w:r>
          </w:p>
        </w:tc>
        <w:tc>
          <w:tcPr>
            <w:tcW w:w="22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w:t>
            </w:r>
          </w:p>
        </w:tc>
        <w:tc>
          <w:tcPr>
            <w:tcW w:w="132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年末结转和结余</w:t>
            </w:r>
          </w:p>
        </w:tc>
      </w:tr>
      <w:tr>
        <w:tblPrEx>
          <w:tblLayout w:type="fixed"/>
          <w:tblCellMar>
            <w:top w:w="15" w:type="dxa"/>
            <w:left w:w="15" w:type="dxa"/>
            <w:bottom w:w="15" w:type="dxa"/>
            <w:right w:w="15" w:type="dxa"/>
          </w:tblCellMar>
        </w:tblPrEx>
        <w:trPr>
          <w:trHeight w:val="299" w:hRule="atLeast"/>
          <w:tblHeader/>
        </w:trPr>
        <w:tc>
          <w:tcPr>
            <w:tcW w:w="17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支出功能分类科目编码</w:t>
            </w:r>
          </w:p>
        </w:tc>
        <w:tc>
          <w:tcPr>
            <w:tcW w:w="19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0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p>
        </w:tc>
        <w:tc>
          <w:tcPr>
            <w:tcW w:w="6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r>
              <w:rPr>
                <w:rFonts w:eastAsia="Times New Roman"/>
                <w:color w:val="000000"/>
                <w:kern w:val="0"/>
                <w:sz w:val="26"/>
                <w:szCs w:val="26"/>
              </w:rPr>
              <w:t xml:space="preserve"> </w:t>
            </w:r>
          </w:p>
        </w:tc>
        <w:tc>
          <w:tcPr>
            <w:tcW w:w="6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c>
          <w:tcPr>
            <w:tcW w:w="13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177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9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8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370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10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3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r>
      <w:tr>
        <w:tblPrEx>
          <w:tblLayout w:type="fixed"/>
          <w:tblCellMar>
            <w:top w:w="15" w:type="dxa"/>
            <w:left w:w="15" w:type="dxa"/>
            <w:bottom w:w="15" w:type="dxa"/>
            <w:right w:w="15" w:type="dxa"/>
          </w:tblCellMar>
        </w:tblPrEx>
        <w:tc>
          <w:tcPr>
            <w:tcW w:w="370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0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13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229</w:t>
            </w:r>
          </w:p>
        </w:tc>
        <w:tc>
          <w:tcPr>
            <w:tcW w:w="19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其他支出</w:t>
            </w:r>
          </w:p>
        </w:tc>
        <w:tc>
          <w:tcPr>
            <w:tcW w:w="10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13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22960</w:t>
            </w:r>
          </w:p>
        </w:tc>
        <w:tc>
          <w:tcPr>
            <w:tcW w:w="19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彩票公益金安排的支出</w:t>
            </w:r>
          </w:p>
        </w:tc>
        <w:tc>
          <w:tcPr>
            <w:tcW w:w="10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13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2296003</w:t>
            </w:r>
          </w:p>
        </w:tc>
        <w:tc>
          <w:tcPr>
            <w:tcW w:w="19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用于体育事业的彩票公益金支出</w:t>
            </w:r>
          </w:p>
        </w:tc>
        <w:tc>
          <w:tcPr>
            <w:tcW w:w="10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9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w:t>
            </w:r>
          </w:p>
        </w:tc>
        <w:tc>
          <w:tcPr>
            <w:tcW w:w="13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注：本表反映部门本年度政府性基金预算财政拨款收入、支出及结转和结余情况。</w:t>
            </w:r>
          </w:p>
        </w:tc>
      </w:tr>
    </w:tbl>
    <w:p>
      <w:pPr>
        <w:pStyle w:val="5"/>
        <w:keepNext w:val="0"/>
        <w:keepLines w:val="0"/>
        <w:spacing w:before="100" w:after="100" w:line="240" w:lineRule="auto"/>
        <w:ind w:firstLine="0" w:firstLineChars="0"/>
        <w:rPr>
          <w:rFonts w:eastAsia="Times New Roman"/>
          <w:b/>
          <w:sz w:val="28"/>
          <w:szCs w:val="28"/>
        </w:rPr>
      </w:pPr>
      <w:bookmarkStart w:id="61" w:name="_Toc26794"/>
      <w:r>
        <w:rPr>
          <w:rFonts w:ascii="黑体" w:hAnsi="黑体" w:eastAsia="黑体" w:cs="黑体"/>
          <w:b/>
        </w:rPr>
        <w:t>八、政府性基金预算财政拨款收入支出决算表</w:t>
      </w:r>
      <w:bookmarkEnd w:id="58"/>
      <w:bookmarkEnd w:id="59"/>
      <w:bookmarkEnd w:id="60"/>
      <w:bookmarkEnd w:id="61"/>
    </w:p>
    <w:p/>
    <w:p/>
    <w:p/>
    <w:p>
      <w:pPr>
        <w:pStyle w:val="28"/>
        <w:widowControl/>
        <w:spacing w:before="100" w:after="100"/>
        <w:ind w:firstLine="480"/>
        <w:jc w:val="left"/>
        <w:rPr>
          <w:rFonts w:eastAsia="Times New Roman"/>
          <w:kern w:val="0"/>
          <w:sz w:val="24"/>
        </w:rPr>
      </w:pPr>
      <w:r>
        <w:rPr>
          <w:rFonts w:eastAsia="Times New Roman"/>
          <w:kern w:val="0"/>
          <w:sz w:val="27"/>
          <w:szCs w:val="27"/>
        </w:rPr>
        <w:t> </w:t>
      </w:r>
      <w:r>
        <w:rPr>
          <w:rFonts w:hint="eastAsia" w:ascii="宋体" w:hAnsi="宋体" w:cs="宋体"/>
          <w:kern w:val="0"/>
          <w:sz w:val="32"/>
          <w:szCs w:val="32"/>
        </w:rPr>
        <w:t>本单位2024年度没有使用政府性基金预算财政拨款收入支出。</w:t>
      </w:r>
    </w:p>
    <w:p>
      <w:pPr>
        <w:sectPr>
          <w:footerReference r:id="rId14" w:type="default"/>
          <w:pgSz w:w="11906" w:h="16383"/>
          <w:pgMar w:top="720" w:right="1440" w:bottom="720" w:left="144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2"/>
        <w:tblpPr w:leftFromText="180" w:rightFromText="180" w:vertAnchor="text" w:horzAnchor="page" w:tblpX="1578" w:tblpY="867"/>
        <w:tblOverlap w:val="never"/>
        <w:tblW w:w="8146" w:type="dxa"/>
        <w:tblInd w:w="0" w:type="dxa"/>
        <w:tblLayout w:type="fixed"/>
        <w:tblCellMar>
          <w:top w:w="15" w:type="dxa"/>
          <w:left w:w="15" w:type="dxa"/>
          <w:bottom w:w="15" w:type="dxa"/>
          <w:right w:w="15" w:type="dxa"/>
        </w:tblCellMar>
      </w:tblPr>
      <w:tblGrid>
        <w:gridCol w:w="1803"/>
        <w:gridCol w:w="1802"/>
        <w:gridCol w:w="1263"/>
        <w:gridCol w:w="1204"/>
        <w:gridCol w:w="2074"/>
      </w:tblGrid>
      <w:tr>
        <w:tblPrEx>
          <w:tblLayout w:type="fixed"/>
          <w:tblCellMar>
            <w:top w:w="15" w:type="dxa"/>
            <w:left w:w="15" w:type="dxa"/>
            <w:bottom w:w="15" w:type="dxa"/>
            <w:right w:w="15" w:type="dxa"/>
          </w:tblCellMar>
        </w:tblPrEx>
        <w:trPr>
          <w:tblHeader/>
        </w:trPr>
        <w:tc>
          <w:tcPr>
            <w:tcW w:w="8146" w:type="dxa"/>
            <w:gridSpan w:val="5"/>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62" w:name="_Toc256000046"/>
            <w:bookmarkStart w:id="63" w:name="_Toc256000077"/>
            <w:bookmarkStart w:id="64" w:name="_Toc256000015"/>
            <w:r>
              <w:rPr>
                <w:rFonts w:ascii="宋体" w:hAnsi="宋体" w:cs="宋体"/>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rPr>
          <w:tblHeader/>
        </w:trPr>
        <w:tc>
          <w:tcPr>
            <w:tcW w:w="18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0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0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单位：厦门市湖里中学</w:t>
            </w:r>
          </w:p>
        </w:tc>
        <w:tc>
          <w:tcPr>
            <w:tcW w:w="12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0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360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w:t>
            </w:r>
          </w:p>
        </w:tc>
        <w:tc>
          <w:tcPr>
            <w:tcW w:w="454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本年支出</w:t>
            </w:r>
          </w:p>
        </w:tc>
      </w:tr>
      <w:tr>
        <w:tblPrEx>
          <w:tblLayout w:type="fixed"/>
          <w:tblCellMar>
            <w:top w:w="15" w:type="dxa"/>
            <w:left w:w="15" w:type="dxa"/>
            <w:bottom w:w="15" w:type="dxa"/>
            <w:right w:w="15" w:type="dxa"/>
          </w:tblCellMar>
        </w:tblPrEx>
        <w:trPr>
          <w:trHeight w:val="333" w:hRule="atLeast"/>
          <w:tblHeader/>
        </w:trPr>
        <w:tc>
          <w:tcPr>
            <w:tcW w:w="180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科目代码</w:t>
            </w:r>
          </w:p>
        </w:tc>
        <w:tc>
          <w:tcPr>
            <w:tcW w:w="18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科目名称</w:t>
            </w:r>
          </w:p>
        </w:tc>
        <w:tc>
          <w:tcPr>
            <w:tcW w:w="12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2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基本支出</w:t>
            </w:r>
          </w:p>
        </w:tc>
        <w:tc>
          <w:tcPr>
            <w:tcW w:w="207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项目支出</w:t>
            </w:r>
          </w:p>
        </w:tc>
      </w:tr>
      <w:tr>
        <w:tblPrEx>
          <w:tblLayout w:type="fixed"/>
          <w:tblCellMar>
            <w:top w:w="15" w:type="dxa"/>
            <w:left w:w="15" w:type="dxa"/>
            <w:bottom w:w="15" w:type="dxa"/>
            <w:right w:w="15" w:type="dxa"/>
          </w:tblCellMar>
        </w:tblPrEx>
        <w:trPr>
          <w:trHeight w:val="333" w:hRule="atLeast"/>
          <w:tblHeader/>
        </w:trPr>
        <w:tc>
          <w:tcPr>
            <w:tcW w:w="180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80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207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rPr>
          <w:trHeight w:val="333" w:hRule="atLeast"/>
          <w:tblHeader/>
        </w:trPr>
        <w:tc>
          <w:tcPr>
            <w:tcW w:w="180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80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207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c>
          <w:tcPr>
            <w:tcW w:w="360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栏次</w:t>
            </w:r>
          </w:p>
        </w:tc>
        <w:tc>
          <w:tcPr>
            <w:tcW w:w="12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w:t>
            </w:r>
          </w:p>
        </w:tc>
        <w:tc>
          <w:tcPr>
            <w:tcW w:w="20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w:t>
            </w:r>
          </w:p>
        </w:tc>
      </w:tr>
      <w:tr>
        <w:tblPrEx>
          <w:tblLayout w:type="fixed"/>
          <w:tblCellMar>
            <w:top w:w="15" w:type="dxa"/>
            <w:left w:w="15" w:type="dxa"/>
            <w:bottom w:w="15" w:type="dxa"/>
            <w:right w:w="15" w:type="dxa"/>
          </w:tblCellMar>
        </w:tblPrEx>
        <w:tc>
          <w:tcPr>
            <w:tcW w:w="360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2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0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2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0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8146" w:type="dxa"/>
            <w:gridSpan w:val="5"/>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注：本表反映部门本年度国有资本经营预算财政拨款支出情况。</w:t>
            </w:r>
          </w:p>
        </w:tc>
      </w:tr>
    </w:tbl>
    <w:p>
      <w:pPr>
        <w:pStyle w:val="5"/>
        <w:keepNext w:val="0"/>
        <w:keepLines w:val="0"/>
        <w:spacing w:before="100" w:after="100" w:line="240" w:lineRule="auto"/>
        <w:ind w:firstLine="0" w:firstLineChars="0"/>
        <w:rPr>
          <w:rFonts w:eastAsia="Times New Roman"/>
          <w:b/>
          <w:sz w:val="28"/>
          <w:szCs w:val="28"/>
        </w:rPr>
      </w:pPr>
      <w:bookmarkStart w:id="65" w:name="_Toc5552"/>
      <w:r>
        <w:rPr>
          <w:rFonts w:ascii="黑体" w:hAnsi="黑体" w:eastAsia="黑体" w:cs="黑体"/>
          <w:b/>
        </w:rPr>
        <w:t>九、国有资本经营预算财政拨款支出决算表</w:t>
      </w:r>
      <w:bookmarkEnd w:id="62"/>
      <w:bookmarkEnd w:id="63"/>
      <w:bookmarkEnd w:id="64"/>
      <w:bookmarkEnd w:id="65"/>
    </w:p>
    <w:p/>
    <w:p/>
    <w:p/>
    <w:p/>
    <w:p/>
    <w:p/>
    <w:p/>
    <w:p/>
    <w:p/>
    <w:p/>
    <w:p/>
    <w:p/>
    <w:p/>
    <w:p/>
    <w:p/>
    <w:p/>
    <w:p/>
    <w:p/>
    <w:p/>
    <w:p/>
    <w:p/>
    <w:p/>
    <w:p/>
    <w:p>
      <w:pPr>
        <w:keepNext w:val="0"/>
        <w:keepLines w:val="0"/>
        <w:pageBreakBefore w:val="0"/>
        <w:kinsoku/>
        <w:wordWrap/>
        <w:overflowPunct/>
        <w:topLinePunct w:val="0"/>
        <w:autoSpaceDE/>
        <w:autoSpaceDN/>
        <w:bidi w:val="0"/>
        <w:adjustRightInd/>
        <w:snapToGrid/>
        <w:textAlignment w:val="auto"/>
      </w:pPr>
    </w:p>
    <w:p>
      <w:pPr>
        <w:pStyle w:val="28"/>
        <w:keepNext w:val="0"/>
        <w:keepLines w:val="0"/>
        <w:pageBreakBefore w:val="0"/>
        <w:widowControl/>
        <w:kinsoku/>
        <w:wordWrap/>
        <w:overflowPunct/>
        <w:topLinePunct w:val="0"/>
        <w:autoSpaceDE/>
        <w:autoSpaceDN/>
        <w:bidi w:val="0"/>
        <w:adjustRightInd/>
        <w:snapToGrid/>
        <w:spacing w:before="240" w:after="240"/>
        <w:jc w:val="left"/>
        <w:textAlignment w:val="auto"/>
        <w:rPr>
          <w:rFonts w:eastAsia="Times New Roman"/>
          <w:kern w:val="0"/>
          <w:sz w:val="24"/>
        </w:rPr>
        <w:sectPr>
          <w:footerReference r:id="rId15" w:type="default"/>
          <w:pgSz w:w="11906" w:h="16383"/>
          <w:pgMar w:top="1800" w:right="1440" w:bottom="1800" w:left="1440" w:header="720" w:footer="720" w:gutter="0"/>
          <w:cols w:space="720" w:num="1"/>
        </w:sectPr>
      </w:pPr>
      <w:r>
        <w:rPr>
          <w:rFonts w:hint="eastAsia" w:ascii="宋体" w:hAnsi="宋体" w:cs="宋体"/>
          <w:kern w:val="0"/>
          <w:sz w:val="32"/>
          <w:szCs w:val="32"/>
        </w:rPr>
        <w:t>本单位2024年度没有使用国有资本经营预算财政拨款支出。</w:t>
      </w:r>
    </w:p>
    <w:p>
      <w:pPr>
        <w:widowControl/>
        <w:spacing w:before="240" w:after="240"/>
        <w:jc w:val="left"/>
        <w:rPr>
          <w:rFonts w:eastAsia="Times New Roman"/>
          <w:vanish/>
          <w:kern w:val="0"/>
          <w:sz w:val="24"/>
        </w:rPr>
      </w:pPr>
      <w:r>
        <w:rPr>
          <w:rFonts w:eastAsia="Times New Roman"/>
          <w:vanish/>
          <w:kern w:val="0"/>
          <w:sz w:val="24"/>
        </w:rPr>
        <w:t>word horizontal layout</w:t>
      </w:r>
    </w:p>
    <w:p>
      <w:pPr>
        <w:widowControl/>
        <w:jc w:val="left"/>
        <w:rPr>
          <w:rFonts w:eastAsia="Times New Roman"/>
          <w:kern w:val="0"/>
          <w:sz w:val="24"/>
        </w:rPr>
      </w:pP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66" w:name="_Toc256000016"/>
      <w:bookmarkStart w:id="67" w:name="_Toc15886"/>
      <w:bookmarkStart w:id="68" w:name="_Toc256000078"/>
      <w:bookmarkStart w:id="69" w:name="_Toc256000047"/>
      <w:r>
        <w:rPr>
          <w:rFonts w:ascii="黑体" w:hAnsi="黑体" w:eastAsia="黑体" w:cs="黑体"/>
          <w:b/>
          <w:sz w:val="56"/>
          <w:szCs w:val="56"/>
        </w:rPr>
        <w:t>第三部分</w:t>
      </w:r>
      <w:bookmarkEnd w:id="66"/>
      <w:bookmarkEnd w:id="67"/>
      <w:bookmarkEnd w:id="68"/>
      <w:bookmarkEnd w:id="69"/>
    </w:p>
    <w:p>
      <w:pPr>
        <w:pStyle w:val="3"/>
        <w:keepNext w:val="0"/>
        <w:keepLines w:val="0"/>
        <w:spacing w:before="100" w:after="100" w:line="600" w:lineRule="atLeast"/>
        <w:ind w:firstLine="0" w:firstLineChars="0"/>
        <w:jc w:val="center"/>
        <w:rPr>
          <w:rFonts w:ascii="Times New Roman" w:hAnsi="Times New Roman" w:eastAsia="Times New Roman"/>
          <w:b/>
          <w:sz w:val="36"/>
          <w:szCs w:val="36"/>
        </w:rPr>
      </w:pPr>
      <w:bookmarkStart w:id="70" w:name="_Toc256000048"/>
      <w:bookmarkStart w:id="71" w:name="_Toc25685"/>
      <w:bookmarkStart w:id="72" w:name="_Toc256000079"/>
      <w:bookmarkStart w:id="73" w:name="_Toc256000017"/>
      <w:r>
        <w:rPr>
          <w:rFonts w:ascii="黑体" w:hAnsi="黑体" w:eastAsia="黑体" w:cs="黑体"/>
          <w:b/>
          <w:sz w:val="56"/>
          <w:szCs w:val="56"/>
        </w:rPr>
        <w:t>2024年度决算情况说明</w:t>
      </w:r>
      <w:bookmarkEnd w:id="70"/>
      <w:bookmarkEnd w:id="71"/>
      <w:bookmarkEnd w:id="72"/>
      <w:bookmarkEnd w:id="73"/>
    </w:p>
    <w:p>
      <w:pPr>
        <w:pStyle w:val="28"/>
        <w:widowControl/>
        <w:spacing w:before="100" w:after="100" w:line="600" w:lineRule="atLeast"/>
        <w:jc w:val="both"/>
        <w:rPr>
          <w:rFonts w:eastAsia="Times New Roman"/>
          <w:kern w:val="0"/>
          <w:sz w:val="24"/>
        </w:rPr>
      </w:pPr>
    </w:p>
    <w:p>
      <w:pPr>
        <w:pStyle w:val="5"/>
        <w:keepNext w:val="0"/>
        <w:keepLines w:val="0"/>
        <w:spacing w:before="100" w:after="100" w:line="600" w:lineRule="atLeast"/>
        <w:ind w:left="0" w:leftChars="0" w:firstLine="0" w:firstLineChars="0"/>
        <w:rPr>
          <w:rFonts w:eastAsia="Times New Roman"/>
          <w:b/>
          <w:sz w:val="28"/>
          <w:szCs w:val="28"/>
        </w:rPr>
      </w:pPr>
      <w:bookmarkStart w:id="74" w:name="_Toc256000080"/>
      <w:bookmarkStart w:id="75" w:name="_Toc19021"/>
      <w:bookmarkStart w:id="76" w:name="_Toc256000049"/>
      <w:bookmarkStart w:id="77" w:name="_Toc256000018"/>
      <w:r>
        <w:rPr>
          <w:rFonts w:ascii="黑体" w:hAnsi="黑体" w:eastAsia="黑体" w:cs="黑体"/>
          <w:b/>
        </w:rPr>
        <w:t>一、收入支出决算总体情况说明</w:t>
      </w:r>
      <w:bookmarkEnd w:id="74"/>
      <w:bookmarkEnd w:id="75"/>
      <w:bookmarkEnd w:id="76"/>
      <w:bookmarkEnd w:id="77"/>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（一）收入支出决算总体情况说明</w:t>
      </w:r>
    </w:p>
    <w:p>
      <w:pPr>
        <w:pStyle w:val="28"/>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2024年度本单位收入总计7991.27万元，支出总计7991.27万元，与上年决算数相比，各减少809.74万元，各下降9.20%。主要是</w:t>
      </w:r>
      <w:r>
        <w:rPr>
          <w:rFonts w:hint="eastAsia" w:ascii="仿宋" w:hAnsi="仿宋" w:eastAsia="仿宋" w:cs="仿宋"/>
          <w:kern w:val="0"/>
          <w:sz w:val="32"/>
          <w:szCs w:val="32"/>
        </w:rPr>
        <w:t>教师、学生数变化，退休教师人数减少，暑期工程项目减少等</w:t>
      </w:r>
      <w:r>
        <w:rPr>
          <w:rFonts w:ascii="仿宋" w:hAnsi="仿宋" w:eastAsia="仿宋" w:cs="仿宋"/>
          <w:kern w:val="0"/>
          <w:sz w:val="32"/>
          <w:szCs w:val="32"/>
        </w:rPr>
        <w:t>。</w:t>
      </w:r>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（二）收入决算情况说明</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2024年度收入7991.27万元，比上年决算数减少809.74万元，下降9.20%，具体情况如下：</w:t>
      </w:r>
    </w:p>
    <w:p>
      <w:pPr>
        <w:pStyle w:val="28"/>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1.一般公共预算财政拨款收入7989.27万元。</w:t>
      </w:r>
    </w:p>
    <w:p>
      <w:pPr>
        <w:pStyle w:val="28"/>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2.政府性基金预算财政拨款收入2.00万元。</w:t>
      </w:r>
    </w:p>
    <w:p>
      <w:pPr>
        <w:pStyle w:val="28"/>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3.国有资本经营预算财政拨款收入0万元。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4.上级补助收入0万元。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5.事业收入0万元。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6.经营收入0万元。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7.附属单位上缴收入0万元。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8.其他收入0万元。</w:t>
      </w:r>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（三）支出决算情况说明</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2024年度支出7991.27万元，比上年决算数减少809.74万元，下降9.20%，具体情况如下：</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1.基本支出7344.34万元。其中，人员支出6679.00万元，公用支出665.34万元。</w:t>
      </w:r>
    </w:p>
    <w:p>
      <w:pPr>
        <w:pStyle w:val="28"/>
        <w:widowControl/>
        <w:spacing w:before="240" w:after="240"/>
        <w:ind w:firstLine="640"/>
        <w:jc w:val="left"/>
        <w:rPr>
          <w:rFonts w:eastAsia="Times New Roman"/>
          <w:kern w:val="0"/>
          <w:sz w:val="24"/>
        </w:rPr>
      </w:pPr>
      <w:r>
        <w:rPr>
          <w:rFonts w:ascii="仿宋" w:hAnsi="仿宋" w:eastAsia="仿宋" w:cs="仿宋"/>
          <w:kern w:val="0"/>
          <w:sz w:val="32"/>
          <w:szCs w:val="32"/>
        </w:rPr>
        <w:t>2.项目支出646.93万元。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3.上缴上级支出0万元。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4.经营支出0万元。</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5.对附属单位补助支出0万元。</w:t>
      </w:r>
    </w:p>
    <w:p>
      <w:pPr>
        <w:pStyle w:val="5"/>
        <w:keepNext w:val="0"/>
        <w:keepLines w:val="0"/>
        <w:spacing w:before="100" w:after="100" w:line="240" w:lineRule="auto"/>
        <w:ind w:firstLine="480" w:firstLineChars="0"/>
        <w:rPr>
          <w:rFonts w:eastAsia="Times New Roman"/>
          <w:b/>
          <w:sz w:val="28"/>
          <w:szCs w:val="28"/>
        </w:rPr>
      </w:pPr>
      <w:bookmarkStart w:id="78" w:name="_Toc256000019"/>
      <w:bookmarkStart w:id="79" w:name="_Toc256000050"/>
      <w:bookmarkStart w:id="80" w:name="_Toc10541"/>
      <w:bookmarkStart w:id="81" w:name="_Toc256000081"/>
      <w:r>
        <w:rPr>
          <w:rFonts w:ascii="黑体" w:hAnsi="黑体" w:eastAsia="黑体" w:cs="黑体"/>
          <w:b/>
        </w:rPr>
        <w:t>二、财政拨款收入支出决算总体情况说明</w:t>
      </w:r>
      <w:bookmarkEnd w:id="78"/>
      <w:bookmarkEnd w:id="79"/>
      <w:bookmarkEnd w:id="80"/>
      <w:bookmarkEnd w:id="81"/>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2024年度财政拨款收入总计7991.27万元，支出总计7991.27万元，与上年决算数相比，各减少809.74万元，下降9.20%，主要是：</w:t>
      </w:r>
      <w:r>
        <w:rPr>
          <w:rFonts w:hint="eastAsia" w:ascii="仿宋" w:hAnsi="仿宋" w:eastAsia="仿宋" w:cs="仿宋"/>
          <w:kern w:val="0"/>
          <w:sz w:val="32"/>
          <w:szCs w:val="32"/>
        </w:rPr>
        <w:t>教师、学生数变化，退休教师人数增加，暑期工程项目减少等</w:t>
      </w:r>
      <w:r>
        <w:rPr>
          <w:rFonts w:ascii="仿宋" w:hAnsi="仿宋" w:eastAsia="仿宋" w:cs="仿宋"/>
          <w:kern w:val="0"/>
          <w:sz w:val="32"/>
          <w:szCs w:val="32"/>
        </w:rPr>
        <w:t>。</w:t>
      </w:r>
    </w:p>
    <w:p>
      <w:pPr>
        <w:pStyle w:val="5"/>
        <w:keepNext w:val="0"/>
        <w:keepLines w:val="0"/>
        <w:spacing w:before="100" w:after="100" w:line="600" w:lineRule="atLeast"/>
        <w:ind w:firstLine="640" w:firstLineChars="0"/>
        <w:rPr>
          <w:rFonts w:eastAsia="Times New Roman"/>
          <w:b/>
          <w:sz w:val="28"/>
          <w:szCs w:val="28"/>
        </w:rPr>
      </w:pPr>
      <w:bookmarkStart w:id="82" w:name="_Toc256000051"/>
      <w:bookmarkStart w:id="83" w:name="_Toc256000082"/>
      <w:bookmarkStart w:id="84" w:name="_Toc256000020"/>
      <w:bookmarkStart w:id="85" w:name="_Toc18596"/>
      <w:r>
        <w:rPr>
          <w:rFonts w:ascii="黑体" w:hAnsi="黑体" w:eastAsia="黑体" w:cs="黑体"/>
          <w:b/>
        </w:rPr>
        <w:t>三、一般公共预算拨款支出决算情况说明</w:t>
      </w:r>
      <w:bookmarkEnd w:id="82"/>
      <w:bookmarkEnd w:id="83"/>
      <w:bookmarkEnd w:id="84"/>
      <w:bookmarkEnd w:id="85"/>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2024年一般公共预算支出7989.27万元，比上年决算数减少809.74万元，下降9.20%，具体情况如下(按</w:t>
      </w:r>
      <w:r>
        <w:rPr>
          <w:rStyle w:val="30"/>
          <w:rFonts w:ascii="仿宋" w:hAnsi="仿宋" w:eastAsia="仿宋" w:cs="仿宋"/>
          <w:kern w:val="0"/>
          <w:sz w:val="32"/>
          <w:szCs w:val="32"/>
        </w:rPr>
        <w:t>项级科目</w:t>
      </w:r>
      <w:r>
        <w:rPr>
          <w:rFonts w:ascii="仿宋" w:hAnsi="仿宋" w:eastAsia="仿宋" w:cs="仿宋"/>
          <w:kern w:val="0"/>
          <w:sz w:val="32"/>
          <w:szCs w:val="32"/>
        </w:rPr>
        <w:t>分类统计)：</w:t>
      </w:r>
    </w:p>
    <w:p>
      <w:pPr>
        <w:pStyle w:val="28"/>
        <w:widowControl/>
        <w:spacing w:before="240" w:after="240" w:line="600" w:lineRule="atLeast"/>
        <w:ind w:firstLine="640"/>
        <w:jc w:val="left"/>
        <w:rPr>
          <w:rFonts w:eastAsia="仿宋"/>
          <w:kern w:val="0"/>
          <w:sz w:val="24"/>
        </w:rPr>
      </w:pPr>
      <w:r>
        <w:rPr>
          <w:rFonts w:ascii="仿宋" w:hAnsi="仿宋" w:eastAsia="仿宋" w:cs="仿宋"/>
          <w:kern w:val="0"/>
          <w:sz w:val="32"/>
          <w:szCs w:val="32"/>
        </w:rPr>
        <w:t>（一）2050203 初中教育5,534.02万元，较上年决算数减少152.82万元，下降2.69%。主要原因是</w:t>
      </w:r>
      <w:r>
        <w:rPr>
          <w:rFonts w:hint="eastAsia" w:ascii="仿宋" w:hAnsi="仿宋" w:eastAsia="仿宋" w:cs="仿宋"/>
          <w:kern w:val="0"/>
          <w:sz w:val="32"/>
          <w:szCs w:val="32"/>
        </w:rPr>
        <w:t>教师、学生数变化，人数较上年减少</w:t>
      </w:r>
      <w:r>
        <w:rPr>
          <w:rFonts w:ascii="仿宋" w:hAnsi="仿宋" w:eastAsia="仿宋" w:cs="仿宋"/>
          <w:kern w:val="0"/>
          <w:sz w:val="32"/>
          <w:szCs w:val="32"/>
        </w:rPr>
        <w:t>。</w:t>
      </w:r>
      <w:r>
        <w:rPr>
          <w:rFonts w:ascii="仿宋" w:hAnsi="仿宋" w:eastAsia="仿宋" w:cs="仿宋"/>
          <w:kern w:val="0"/>
          <w:sz w:val="32"/>
          <w:szCs w:val="32"/>
        </w:rPr>
        <w:br w:type="textWrapping"/>
      </w:r>
      <w:r>
        <w:rPr>
          <w:rFonts w:ascii="仿宋" w:hAnsi="仿宋" w:eastAsia="仿宋" w:cs="仿宋"/>
          <w:kern w:val="0"/>
          <w:sz w:val="32"/>
          <w:szCs w:val="32"/>
        </w:rPr>
        <w:t>（二）2050299 其他普通教育支出454.52万元，较上年决算数增加25.48万元，增长5.94%。主要原因是</w:t>
      </w:r>
      <w:r>
        <w:rPr>
          <w:rFonts w:hint="eastAsia" w:ascii="仿宋" w:hAnsi="仿宋" w:eastAsia="仿宋" w:cs="仿宋"/>
          <w:kern w:val="0"/>
          <w:sz w:val="32"/>
          <w:szCs w:val="32"/>
        </w:rPr>
        <w:t>学校修缮项目增加。</w:t>
      </w:r>
      <w:r>
        <w:rPr>
          <w:rFonts w:ascii="仿宋" w:hAnsi="仿宋" w:eastAsia="仿宋" w:cs="仿宋"/>
          <w:kern w:val="0"/>
          <w:sz w:val="32"/>
          <w:szCs w:val="32"/>
        </w:rPr>
        <w:br w:type="textWrapping"/>
      </w:r>
      <w:r>
        <w:rPr>
          <w:rFonts w:ascii="仿宋" w:hAnsi="仿宋" w:eastAsia="仿宋" w:cs="仿宋"/>
          <w:kern w:val="0"/>
          <w:sz w:val="32"/>
          <w:szCs w:val="32"/>
        </w:rPr>
        <w:t>（三）2050999 其他教育费附加安排的支出327.31万元，较上年决算数减少906.59万元，下降73.47%。主要原因是</w:t>
      </w:r>
      <w:r>
        <w:rPr>
          <w:rFonts w:hint="eastAsia" w:ascii="仿宋" w:hAnsi="仿宋" w:eastAsia="仿宋" w:cs="仿宋"/>
          <w:kern w:val="0"/>
          <w:sz w:val="32"/>
          <w:szCs w:val="32"/>
        </w:rPr>
        <w:t>暑期多项校园改造及采购项目减少。</w:t>
      </w:r>
      <w:r>
        <w:rPr>
          <w:rFonts w:ascii="仿宋" w:hAnsi="仿宋" w:eastAsia="仿宋" w:cs="仿宋"/>
          <w:kern w:val="0"/>
          <w:sz w:val="32"/>
          <w:szCs w:val="32"/>
        </w:rPr>
        <w:br w:type="textWrapping"/>
      </w:r>
      <w:r>
        <w:rPr>
          <w:rFonts w:ascii="仿宋" w:hAnsi="仿宋" w:eastAsia="仿宋" w:cs="仿宋"/>
          <w:kern w:val="0"/>
          <w:sz w:val="32"/>
          <w:szCs w:val="32"/>
        </w:rPr>
        <w:t>（四）2059999 其他教育支出1.20万元，较上年决算数增加0.89万元，增长287.10%。主要原因是</w:t>
      </w:r>
      <w:r>
        <w:rPr>
          <w:rFonts w:hint="eastAsia" w:ascii="仿宋" w:hAnsi="仿宋" w:eastAsia="仿宋" w:cs="仿宋"/>
          <w:kern w:val="0"/>
          <w:sz w:val="32"/>
          <w:szCs w:val="32"/>
        </w:rPr>
        <w:t>暑期夏令营项目增加。</w:t>
      </w:r>
      <w:r>
        <w:rPr>
          <w:rFonts w:ascii="仿宋" w:hAnsi="仿宋" w:eastAsia="仿宋" w:cs="仿宋"/>
          <w:kern w:val="0"/>
          <w:sz w:val="32"/>
          <w:szCs w:val="32"/>
        </w:rPr>
        <w:br w:type="textWrapping"/>
      </w:r>
      <w:r>
        <w:rPr>
          <w:rFonts w:ascii="仿宋" w:hAnsi="仿宋" w:eastAsia="仿宋" w:cs="仿宋"/>
          <w:kern w:val="0"/>
          <w:sz w:val="32"/>
          <w:szCs w:val="32"/>
        </w:rPr>
        <w:t>（五）2080502 事业单位离退休469.93万元，较上年决算数增加74.70万元，增长18.90%。主要原因是</w:t>
      </w:r>
      <w:r>
        <w:rPr>
          <w:rFonts w:hint="eastAsia" w:ascii="仿宋" w:hAnsi="仿宋" w:eastAsia="仿宋" w:cs="仿宋"/>
          <w:kern w:val="0"/>
          <w:sz w:val="32"/>
          <w:szCs w:val="32"/>
        </w:rPr>
        <w:t>学校退休教职工人员增加。</w:t>
      </w:r>
      <w:r>
        <w:rPr>
          <w:rFonts w:ascii="仿宋" w:hAnsi="仿宋" w:eastAsia="仿宋" w:cs="仿宋"/>
          <w:kern w:val="0"/>
          <w:sz w:val="32"/>
          <w:szCs w:val="32"/>
        </w:rPr>
        <w:br w:type="textWrapping"/>
      </w:r>
      <w:r>
        <w:rPr>
          <w:rFonts w:ascii="仿宋" w:hAnsi="仿宋" w:eastAsia="仿宋" w:cs="仿宋"/>
          <w:kern w:val="0"/>
          <w:sz w:val="32"/>
          <w:szCs w:val="32"/>
        </w:rPr>
        <w:t>（六）2080505 机关事业单位基本养老保险缴费支出449.60万元，较上年决算数减少1.66万元，下降0.37%。主要原因是</w:t>
      </w:r>
      <w:r>
        <w:rPr>
          <w:rFonts w:hint="eastAsia" w:ascii="仿宋" w:hAnsi="仿宋" w:eastAsia="仿宋" w:cs="仿宋"/>
          <w:kern w:val="0"/>
          <w:sz w:val="32"/>
          <w:szCs w:val="32"/>
        </w:rPr>
        <w:t>退休人员养老保险调整。</w:t>
      </w:r>
      <w:r>
        <w:rPr>
          <w:rFonts w:ascii="仿宋" w:hAnsi="仿宋" w:eastAsia="仿宋" w:cs="仿宋"/>
          <w:kern w:val="0"/>
          <w:sz w:val="32"/>
          <w:szCs w:val="32"/>
        </w:rPr>
        <w:br w:type="textWrapping"/>
      </w:r>
      <w:r>
        <w:rPr>
          <w:rFonts w:ascii="仿宋" w:hAnsi="仿宋" w:eastAsia="仿宋" w:cs="仿宋"/>
          <w:kern w:val="0"/>
          <w:sz w:val="32"/>
          <w:szCs w:val="32"/>
        </w:rPr>
        <w:t>（七）2080506 机关事业单位职业年金缴费支出335.69万元，较上年决算数增加25.05万元，增长8.06%。主要原因是</w:t>
      </w:r>
      <w:r>
        <w:rPr>
          <w:rFonts w:hint="eastAsia" w:ascii="仿宋" w:hAnsi="仿宋" w:eastAsia="仿宋" w:cs="仿宋"/>
          <w:kern w:val="0"/>
          <w:sz w:val="32"/>
          <w:szCs w:val="32"/>
        </w:rPr>
        <w:t>学校退休教职工人员增加。</w:t>
      </w:r>
      <w:r>
        <w:rPr>
          <w:rFonts w:ascii="仿宋" w:hAnsi="仿宋" w:eastAsia="仿宋" w:cs="仿宋"/>
          <w:kern w:val="0"/>
          <w:sz w:val="32"/>
          <w:szCs w:val="32"/>
        </w:rPr>
        <w:br w:type="textWrapping"/>
      </w:r>
      <w:r>
        <w:rPr>
          <w:rFonts w:ascii="仿宋" w:hAnsi="仿宋" w:eastAsia="仿宋" w:cs="仿宋"/>
          <w:kern w:val="0"/>
          <w:sz w:val="32"/>
          <w:szCs w:val="32"/>
        </w:rPr>
        <w:t>（八）2101102 事业单位医疗192.49万元，较上年决算数减少0.63万元，下降0.33%。主要原因是</w:t>
      </w:r>
      <w:r>
        <w:rPr>
          <w:rFonts w:hint="eastAsia" w:ascii="仿宋" w:hAnsi="仿宋" w:eastAsia="仿宋" w:cs="仿宋"/>
          <w:kern w:val="0"/>
          <w:sz w:val="32"/>
          <w:szCs w:val="32"/>
        </w:rPr>
        <w:t>退休人员养医疗保险调整。</w:t>
      </w:r>
      <w:r>
        <w:rPr>
          <w:rFonts w:ascii="仿宋" w:hAnsi="仿宋" w:eastAsia="仿宋" w:cs="仿宋"/>
          <w:kern w:val="0"/>
          <w:sz w:val="32"/>
          <w:szCs w:val="32"/>
        </w:rPr>
        <w:br w:type="textWrapping"/>
      </w:r>
      <w:r>
        <w:rPr>
          <w:rFonts w:ascii="仿宋" w:hAnsi="仿宋" w:eastAsia="仿宋" w:cs="仿宋"/>
          <w:kern w:val="0"/>
          <w:sz w:val="32"/>
          <w:szCs w:val="32"/>
        </w:rPr>
        <w:t>（九）2101199 其他行政事业单位医疗支出98.35万元，较上年决算数减少0.32万元，下降0.33%。主要原因是</w:t>
      </w:r>
      <w:r>
        <w:rPr>
          <w:rFonts w:hint="eastAsia" w:ascii="仿宋" w:hAnsi="仿宋" w:eastAsia="仿宋" w:cs="仿宋"/>
          <w:kern w:val="0"/>
          <w:sz w:val="32"/>
          <w:szCs w:val="32"/>
        </w:rPr>
        <w:t>退休人员养医疗保险调整。</w:t>
      </w:r>
      <w:r>
        <w:rPr>
          <w:rFonts w:ascii="仿宋" w:hAnsi="仿宋" w:eastAsia="仿宋" w:cs="仿宋"/>
          <w:kern w:val="0"/>
          <w:sz w:val="32"/>
          <w:szCs w:val="32"/>
        </w:rPr>
        <w:br w:type="textWrapping"/>
      </w:r>
      <w:r>
        <w:rPr>
          <w:rFonts w:ascii="仿宋" w:hAnsi="仿宋" w:eastAsia="仿宋" w:cs="仿宋"/>
          <w:kern w:val="0"/>
          <w:sz w:val="32"/>
          <w:szCs w:val="32"/>
        </w:rPr>
        <w:t>（十）2110199 其他环境保护管理事务支出18.00万元，较上年决算数增加18.00万元，增长100%。主要原因是</w:t>
      </w:r>
      <w:r>
        <w:rPr>
          <w:rFonts w:hint="eastAsia" w:ascii="仿宋" w:hAnsi="仿宋" w:eastAsia="仿宋" w:cs="仿宋"/>
          <w:kern w:val="0"/>
          <w:sz w:val="32"/>
          <w:szCs w:val="32"/>
        </w:rPr>
        <w:t>学校新增环保经费项目。</w:t>
      </w:r>
      <w:r>
        <w:rPr>
          <w:rFonts w:ascii="仿宋" w:hAnsi="仿宋" w:eastAsia="仿宋" w:cs="仿宋"/>
          <w:kern w:val="0"/>
          <w:sz w:val="32"/>
          <w:szCs w:val="32"/>
        </w:rPr>
        <w:br w:type="textWrapping"/>
      </w:r>
      <w:r>
        <w:rPr>
          <w:rFonts w:ascii="仿宋" w:hAnsi="仿宋" w:eastAsia="仿宋" w:cs="仿宋"/>
          <w:kern w:val="0"/>
          <w:sz w:val="32"/>
          <w:szCs w:val="32"/>
        </w:rPr>
        <w:t>（十一）2210203 购房补贴108.16万元，较上年决算数增加108.16万元，增长100%。主要原因是</w:t>
      </w:r>
      <w:r>
        <w:rPr>
          <w:rFonts w:hint="eastAsia" w:ascii="仿宋" w:hAnsi="仿宋" w:eastAsia="仿宋" w:cs="仿宋"/>
          <w:kern w:val="0"/>
          <w:sz w:val="32"/>
          <w:szCs w:val="32"/>
        </w:rPr>
        <w:t>教师货币化补贴项目。</w:t>
      </w:r>
    </w:p>
    <w:p>
      <w:pPr>
        <w:pStyle w:val="28"/>
        <w:widowControl/>
        <w:spacing w:before="100" w:after="100" w:line="600" w:lineRule="atLeast"/>
        <w:jc w:val="left"/>
        <w:rPr>
          <w:rFonts w:eastAsia="Times New Roman"/>
          <w:kern w:val="0"/>
          <w:sz w:val="24"/>
        </w:rPr>
      </w:pPr>
      <w:r>
        <w:rPr>
          <w:rFonts w:ascii="楷体" w:hAnsi="楷体" w:eastAsia="楷体" w:cs="楷体"/>
          <w:kern w:val="0"/>
          <w:sz w:val="32"/>
          <w:szCs w:val="32"/>
        </w:rPr>
        <w:t>注：没有一般公共预算拨款支出的单位请说明“本单位2024年度没有使用一般公共预算拨款安排的支出”。</w:t>
      </w:r>
    </w:p>
    <w:p>
      <w:pPr>
        <w:pStyle w:val="5"/>
        <w:keepNext w:val="0"/>
        <w:keepLines w:val="0"/>
        <w:spacing w:before="100" w:after="100" w:line="600" w:lineRule="atLeast"/>
        <w:ind w:firstLine="640" w:firstLineChars="0"/>
        <w:rPr>
          <w:rFonts w:eastAsia="Times New Roman"/>
          <w:b/>
          <w:sz w:val="28"/>
          <w:szCs w:val="28"/>
        </w:rPr>
      </w:pPr>
      <w:bookmarkStart w:id="86" w:name="_Toc256000083"/>
      <w:bookmarkStart w:id="87" w:name="_Toc256000052"/>
      <w:bookmarkStart w:id="88" w:name="_Toc256000021"/>
      <w:bookmarkStart w:id="89" w:name="_Toc10925"/>
      <w:r>
        <w:rPr>
          <w:rFonts w:ascii="黑体" w:hAnsi="黑体" w:eastAsia="黑体" w:cs="黑体"/>
          <w:b/>
        </w:rPr>
        <w:t>四、政府性基金预算财政拨款支出决算情况说明</w:t>
      </w:r>
      <w:bookmarkEnd w:id="86"/>
      <w:bookmarkEnd w:id="87"/>
      <w:bookmarkEnd w:id="88"/>
      <w:bookmarkEnd w:id="89"/>
    </w:p>
    <w:p>
      <w:pPr>
        <w:pStyle w:val="28"/>
        <w:widowControl/>
        <w:spacing w:before="100" w:after="100" w:line="600" w:lineRule="atLeast"/>
        <w:ind w:firstLine="704"/>
        <w:jc w:val="left"/>
        <w:rPr>
          <w:rFonts w:eastAsia="Times New Roman"/>
          <w:kern w:val="0"/>
          <w:sz w:val="24"/>
        </w:rPr>
      </w:pPr>
      <w:r>
        <w:rPr>
          <w:rFonts w:ascii="仿宋" w:hAnsi="仿宋" w:eastAsia="仿宋" w:cs="仿宋"/>
          <w:kern w:val="0"/>
          <w:sz w:val="32"/>
          <w:szCs w:val="32"/>
        </w:rPr>
        <w:t>2024年度政府性基金支出2.00万元，比上年决算数增加0万元，增长0%，具体情况如下(按项级科目统计)：</w:t>
      </w:r>
    </w:p>
    <w:p>
      <w:pPr>
        <w:pStyle w:val="28"/>
        <w:widowControl/>
        <w:spacing w:before="100" w:after="100" w:line="600" w:lineRule="atLeast"/>
        <w:jc w:val="left"/>
        <w:rPr>
          <w:rFonts w:eastAsia="Times New Roman"/>
          <w:kern w:val="0"/>
          <w:sz w:val="24"/>
        </w:rPr>
      </w:pPr>
      <w:r>
        <w:rPr>
          <w:rFonts w:ascii="仿宋" w:hAnsi="仿宋" w:eastAsia="仿宋" w:cs="仿宋"/>
          <w:kern w:val="0"/>
          <w:sz w:val="32"/>
          <w:szCs w:val="32"/>
        </w:rPr>
        <w:t>（一）2296003 用于体育事业的彩票公益金支出2.00万元，较上年决算数增加0.00万元，增长0.00%。与上年决算数持平</w:t>
      </w:r>
      <w:r>
        <w:rPr>
          <w:rFonts w:hint="eastAsia" w:ascii="仿宋" w:hAnsi="仿宋" w:eastAsia="仿宋" w:cs="仿宋"/>
          <w:kern w:val="0"/>
          <w:sz w:val="32"/>
          <w:szCs w:val="32"/>
        </w:rPr>
        <w:t>，此项目是足球</w:t>
      </w:r>
      <w:r>
        <w:rPr>
          <w:rFonts w:hint="eastAsia" w:ascii="仿宋" w:hAnsi="仿宋" w:eastAsia="仿宋" w:cs="仿宋"/>
          <w:kern w:val="0"/>
          <w:sz w:val="32"/>
          <w:szCs w:val="32"/>
          <w:lang w:val="en-US" w:eastAsia="zh-CN"/>
        </w:rPr>
        <w:t>专</w:t>
      </w:r>
      <w:r>
        <w:rPr>
          <w:rFonts w:hint="eastAsia" w:ascii="仿宋" w:hAnsi="仿宋" w:eastAsia="仿宋" w:cs="仿宋"/>
          <w:kern w:val="0"/>
          <w:sz w:val="32"/>
          <w:szCs w:val="32"/>
        </w:rPr>
        <w:t>项目经费</w:t>
      </w:r>
      <w:r>
        <w:rPr>
          <w:rFonts w:ascii="仿宋" w:hAnsi="仿宋" w:eastAsia="仿宋" w:cs="仿宋"/>
          <w:kern w:val="0"/>
          <w:sz w:val="32"/>
          <w:szCs w:val="32"/>
        </w:rPr>
        <w:t>。</w:t>
      </w:r>
    </w:p>
    <w:p>
      <w:pPr>
        <w:pStyle w:val="5"/>
        <w:keepNext w:val="0"/>
        <w:keepLines w:val="0"/>
        <w:spacing w:before="100" w:after="100" w:line="600" w:lineRule="atLeast"/>
        <w:ind w:firstLine="640" w:firstLineChars="0"/>
        <w:rPr>
          <w:rFonts w:eastAsia="Times New Roman"/>
          <w:b/>
          <w:sz w:val="28"/>
          <w:szCs w:val="28"/>
        </w:rPr>
      </w:pPr>
      <w:bookmarkStart w:id="90" w:name="_Toc256000022"/>
      <w:bookmarkStart w:id="91" w:name="_Toc256000084"/>
      <w:bookmarkStart w:id="92" w:name="_Toc256000053"/>
      <w:bookmarkStart w:id="93" w:name="_Toc9522"/>
      <w:r>
        <w:rPr>
          <w:rFonts w:ascii="黑体" w:hAnsi="黑体" w:eastAsia="黑体" w:cs="黑体"/>
          <w:b/>
        </w:rPr>
        <w:t>五、国有资本经营预算财政拨款支出决算情况说明</w:t>
      </w:r>
      <w:bookmarkEnd w:id="90"/>
      <w:bookmarkEnd w:id="91"/>
      <w:bookmarkEnd w:id="92"/>
      <w:bookmarkEnd w:id="93"/>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2024年度国有资本经营预算支出0万元，比上年决算数增加0万元，增长0%</w:t>
      </w:r>
      <w:r>
        <w:rPr>
          <w:rFonts w:hint="eastAsia" w:ascii="仿宋" w:hAnsi="仿宋" w:eastAsia="仿宋" w:cs="仿宋"/>
          <w:kern w:val="0"/>
          <w:sz w:val="32"/>
          <w:szCs w:val="32"/>
          <w:lang w:eastAsia="zh-CN"/>
        </w:rPr>
        <w:t>。</w:t>
      </w:r>
    </w:p>
    <w:p>
      <w:pPr>
        <w:pStyle w:val="28"/>
        <w:widowControl/>
        <w:spacing w:before="100" w:after="100" w:line="600" w:lineRule="atLeast"/>
        <w:ind w:firstLine="640"/>
        <w:jc w:val="left"/>
        <w:rPr>
          <w:rFonts w:eastAsia="Times New Roman"/>
          <w:kern w:val="0"/>
          <w:sz w:val="24"/>
        </w:rPr>
      </w:pPr>
      <w:r>
        <w:rPr>
          <w:rFonts w:ascii="楷体" w:hAnsi="楷体" w:eastAsia="楷体" w:cs="楷体"/>
          <w:kern w:val="0"/>
          <w:sz w:val="32"/>
          <w:szCs w:val="32"/>
        </w:rPr>
        <w:t>本单位2024年度没有使用国有资本经营预算财政拨款安排的支出。</w:t>
      </w:r>
    </w:p>
    <w:p>
      <w:pPr>
        <w:pStyle w:val="5"/>
        <w:keepNext w:val="0"/>
        <w:keepLines w:val="0"/>
        <w:spacing w:before="100" w:after="100" w:line="600" w:lineRule="atLeast"/>
        <w:ind w:firstLine="640" w:firstLineChars="0"/>
        <w:rPr>
          <w:rFonts w:eastAsia="Times New Roman"/>
          <w:b/>
          <w:sz w:val="28"/>
          <w:szCs w:val="28"/>
        </w:rPr>
      </w:pPr>
      <w:bookmarkStart w:id="94" w:name="_Toc256000054"/>
      <w:bookmarkStart w:id="95" w:name="_Toc256000023"/>
      <w:bookmarkStart w:id="96" w:name="_Toc28145"/>
      <w:bookmarkStart w:id="97" w:name="_Toc256000085"/>
      <w:r>
        <w:rPr>
          <w:rFonts w:ascii="黑体" w:hAnsi="黑体" w:eastAsia="黑体" w:cs="黑体"/>
          <w:b/>
        </w:rPr>
        <w:t>六、一般公共预算财政拨款基本支出决算情况说明</w:t>
      </w:r>
      <w:bookmarkEnd w:id="94"/>
      <w:bookmarkEnd w:id="95"/>
      <w:bookmarkEnd w:id="96"/>
      <w:bookmarkEnd w:id="97"/>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2024年度一般公共预算财政拨款基本支出7344.34万元，其中：</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一）人员经费6679.00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二）公用经费665.34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firstLine="640" w:firstLineChars="0"/>
        <w:rPr>
          <w:rFonts w:eastAsia="Times New Roman"/>
          <w:b/>
          <w:sz w:val="28"/>
          <w:szCs w:val="28"/>
        </w:rPr>
      </w:pPr>
      <w:bookmarkStart w:id="98" w:name="_Toc256000055"/>
      <w:bookmarkStart w:id="99" w:name="_Toc23613"/>
      <w:bookmarkStart w:id="100" w:name="_Toc256000086"/>
      <w:bookmarkStart w:id="101" w:name="_Toc256000024"/>
      <w:r>
        <w:rPr>
          <w:rFonts w:ascii="黑体" w:hAnsi="黑体" w:eastAsia="黑体" w:cs="黑体"/>
          <w:b/>
        </w:rPr>
        <w:t>七、一般公共预算拨款“三公”经费支出决算情况说明</w:t>
      </w:r>
      <w:bookmarkEnd w:id="98"/>
      <w:bookmarkEnd w:id="99"/>
      <w:bookmarkEnd w:id="100"/>
      <w:bookmarkEnd w:id="101"/>
    </w:p>
    <w:p>
      <w:pPr>
        <w:pStyle w:val="28"/>
        <w:widowControl/>
        <w:spacing w:before="100" w:after="100" w:line="600" w:lineRule="atLeast"/>
        <w:ind w:firstLine="704"/>
        <w:jc w:val="left"/>
        <w:rPr>
          <w:rFonts w:hint="default" w:eastAsia="仿宋"/>
          <w:kern w:val="0"/>
          <w:sz w:val="24"/>
          <w:lang w:val="en-US" w:eastAsia="zh-CN"/>
        </w:rPr>
      </w:pPr>
      <w:r>
        <w:rPr>
          <w:rFonts w:ascii="仿宋" w:hAnsi="仿宋" w:eastAsia="仿宋" w:cs="仿宋"/>
          <w:kern w:val="0"/>
          <w:sz w:val="32"/>
          <w:szCs w:val="32"/>
        </w:rPr>
        <w:t>2024年度一般公共预算拨款“三公”经费支出0万元，完成全年预算的 0%；较上年增加0万元，增长0%。</w:t>
      </w:r>
      <w:r>
        <w:rPr>
          <w:rFonts w:hint="eastAsia" w:ascii="仿宋" w:hAnsi="仿宋" w:eastAsia="仿宋" w:cs="仿宋"/>
          <w:kern w:val="0"/>
          <w:sz w:val="32"/>
          <w:szCs w:val="32"/>
          <w:lang w:val="en-US" w:eastAsia="zh-CN"/>
        </w:rPr>
        <w:t>主要原因是本单位没有使用“三公”经费支出。具体情况如下：</w:t>
      </w:r>
    </w:p>
    <w:p>
      <w:pPr>
        <w:pStyle w:val="28"/>
        <w:widowControl/>
        <w:spacing w:before="100" w:after="100" w:line="600" w:lineRule="atLeast"/>
        <w:ind w:firstLine="704"/>
        <w:jc w:val="left"/>
        <w:rPr>
          <w:rFonts w:hint="default" w:eastAsia="Times New Roman"/>
          <w:kern w:val="0"/>
          <w:sz w:val="24"/>
          <w:lang w:val="en-US"/>
        </w:rPr>
      </w:pPr>
      <w:r>
        <w:rPr>
          <w:rFonts w:ascii="仿宋" w:hAnsi="仿宋" w:eastAsia="仿宋" w:cs="仿宋"/>
          <w:kern w:val="0"/>
          <w:sz w:val="32"/>
          <w:szCs w:val="32"/>
        </w:rPr>
        <w:t>（一）因公出国（境）费支出0万元，完成全年预算的 0%；较上年增加0万元，增长0%。全年安排本单位组织的出国团组0 个，参加其他单位出国团组个；全年因公出国（境）累计0人次。</w:t>
      </w:r>
      <w:r>
        <w:rPr>
          <w:rFonts w:hint="eastAsia" w:ascii="仿宋" w:hAnsi="仿宋" w:eastAsia="仿宋" w:cs="仿宋"/>
          <w:kern w:val="0"/>
          <w:sz w:val="32"/>
          <w:szCs w:val="32"/>
          <w:lang w:val="en-US" w:eastAsia="zh-CN"/>
        </w:rPr>
        <w:t>主要原因是本部门没有安排出国团组及参加其他单位出国团组。</w:t>
      </w:r>
    </w:p>
    <w:p>
      <w:pPr>
        <w:pStyle w:val="28"/>
        <w:widowControl/>
        <w:spacing w:before="100" w:after="100" w:line="600" w:lineRule="atLeast"/>
        <w:ind w:firstLine="645"/>
        <w:jc w:val="left"/>
        <w:rPr>
          <w:rFonts w:hint="eastAsia" w:eastAsia="仿宋"/>
          <w:kern w:val="0"/>
          <w:sz w:val="24"/>
          <w:lang w:val="en-US" w:eastAsia="zh-CN"/>
        </w:rPr>
      </w:pPr>
      <w:r>
        <w:rPr>
          <w:rFonts w:ascii="仿宋" w:hAnsi="仿宋" w:eastAsia="仿宋" w:cs="仿宋"/>
          <w:kern w:val="0"/>
          <w:sz w:val="32"/>
          <w:szCs w:val="32"/>
        </w:rPr>
        <w:t>（二）公务用车购置及运行费支出0万元，完成全年预算的0%；较上年增加0万元，增长0%。</w:t>
      </w:r>
      <w:r>
        <w:rPr>
          <w:rFonts w:hint="eastAsia" w:ascii="仿宋" w:hAnsi="仿宋" w:eastAsia="仿宋" w:cs="仿宋"/>
          <w:kern w:val="0"/>
          <w:sz w:val="32"/>
          <w:szCs w:val="32"/>
          <w:lang w:val="en-US" w:eastAsia="zh-CN"/>
        </w:rPr>
        <w:t>主要是本单位没有购置公务用车及运行费支出。其中：</w:t>
      </w:r>
    </w:p>
    <w:p>
      <w:pPr>
        <w:pStyle w:val="28"/>
        <w:widowControl/>
        <w:spacing w:before="100" w:after="100" w:line="600" w:lineRule="atLeast"/>
        <w:ind w:firstLine="645"/>
        <w:jc w:val="left"/>
        <w:rPr>
          <w:rFonts w:hint="default" w:eastAsia="仿宋"/>
          <w:kern w:val="0"/>
          <w:sz w:val="24"/>
          <w:lang w:val="en-US" w:eastAsia="zh-CN"/>
        </w:rPr>
      </w:pPr>
      <w:r>
        <w:rPr>
          <w:rFonts w:ascii="仿宋" w:hAnsi="仿宋" w:eastAsia="仿宋" w:cs="仿宋"/>
          <w:kern w:val="0"/>
          <w:sz w:val="32"/>
          <w:szCs w:val="32"/>
        </w:rPr>
        <w:t>公务用车购置费支出0万元，完成全年预算的0%；较上年增加0万元，增长0%。2024年公务用车购置0辆，</w:t>
      </w:r>
      <w:r>
        <w:rPr>
          <w:rFonts w:hint="eastAsia" w:ascii="仿宋" w:hAnsi="仿宋" w:eastAsia="仿宋" w:cs="仿宋"/>
          <w:kern w:val="0"/>
          <w:sz w:val="32"/>
          <w:szCs w:val="32"/>
          <w:lang w:val="en-US" w:eastAsia="zh-CN"/>
        </w:rPr>
        <w:t>主要是本单位没有购置公务用车。</w:t>
      </w:r>
    </w:p>
    <w:p>
      <w:pPr>
        <w:pStyle w:val="28"/>
        <w:widowControl/>
        <w:spacing w:before="100" w:after="100" w:line="600" w:lineRule="atLeast"/>
        <w:ind w:firstLine="645"/>
        <w:jc w:val="left"/>
        <w:rPr>
          <w:rFonts w:eastAsia="Times New Roman"/>
          <w:kern w:val="0"/>
          <w:sz w:val="24"/>
        </w:rPr>
      </w:pPr>
      <w:r>
        <w:rPr>
          <w:rFonts w:ascii="仿宋" w:hAnsi="仿宋" w:eastAsia="仿宋" w:cs="仿宋"/>
          <w:kern w:val="0"/>
          <w:sz w:val="32"/>
          <w:szCs w:val="32"/>
        </w:rPr>
        <w:t>公务用车运行费支出0万元，完成全年预算的0%；较上年增加0万元，增长0%。</w:t>
      </w:r>
      <w:r>
        <w:rPr>
          <w:rFonts w:hint="eastAsia" w:ascii="仿宋" w:hAnsi="仿宋" w:eastAsia="仿宋" w:cs="仿宋"/>
          <w:kern w:val="0"/>
          <w:sz w:val="32"/>
          <w:szCs w:val="32"/>
          <w:lang w:val="en-US" w:eastAsia="zh-CN"/>
        </w:rPr>
        <w:t>主要是本单位无公务用车运行费用支出。</w:t>
      </w:r>
      <w:r>
        <w:rPr>
          <w:rFonts w:ascii="仿宋" w:hAnsi="仿宋" w:eastAsia="仿宋" w:cs="仿宋"/>
          <w:kern w:val="0"/>
          <w:sz w:val="32"/>
          <w:szCs w:val="32"/>
        </w:rPr>
        <w:t>截至2024年12月31日，本单位公务用车保有量为0 辆。</w:t>
      </w:r>
    </w:p>
    <w:p>
      <w:pPr>
        <w:pStyle w:val="28"/>
        <w:widowControl/>
        <w:spacing w:before="100" w:after="100" w:line="600" w:lineRule="atLeast"/>
        <w:ind w:firstLine="645"/>
        <w:jc w:val="left"/>
        <w:rPr>
          <w:rFonts w:eastAsia="Times New Roman"/>
          <w:kern w:val="0"/>
          <w:sz w:val="24"/>
        </w:rPr>
      </w:pPr>
      <w:r>
        <w:rPr>
          <w:rFonts w:ascii="仿宋" w:hAnsi="仿宋" w:eastAsia="仿宋" w:cs="仿宋"/>
          <w:kern w:val="0"/>
          <w:sz w:val="32"/>
          <w:szCs w:val="32"/>
        </w:rPr>
        <w:t>（三）公务接待费支出0万元，完成全年预算的 0%；较上年增加0万元，增长0%。主要是</w:t>
      </w:r>
      <w:r>
        <w:rPr>
          <w:rFonts w:hint="eastAsia" w:ascii="仿宋" w:hAnsi="仿宋" w:eastAsia="仿宋" w:cs="仿宋"/>
          <w:kern w:val="0"/>
          <w:sz w:val="32"/>
          <w:szCs w:val="32"/>
          <w:lang w:val="en-US" w:eastAsia="zh-CN"/>
        </w:rPr>
        <w:t>本部门没有公务接待活动</w:t>
      </w:r>
      <w:r>
        <w:rPr>
          <w:rFonts w:ascii="仿宋" w:hAnsi="仿宋" w:eastAsia="仿宋" w:cs="仿宋"/>
          <w:kern w:val="0"/>
          <w:sz w:val="32"/>
          <w:szCs w:val="32"/>
        </w:rPr>
        <w:t>。累计接待0批次、0人次。</w:t>
      </w:r>
    </w:p>
    <w:p>
      <w:pPr>
        <w:pStyle w:val="5"/>
        <w:keepNext w:val="0"/>
        <w:keepLines w:val="0"/>
        <w:spacing w:before="100" w:after="100" w:line="600" w:lineRule="atLeast"/>
        <w:ind w:firstLine="640" w:firstLineChars="0"/>
        <w:rPr>
          <w:rFonts w:ascii="黑体" w:hAnsi="黑体" w:eastAsia="黑体" w:cs="黑体"/>
          <w:b/>
        </w:rPr>
      </w:pPr>
      <w:bookmarkStart w:id="102" w:name="_Toc256000087"/>
      <w:bookmarkStart w:id="103" w:name="_Toc256000056"/>
      <w:bookmarkStart w:id="104" w:name="_Toc256000025"/>
      <w:bookmarkStart w:id="105" w:name="_Toc9074"/>
    </w:p>
    <w:p>
      <w:pPr>
        <w:pStyle w:val="5"/>
        <w:keepNext w:val="0"/>
        <w:keepLines w:val="0"/>
        <w:spacing w:before="100" w:after="100" w:line="600" w:lineRule="atLeast"/>
        <w:ind w:firstLine="640" w:firstLineChars="0"/>
        <w:rPr>
          <w:rFonts w:ascii="黑体" w:hAnsi="黑体" w:eastAsia="黑体" w:cs="黑体"/>
          <w:b/>
        </w:rPr>
      </w:pPr>
    </w:p>
    <w:p>
      <w:pPr>
        <w:pStyle w:val="5"/>
        <w:keepNext w:val="0"/>
        <w:keepLines w:val="0"/>
        <w:spacing w:before="100" w:after="100" w:line="600" w:lineRule="atLeast"/>
        <w:ind w:firstLine="640" w:firstLineChars="0"/>
        <w:rPr>
          <w:rFonts w:ascii="黑体" w:hAnsi="黑体" w:eastAsia="黑体" w:cs="黑体"/>
          <w:b/>
        </w:rPr>
      </w:pPr>
    </w:p>
    <w:p>
      <w:pPr>
        <w:pStyle w:val="5"/>
        <w:keepNext w:val="0"/>
        <w:keepLines w:val="0"/>
        <w:spacing w:before="100" w:after="100" w:line="600" w:lineRule="atLeast"/>
        <w:ind w:firstLine="640" w:firstLineChars="0"/>
        <w:rPr>
          <w:rFonts w:ascii="黑体" w:hAnsi="黑体" w:eastAsia="黑体" w:cs="黑体"/>
          <w:b/>
        </w:rPr>
      </w:pPr>
      <w:r>
        <w:rPr>
          <w:rFonts w:ascii="黑体" w:hAnsi="黑体" w:eastAsia="黑体" w:cs="黑体"/>
          <w:b/>
        </w:rPr>
        <w:t>八、预算绩效情况说明</w:t>
      </w:r>
      <w:bookmarkEnd w:id="102"/>
      <w:bookmarkEnd w:id="103"/>
      <w:bookmarkEnd w:id="104"/>
      <w:bookmarkEnd w:id="105"/>
    </w:p>
    <w:p>
      <w:pPr>
        <w:pStyle w:val="28"/>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根据预算绩效管理要求，本单位组织对2024年度</w:t>
      </w:r>
      <w:r>
        <w:rPr>
          <w:rFonts w:hint="eastAsia" w:ascii="仿宋" w:hAnsi="仿宋" w:eastAsia="仿宋" w:cs="仿宋"/>
          <w:kern w:val="0"/>
          <w:sz w:val="32"/>
          <w:szCs w:val="32"/>
          <w:lang w:val="en-US" w:eastAsia="zh-CN"/>
        </w:rPr>
        <w:t>各</w:t>
      </w:r>
      <w:r>
        <w:rPr>
          <w:rFonts w:ascii="仿宋" w:hAnsi="仿宋" w:eastAsia="仿宋" w:cs="仿宋"/>
          <w:kern w:val="0"/>
          <w:sz w:val="32"/>
          <w:szCs w:val="32"/>
        </w:rPr>
        <w:t>项目实施单位自评，分别是</w:t>
      </w:r>
      <w:r>
        <w:rPr>
          <w:rFonts w:hint="eastAsia" w:ascii="仿宋" w:hAnsi="仿宋" w:eastAsia="仿宋" w:cs="仿宋"/>
          <w:kern w:val="0"/>
          <w:sz w:val="32"/>
          <w:szCs w:val="32"/>
          <w:lang w:val="en-US" w:eastAsia="zh-CN"/>
        </w:rPr>
        <w:t>义务教育营养餐补助</w:t>
      </w:r>
      <w:r>
        <w:rPr>
          <w:rFonts w:ascii="仿宋" w:hAnsi="仿宋" w:eastAsia="仿宋" w:cs="仿宋"/>
          <w:kern w:val="0"/>
          <w:sz w:val="32"/>
          <w:szCs w:val="32"/>
        </w:rPr>
        <w:t>项目，涉及财政拨款资金共计</w:t>
      </w:r>
      <w:r>
        <w:rPr>
          <w:rFonts w:hint="eastAsia" w:ascii="仿宋" w:hAnsi="仿宋" w:eastAsia="仿宋" w:cs="仿宋"/>
          <w:kern w:val="0"/>
          <w:sz w:val="32"/>
          <w:szCs w:val="32"/>
          <w:lang w:val="en-US" w:eastAsia="zh-CN"/>
        </w:rPr>
        <w:t>2.2662</w:t>
      </w:r>
      <w:r>
        <w:rPr>
          <w:rFonts w:ascii="仿宋" w:hAnsi="仿宋" w:eastAsia="仿宋" w:cs="仿宋"/>
          <w:kern w:val="0"/>
          <w:sz w:val="32"/>
          <w:szCs w:val="32"/>
        </w:rPr>
        <w:t>万元。（《项目支出绩效自评表》详见附件）</w:t>
      </w:r>
    </w:p>
    <w:p>
      <w:pPr>
        <w:pStyle w:val="4"/>
      </w:pPr>
    </w:p>
    <w:p>
      <w:pPr>
        <w:pStyle w:val="5"/>
        <w:keepNext w:val="0"/>
        <w:keepLines w:val="0"/>
        <w:spacing w:before="100" w:after="100" w:line="600" w:lineRule="atLeast"/>
        <w:ind w:firstLine="640" w:firstLineChars="0"/>
        <w:rPr>
          <w:rFonts w:eastAsia="Times New Roman"/>
          <w:b/>
          <w:sz w:val="28"/>
          <w:szCs w:val="28"/>
        </w:rPr>
      </w:pPr>
      <w:bookmarkStart w:id="106" w:name="_Toc256000088"/>
      <w:bookmarkStart w:id="107" w:name="_Toc5235"/>
      <w:bookmarkStart w:id="108" w:name="_Toc256000026"/>
      <w:bookmarkStart w:id="109" w:name="_Toc256000057"/>
      <w:r>
        <w:rPr>
          <w:rFonts w:ascii="黑体" w:hAnsi="黑体" w:eastAsia="黑体" w:cs="黑体"/>
          <w:b/>
        </w:rPr>
        <w:t>九、其他重要事项说明</w:t>
      </w:r>
      <w:bookmarkEnd w:id="106"/>
      <w:bookmarkEnd w:id="107"/>
      <w:bookmarkEnd w:id="108"/>
      <w:bookmarkEnd w:id="109"/>
    </w:p>
    <w:p>
      <w:pPr>
        <w:pStyle w:val="28"/>
        <w:widowControl/>
        <w:spacing w:before="100" w:after="100" w:line="600" w:lineRule="atLeast"/>
        <w:ind w:firstLine="643"/>
        <w:jc w:val="left"/>
        <w:rPr>
          <w:rFonts w:eastAsia="Times New Roman"/>
          <w:kern w:val="0"/>
          <w:sz w:val="24"/>
        </w:rPr>
      </w:pPr>
      <w:r>
        <w:rPr>
          <w:rFonts w:ascii="楷体" w:hAnsi="楷体" w:eastAsia="楷体" w:cs="楷体"/>
          <w:kern w:val="0"/>
          <w:sz w:val="32"/>
          <w:szCs w:val="32"/>
        </w:rPr>
        <w:t>（一）机关运行经费</w:t>
      </w:r>
      <w:r>
        <w:rPr>
          <w:rFonts w:ascii="宋体" w:hAnsi="宋体" w:cs="宋体"/>
          <w:kern w:val="0"/>
          <w:sz w:val="32"/>
          <w:szCs w:val="32"/>
        </w:rPr>
        <w:t> </w:t>
      </w:r>
    </w:p>
    <w:p>
      <w:pPr>
        <w:pStyle w:val="28"/>
        <w:widowControl/>
        <w:spacing w:before="100" w:after="100" w:line="600" w:lineRule="atLeast"/>
        <w:ind w:firstLine="640"/>
        <w:jc w:val="left"/>
        <w:rPr>
          <w:rFonts w:hint="eastAsia" w:ascii="仿宋" w:hAnsi="仿宋" w:eastAsia="仿宋" w:cs="仿宋"/>
          <w:kern w:val="0"/>
          <w:sz w:val="32"/>
          <w:szCs w:val="32"/>
          <w:lang w:eastAsia="zh-CN"/>
        </w:rPr>
      </w:pPr>
      <w:r>
        <w:rPr>
          <w:rFonts w:ascii="仿宋" w:hAnsi="仿宋" w:eastAsia="仿宋" w:cs="仿宋"/>
          <w:kern w:val="0"/>
          <w:sz w:val="32"/>
          <w:szCs w:val="32"/>
        </w:rPr>
        <w:t>2024年度机关运行经费支出0万元，比上年决算数增加0万元，增长0%</w:t>
      </w:r>
      <w:r>
        <w:rPr>
          <w:rFonts w:hint="eastAsia" w:ascii="仿宋" w:hAnsi="仿宋" w:eastAsia="仿宋" w:cs="仿宋"/>
          <w:kern w:val="0"/>
          <w:sz w:val="32"/>
          <w:szCs w:val="32"/>
          <w:lang w:eastAsia="zh-CN"/>
        </w:rPr>
        <w:t>。</w:t>
      </w:r>
    </w:p>
    <w:p>
      <w:pPr>
        <w:pStyle w:val="28"/>
        <w:widowControl/>
        <w:spacing w:before="100" w:after="100" w:line="600" w:lineRule="atLeast"/>
        <w:ind w:firstLine="640"/>
        <w:jc w:val="left"/>
        <w:rPr>
          <w:rFonts w:eastAsia="Times New Roman"/>
          <w:kern w:val="0"/>
          <w:sz w:val="24"/>
        </w:rPr>
      </w:pPr>
      <w:r>
        <w:rPr>
          <w:rFonts w:ascii="楷体" w:hAnsi="楷体" w:eastAsia="楷体" w:cs="楷体"/>
          <w:kern w:val="0"/>
          <w:sz w:val="32"/>
          <w:szCs w:val="32"/>
        </w:rPr>
        <w:t>本单位为事业单位没有机关运行经费。</w:t>
      </w:r>
    </w:p>
    <w:p>
      <w:pPr>
        <w:pStyle w:val="28"/>
        <w:widowControl/>
        <w:spacing w:before="100" w:after="100" w:line="600" w:lineRule="atLeast"/>
        <w:ind w:firstLine="643"/>
        <w:jc w:val="left"/>
        <w:rPr>
          <w:rFonts w:eastAsia="Times New Roman"/>
          <w:kern w:val="0"/>
          <w:sz w:val="24"/>
        </w:rPr>
      </w:pPr>
      <w:r>
        <w:rPr>
          <w:rStyle w:val="30"/>
          <w:rFonts w:ascii="楷体" w:hAnsi="楷体" w:eastAsia="楷体" w:cs="楷体"/>
          <w:b/>
          <w:bCs/>
          <w:kern w:val="0"/>
          <w:sz w:val="32"/>
          <w:szCs w:val="32"/>
        </w:rPr>
        <w:t>（二）政府采购情况</w:t>
      </w:r>
    </w:p>
    <w:p>
      <w:pPr>
        <w:pStyle w:val="28"/>
        <w:widowControl/>
        <w:spacing w:before="100" w:after="100" w:line="600" w:lineRule="atLeast"/>
        <w:ind w:firstLine="640"/>
        <w:jc w:val="left"/>
        <w:rPr>
          <w:rFonts w:hint="eastAsia" w:eastAsia="仿宋"/>
          <w:kern w:val="0"/>
          <w:sz w:val="24"/>
          <w:lang w:eastAsia="zh-CN"/>
        </w:rPr>
      </w:pPr>
      <w:r>
        <w:rPr>
          <w:rFonts w:ascii="仿宋" w:hAnsi="仿宋" w:eastAsia="仿宋" w:cs="仿宋"/>
          <w:kern w:val="0"/>
          <w:sz w:val="32"/>
          <w:szCs w:val="32"/>
        </w:rPr>
        <w:t>本单位2024年度政府采购支出总额255.00万元，其中：政府采购货物支出0万元、政府采购工程支出255.00万元、政府采购服务支出0万元。授予中小企业合同金额0万元，占政府采购支出总额的0%，其中：授予小微企业合同金额0万元，占授予中小企业合同金额的0%；货物采购授予中小企业合同金额占货物支出金额的%，工程采购授予中小企业合同金额占工程支出金额的</w:t>
      </w:r>
      <w:r>
        <w:rPr>
          <w:rFonts w:hint="eastAsia" w:ascii="仿宋" w:hAnsi="仿宋" w:eastAsia="仿宋" w:cs="仿宋"/>
          <w:kern w:val="0"/>
          <w:sz w:val="32"/>
          <w:szCs w:val="32"/>
          <w:lang w:val="en-US" w:eastAsia="zh-CN"/>
        </w:rPr>
        <w:t>0</w:t>
      </w:r>
      <w:r>
        <w:rPr>
          <w:rFonts w:ascii="仿宋" w:hAnsi="仿宋" w:eastAsia="仿宋" w:cs="仿宋"/>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ascii="仿宋" w:hAnsi="仿宋" w:eastAsia="仿宋" w:cs="仿宋"/>
          <w:kern w:val="0"/>
          <w:sz w:val="32"/>
          <w:szCs w:val="32"/>
        </w:rPr>
        <w:t>%</w:t>
      </w:r>
      <w:r>
        <w:rPr>
          <w:rFonts w:hint="eastAsia" w:ascii="仿宋" w:hAnsi="仿宋" w:eastAsia="仿宋" w:cs="仿宋"/>
          <w:kern w:val="0"/>
          <w:sz w:val="32"/>
          <w:szCs w:val="32"/>
          <w:lang w:eastAsia="zh-CN"/>
        </w:rPr>
        <w:t>。</w:t>
      </w:r>
    </w:p>
    <w:p>
      <w:pPr>
        <w:pStyle w:val="28"/>
        <w:widowControl/>
        <w:spacing w:before="100" w:after="100" w:line="600" w:lineRule="atLeast"/>
        <w:ind w:firstLine="707"/>
        <w:jc w:val="left"/>
        <w:rPr>
          <w:rFonts w:eastAsia="Times New Roman"/>
          <w:kern w:val="0"/>
          <w:sz w:val="24"/>
        </w:rPr>
      </w:pPr>
      <w:r>
        <w:rPr>
          <w:rStyle w:val="30"/>
          <w:rFonts w:ascii="楷体" w:hAnsi="楷体" w:eastAsia="楷体" w:cs="楷体"/>
          <w:b/>
          <w:bCs/>
          <w:kern w:val="0"/>
          <w:sz w:val="32"/>
          <w:szCs w:val="32"/>
        </w:rPr>
        <w:t>（三）国有资产占用使用情况</w:t>
      </w:r>
      <w:r>
        <w:rPr>
          <w:rFonts w:ascii="宋体" w:hAnsi="宋体" w:cs="宋体"/>
          <w:kern w:val="0"/>
          <w:sz w:val="32"/>
          <w:szCs w:val="32"/>
        </w:rPr>
        <w:t> </w:t>
      </w:r>
    </w:p>
    <w:p>
      <w:pPr>
        <w:pStyle w:val="28"/>
        <w:widowControl/>
        <w:spacing w:before="100" w:after="100" w:line="600" w:lineRule="atLeast"/>
        <w:ind w:firstLine="704"/>
        <w:jc w:val="left"/>
        <w:rPr>
          <w:rFonts w:eastAsia="Times New Roman"/>
          <w:kern w:val="0"/>
          <w:sz w:val="24"/>
        </w:rPr>
      </w:pPr>
      <w:r>
        <w:rPr>
          <w:rFonts w:ascii="仿宋" w:hAnsi="仿宋" w:eastAsia="仿宋" w:cs="仿宋"/>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辆、机要通信用车0辆、应急保障用车0辆、执法执勤用车0辆、特种专业技术用车0辆、离退休干部用车0辆、其他用车0辆，其他用车主要是；单位价值100万元以上设备（不含车辆）0台（套）。</w:t>
      </w:r>
      <w:r>
        <w:rPr>
          <w:rFonts w:ascii="Calibri" w:hAnsi="Calibri" w:eastAsia="Calibri" w:cs="Calibri"/>
          <w:kern w:val="0"/>
          <w:sz w:val="32"/>
          <w:szCs w:val="32"/>
        </w:rPr>
        <w:t>  </w:t>
      </w:r>
      <w:r>
        <w:rPr>
          <w:rFonts w:ascii="宋体" w:hAnsi="宋体" w:cs="宋体"/>
          <w:kern w:val="0"/>
          <w:sz w:val="56"/>
          <w:szCs w:val="56"/>
        </w:rPr>
        <w:t xml:space="preserve"> </w:t>
      </w: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28"/>
        <w:widowControl/>
        <w:spacing w:before="100" w:after="100"/>
        <w:jc w:val="left"/>
        <w:rPr>
          <w:rFonts w:eastAsia="Times New Roman"/>
          <w:kern w:val="0"/>
          <w:sz w:val="24"/>
        </w:rPr>
      </w:pP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110" w:name="_Toc256000058"/>
      <w:bookmarkStart w:id="111" w:name="_Toc256000027"/>
      <w:bookmarkStart w:id="112" w:name="_Toc256000089"/>
      <w:bookmarkStart w:id="113" w:name="_Toc14015"/>
      <w:r>
        <w:rPr>
          <w:rFonts w:ascii="黑体" w:hAnsi="黑体" w:eastAsia="黑体" w:cs="黑体"/>
          <w:b/>
          <w:sz w:val="56"/>
          <w:szCs w:val="56"/>
        </w:rPr>
        <w:t>第四部分</w:t>
      </w:r>
      <w:bookmarkEnd w:id="110"/>
      <w:bookmarkEnd w:id="111"/>
      <w:bookmarkEnd w:id="112"/>
      <w:bookmarkEnd w:id="113"/>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bookmarkStart w:id="114" w:name="_Toc256000059"/>
      <w:bookmarkStart w:id="115" w:name="_Toc256000090"/>
      <w:bookmarkStart w:id="116" w:name="_Toc256000028"/>
      <w:bookmarkStart w:id="117" w:name="_Toc21601"/>
      <w:r>
        <w:rPr>
          <w:rFonts w:ascii="黑体" w:hAnsi="黑体" w:eastAsia="黑体" w:cs="黑体"/>
          <w:b/>
          <w:sz w:val="56"/>
          <w:szCs w:val="56"/>
        </w:rPr>
        <w:t>名词解释</w:t>
      </w:r>
      <w:bookmarkEnd w:id="114"/>
      <w:bookmarkEnd w:id="115"/>
      <w:bookmarkEnd w:id="116"/>
      <w:bookmarkEnd w:id="117"/>
    </w:p>
    <w:p>
      <w:pPr>
        <w:pStyle w:val="28"/>
        <w:widowControl/>
        <w:spacing w:before="100" w:after="100"/>
        <w:jc w:val="center"/>
        <w:rPr>
          <w:rFonts w:eastAsia="Times New Roman"/>
          <w:kern w:val="0"/>
          <w:sz w:val="24"/>
        </w:rPr>
      </w:pPr>
    </w:p>
    <w:p>
      <w:pPr>
        <w:pStyle w:val="28"/>
        <w:widowControl/>
        <w:spacing w:before="100" w:after="100" w:line="600" w:lineRule="atLeast"/>
        <w:jc w:val="left"/>
        <w:rPr>
          <w:rFonts w:eastAsia="Times New Roman"/>
          <w:kern w:val="0"/>
          <w:sz w:val="24"/>
        </w:rPr>
      </w:pPr>
      <w:r>
        <w:rPr>
          <w:rStyle w:val="30"/>
          <w:rFonts w:ascii="仿宋" w:hAnsi="仿宋" w:eastAsia="仿宋" w:cs="仿宋"/>
          <w:b/>
          <w:bCs/>
          <w:kern w:val="0"/>
          <w:sz w:val="32"/>
          <w:szCs w:val="32"/>
        </w:rPr>
        <w:t>一、财政拨款收入：</w:t>
      </w:r>
      <w:r>
        <w:rPr>
          <w:rFonts w:ascii="仿宋" w:hAnsi="仿宋" w:eastAsia="仿宋" w:cs="仿宋"/>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w:t>
      </w:r>
      <w:r>
        <w:rPr>
          <w:rFonts w:ascii="宋体" w:hAnsi="宋体" w:cs="宋体"/>
          <w:kern w:val="0"/>
          <w:szCs w:val="21"/>
        </w:rPr>
        <w:t> </w:t>
      </w:r>
      <w:r>
        <w:rPr>
          <w:rFonts w:ascii="仿宋" w:hAnsi="仿宋" w:eastAsia="仿宋" w:cs="仿宋"/>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eastAsia="Times New Roman"/>
          <w:kern w:val="0"/>
          <w:sz w:val="24"/>
        </w:rPr>
      </w:pPr>
    </w:p>
    <w:p>
      <w:pPr>
        <w:pStyle w:val="28"/>
        <w:widowControl/>
        <w:spacing w:before="240" w:after="240"/>
        <w:jc w:val="left"/>
        <w:rPr>
          <w:rFonts w:eastAsia="Times New Roman"/>
          <w:kern w:val="0"/>
          <w:sz w:val="24"/>
        </w:rPr>
      </w:pPr>
    </w:p>
    <w:p>
      <w:pPr>
        <w:pStyle w:val="28"/>
        <w:widowControl/>
        <w:spacing w:before="240" w:after="240"/>
        <w:jc w:val="center"/>
        <w:rPr>
          <w:rFonts w:eastAsia="Times New Roman"/>
          <w:kern w:val="0"/>
          <w:sz w:val="24"/>
        </w:rPr>
      </w:pPr>
    </w:p>
    <w:p>
      <w:pPr>
        <w:pStyle w:val="3"/>
        <w:keepNext w:val="0"/>
        <w:keepLines w:val="0"/>
        <w:spacing w:before="299" w:after="299" w:line="240" w:lineRule="auto"/>
        <w:ind w:firstLine="0" w:firstLineChars="0"/>
        <w:jc w:val="center"/>
        <w:rPr>
          <w:rFonts w:ascii="黑体" w:hAnsi="黑体" w:eastAsia="黑体" w:cs="黑体"/>
          <w:b/>
          <w:sz w:val="56"/>
          <w:szCs w:val="56"/>
        </w:rPr>
      </w:pPr>
      <w:bookmarkStart w:id="118" w:name="_Toc256000029"/>
      <w:bookmarkStart w:id="119" w:name="_Toc256000091"/>
      <w:bookmarkStart w:id="120" w:name="_Toc156"/>
      <w:bookmarkStart w:id="121" w:name="_Toc256000060"/>
    </w:p>
    <w:p>
      <w:pPr>
        <w:pStyle w:val="3"/>
        <w:keepNext w:val="0"/>
        <w:keepLines w:val="0"/>
        <w:spacing w:before="299" w:after="299" w:line="240" w:lineRule="auto"/>
        <w:ind w:firstLine="0" w:firstLineChars="0"/>
        <w:jc w:val="center"/>
        <w:rPr>
          <w:rFonts w:ascii="黑体" w:hAnsi="黑体" w:eastAsia="黑体" w:cs="黑体"/>
          <w:b/>
          <w:sz w:val="56"/>
          <w:szCs w:val="56"/>
        </w:rPr>
      </w:pPr>
    </w:p>
    <w:p>
      <w:pPr>
        <w:pStyle w:val="3"/>
        <w:keepNext w:val="0"/>
        <w:keepLines w:val="0"/>
        <w:spacing w:before="299" w:after="299" w:line="240" w:lineRule="auto"/>
        <w:ind w:firstLine="0" w:firstLineChars="0"/>
        <w:jc w:val="center"/>
        <w:rPr>
          <w:rFonts w:ascii="黑体" w:hAnsi="黑体" w:eastAsia="黑体" w:cs="黑体"/>
          <w:b/>
          <w:sz w:val="56"/>
          <w:szCs w:val="56"/>
        </w:rPr>
      </w:pPr>
    </w:p>
    <w:p>
      <w:pPr>
        <w:pStyle w:val="3"/>
        <w:keepNext w:val="0"/>
        <w:keepLines w:val="0"/>
        <w:spacing w:before="299" w:after="299" w:line="240" w:lineRule="auto"/>
        <w:ind w:firstLine="0" w:firstLineChars="0"/>
        <w:jc w:val="center"/>
        <w:rPr>
          <w:rFonts w:ascii="Times New Roman" w:hAnsi="Times New Roman" w:eastAsia="Times New Roman"/>
          <w:b/>
          <w:sz w:val="36"/>
          <w:szCs w:val="36"/>
        </w:rPr>
      </w:pPr>
      <w:r>
        <w:rPr>
          <w:rFonts w:ascii="黑体" w:hAnsi="黑体" w:eastAsia="黑体" w:cs="黑体"/>
          <w:b/>
          <w:sz w:val="56"/>
          <w:szCs w:val="56"/>
        </w:rPr>
        <w:t>第五部分</w:t>
      </w:r>
      <w:bookmarkEnd w:id="118"/>
      <w:bookmarkEnd w:id="119"/>
      <w:bookmarkEnd w:id="120"/>
      <w:bookmarkEnd w:id="121"/>
    </w:p>
    <w:p>
      <w:pPr>
        <w:pStyle w:val="3"/>
        <w:keepNext w:val="0"/>
        <w:keepLines w:val="0"/>
        <w:spacing w:before="299" w:after="299" w:line="240" w:lineRule="auto"/>
        <w:ind w:firstLine="0" w:firstLineChars="0"/>
        <w:jc w:val="center"/>
        <w:rPr>
          <w:rFonts w:eastAsia="Times New Roman"/>
          <w:kern w:val="0"/>
          <w:sz w:val="24"/>
        </w:rPr>
        <w:sectPr>
          <w:footerReference r:id="rId16" w:type="default"/>
          <w:pgSz w:w="11906" w:h="16838"/>
          <w:pgMar w:top="1440" w:right="720" w:bottom="1440" w:left="720" w:header="720" w:footer="720" w:gutter="0"/>
          <w:cols w:space="720" w:num="1"/>
        </w:sectPr>
      </w:pPr>
      <w:bookmarkStart w:id="122" w:name="_Toc256000092"/>
      <w:bookmarkStart w:id="123" w:name="_Toc256000061"/>
      <w:bookmarkStart w:id="124" w:name="_Toc29815"/>
      <w:bookmarkStart w:id="125" w:name="_Toc256000030"/>
      <w:r>
        <w:rPr>
          <w:rFonts w:ascii="黑体" w:hAnsi="黑体" w:eastAsia="黑体" w:cs="黑体"/>
          <w:b/>
          <w:sz w:val="56"/>
          <w:szCs w:val="56"/>
        </w:rPr>
        <w:t>附件</w:t>
      </w:r>
      <w:bookmarkEnd w:id="122"/>
      <w:bookmarkEnd w:id="123"/>
      <w:bookmarkEnd w:id="124"/>
      <w:bookmarkEnd w:id="125"/>
    </w:p>
    <w:tbl>
      <w:tblPr>
        <w:tblStyle w:val="22"/>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48"/>
        <w:gridCol w:w="2713"/>
        <w:gridCol w:w="876"/>
        <w:gridCol w:w="744"/>
        <w:gridCol w:w="1008"/>
        <w:gridCol w:w="876"/>
        <w:gridCol w:w="744"/>
        <w:gridCol w:w="744"/>
        <w:gridCol w:w="480"/>
        <w:gridCol w:w="8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4" w:hRule="atLeast"/>
        </w:trPr>
        <w:tc>
          <w:tcPr>
            <w:tcW w:w="10682"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10682"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4" w:hRule="atLeast"/>
        </w:trPr>
        <w:tc>
          <w:tcPr>
            <w:tcW w:w="1281" w:type="dxa"/>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预算单位（盖章）：                                                                                                  </w:t>
            </w:r>
          </w:p>
        </w:tc>
        <w:tc>
          <w:tcPr>
            <w:tcW w:w="348"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2713"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876"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744"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1008" w:type="dxa"/>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76"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744"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744"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480"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868" w:type="dxa"/>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6" w:hRule="atLeast"/>
        </w:trPr>
        <w:tc>
          <w:tcPr>
            <w:tcW w:w="1629"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71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义务教育阶段家庭经济困难学生营养餐补助</w:t>
            </w:r>
          </w:p>
        </w:tc>
        <w:tc>
          <w:tcPr>
            <w:tcW w:w="876"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744"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008" w:type="dxa"/>
            <w:tcBorders>
              <w:top w:val="single" w:color="000000" w:sz="4" w:space="0"/>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自评年度</w:t>
            </w:r>
          </w:p>
        </w:tc>
        <w:tc>
          <w:tcPr>
            <w:tcW w:w="28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9" w:hRule="atLeast"/>
        </w:trPr>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主管部门</w:t>
            </w:r>
          </w:p>
        </w:tc>
        <w:tc>
          <w:tcPr>
            <w:tcW w:w="5341"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湖里区教育局</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实施单位</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厦门市湖里中学</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9" w:hRule="atLeast"/>
        </w:trPr>
        <w:tc>
          <w:tcPr>
            <w:tcW w:w="16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年度预算执行情况</w:t>
            </w: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年初预算数</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已调整数</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调整后预算数</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设置分值</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得分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5" w:hRule="atLeast"/>
        </w:trPr>
        <w:tc>
          <w:tcPr>
            <w:tcW w:w="16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年度资金总额</w:t>
            </w:r>
          </w:p>
        </w:tc>
        <w:tc>
          <w:tcPr>
            <w:tcW w:w="87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4"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0.4662</w:t>
            </w:r>
          </w:p>
        </w:tc>
        <w:tc>
          <w:tcPr>
            <w:tcW w:w="100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2.2662</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1.6572</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73.13%</w:t>
            </w: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5" w:hRule="atLeast"/>
        </w:trPr>
        <w:tc>
          <w:tcPr>
            <w:tcW w:w="16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其中：当年财政拨款</w:t>
            </w:r>
          </w:p>
        </w:tc>
        <w:tc>
          <w:tcPr>
            <w:tcW w:w="87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4"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0.4662</w:t>
            </w:r>
          </w:p>
        </w:tc>
        <w:tc>
          <w:tcPr>
            <w:tcW w:w="100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2.2662</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1.6572</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73.13%</w:t>
            </w: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5" w:hRule="atLeast"/>
        </w:trPr>
        <w:tc>
          <w:tcPr>
            <w:tcW w:w="16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上年结转资金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5" w:hRule="atLeast"/>
        </w:trPr>
        <w:tc>
          <w:tcPr>
            <w:tcW w:w="16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6" w:hRule="atLeast"/>
        </w:trPr>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总体</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目标</w:t>
            </w:r>
          </w:p>
        </w:tc>
        <w:tc>
          <w:tcPr>
            <w:tcW w:w="5689"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预期目标</w:t>
            </w:r>
          </w:p>
        </w:tc>
        <w:tc>
          <w:tcPr>
            <w:tcW w:w="371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568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71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04"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568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1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32" w:hRule="atLeast"/>
        </w:trPr>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指标类型</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绩效目标值</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完成比例</w:t>
            </w:r>
          </w:p>
        </w:tc>
        <w:tc>
          <w:tcPr>
            <w:tcW w:w="74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设置分值</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得分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32" w:hRule="atLeast"/>
        </w:trPr>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绩</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效</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完</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成</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况</w:t>
            </w:r>
          </w:p>
        </w:tc>
        <w:tc>
          <w:tcPr>
            <w:tcW w:w="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产出指标</w:t>
            </w: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审核义务教育阶段阶段受助学生</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100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4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78"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全年营养餐补助人数</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100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7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93.33%</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4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6"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营养餐发放标准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6/餐</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6/餐</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32"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义务教育困难生资助资金下拨及时率</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84" w:hRule="atLeast"/>
        </w:trPr>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受资助对象满意度</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3" w:hRule="atLeast"/>
        </w:trPr>
        <w:tc>
          <w:tcPr>
            <w:tcW w:w="85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总分</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81" w:hRule="atLeast"/>
        </w:trPr>
        <w:tc>
          <w:tcPr>
            <w:tcW w:w="106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8"/>
        <w:widowControl/>
        <w:spacing w:before="240" w:after="240"/>
        <w:jc w:val="both"/>
        <w:rPr>
          <w:rFonts w:eastAsia="Times New Roman"/>
          <w:kern w:val="0"/>
          <w:sz w:val="24"/>
        </w:rPr>
      </w:pPr>
    </w:p>
    <w:bookmarkEnd w:id="0"/>
    <w:p>
      <w:pPr>
        <w:tabs>
          <w:tab w:val="left" w:pos="8415"/>
        </w:tabs>
      </w:pPr>
    </w:p>
    <w:sectPr>
      <w:footerReference r:id="rId17" w:type="default"/>
      <w:pgSz w:w="11906" w:h="16838"/>
      <w:pgMar w:top="1440" w:right="720" w:bottom="1440" w:left="720" w:header="0" w:footer="720"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w:t>
    </w:r>
    <w:r>
      <w:rPr>
        <w:rFonts w:ascii="宋体" w:hAnsi="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23</w:t>
    </w:r>
    <w:r>
      <w:rPr>
        <w:rFonts w:ascii="宋体" w:hAnsi="宋体" w:cs="宋体"/>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29</w:t>
    </w:r>
    <w:r>
      <w:rPr>
        <w:rFonts w:ascii="宋体" w:hAnsi="宋体" w:cs="宋体"/>
        <w:sz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30</w:t>
    </w:r>
    <w:r>
      <w:rPr>
        <w:rFonts w:ascii="宋体" w:hAnsi="宋体" w:cs="宋体"/>
        <w:sz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32</w:t>
    </w:r>
    <w:r>
      <w:rPr>
        <w:rFonts w:ascii="宋体" w:hAnsi="宋体" w:cs="宋体"/>
        <w:sz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44</w:t>
    </w:r>
    <w:r>
      <w:rPr>
        <w:rFonts w:ascii="宋体" w:hAnsi="宋体" w:cs="宋体"/>
        <w:sz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45</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w:t>
    </w:r>
    <w:r>
      <w:rPr>
        <w:rFonts w:ascii="宋体" w:hAnsi="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w:t>
    </w:r>
    <w:r>
      <w:rPr>
        <w:rFonts w:ascii="宋体" w:hAnsi="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5</w:t>
    </w:r>
    <w:r>
      <w:rPr>
        <w:rFonts w:ascii="宋体" w:hAnsi="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6</w:t>
    </w:r>
    <w:r>
      <w:rPr>
        <w:rFonts w:ascii="宋体" w:hAnsi="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7</w:t>
    </w:r>
    <w:r>
      <w:rPr>
        <w:rFonts w:ascii="宋体" w:hAnsi="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11</w:t>
    </w:r>
    <w:r>
      <w:rPr>
        <w:rFonts w:ascii="宋体" w:hAnsi="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14</w:t>
    </w:r>
    <w:r>
      <w:rPr>
        <w:rFonts w:ascii="宋体" w:hAnsi="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18</w:t>
    </w:r>
    <w:r>
      <w:rPr>
        <w:rFonts w:ascii="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FE28D1"/>
    <w:multiLevelType w:val="singleLevel"/>
    <w:tmpl w:val="89FE28D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2A4"/>
    <w:rsid w:val="003102A4"/>
    <w:rsid w:val="005F752F"/>
    <w:rsid w:val="00C70236"/>
    <w:rsid w:val="00D23B91"/>
    <w:rsid w:val="061A198A"/>
    <w:rsid w:val="187D255A"/>
    <w:rsid w:val="21066563"/>
    <w:rsid w:val="23166D29"/>
    <w:rsid w:val="28033310"/>
    <w:rsid w:val="2842575C"/>
    <w:rsid w:val="2AC43714"/>
    <w:rsid w:val="2BD331B3"/>
    <w:rsid w:val="34895362"/>
    <w:rsid w:val="41555320"/>
    <w:rsid w:val="415A43FE"/>
    <w:rsid w:val="458E708C"/>
    <w:rsid w:val="4B431EA8"/>
    <w:rsid w:val="50F1425D"/>
    <w:rsid w:val="5B0541F5"/>
    <w:rsid w:val="667737A0"/>
    <w:rsid w:val="6907203D"/>
    <w:rsid w:val="69815A3A"/>
    <w:rsid w:val="6CCF16AC"/>
    <w:rsid w:val="71DC70A1"/>
    <w:rsid w:val="73DA1B1F"/>
    <w:rsid w:val="7E366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pPr>
    <w:rPr>
      <w:rFonts w:ascii="Times New Roman" w:hAnsi="Times New Roman" w:eastAsia="仿宋" w:cs="Times New Roman"/>
      <w:sz w:val="32"/>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pPr>
    <w:rPr>
      <w:rFonts w:ascii="Times New Roman" w:hAnsi="Times New Roman" w:eastAsia="仿宋" w:cs="Times New Roman"/>
      <w:bCs/>
      <w:sz w:val="32"/>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pPr>
    <w:rPr>
      <w:rFonts w:ascii="Times New Roman" w:hAnsi="Times New Roman" w:eastAsia="仿宋" w:cs="Times New Roman"/>
      <w:iCs/>
      <w:sz w:val="32"/>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 字符"/>
    <w:basedOn w:val="19"/>
    <w:link w:val="6"/>
    <w:qFormat/>
    <w:uiPriority w:val="0"/>
    <w:rPr>
      <w:rFonts w:ascii="Cambria" w:hAnsi="Cambria" w:eastAsia="仿宋"/>
      <w:bCs/>
      <w:kern w:val="2"/>
      <w:sz w:val="32"/>
      <w:szCs w:val="28"/>
    </w:rPr>
  </w:style>
  <w:style w:type="character" w:customStyle="1" w:styleId="24">
    <w:name w:val="无间隔 字符"/>
    <w:link w:val="4"/>
    <w:qFormat/>
    <w:locked/>
    <w:uiPriority w:val="0"/>
    <w:rPr>
      <w:rFonts w:eastAsia="仿宋_GB2312"/>
      <w:sz w:val="30"/>
      <w:szCs w:val="22"/>
      <w:lang w:bidi="ar-SA"/>
    </w:rPr>
  </w:style>
  <w:style w:type="character" w:customStyle="1" w:styleId="25">
    <w:name w:val="页脚 字符"/>
    <w:basedOn w:val="19"/>
    <w:link w:val="12"/>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 w:type="paragraph" w:customStyle="1" w:styleId="31">
    <w:name w:val="1.正文"/>
    <w:basedOn w:val="1"/>
    <w:qFormat/>
    <w:uiPriority w:val="0"/>
    <w:pPr>
      <w:jc w:val="left"/>
    </w:pPr>
    <w:rPr>
      <w:rFonts w:hint="eastAsia" w:asci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9944E-0335-4A75-B546-C8B27130542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48</Pages>
  <Words>2639</Words>
  <Characters>15048</Characters>
  <Lines>125</Lines>
  <Paragraphs>35</Paragraphs>
  <TotalTime>0</TotalTime>
  <ScaleCrop>false</ScaleCrop>
  <LinksUpToDate>false</LinksUpToDate>
  <CharactersWithSpaces>17652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2025-07-14T05:07:00Z</dcterms:created>
  <dc:creator>Administrator</dc:creator>
  <cp:lastModifiedBy>Administrator</cp:lastModifiedBy>
  <cp:lastPrinted>2021-04-16T00:45:00Z</cp:lastPrinted>
  <dcterms:modified xsi:type="dcterms:W3CDTF">2026-02-05T06:55:27Z</dcterms:modified>
  <dc:title>××年度××部门/单位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9B8F977DEC864E3C86A8C727A731EDFB_13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