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widowControl/>
        <w:jc w:val="center"/>
        <w:rPr>
          <w:sz w:val="32"/>
          <w:szCs w:val="32"/>
          <w:highlight w:val="none"/>
        </w:rPr>
      </w:pPr>
    </w:p>
    <w:p>
      <w:pPr>
        <w:widowControl/>
        <w:jc w:val="both"/>
        <w:rPr>
          <w:sz w:val="84"/>
          <w:szCs w:val="84"/>
          <w:highlight w:val="none"/>
        </w:rPr>
      </w:pPr>
    </w:p>
    <w:p>
      <w:pPr>
        <w:widowControl/>
        <w:spacing w:line="360" w:lineRule="auto"/>
        <w:jc w:val="center"/>
        <w:rPr>
          <w:rFonts w:hint="eastAsia" w:ascii="方正小标宋简体" w:hAnsi="方正小标宋简体" w:eastAsia="方正小标宋简体" w:cs="方正小标宋简体"/>
          <w:b/>
          <w:bCs/>
          <w:sz w:val="48"/>
          <w:szCs w:val="48"/>
          <w:highlight w:val="none"/>
        </w:rPr>
      </w:pPr>
      <w:r>
        <w:rPr>
          <w:rFonts w:hint="eastAsia" w:ascii="方正小标宋简体" w:hAnsi="方正小标宋简体" w:eastAsia="方正小标宋简体" w:cs="方正小标宋简体"/>
          <w:b/>
          <w:bCs/>
          <w:sz w:val="48"/>
          <w:szCs w:val="48"/>
          <w:highlight w:val="none"/>
          <w:lang w:val="en-US" w:eastAsia="zh-CN"/>
        </w:rPr>
        <w:t>2024</w:t>
      </w:r>
      <w:r>
        <w:rPr>
          <w:rFonts w:hint="eastAsia" w:ascii="方正小标宋简体" w:hAnsi="方正小标宋简体" w:eastAsia="方正小标宋简体" w:cs="方正小标宋简体"/>
          <w:b/>
          <w:bCs/>
          <w:sz w:val="48"/>
          <w:szCs w:val="48"/>
          <w:highlight w:val="none"/>
        </w:rPr>
        <w:t>年度</w:t>
      </w:r>
    </w:p>
    <w:p>
      <w:pPr>
        <w:widowControl/>
        <w:spacing w:line="360" w:lineRule="auto"/>
        <w:jc w:val="center"/>
        <w:rPr>
          <w:rFonts w:hint="eastAsia" w:ascii="方正小标宋简体" w:hAnsi="方正小标宋简体" w:eastAsia="方正小标宋简体" w:cs="方正小标宋简体"/>
          <w:b/>
          <w:bCs/>
          <w:sz w:val="48"/>
          <w:szCs w:val="48"/>
          <w:highlight w:val="none"/>
          <w:lang w:val="en-US" w:eastAsia="zh-CN"/>
        </w:rPr>
        <w:sectPr>
          <w:footerReference r:id="rId3" w:type="default"/>
          <w:pgSz w:w="11906" w:h="16838"/>
          <w:pgMar w:top="1440" w:right="1689" w:bottom="1440" w:left="1689" w:header="720" w:footer="720" w:gutter="0"/>
          <w:pgBorders>
            <w:top w:val="none" w:sz="0" w:space="0"/>
            <w:left w:val="none" w:sz="0" w:space="0"/>
            <w:bottom w:val="none" w:sz="0" w:space="0"/>
            <w:right w:val="none" w:sz="0" w:space="0"/>
          </w:pgBorders>
          <w:pgNumType w:fmt="decimal"/>
          <w:cols w:space="0" w:num="1"/>
          <w:rtlGutter w:val="0"/>
          <w:docGrid w:linePitch="317" w:charSpace="0"/>
        </w:sectPr>
      </w:pPr>
      <w:r>
        <w:rPr>
          <w:rFonts w:hint="eastAsia" w:ascii="方正小标宋简体" w:hAnsi="方正小标宋简体" w:eastAsia="方正小标宋简体" w:cs="方正小标宋简体"/>
          <w:b/>
          <w:bCs/>
          <w:sz w:val="48"/>
          <w:szCs w:val="48"/>
          <w:highlight w:val="none"/>
        </w:rPr>
        <w:t>厦门市湖里中心小学</w:t>
      </w:r>
      <w:r>
        <w:rPr>
          <w:rFonts w:hint="eastAsia" w:ascii="方正小标宋简体" w:hAnsi="方正小标宋简体" w:eastAsia="方正小标宋简体" w:cs="方正小标宋简体"/>
          <w:b/>
          <w:bCs/>
          <w:sz w:val="48"/>
          <w:szCs w:val="48"/>
          <w:highlight w:val="none"/>
          <w:lang w:val="en-US" w:eastAsia="zh-CN"/>
        </w:rPr>
        <w:t>单位</w:t>
      </w:r>
      <w:r>
        <w:rPr>
          <w:rFonts w:hint="eastAsia" w:ascii="方正小标宋简体" w:hAnsi="方正小标宋简体" w:eastAsia="方正小标宋简体" w:cs="方正小标宋简体"/>
          <w:b/>
          <w:bCs/>
          <w:sz w:val="48"/>
          <w:szCs w:val="48"/>
          <w:highlight w:val="none"/>
        </w:rPr>
        <w:t>决算</w:t>
      </w:r>
    </w:p>
    <w:p>
      <w:pPr>
        <w:widowControl/>
        <w:spacing w:before="0" w:after="0" w:line="360" w:lineRule="auto"/>
        <w:ind w:left="0" w:leftChars="0" w:right="0" w:firstLine="0" w:firstLineChars="0"/>
        <w:jc w:val="center"/>
        <w:rPr>
          <w:rFonts w:hint="eastAsia" w:ascii="仿宋" w:hAnsi="仿宋" w:eastAsia="仿宋" w:cs="仿宋"/>
          <w:b/>
          <w:bCs/>
          <w:kern w:val="0"/>
          <w:sz w:val="32"/>
          <w:szCs w:val="32"/>
        </w:rPr>
      </w:pPr>
      <w:r>
        <w:rPr>
          <w:rFonts w:hint="eastAsia" w:ascii="仿宋" w:hAnsi="仿宋" w:eastAsia="仿宋" w:cs="仿宋"/>
          <w:b/>
          <w:bCs/>
          <w:kern w:val="0"/>
          <w:sz w:val="32"/>
          <w:szCs w:val="32"/>
        </w:rPr>
        <w:t>目录</w:t>
      </w:r>
    </w:p>
    <w:p>
      <w:pPr>
        <w:pStyle w:val="19"/>
        <w:tabs>
          <w:tab w:val="right" w:leader="dot" w:pos="9026"/>
        </w:tabs>
        <w:spacing w:line="360" w:lineRule="auto"/>
        <w:ind w:left="0" w:leftChars="0" w:firstLine="0" w:firstLineChars="0"/>
        <w:jc w:val="center"/>
      </w:pPr>
      <w:r>
        <w:rPr>
          <w:rFonts w:hint="eastAsia" w:ascii="仿宋" w:hAnsi="仿宋" w:eastAsia="仿宋" w:cs="仿宋"/>
          <w:b w:val="0"/>
          <w:bCs/>
          <w:kern w:val="2"/>
          <w:sz w:val="32"/>
          <w:szCs w:val="32"/>
          <w:lang w:val="en-US" w:eastAsia="zh-CN" w:bidi="ar-SA"/>
        </w:rPr>
        <w:fldChar w:fldCharType="begin"/>
      </w:r>
      <w:r>
        <w:rPr>
          <w:rFonts w:hint="eastAsia" w:ascii="仿宋" w:hAnsi="仿宋" w:eastAsia="仿宋" w:cs="仿宋"/>
          <w:b w:val="0"/>
          <w:bCs/>
          <w:kern w:val="2"/>
          <w:sz w:val="32"/>
          <w:szCs w:val="32"/>
          <w:lang w:val="en-US" w:eastAsia="zh-CN" w:bidi="ar-SA"/>
        </w:rPr>
        <w:instrText xml:space="preserve">TOC \o "1-3" \h \u </w:instrText>
      </w:r>
      <w:r>
        <w:rPr>
          <w:rFonts w:hint="eastAsia" w:ascii="仿宋" w:hAnsi="仿宋" w:eastAsia="仿宋" w:cs="仿宋"/>
          <w:b w:val="0"/>
          <w:bCs/>
          <w:kern w:val="2"/>
          <w:sz w:val="32"/>
          <w:szCs w:val="32"/>
          <w:lang w:val="en-US" w:eastAsia="zh-CN" w:bidi="ar-SA"/>
        </w:rPr>
        <w:fldChar w:fldCharType="separate"/>
      </w:r>
      <w:r>
        <w:rPr>
          <w:rFonts w:hint="eastAsia" w:ascii="仿宋" w:hAnsi="仿宋" w:eastAsia="仿宋" w:cs="仿宋"/>
          <w:bCs/>
          <w:kern w:val="2"/>
          <w:szCs w:val="32"/>
          <w:lang w:val="en-US" w:eastAsia="zh-CN" w:bidi="ar-SA"/>
        </w:rPr>
        <w:fldChar w:fldCharType="begin"/>
      </w:r>
      <w:r>
        <w:rPr>
          <w:rFonts w:hint="eastAsia" w:ascii="仿宋" w:hAnsi="仿宋" w:eastAsia="仿宋" w:cs="仿宋"/>
          <w:bCs/>
          <w:kern w:val="2"/>
          <w:szCs w:val="32"/>
          <w:lang w:val="en-US" w:eastAsia="zh-CN" w:bidi="ar-SA"/>
        </w:rPr>
        <w:instrText xml:space="preserve"> HYPERLINK \l _Toc10966 </w:instrText>
      </w:r>
      <w:r>
        <w:rPr>
          <w:rFonts w:hint="eastAsia" w:ascii="仿宋" w:hAnsi="仿宋" w:eastAsia="仿宋" w:cs="仿宋"/>
          <w:bCs/>
          <w:kern w:val="2"/>
          <w:szCs w:val="32"/>
          <w:lang w:val="en-US" w:eastAsia="zh-CN" w:bidi="ar-SA"/>
        </w:rPr>
        <w:fldChar w:fldCharType="separate"/>
      </w:r>
      <w:r>
        <w:rPr>
          <w:rFonts w:ascii="黑体" w:hAnsi="黑体" w:eastAsia="黑体" w:cs="黑体"/>
          <w:spacing w:val="0"/>
          <w:szCs w:val="56"/>
        </w:rPr>
        <w:t>第一部分</w:t>
      </w:r>
      <w:r>
        <w:tab/>
      </w:r>
      <w:r>
        <w:rPr>
          <w:rFonts w:hint="eastAsia"/>
          <w:lang w:val="en-US" w:eastAsia="zh-CN"/>
        </w:rPr>
        <w:t>4</w:t>
      </w:r>
      <w:r>
        <w:rPr>
          <w:rFonts w:hint="eastAsia" w:ascii="仿宋" w:hAnsi="仿宋" w:eastAsia="仿宋" w:cs="仿宋"/>
          <w:bCs/>
          <w:kern w:val="2"/>
          <w:szCs w:val="32"/>
          <w:lang w:val="en-US" w:eastAsia="zh-CN" w:bidi="ar-SA"/>
        </w:rPr>
        <w:fldChar w:fldCharType="end"/>
      </w:r>
    </w:p>
    <w:p>
      <w:pPr>
        <w:pStyle w:val="19"/>
        <w:tabs>
          <w:tab w:val="right" w:leader="dot" w:pos="9026"/>
        </w:tabs>
        <w:spacing w:line="360" w:lineRule="auto"/>
        <w:ind w:left="0" w:leftChars="0" w:firstLine="0" w:firstLineChars="0"/>
        <w:jc w:val="center"/>
      </w:pPr>
      <w:r>
        <w:rPr>
          <w:rFonts w:hint="eastAsia" w:ascii="仿宋" w:hAnsi="仿宋" w:eastAsia="仿宋" w:cs="仿宋"/>
          <w:bCs/>
          <w:kern w:val="2"/>
          <w:szCs w:val="32"/>
          <w:lang w:val="en-US" w:eastAsia="zh-CN" w:bidi="ar-SA"/>
        </w:rPr>
        <w:fldChar w:fldCharType="begin"/>
      </w:r>
      <w:r>
        <w:rPr>
          <w:rFonts w:hint="eastAsia" w:ascii="仿宋" w:hAnsi="仿宋" w:eastAsia="仿宋" w:cs="仿宋"/>
          <w:bCs/>
          <w:kern w:val="2"/>
          <w:szCs w:val="32"/>
          <w:lang w:val="en-US" w:eastAsia="zh-CN" w:bidi="ar-SA"/>
        </w:rPr>
        <w:instrText xml:space="preserve"> HYPERLINK \l _Toc23131 </w:instrText>
      </w:r>
      <w:r>
        <w:rPr>
          <w:rFonts w:hint="eastAsia" w:ascii="仿宋" w:hAnsi="仿宋" w:eastAsia="仿宋" w:cs="仿宋"/>
          <w:bCs/>
          <w:kern w:val="2"/>
          <w:szCs w:val="32"/>
          <w:lang w:val="en-US" w:eastAsia="zh-CN" w:bidi="ar-SA"/>
        </w:rPr>
        <w:fldChar w:fldCharType="separate"/>
      </w:r>
      <w:r>
        <w:rPr>
          <w:rFonts w:ascii="黑体" w:hAnsi="黑体" w:eastAsia="黑体" w:cs="黑体"/>
          <w:spacing w:val="0"/>
          <w:szCs w:val="56"/>
        </w:rPr>
        <w:t>单位概况</w:t>
      </w:r>
      <w:r>
        <w:tab/>
      </w:r>
      <w:r>
        <w:rPr>
          <w:rFonts w:hint="eastAsia"/>
          <w:lang w:val="en-US" w:eastAsia="zh-CN"/>
        </w:rPr>
        <w:t>4</w:t>
      </w:r>
      <w:r>
        <w:rPr>
          <w:rFonts w:hint="eastAsia" w:ascii="仿宋" w:hAnsi="仿宋" w:eastAsia="仿宋" w:cs="仿宋"/>
          <w:bCs/>
          <w:kern w:val="2"/>
          <w:szCs w:val="32"/>
          <w:lang w:val="en-US" w:eastAsia="zh-CN" w:bidi="ar-SA"/>
        </w:rPr>
        <w:fldChar w:fldCharType="end"/>
      </w:r>
    </w:p>
    <w:p>
      <w:pPr>
        <w:pStyle w:val="12"/>
        <w:tabs>
          <w:tab w:val="right" w:leader="dot" w:pos="9026"/>
        </w:tabs>
        <w:spacing w:line="360" w:lineRule="auto"/>
        <w:ind w:left="0" w:leftChars="0" w:firstLine="640" w:firstLineChars="200"/>
        <w:jc w:val="center"/>
      </w:pPr>
      <w:r>
        <w:rPr>
          <w:rFonts w:hint="eastAsia" w:ascii="仿宋" w:hAnsi="仿宋" w:eastAsia="仿宋" w:cs="仿宋"/>
          <w:bCs/>
          <w:kern w:val="2"/>
          <w:szCs w:val="32"/>
          <w:lang w:val="en-US" w:eastAsia="zh-CN" w:bidi="ar-SA"/>
        </w:rPr>
        <w:fldChar w:fldCharType="begin"/>
      </w:r>
      <w:r>
        <w:rPr>
          <w:rFonts w:hint="eastAsia" w:ascii="仿宋" w:hAnsi="仿宋" w:eastAsia="仿宋" w:cs="仿宋"/>
          <w:bCs/>
          <w:kern w:val="2"/>
          <w:szCs w:val="32"/>
          <w:lang w:val="en-US" w:eastAsia="zh-CN" w:bidi="ar-SA"/>
        </w:rPr>
        <w:instrText xml:space="preserve"> HYPERLINK \l _Toc7709 </w:instrText>
      </w:r>
      <w:r>
        <w:rPr>
          <w:rFonts w:hint="eastAsia" w:ascii="仿宋" w:hAnsi="仿宋" w:eastAsia="仿宋" w:cs="仿宋"/>
          <w:bCs/>
          <w:kern w:val="2"/>
          <w:szCs w:val="32"/>
          <w:lang w:val="en-US" w:eastAsia="zh-CN" w:bidi="ar-SA"/>
        </w:rPr>
        <w:fldChar w:fldCharType="separate"/>
      </w:r>
      <w:r>
        <w:rPr>
          <w:rFonts w:ascii="黑体" w:hAnsi="黑体" w:eastAsia="黑体" w:cs="黑体"/>
          <w:spacing w:val="0"/>
        </w:rPr>
        <w:t>一、单位主要职责</w:t>
      </w:r>
      <w:r>
        <w:tab/>
      </w:r>
      <w:r>
        <w:fldChar w:fldCharType="begin"/>
      </w:r>
      <w:r>
        <w:instrText xml:space="preserve"> PAGEREF _Toc7709 \h </w:instrText>
      </w:r>
      <w:r>
        <w:fldChar w:fldCharType="separate"/>
      </w:r>
      <w:r>
        <w:t>4</w:t>
      </w:r>
      <w:r>
        <w:fldChar w:fldCharType="end"/>
      </w:r>
      <w:r>
        <w:rPr>
          <w:rFonts w:hint="eastAsia" w:ascii="仿宋" w:hAnsi="仿宋" w:eastAsia="仿宋" w:cs="仿宋"/>
          <w:bCs/>
          <w:kern w:val="2"/>
          <w:szCs w:val="32"/>
          <w:lang w:val="en-US" w:eastAsia="zh-CN" w:bidi="ar-SA"/>
        </w:rPr>
        <w:fldChar w:fldCharType="end"/>
      </w:r>
    </w:p>
    <w:p>
      <w:pPr>
        <w:pStyle w:val="12"/>
        <w:tabs>
          <w:tab w:val="right" w:leader="dot" w:pos="9026"/>
        </w:tabs>
        <w:spacing w:line="360" w:lineRule="auto"/>
        <w:ind w:left="0" w:leftChars="0" w:firstLine="640" w:firstLineChars="200"/>
        <w:jc w:val="center"/>
      </w:pPr>
      <w:r>
        <w:rPr>
          <w:rFonts w:hint="eastAsia" w:ascii="仿宋" w:hAnsi="仿宋" w:eastAsia="仿宋" w:cs="仿宋"/>
          <w:bCs/>
          <w:kern w:val="2"/>
          <w:szCs w:val="32"/>
          <w:lang w:val="en-US" w:eastAsia="zh-CN" w:bidi="ar-SA"/>
        </w:rPr>
        <w:fldChar w:fldCharType="begin"/>
      </w:r>
      <w:r>
        <w:rPr>
          <w:rFonts w:hint="eastAsia" w:ascii="仿宋" w:hAnsi="仿宋" w:eastAsia="仿宋" w:cs="仿宋"/>
          <w:bCs/>
          <w:kern w:val="2"/>
          <w:szCs w:val="32"/>
          <w:lang w:val="en-US" w:eastAsia="zh-CN" w:bidi="ar-SA"/>
        </w:rPr>
        <w:instrText xml:space="preserve"> HYPERLINK \l _Toc19218 </w:instrText>
      </w:r>
      <w:r>
        <w:rPr>
          <w:rFonts w:hint="eastAsia" w:ascii="仿宋" w:hAnsi="仿宋" w:eastAsia="仿宋" w:cs="仿宋"/>
          <w:bCs/>
          <w:kern w:val="2"/>
          <w:szCs w:val="32"/>
          <w:lang w:val="en-US" w:eastAsia="zh-CN" w:bidi="ar-SA"/>
        </w:rPr>
        <w:fldChar w:fldCharType="separate"/>
      </w:r>
      <w:r>
        <w:rPr>
          <w:rFonts w:ascii="黑体" w:hAnsi="黑体" w:eastAsia="黑体" w:cs="黑体"/>
          <w:spacing w:val="0"/>
        </w:rPr>
        <w:t>二、单位基本情况</w:t>
      </w:r>
      <w:r>
        <w:tab/>
      </w:r>
      <w:r>
        <w:fldChar w:fldCharType="begin"/>
      </w:r>
      <w:r>
        <w:instrText xml:space="preserve"> PAGEREF _Toc19218 \h </w:instrText>
      </w:r>
      <w:r>
        <w:fldChar w:fldCharType="separate"/>
      </w:r>
      <w:r>
        <w:t>4</w:t>
      </w:r>
      <w:r>
        <w:fldChar w:fldCharType="end"/>
      </w:r>
      <w:r>
        <w:rPr>
          <w:rFonts w:hint="eastAsia" w:ascii="仿宋" w:hAnsi="仿宋" w:eastAsia="仿宋" w:cs="仿宋"/>
          <w:bCs/>
          <w:kern w:val="2"/>
          <w:szCs w:val="32"/>
          <w:lang w:val="en-US" w:eastAsia="zh-CN" w:bidi="ar-SA"/>
        </w:rPr>
        <w:fldChar w:fldCharType="end"/>
      </w:r>
    </w:p>
    <w:p>
      <w:pPr>
        <w:pStyle w:val="12"/>
        <w:tabs>
          <w:tab w:val="right" w:leader="dot" w:pos="9026"/>
        </w:tabs>
        <w:spacing w:line="360" w:lineRule="auto"/>
        <w:ind w:left="0" w:leftChars="0" w:firstLine="640" w:firstLineChars="200"/>
        <w:jc w:val="center"/>
      </w:pPr>
      <w:r>
        <w:rPr>
          <w:rFonts w:hint="eastAsia" w:ascii="仿宋" w:hAnsi="仿宋" w:eastAsia="仿宋" w:cs="仿宋"/>
          <w:bCs/>
          <w:kern w:val="2"/>
          <w:szCs w:val="32"/>
          <w:lang w:val="en-US" w:eastAsia="zh-CN" w:bidi="ar-SA"/>
        </w:rPr>
        <w:fldChar w:fldCharType="begin"/>
      </w:r>
      <w:r>
        <w:rPr>
          <w:rFonts w:hint="eastAsia" w:ascii="仿宋" w:hAnsi="仿宋" w:eastAsia="仿宋" w:cs="仿宋"/>
          <w:bCs/>
          <w:kern w:val="2"/>
          <w:szCs w:val="32"/>
          <w:lang w:val="en-US" w:eastAsia="zh-CN" w:bidi="ar-SA"/>
        </w:rPr>
        <w:instrText xml:space="preserve"> HYPERLINK \l _Toc19958 </w:instrText>
      </w:r>
      <w:r>
        <w:rPr>
          <w:rFonts w:hint="eastAsia" w:ascii="仿宋" w:hAnsi="仿宋" w:eastAsia="仿宋" w:cs="仿宋"/>
          <w:bCs/>
          <w:kern w:val="2"/>
          <w:szCs w:val="32"/>
          <w:lang w:val="en-US" w:eastAsia="zh-CN" w:bidi="ar-SA"/>
        </w:rPr>
        <w:fldChar w:fldCharType="separate"/>
      </w:r>
      <w:r>
        <w:rPr>
          <w:rFonts w:ascii="黑体" w:hAnsi="黑体" w:eastAsia="黑体" w:cs="黑体"/>
          <w:spacing w:val="0"/>
        </w:rPr>
        <w:t>三、单位主要工作总结</w:t>
      </w:r>
      <w:r>
        <w:tab/>
      </w:r>
      <w:r>
        <w:fldChar w:fldCharType="begin"/>
      </w:r>
      <w:r>
        <w:instrText xml:space="preserve"> PAGEREF _Toc19958 \h </w:instrText>
      </w:r>
      <w:r>
        <w:fldChar w:fldCharType="separate"/>
      </w:r>
      <w:r>
        <w:t>4</w:t>
      </w:r>
      <w:r>
        <w:fldChar w:fldCharType="end"/>
      </w:r>
      <w:r>
        <w:rPr>
          <w:rFonts w:hint="eastAsia" w:ascii="仿宋" w:hAnsi="仿宋" w:eastAsia="仿宋" w:cs="仿宋"/>
          <w:bCs/>
          <w:kern w:val="2"/>
          <w:szCs w:val="32"/>
          <w:lang w:val="en-US" w:eastAsia="zh-CN" w:bidi="ar-SA"/>
        </w:rPr>
        <w:fldChar w:fldCharType="end"/>
      </w:r>
    </w:p>
    <w:p>
      <w:pPr>
        <w:pStyle w:val="19"/>
        <w:tabs>
          <w:tab w:val="right" w:leader="dot" w:pos="9026"/>
        </w:tabs>
        <w:spacing w:line="360" w:lineRule="auto"/>
        <w:ind w:left="0" w:leftChars="0" w:firstLine="0" w:firstLineChars="0"/>
        <w:jc w:val="center"/>
      </w:pPr>
      <w:r>
        <w:rPr>
          <w:rFonts w:hint="eastAsia" w:ascii="仿宋" w:hAnsi="仿宋" w:eastAsia="仿宋" w:cs="仿宋"/>
          <w:bCs/>
          <w:kern w:val="2"/>
          <w:szCs w:val="32"/>
          <w:lang w:val="en-US" w:eastAsia="zh-CN" w:bidi="ar-SA"/>
        </w:rPr>
        <w:fldChar w:fldCharType="begin"/>
      </w:r>
      <w:r>
        <w:rPr>
          <w:rFonts w:hint="eastAsia" w:ascii="仿宋" w:hAnsi="仿宋" w:eastAsia="仿宋" w:cs="仿宋"/>
          <w:bCs/>
          <w:kern w:val="2"/>
          <w:szCs w:val="32"/>
          <w:lang w:val="en-US" w:eastAsia="zh-CN" w:bidi="ar-SA"/>
        </w:rPr>
        <w:instrText xml:space="preserve"> HYPERLINK \l _Toc4275 </w:instrText>
      </w:r>
      <w:r>
        <w:rPr>
          <w:rFonts w:hint="eastAsia" w:ascii="仿宋" w:hAnsi="仿宋" w:eastAsia="仿宋" w:cs="仿宋"/>
          <w:bCs/>
          <w:kern w:val="2"/>
          <w:szCs w:val="32"/>
          <w:lang w:val="en-US" w:eastAsia="zh-CN" w:bidi="ar-SA"/>
        </w:rPr>
        <w:fldChar w:fldCharType="separate"/>
      </w:r>
      <w:r>
        <w:rPr>
          <w:rFonts w:ascii="黑体" w:hAnsi="黑体" w:eastAsia="黑体" w:cs="黑体"/>
          <w:spacing w:val="0"/>
          <w:szCs w:val="56"/>
        </w:rPr>
        <w:t>第二部分</w:t>
      </w:r>
      <w:r>
        <w:tab/>
      </w:r>
      <w:r>
        <w:rPr>
          <w:rFonts w:hint="eastAsia"/>
          <w:lang w:val="en-US" w:eastAsia="zh-CN"/>
        </w:rPr>
        <w:t>6</w:t>
      </w:r>
      <w:r>
        <w:rPr>
          <w:rFonts w:hint="eastAsia" w:ascii="仿宋" w:hAnsi="仿宋" w:eastAsia="仿宋" w:cs="仿宋"/>
          <w:bCs/>
          <w:kern w:val="2"/>
          <w:szCs w:val="32"/>
          <w:lang w:val="en-US" w:eastAsia="zh-CN" w:bidi="ar-SA"/>
        </w:rPr>
        <w:fldChar w:fldCharType="end"/>
      </w:r>
    </w:p>
    <w:p>
      <w:pPr>
        <w:pStyle w:val="19"/>
        <w:tabs>
          <w:tab w:val="right" w:leader="dot" w:pos="9026"/>
        </w:tabs>
        <w:spacing w:line="360" w:lineRule="auto"/>
        <w:ind w:left="0" w:leftChars="0" w:firstLine="0" w:firstLineChars="0"/>
        <w:jc w:val="center"/>
      </w:pPr>
      <w:r>
        <w:rPr>
          <w:rFonts w:hint="eastAsia" w:ascii="仿宋" w:hAnsi="仿宋" w:eastAsia="仿宋" w:cs="仿宋"/>
          <w:bCs/>
          <w:kern w:val="2"/>
          <w:szCs w:val="32"/>
          <w:lang w:val="en-US" w:eastAsia="zh-CN" w:bidi="ar-SA"/>
        </w:rPr>
        <w:fldChar w:fldCharType="begin"/>
      </w:r>
      <w:r>
        <w:rPr>
          <w:rFonts w:hint="eastAsia" w:ascii="仿宋" w:hAnsi="仿宋" w:eastAsia="仿宋" w:cs="仿宋"/>
          <w:bCs/>
          <w:kern w:val="2"/>
          <w:szCs w:val="32"/>
          <w:lang w:val="en-US" w:eastAsia="zh-CN" w:bidi="ar-SA"/>
        </w:rPr>
        <w:instrText xml:space="preserve"> HYPERLINK \l _Toc27698 </w:instrText>
      </w:r>
      <w:r>
        <w:rPr>
          <w:rFonts w:hint="eastAsia" w:ascii="仿宋" w:hAnsi="仿宋" w:eastAsia="仿宋" w:cs="仿宋"/>
          <w:bCs/>
          <w:kern w:val="2"/>
          <w:szCs w:val="32"/>
          <w:lang w:val="en-US" w:eastAsia="zh-CN" w:bidi="ar-SA"/>
        </w:rPr>
        <w:fldChar w:fldCharType="separate"/>
      </w:r>
      <w:r>
        <w:rPr>
          <w:rFonts w:ascii="黑体" w:hAnsi="黑体" w:eastAsia="黑体" w:cs="黑体"/>
          <w:spacing w:val="0"/>
          <w:szCs w:val="56"/>
        </w:rPr>
        <w:t>2024年度决算表</w:t>
      </w:r>
      <w:r>
        <w:tab/>
      </w:r>
      <w:r>
        <w:rPr>
          <w:rFonts w:hint="eastAsia"/>
          <w:lang w:val="en-US" w:eastAsia="zh-CN"/>
        </w:rPr>
        <w:t>6</w:t>
      </w:r>
      <w:r>
        <w:rPr>
          <w:rFonts w:hint="eastAsia" w:ascii="仿宋" w:hAnsi="仿宋" w:eastAsia="仿宋" w:cs="仿宋"/>
          <w:bCs/>
          <w:kern w:val="2"/>
          <w:szCs w:val="32"/>
          <w:lang w:val="en-US" w:eastAsia="zh-CN" w:bidi="ar-SA"/>
        </w:rPr>
        <w:fldChar w:fldCharType="end"/>
      </w:r>
    </w:p>
    <w:p>
      <w:pPr>
        <w:pStyle w:val="12"/>
        <w:tabs>
          <w:tab w:val="right" w:leader="dot" w:pos="9026"/>
        </w:tabs>
        <w:spacing w:line="360" w:lineRule="auto"/>
        <w:ind w:left="0" w:leftChars="0" w:firstLine="640" w:firstLineChars="200"/>
        <w:jc w:val="center"/>
      </w:pPr>
      <w:r>
        <w:rPr>
          <w:rFonts w:hint="eastAsia" w:ascii="仿宋" w:hAnsi="仿宋" w:eastAsia="仿宋" w:cs="仿宋"/>
          <w:bCs/>
          <w:kern w:val="2"/>
          <w:szCs w:val="32"/>
          <w:lang w:val="en-US" w:eastAsia="zh-CN" w:bidi="ar-SA"/>
        </w:rPr>
        <w:fldChar w:fldCharType="begin"/>
      </w:r>
      <w:r>
        <w:rPr>
          <w:rFonts w:hint="eastAsia" w:ascii="仿宋" w:hAnsi="仿宋" w:eastAsia="仿宋" w:cs="仿宋"/>
          <w:bCs/>
          <w:kern w:val="2"/>
          <w:szCs w:val="32"/>
          <w:lang w:val="en-US" w:eastAsia="zh-CN" w:bidi="ar-SA"/>
        </w:rPr>
        <w:instrText xml:space="preserve"> HYPERLINK \l _Toc7364 </w:instrText>
      </w:r>
      <w:r>
        <w:rPr>
          <w:rFonts w:hint="eastAsia" w:ascii="仿宋" w:hAnsi="仿宋" w:eastAsia="仿宋" w:cs="仿宋"/>
          <w:bCs/>
          <w:kern w:val="2"/>
          <w:szCs w:val="32"/>
          <w:lang w:val="en-US" w:eastAsia="zh-CN" w:bidi="ar-SA"/>
        </w:rPr>
        <w:fldChar w:fldCharType="separate"/>
      </w:r>
      <w:r>
        <w:rPr>
          <w:rFonts w:ascii="黑体" w:hAnsi="黑体" w:eastAsia="黑体" w:cs="黑体"/>
          <w:spacing w:val="0"/>
        </w:rPr>
        <w:t>一、收入支出决算总表</w:t>
      </w:r>
      <w:r>
        <w:tab/>
      </w:r>
      <w:r>
        <w:fldChar w:fldCharType="begin"/>
      </w:r>
      <w:r>
        <w:instrText xml:space="preserve"> PAGEREF _Toc7364 \h </w:instrText>
      </w:r>
      <w:r>
        <w:fldChar w:fldCharType="separate"/>
      </w:r>
      <w:r>
        <w:t>6</w:t>
      </w:r>
      <w:r>
        <w:fldChar w:fldCharType="end"/>
      </w:r>
      <w:r>
        <w:rPr>
          <w:rFonts w:hint="eastAsia" w:ascii="仿宋" w:hAnsi="仿宋" w:eastAsia="仿宋" w:cs="仿宋"/>
          <w:bCs/>
          <w:kern w:val="2"/>
          <w:szCs w:val="32"/>
          <w:lang w:val="en-US" w:eastAsia="zh-CN" w:bidi="ar-SA"/>
        </w:rPr>
        <w:fldChar w:fldCharType="end"/>
      </w:r>
    </w:p>
    <w:p>
      <w:pPr>
        <w:pStyle w:val="12"/>
        <w:tabs>
          <w:tab w:val="right" w:leader="dot" w:pos="9026"/>
        </w:tabs>
        <w:spacing w:line="360" w:lineRule="auto"/>
        <w:ind w:left="0" w:leftChars="0" w:firstLine="640" w:firstLineChars="200"/>
        <w:jc w:val="center"/>
      </w:pPr>
      <w:r>
        <w:rPr>
          <w:rFonts w:hint="eastAsia" w:ascii="仿宋" w:hAnsi="仿宋" w:eastAsia="仿宋" w:cs="仿宋"/>
          <w:bCs/>
          <w:kern w:val="2"/>
          <w:szCs w:val="32"/>
          <w:lang w:val="en-US" w:eastAsia="zh-CN" w:bidi="ar-SA"/>
        </w:rPr>
        <w:fldChar w:fldCharType="begin"/>
      </w:r>
      <w:r>
        <w:rPr>
          <w:rFonts w:hint="eastAsia" w:ascii="仿宋" w:hAnsi="仿宋" w:eastAsia="仿宋" w:cs="仿宋"/>
          <w:bCs/>
          <w:kern w:val="2"/>
          <w:szCs w:val="32"/>
          <w:lang w:val="en-US" w:eastAsia="zh-CN" w:bidi="ar-SA"/>
        </w:rPr>
        <w:instrText xml:space="preserve"> HYPERLINK \l _Toc30546 </w:instrText>
      </w:r>
      <w:r>
        <w:rPr>
          <w:rFonts w:hint="eastAsia" w:ascii="仿宋" w:hAnsi="仿宋" w:eastAsia="仿宋" w:cs="仿宋"/>
          <w:bCs/>
          <w:kern w:val="2"/>
          <w:szCs w:val="32"/>
          <w:lang w:val="en-US" w:eastAsia="zh-CN" w:bidi="ar-SA"/>
        </w:rPr>
        <w:fldChar w:fldCharType="separate"/>
      </w:r>
      <w:r>
        <w:rPr>
          <w:rFonts w:ascii="黑体" w:hAnsi="黑体" w:eastAsia="黑体" w:cs="黑体"/>
          <w:spacing w:val="0"/>
        </w:rPr>
        <w:t>二、收入决算表</w:t>
      </w:r>
      <w:r>
        <w:tab/>
      </w:r>
      <w:r>
        <w:fldChar w:fldCharType="begin"/>
      </w:r>
      <w:r>
        <w:instrText xml:space="preserve"> PAGEREF _Toc30546 \h </w:instrText>
      </w:r>
      <w:r>
        <w:fldChar w:fldCharType="separate"/>
      </w:r>
      <w:r>
        <w:t>7</w:t>
      </w:r>
      <w:r>
        <w:fldChar w:fldCharType="end"/>
      </w:r>
      <w:r>
        <w:rPr>
          <w:rFonts w:hint="eastAsia" w:ascii="仿宋" w:hAnsi="仿宋" w:eastAsia="仿宋" w:cs="仿宋"/>
          <w:bCs/>
          <w:kern w:val="2"/>
          <w:szCs w:val="32"/>
          <w:lang w:val="en-US" w:eastAsia="zh-CN" w:bidi="ar-SA"/>
        </w:rPr>
        <w:fldChar w:fldCharType="end"/>
      </w:r>
    </w:p>
    <w:p>
      <w:pPr>
        <w:pStyle w:val="12"/>
        <w:tabs>
          <w:tab w:val="right" w:leader="dot" w:pos="9026"/>
        </w:tabs>
        <w:spacing w:line="360" w:lineRule="auto"/>
        <w:ind w:left="0" w:leftChars="0" w:firstLine="640" w:firstLineChars="200"/>
        <w:jc w:val="center"/>
      </w:pPr>
      <w:r>
        <w:rPr>
          <w:rFonts w:hint="eastAsia" w:ascii="仿宋" w:hAnsi="仿宋" w:eastAsia="仿宋" w:cs="仿宋"/>
          <w:bCs/>
          <w:kern w:val="2"/>
          <w:szCs w:val="32"/>
          <w:lang w:val="en-US" w:eastAsia="zh-CN" w:bidi="ar-SA"/>
        </w:rPr>
        <w:fldChar w:fldCharType="begin"/>
      </w:r>
      <w:r>
        <w:rPr>
          <w:rFonts w:hint="eastAsia" w:ascii="仿宋" w:hAnsi="仿宋" w:eastAsia="仿宋" w:cs="仿宋"/>
          <w:bCs/>
          <w:kern w:val="2"/>
          <w:szCs w:val="32"/>
          <w:lang w:val="en-US" w:eastAsia="zh-CN" w:bidi="ar-SA"/>
        </w:rPr>
        <w:instrText xml:space="preserve"> HYPERLINK \l _Toc17035 </w:instrText>
      </w:r>
      <w:r>
        <w:rPr>
          <w:rFonts w:hint="eastAsia" w:ascii="仿宋" w:hAnsi="仿宋" w:eastAsia="仿宋" w:cs="仿宋"/>
          <w:bCs/>
          <w:kern w:val="2"/>
          <w:szCs w:val="32"/>
          <w:lang w:val="en-US" w:eastAsia="zh-CN" w:bidi="ar-SA"/>
        </w:rPr>
        <w:fldChar w:fldCharType="separate"/>
      </w:r>
      <w:r>
        <w:rPr>
          <w:rFonts w:ascii="黑体" w:hAnsi="黑体" w:eastAsia="黑体" w:cs="黑体"/>
          <w:spacing w:val="0"/>
        </w:rPr>
        <w:t>三、支出决算表</w:t>
      </w:r>
      <w:r>
        <w:tab/>
      </w:r>
      <w:r>
        <w:fldChar w:fldCharType="begin"/>
      </w:r>
      <w:r>
        <w:instrText xml:space="preserve"> PAGEREF _Toc17035 \h </w:instrText>
      </w:r>
      <w:r>
        <w:fldChar w:fldCharType="separate"/>
      </w:r>
      <w:r>
        <w:t>8</w:t>
      </w:r>
      <w:r>
        <w:fldChar w:fldCharType="end"/>
      </w:r>
      <w:r>
        <w:rPr>
          <w:rFonts w:hint="eastAsia" w:ascii="仿宋" w:hAnsi="仿宋" w:eastAsia="仿宋" w:cs="仿宋"/>
          <w:bCs/>
          <w:kern w:val="2"/>
          <w:szCs w:val="32"/>
          <w:lang w:val="en-US" w:eastAsia="zh-CN" w:bidi="ar-SA"/>
        </w:rPr>
        <w:fldChar w:fldCharType="end"/>
      </w:r>
    </w:p>
    <w:p>
      <w:pPr>
        <w:pStyle w:val="12"/>
        <w:tabs>
          <w:tab w:val="right" w:leader="dot" w:pos="9026"/>
        </w:tabs>
        <w:spacing w:line="360" w:lineRule="auto"/>
        <w:ind w:left="0" w:leftChars="0" w:firstLine="640" w:firstLineChars="200"/>
        <w:jc w:val="center"/>
      </w:pPr>
      <w:r>
        <w:rPr>
          <w:rFonts w:hint="eastAsia" w:ascii="仿宋" w:hAnsi="仿宋" w:eastAsia="仿宋" w:cs="仿宋"/>
          <w:bCs/>
          <w:kern w:val="2"/>
          <w:szCs w:val="32"/>
          <w:lang w:val="en-US" w:eastAsia="zh-CN" w:bidi="ar-SA"/>
        </w:rPr>
        <w:fldChar w:fldCharType="begin"/>
      </w:r>
      <w:r>
        <w:rPr>
          <w:rFonts w:hint="eastAsia" w:ascii="仿宋" w:hAnsi="仿宋" w:eastAsia="仿宋" w:cs="仿宋"/>
          <w:bCs/>
          <w:kern w:val="2"/>
          <w:szCs w:val="32"/>
          <w:lang w:val="en-US" w:eastAsia="zh-CN" w:bidi="ar-SA"/>
        </w:rPr>
        <w:instrText xml:space="preserve"> HYPERLINK \l _Toc12581 </w:instrText>
      </w:r>
      <w:r>
        <w:rPr>
          <w:rFonts w:hint="eastAsia" w:ascii="仿宋" w:hAnsi="仿宋" w:eastAsia="仿宋" w:cs="仿宋"/>
          <w:bCs/>
          <w:kern w:val="2"/>
          <w:szCs w:val="32"/>
          <w:lang w:val="en-US" w:eastAsia="zh-CN" w:bidi="ar-SA"/>
        </w:rPr>
        <w:fldChar w:fldCharType="separate"/>
      </w:r>
      <w:r>
        <w:rPr>
          <w:rFonts w:ascii="黑体" w:hAnsi="黑体" w:eastAsia="黑体" w:cs="黑体"/>
          <w:spacing w:val="0"/>
        </w:rPr>
        <w:t>四、财政拨款收入支出决算总表</w:t>
      </w:r>
      <w:r>
        <w:tab/>
      </w:r>
      <w:r>
        <w:fldChar w:fldCharType="begin"/>
      </w:r>
      <w:r>
        <w:instrText xml:space="preserve"> PAGEREF _Toc12581 \h </w:instrText>
      </w:r>
      <w:r>
        <w:fldChar w:fldCharType="separate"/>
      </w:r>
      <w:r>
        <w:t>10</w:t>
      </w:r>
      <w:r>
        <w:fldChar w:fldCharType="end"/>
      </w:r>
      <w:r>
        <w:rPr>
          <w:rFonts w:hint="eastAsia" w:ascii="仿宋" w:hAnsi="仿宋" w:eastAsia="仿宋" w:cs="仿宋"/>
          <w:bCs/>
          <w:kern w:val="2"/>
          <w:szCs w:val="32"/>
          <w:lang w:val="en-US" w:eastAsia="zh-CN" w:bidi="ar-SA"/>
        </w:rPr>
        <w:fldChar w:fldCharType="end"/>
      </w:r>
    </w:p>
    <w:p>
      <w:pPr>
        <w:pStyle w:val="12"/>
        <w:tabs>
          <w:tab w:val="right" w:leader="dot" w:pos="9026"/>
        </w:tabs>
        <w:spacing w:line="360" w:lineRule="auto"/>
        <w:ind w:left="0" w:leftChars="0" w:firstLine="640" w:firstLineChars="200"/>
        <w:jc w:val="center"/>
      </w:pPr>
      <w:r>
        <w:rPr>
          <w:rFonts w:hint="eastAsia" w:ascii="仿宋" w:hAnsi="仿宋" w:eastAsia="仿宋" w:cs="仿宋"/>
          <w:bCs/>
          <w:kern w:val="2"/>
          <w:szCs w:val="32"/>
          <w:lang w:val="en-US" w:eastAsia="zh-CN" w:bidi="ar-SA"/>
        </w:rPr>
        <w:fldChar w:fldCharType="begin"/>
      </w:r>
      <w:r>
        <w:rPr>
          <w:rFonts w:hint="eastAsia" w:ascii="仿宋" w:hAnsi="仿宋" w:eastAsia="仿宋" w:cs="仿宋"/>
          <w:bCs/>
          <w:kern w:val="2"/>
          <w:szCs w:val="32"/>
          <w:lang w:val="en-US" w:eastAsia="zh-CN" w:bidi="ar-SA"/>
        </w:rPr>
        <w:instrText xml:space="preserve"> HYPERLINK \l _Toc4536 </w:instrText>
      </w:r>
      <w:r>
        <w:rPr>
          <w:rFonts w:hint="eastAsia" w:ascii="仿宋" w:hAnsi="仿宋" w:eastAsia="仿宋" w:cs="仿宋"/>
          <w:bCs/>
          <w:kern w:val="2"/>
          <w:szCs w:val="32"/>
          <w:lang w:val="en-US" w:eastAsia="zh-CN" w:bidi="ar-SA"/>
        </w:rPr>
        <w:fldChar w:fldCharType="separate"/>
      </w:r>
      <w:r>
        <w:rPr>
          <w:rFonts w:ascii="黑体" w:hAnsi="黑体" w:eastAsia="黑体" w:cs="黑体"/>
          <w:spacing w:val="0"/>
        </w:rPr>
        <w:t>五、一般公共预算财政拨款支出决算表</w:t>
      </w:r>
      <w:r>
        <w:tab/>
      </w:r>
      <w:r>
        <w:fldChar w:fldCharType="begin"/>
      </w:r>
      <w:r>
        <w:instrText xml:space="preserve"> PAGEREF _Toc4536 \h </w:instrText>
      </w:r>
      <w:r>
        <w:fldChar w:fldCharType="separate"/>
      </w:r>
      <w:r>
        <w:t>12</w:t>
      </w:r>
      <w:r>
        <w:fldChar w:fldCharType="end"/>
      </w:r>
      <w:r>
        <w:rPr>
          <w:rFonts w:hint="eastAsia" w:ascii="仿宋" w:hAnsi="仿宋" w:eastAsia="仿宋" w:cs="仿宋"/>
          <w:bCs/>
          <w:kern w:val="2"/>
          <w:szCs w:val="32"/>
          <w:lang w:val="en-US" w:eastAsia="zh-CN" w:bidi="ar-SA"/>
        </w:rPr>
        <w:fldChar w:fldCharType="end"/>
      </w:r>
    </w:p>
    <w:p>
      <w:pPr>
        <w:pStyle w:val="12"/>
        <w:tabs>
          <w:tab w:val="right" w:leader="dot" w:pos="9026"/>
        </w:tabs>
        <w:spacing w:line="360" w:lineRule="auto"/>
        <w:ind w:left="0" w:leftChars="0" w:firstLine="640" w:firstLineChars="200"/>
        <w:jc w:val="center"/>
      </w:pPr>
      <w:r>
        <w:rPr>
          <w:rFonts w:hint="eastAsia" w:ascii="仿宋" w:hAnsi="仿宋" w:eastAsia="仿宋" w:cs="仿宋"/>
          <w:bCs/>
          <w:kern w:val="2"/>
          <w:szCs w:val="32"/>
          <w:lang w:val="en-US" w:eastAsia="zh-CN" w:bidi="ar-SA"/>
        </w:rPr>
        <w:fldChar w:fldCharType="begin"/>
      </w:r>
      <w:r>
        <w:rPr>
          <w:rFonts w:hint="eastAsia" w:ascii="仿宋" w:hAnsi="仿宋" w:eastAsia="仿宋" w:cs="仿宋"/>
          <w:bCs/>
          <w:kern w:val="2"/>
          <w:szCs w:val="32"/>
          <w:lang w:val="en-US" w:eastAsia="zh-CN" w:bidi="ar-SA"/>
        </w:rPr>
        <w:instrText xml:space="preserve"> HYPERLINK \l _Toc21329 </w:instrText>
      </w:r>
      <w:r>
        <w:rPr>
          <w:rFonts w:hint="eastAsia" w:ascii="仿宋" w:hAnsi="仿宋" w:eastAsia="仿宋" w:cs="仿宋"/>
          <w:bCs/>
          <w:kern w:val="2"/>
          <w:szCs w:val="32"/>
          <w:lang w:val="en-US" w:eastAsia="zh-CN" w:bidi="ar-SA"/>
        </w:rPr>
        <w:fldChar w:fldCharType="separate"/>
      </w:r>
      <w:r>
        <w:rPr>
          <w:rFonts w:ascii="黑体" w:hAnsi="黑体" w:eastAsia="黑体" w:cs="黑体"/>
          <w:spacing w:val="0"/>
        </w:rPr>
        <w:t>六、一般公共预算财政拨款基本支出决算表</w:t>
      </w:r>
      <w:r>
        <w:tab/>
      </w:r>
      <w:r>
        <w:fldChar w:fldCharType="begin"/>
      </w:r>
      <w:r>
        <w:instrText xml:space="preserve"> PAGEREF _Toc21329 \h </w:instrText>
      </w:r>
      <w:r>
        <w:fldChar w:fldCharType="separate"/>
      </w:r>
      <w:r>
        <w:t>13</w:t>
      </w:r>
      <w:r>
        <w:fldChar w:fldCharType="end"/>
      </w:r>
      <w:r>
        <w:rPr>
          <w:rFonts w:hint="eastAsia" w:ascii="仿宋" w:hAnsi="仿宋" w:eastAsia="仿宋" w:cs="仿宋"/>
          <w:bCs/>
          <w:kern w:val="2"/>
          <w:szCs w:val="32"/>
          <w:lang w:val="en-US" w:eastAsia="zh-CN" w:bidi="ar-SA"/>
        </w:rPr>
        <w:fldChar w:fldCharType="end"/>
      </w:r>
    </w:p>
    <w:p>
      <w:pPr>
        <w:pStyle w:val="12"/>
        <w:tabs>
          <w:tab w:val="right" w:leader="dot" w:pos="9026"/>
        </w:tabs>
        <w:spacing w:line="360" w:lineRule="auto"/>
        <w:ind w:left="0" w:leftChars="0" w:firstLine="640" w:firstLineChars="200"/>
        <w:jc w:val="center"/>
      </w:pPr>
      <w:r>
        <w:rPr>
          <w:rFonts w:hint="eastAsia" w:ascii="仿宋" w:hAnsi="仿宋" w:eastAsia="仿宋" w:cs="仿宋"/>
          <w:bCs/>
          <w:kern w:val="2"/>
          <w:szCs w:val="32"/>
          <w:lang w:val="en-US" w:eastAsia="zh-CN" w:bidi="ar-SA"/>
        </w:rPr>
        <w:fldChar w:fldCharType="begin"/>
      </w:r>
      <w:r>
        <w:rPr>
          <w:rFonts w:hint="eastAsia" w:ascii="仿宋" w:hAnsi="仿宋" w:eastAsia="仿宋" w:cs="仿宋"/>
          <w:bCs/>
          <w:kern w:val="2"/>
          <w:szCs w:val="32"/>
          <w:lang w:val="en-US" w:eastAsia="zh-CN" w:bidi="ar-SA"/>
        </w:rPr>
        <w:instrText xml:space="preserve"> HYPERLINK \l _Toc27456 </w:instrText>
      </w:r>
      <w:r>
        <w:rPr>
          <w:rFonts w:hint="eastAsia" w:ascii="仿宋" w:hAnsi="仿宋" w:eastAsia="仿宋" w:cs="仿宋"/>
          <w:bCs/>
          <w:kern w:val="2"/>
          <w:szCs w:val="32"/>
          <w:lang w:val="en-US" w:eastAsia="zh-CN" w:bidi="ar-SA"/>
        </w:rPr>
        <w:fldChar w:fldCharType="separate"/>
      </w:r>
      <w:r>
        <w:rPr>
          <w:rFonts w:hint="eastAsia" w:ascii="黑体" w:hAnsi="黑体" w:eastAsia="黑体" w:cs="黑体"/>
          <w:spacing w:val="0"/>
        </w:rPr>
        <w:t xml:space="preserve">七、 </w:t>
      </w:r>
      <w:r>
        <w:rPr>
          <w:rFonts w:ascii="黑体" w:hAnsi="黑体" w:eastAsia="黑体" w:cs="黑体"/>
          <w:spacing w:val="0"/>
        </w:rPr>
        <w:t>一般公共预算财政拨款“三公”经费支出决算表</w:t>
      </w:r>
      <w:r>
        <w:tab/>
      </w:r>
      <w:r>
        <w:fldChar w:fldCharType="begin"/>
      </w:r>
      <w:r>
        <w:instrText xml:space="preserve"> PAGEREF _Toc27456 \h </w:instrText>
      </w:r>
      <w:r>
        <w:fldChar w:fldCharType="separate"/>
      </w:r>
      <w:r>
        <w:t>15</w:t>
      </w:r>
      <w:r>
        <w:fldChar w:fldCharType="end"/>
      </w:r>
      <w:r>
        <w:rPr>
          <w:rFonts w:hint="eastAsia" w:ascii="仿宋" w:hAnsi="仿宋" w:eastAsia="仿宋" w:cs="仿宋"/>
          <w:bCs/>
          <w:kern w:val="2"/>
          <w:szCs w:val="32"/>
          <w:lang w:val="en-US" w:eastAsia="zh-CN" w:bidi="ar-SA"/>
        </w:rPr>
        <w:fldChar w:fldCharType="end"/>
      </w:r>
    </w:p>
    <w:p>
      <w:pPr>
        <w:pStyle w:val="12"/>
        <w:tabs>
          <w:tab w:val="right" w:leader="dot" w:pos="9026"/>
        </w:tabs>
        <w:spacing w:line="360" w:lineRule="auto"/>
        <w:ind w:left="0" w:leftChars="0" w:firstLine="640" w:firstLineChars="200"/>
        <w:jc w:val="center"/>
      </w:pPr>
      <w:r>
        <w:rPr>
          <w:rFonts w:hint="eastAsia" w:ascii="仿宋" w:hAnsi="仿宋" w:eastAsia="仿宋" w:cs="仿宋"/>
          <w:bCs/>
          <w:kern w:val="2"/>
          <w:szCs w:val="32"/>
          <w:lang w:val="en-US" w:eastAsia="zh-CN" w:bidi="ar-SA"/>
        </w:rPr>
        <w:fldChar w:fldCharType="begin"/>
      </w:r>
      <w:r>
        <w:rPr>
          <w:rFonts w:hint="eastAsia" w:ascii="仿宋" w:hAnsi="仿宋" w:eastAsia="仿宋" w:cs="仿宋"/>
          <w:bCs/>
          <w:kern w:val="2"/>
          <w:szCs w:val="32"/>
          <w:lang w:val="en-US" w:eastAsia="zh-CN" w:bidi="ar-SA"/>
        </w:rPr>
        <w:instrText xml:space="preserve"> HYPERLINK \l _Toc14644 </w:instrText>
      </w:r>
      <w:r>
        <w:rPr>
          <w:rFonts w:hint="eastAsia" w:ascii="仿宋" w:hAnsi="仿宋" w:eastAsia="仿宋" w:cs="仿宋"/>
          <w:bCs/>
          <w:kern w:val="2"/>
          <w:szCs w:val="32"/>
          <w:lang w:val="en-US" w:eastAsia="zh-CN" w:bidi="ar-SA"/>
        </w:rPr>
        <w:fldChar w:fldCharType="separate"/>
      </w:r>
      <w:r>
        <w:rPr>
          <w:rFonts w:ascii="黑体" w:hAnsi="黑体" w:eastAsia="黑体" w:cs="黑体"/>
          <w:spacing w:val="0"/>
        </w:rPr>
        <w:t>八、政府性基金预算财政拨款收入支出决算表</w:t>
      </w:r>
      <w:r>
        <w:tab/>
      </w:r>
      <w:r>
        <w:fldChar w:fldCharType="begin"/>
      </w:r>
      <w:r>
        <w:instrText xml:space="preserve"> PAGEREF _Toc14644 \h </w:instrText>
      </w:r>
      <w:r>
        <w:fldChar w:fldCharType="separate"/>
      </w:r>
      <w:r>
        <w:t>15</w:t>
      </w:r>
      <w:r>
        <w:fldChar w:fldCharType="end"/>
      </w:r>
      <w:r>
        <w:rPr>
          <w:rFonts w:hint="eastAsia" w:ascii="仿宋" w:hAnsi="仿宋" w:eastAsia="仿宋" w:cs="仿宋"/>
          <w:bCs/>
          <w:kern w:val="2"/>
          <w:szCs w:val="32"/>
          <w:lang w:val="en-US" w:eastAsia="zh-CN" w:bidi="ar-SA"/>
        </w:rPr>
        <w:fldChar w:fldCharType="end"/>
      </w:r>
    </w:p>
    <w:p>
      <w:pPr>
        <w:pStyle w:val="12"/>
        <w:tabs>
          <w:tab w:val="right" w:leader="dot" w:pos="9026"/>
        </w:tabs>
        <w:spacing w:line="360" w:lineRule="auto"/>
        <w:ind w:left="0" w:leftChars="0" w:firstLine="640" w:firstLineChars="200"/>
        <w:jc w:val="center"/>
      </w:pPr>
      <w:r>
        <w:rPr>
          <w:rFonts w:hint="eastAsia" w:ascii="仿宋" w:hAnsi="仿宋" w:eastAsia="仿宋" w:cs="仿宋"/>
          <w:bCs/>
          <w:kern w:val="2"/>
          <w:szCs w:val="32"/>
          <w:lang w:val="en-US" w:eastAsia="zh-CN" w:bidi="ar-SA"/>
        </w:rPr>
        <w:fldChar w:fldCharType="begin"/>
      </w:r>
      <w:r>
        <w:rPr>
          <w:rFonts w:hint="eastAsia" w:ascii="仿宋" w:hAnsi="仿宋" w:eastAsia="仿宋" w:cs="仿宋"/>
          <w:bCs/>
          <w:kern w:val="2"/>
          <w:szCs w:val="32"/>
          <w:lang w:val="en-US" w:eastAsia="zh-CN" w:bidi="ar-SA"/>
        </w:rPr>
        <w:instrText xml:space="preserve"> HYPERLINK \l _Toc19011 </w:instrText>
      </w:r>
      <w:r>
        <w:rPr>
          <w:rFonts w:hint="eastAsia" w:ascii="仿宋" w:hAnsi="仿宋" w:eastAsia="仿宋" w:cs="仿宋"/>
          <w:bCs/>
          <w:kern w:val="2"/>
          <w:szCs w:val="32"/>
          <w:lang w:val="en-US" w:eastAsia="zh-CN" w:bidi="ar-SA"/>
        </w:rPr>
        <w:fldChar w:fldCharType="separate"/>
      </w:r>
      <w:r>
        <w:rPr>
          <w:rFonts w:ascii="黑体" w:hAnsi="黑体" w:eastAsia="黑体" w:cs="黑体"/>
          <w:spacing w:val="0"/>
        </w:rPr>
        <w:t>九、国有资本经营预算财政拨款支出决算表</w:t>
      </w:r>
      <w:r>
        <w:tab/>
      </w:r>
      <w:r>
        <w:fldChar w:fldCharType="begin"/>
      </w:r>
      <w:r>
        <w:instrText xml:space="preserve"> PAGEREF _Toc19011 \h </w:instrText>
      </w:r>
      <w:r>
        <w:fldChar w:fldCharType="separate"/>
      </w:r>
      <w:r>
        <w:t>16</w:t>
      </w:r>
      <w:r>
        <w:fldChar w:fldCharType="end"/>
      </w:r>
      <w:r>
        <w:rPr>
          <w:rFonts w:hint="eastAsia" w:ascii="仿宋" w:hAnsi="仿宋" w:eastAsia="仿宋" w:cs="仿宋"/>
          <w:bCs/>
          <w:kern w:val="2"/>
          <w:szCs w:val="32"/>
          <w:lang w:val="en-US" w:eastAsia="zh-CN" w:bidi="ar-SA"/>
        </w:rPr>
        <w:fldChar w:fldCharType="end"/>
      </w:r>
    </w:p>
    <w:p>
      <w:pPr>
        <w:pStyle w:val="19"/>
        <w:tabs>
          <w:tab w:val="right" w:leader="dot" w:pos="9026"/>
        </w:tabs>
        <w:spacing w:line="360" w:lineRule="auto"/>
        <w:ind w:left="0" w:leftChars="0" w:firstLine="0" w:firstLineChars="0"/>
        <w:jc w:val="center"/>
        <w:rPr>
          <w:rFonts w:hint="default"/>
          <w:lang w:val="en-US"/>
        </w:rPr>
      </w:pPr>
      <w:r>
        <w:rPr>
          <w:rFonts w:hint="eastAsia" w:ascii="仿宋" w:hAnsi="仿宋" w:eastAsia="仿宋" w:cs="仿宋"/>
          <w:bCs/>
          <w:kern w:val="2"/>
          <w:szCs w:val="32"/>
          <w:lang w:val="en-US" w:eastAsia="zh-CN" w:bidi="ar-SA"/>
        </w:rPr>
        <w:fldChar w:fldCharType="begin"/>
      </w:r>
      <w:r>
        <w:rPr>
          <w:rFonts w:hint="eastAsia" w:ascii="仿宋" w:hAnsi="仿宋" w:eastAsia="仿宋" w:cs="仿宋"/>
          <w:bCs/>
          <w:kern w:val="2"/>
          <w:szCs w:val="32"/>
          <w:lang w:val="en-US" w:eastAsia="zh-CN" w:bidi="ar-SA"/>
        </w:rPr>
        <w:instrText xml:space="preserve"> HYPERLINK \l _Toc12737 </w:instrText>
      </w:r>
      <w:r>
        <w:rPr>
          <w:rFonts w:hint="eastAsia" w:ascii="仿宋" w:hAnsi="仿宋" w:eastAsia="仿宋" w:cs="仿宋"/>
          <w:bCs/>
          <w:kern w:val="2"/>
          <w:szCs w:val="32"/>
          <w:lang w:val="en-US" w:eastAsia="zh-CN" w:bidi="ar-SA"/>
        </w:rPr>
        <w:fldChar w:fldCharType="separate"/>
      </w:r>
      <w:r>
        <w:rPr>
          <w:rFonts w:ascii="黑体" w:hAnsi="黑体" w:eastAsia="黑体" w:cs="黑体"/>
          <w:spacing w:val="0"/>
          <w:szCs w:val="56"/>
        </w:rPr>
        <w:t>第三部分</w:t>
      </w:r>
      <w:r>
        <w:tab/>
      </w:r>
      <w:r>
        <w:rPr>
          <w:rFonts w:hint="eastAsia"/>
          <w:lang w:val="en-US" w:eastAsia="zh-CN"/>
        </w:rPr>
        <w:t>1</w:t>
      </w:r>
      <w:r>
        <w:rPr>
          <w:rFonts w:hint="eastAsia" w:ascii="仿宋" w:hAnsi="仿宋" w:eastAsia="仿宋" w:cs="仿宋"/>
          <w:bCs/>
          <w:kern w:val="2"/>
          <w:szCs w:val="32"/>
          <w:lang w:val="en-US" w:eastAsia="zh-CN" w:bidi="ar-SA"/>
        </w:rPr>
        <w:fldChar w:fldCharType="end"/>
      </w:r>
      <w:r>
        <w:rPr>
          <w:rFonts w:hint="eastAsia" w:ascii="仿宋" w:hAnsi="仿宋" w:cs="仿宋"/>
          <w:bCs/>
          <w:kern w:val="2"/>
          <w:szCs w:val="32"/>
          <w:lang w:val="en-US" w:eastAsia="zh-CN" w:bidi="ar-SA"/>
        </w:rPr>
        <w:t>6</w:t>
      </w:r>
    </w:p>
    <w:p>
      <w:pPr>
        <w:pStyle w:val="19"/>
        <w:tabs>
          <w:tab w:val="right" w:leader="dot" w:pos="9026"/>
        </w:tabs>
        <w:spacing w:line="360" w:lineRule="auto"/>
        <w:ind w:left="0" w:leftChars="0" w:firstLine="0" w:firstLineChars="0"/>
        <w:jc w:val="center"/>
        <w:rPr>
          <w:rFonts w:hint="default"/>
          <w:lang w:val="en-US"/>
        </w:rPr>
      </w:pPr>
      <w:r>
        <w:rPr>
          <w:rFonts w:hint="eastAsia" w:ascii="仿宋" w:hAnsi="仿宋" w:eastAsia="仿宋" w:cs="仿宋"/>
          <w:bCs/>
          <w:kern w:val="2"/>
          <w:szCs w:val="32"/>
          <w:lang w:val="en-US" w:eastAsia="zh-CN" w:bidi="ar-SA"/>
        </w:rPr>
        <w:fldChar w:fldCharType="begin"/>
      </w:r>
      <w:r>
        <w:rPr>
          <w:rFonts w:hint="eastAsia" w:ascii="仿宋" w:hAnsi="仿宋" w:eastAsia="仿宋" w:cs="仿宋"/>
          <w:bCs/>
          <w:kern w:val="2"/>
          <w:szCs w:val="32"/>
          <w:lang w:val="en-US" w:eastAsia="zh-CN" w:bidi="ar-SA"/>
        </w:rPr>
        <w:instrText xml:space="preserve"> HYPERLINK \l _Toc18678 </w:instrText>
      </w:r>
      <w:r>
        <w:rPr>
          <w:rFonts w:hint="eastAsia" w:ascii="仿宋" w:hAnsi="仿宋" w:eastAsia="仿宋" w:cs="仿宋"/>
          <w:bCs/>
          <w:kern w:val="2"/>
          <w:szCs w:val="32"/>
          <w:lang w:val="en-US" w:eastAsia="zh-CN" w:bidi="ar-SA"/>
        </w:rPr>
        <w:fldChar w:fldCharType="separate"/>
      </w:r>
      <w:r>
        <w:rPr>
          <w:rFonts w:ascii="黑体" w:hAnsi="黑体" w:eastAsia="黑体" w:cs="黑体"/>
          <w:spacing w:val="0"/>
          <w:szCs w:val="56"/>
        </w:rPr>
        <w:t>2024年度决算情况说明</w:t>
      </w:r>
      <w:r>
        <w:tab/>
      </w:r>
      <w:r>
        <w:rPr>
          <w:rFonts w:hint="eastAsia"/>
          <w:lang w:val="en-US" w:eastAsia="zh-CN"/>
        </w:rPr>
        <w:t>1</w:t>
      </w:r>
      <w:r>
        <w:rPr>
          <w:rFonts w:hint="eastAsia" w:ascii="仿宋" w:hAnsi="仿宋" w:eastAsia="仿宋" w:cs="仿宋"/>
          <w:bCs/>
          <w:kern w:val="2"/>
          <w:szCs w:val="32"/>
          <w:lang w:val="en-US" w:eastAsia="zh-CN" w:bidi="ar-SA"/>
        </w:rPr>
        <w:fldChar w:fldCharType="end"/>
      </w:r>
      <w:r>
        <w:rPr>
          <w:rFonts w:hint="eastAsia" w:ascii="仿宋" w:hAnsi="仿宋" w:cs="仿宋"/>
          <w:bCs/>
          <w:kern w:val="2"/>
          <w:szCs w:val="32"/>
          <w:lang w:val="en-US" w:eastAsia="zh-CN" w:bidi="ar-SA"/>
        </w:rPr>
        <w:t>6</w:t>
      </w:r>
    </w:p>
    <w:p>
      <w:pPr>
        <w:pStyle w:val="12"/>
        <w:tabs>
          <w:tab w:val="right" w:leader="dot" w:pos="9026"/>
        </w:tabs>
        <w:spacing w:line="360" w:lineRule="auto"/>
        <w:ind w:left="0" w:leftChars="0" w:firstLine="640" w:firstLineChars="200"/>
        <w:jc w:val="center"/>
      </w:pPr>
      <w:r>
        <w:rPr>
          <w:rFonts w:hint="eastAsia" w:ascii="仿宋" w:hAnsi="仿宋" w:eastAsia="仿宋" w:cs="仿宋"/>
          <w:bCs/>
          <w:kern w:val="2"/>
          <w:szCs w:val="32"/>
          <w:lang w:val="en-US" w:eastAsia="zh-CN" w:bidi="ar-SA"/>
        </w:rPr>
        <w:fldChar w:fldCharType="begin"/>
      </w:r>
      <w:r>
        <w:rPr>
          <w:rFonts w:hint="eastAsia" w:ascii="仿宋" w:hAnsi="仿宋" w:eastAsia="仿宋" w:cs="仿宋"/>
          <w:bCs/>
          <w:kern w:val="2"/>
          <w:szCs w:val="32"/>
          <w:lang w:val="en-US" w:eastAsia="zh-CN" w:bidi="ar-SA"/>
        </w:rPr>
        <w:instrText xml:space="preserve"> HYPERLINK \l _Toc319 </w:instrText>
      </w:r>
      <w:r>
        <w:rPr>
          <w:rFonts w:hint="eastAsia" w:ascii="仿宋" w:hAnsi="仿宋" w:eastAsia="仿宋" w:cs="仿宋"/>
          <w:bCs/>
          <w:kern w:val="2"/>
          <w:szCs w:val="32"/>
          <w:lang w:val="en-US" w:eastAsia="zh-CN" w:bidi="ar-SA"/>
        </w:rPr>
        <w:fldChar w:fldCharType="separate"/>
      </w:r>
      <w:r>
        <w:rPr>
          <w:rFonts w:ascii="黑体" w:hAnsi="黑体" w:eastAsia="黑体" w:cs="黑体"/>
          <w:spacing w:val="0"/>
        </w:rPr>
        <w:t>一、收入支出决算总体情况说明</w:t>
      </w:r>
      <w:r>
        <w:tab/>
      </w:r>
      <w:r>
        <w:fldChar w:fldCharType="begin"/>
      </w:r>
      <w:r>
        <w:instrText xml:space="preserve"> PAGEREF _Toc319 \h </w:instrText>
      </w:r>
      <w:r>
        <w:fldChar w:fldCharType="separate"/>
      </w:r>
      <w:r>
        <w:t>16</w:t>
      </w:r>
      <w:r>
        <w:fldChar w:fldCharType="end"/>
      </w:r>
      <w:r>
        <w:rPr>
          <w:rFonts w:hint="eastAsia" w:ascii="仿宋" w:hAnsi="仿宋" w:eastAsia="仿宋" w:cs="仿宋"/>
          <w:bCs/>
          <w:kern w:val="2"/>
          <w:szCs w:val="32"/>
          <w:lang w:val="en-US" w:eastAsia="zh-CN" w:bidi="ar-SA"/>
        </w:rPr>
        <w:fldChar w:fldCharType="end"/>
      </w:r>
    </w:p>
    <w:p>
      <w:pPr>
        <w:pStyle w:val="12"/>
        <w:tabs>
          <w:tab w:val="right" w:leader="dot" w:pos="9026"/>
        </w:tabs>
        <w:spacing w:line="360" w:lineRule="auto"/>
        <w:ind w:left="0" w:leftChars="0" w:firstLine="640" w:firstLineChars="200"/>
        <w:jc w:val="center"/>
      </w:pPr>
      <w:r>
        <w:rPr>
          <w:rFonts w:hint="eastAsia" w:ascii="仿宋" w:hAnsi="仿宋" w:eastAsia="仿宋" w:cs="仿宋"/>
          <w:bCs/>
          <w:kern w:val="2"/>
          <w:szCs w:val="32"/>
          <w:lang w:val="en-US" w:eastAsia="zh-CN" w:bidi="ar-SA"/>
        </w:rPr>
        <w:fldChar w:fldCharType="begin"/>
      </w:r>
      <w:r>
        <w:rPr>
          <w:rFonts w:hint="eastAsia" w:ascii="仿宋" w:hAnsi="仿宋" w:eastAsia="仿宋" w:cs="仿宋"/>
          <w:bCs/>
          <w:kern w:val="2"/>
          <w:szCs w:val="32"/>
          <w:lang w:val="en-US" w:eastAsia="zh-CN" w:bidi="ar-SA"/>
        </w:rPr>
        <w:instrText xml:space="preserve"> HYPERLINK \l _Toc27097 </w:instrText>
      </w:r>
      <w:r>
        <w:rPr>
          <w:rFonts w:hint="eastAsia" w:ascii="仿宋" w:hAnsi="仿宋" w:eastAsia="仿宋" w:cs="仿宋"/>
          <w:bCs/>
          <w:kern w:val="2"/>
          <w:szCs w:val="32"/>
          <w:lang w:val="en-US" w:eastAsia="zh-CN" w:bidi="ar-SA"/>
        </w:rPr>
        <w:fldChar w:fldCharType="separate"/>
      </w:r>
      <w:r>
        <w:rPr>
          <w:rFonts w:ascii="黑体" w:hAnsi="黑体" w:eastAsia="黑体" w:cs="黑体"/>
          <w:spacing w:val="0"/>
        </w:rPr>
        <w:t>二、财政拨款收入支出决算总体情况说明</w:t>
      </w:r>
      <w:r>
        <w:tab/>
      </w:r>
      <w:r>
        <w:fldChar w:fldCharType="begin"/>
      </w:r>
      <w:r>
        <w:instrText xml:space="preserve"> PAGEREF _Toc27097 \h </w:instrText>
      </w:r>
      <w:r>
        <w:fldChar w:fldCharType="separate"/>
      </w:r>
      <w:r>
        <w:t>18</w:t>
      </w:r>
      <w:r>
        <w:fldChar w:fldCharType="end"/>
      </w:r>
      <w:r>
        <w:rPr>
          <w:rFonts w:hint="eastAsia" w:ascii="仿宋" w:hAnsi="仿宋" w:eastAsia="仿宋" w:cs="仿宋"/>
          <w:bCs/>
          <w:kern w:val="2"/>
          <w:szCs w:val="32"/>
          <w:lang w:val="en-US" w:eastAsia="zh-CN" w:bidi="ar-SA"/>
        </w:rPr>
        <w:fldChar w:fldCharType="end"/>
      </w:r>
    </w:p>
    <w:p>
      <w:pPr>
        <w:pStyle w:val="12"/>
        <w:tabs>
          <w:tab w:val="right" w:leader="dot" w:pos="9026"/>
        </w:tabs>
        <w:spacing w:line="360" w:lineRule="auto"/>
        <w:ind w:left="0" w:leftChars="0" w:firstLine="640" w:firstLineChars="200"/>
        <w:jc w:val="center"/>
      </w:pPr>
      <w:r>
        <w:rPr>
          <w:rFonts w:hint="eastAsia" w:ascii="仿宋" w:hAnsi="仿宋" w:eastAsia="仿宋" w:cs="仿宋"/>
          <w:bCs/>
          <w:kern w:val="2"/>
          <w:szCs w:val="32"/>
          <w:lang w:val="en-US" w:eastAsia="zh-CN" w:bidi="ar-SA"/>
        </w:rPr>
        <w:fldChar w:fldCharType="begin"/>
      </w:r>
      <w:r>
        <w:rPr>
          <w:rFonts w:hint="eastAsia" w:ascii="仿宋" w:hAnsi="仿宋" w:eastAsia="仿宋" w:cs="仿宋"/>
          <w:bCs/>
          <w:kern w:val="2"/>
          <w:szCs w:val="32"/>
          <w:lang w:val="en-US" w:eastAsia="zh-CN" w:bidi="ar-SA"/>
        </w:rPr>
        <w:instrText xml:space="preserve"> HYPERLINK \l _Toc6683 </w:instrText>
      </w:r>
      <w:r>
        <w:rPr>
          <w:rFonts w:hint="eastAsia" w:ascii="仿宋" w:hAnsi="仿宋" w:eastAsia="仿宋" w:cs="仿宋"/>
          <w:bCs/>
          <w:kern w:val="2"/>
          <w:szCs w:val="32"/>
          <w:lang w:val="en-US" w:eastAsia="zh-CN" w:bidi="ar-SA"/>
        </w:rPr>
        <w:fldChar w:fldCharType="separate"/>
      </w:r>
      <w:r>
        <w:rPr>
          <w:rFonts w:ascii="黑体" w:hAnsi="黑体" w:eastAsia="黑体" w:cs="黑体"/>
          <w:spacing w:val="0"/>
        </w:rPr>
        <w:t>三、一般公共预算拨款支出决算情况说明</w:t>
      </w:r>
      <w:r>
        <w:tab/>
      </w:r>
      <w:r>
        <w:fldChar w:fldCharType="begin"/>
      </w:r>
      <w:r>
        <w:instrText xml:space="preserve"> PAGEREF _Toc6683 \h </w:instrText>
      </w:r>
      <w:r>
        <w:fldChar w:fldCharType="separate"/>
      </w:r>
      <w:r>
        <w:t>18</w:t>
      </w:r>
      <w:r>
        <w:fldChar w:fldCharType="end"/>
      </w:r>
      <w:r>
        <w:rPr>
          <w:rFonts w:hint="eastAsia" w:ascii="仿宋" w:hAnsi="仿宋" w:eastAsia="仿宋" w:cs="仿宋"/>
          <w:bCs/>
          <w:kern w:val="2"/>
          <w:szCs w:val="32"/>
          <w:lang w:val="en-US" w:eastAsia="zh-CN" w:bidi="ar-SA"/>
        </w:rPr>
        <w:fldChar w:fldCharType="end"/>
      </w:r>
    </w:p>
    <w:p>
      <w:pPr>
        <w:pStyle w:val="12"/>
        <w:tabs>
          <w:tab w:val="right" w:leader="dot" w:pos="9026"/>
        </w:tabs>
        <w:spacing w:line="360" w:lineRule="auto"/>
        <w:ind w:left="0" w:leftChars="0" w:firstLine="640" w:firstLineChars="200"/>
        <w:jc w:val="center"/>
      </w:pPr>
      <w:r>
        <w:rPr>
          <w:rFonts w:hint="eastAsia" w:ascii="仿宋" w:hAnsi="仿宋" w:eastAsia="仿宋" w:cs="仿宋"/>
          <w:bCs/>
          <w:kern w:val="2"/>
          <w:szCs w:val="32"/>
          <w:lang w:val="en-US" w:eastAsia="zh-CN" w:bidi="ar-SA"/>
        </w:rPr>
        <w:fldChar w:fldCharType="begin"/>
      </w:r>
      <w:r>
        <w:rPr>
          <w:rFonts w:hint="eastAsia" w:ascii="仿宋" w:hAnsi="仿宋" w:eastAsia="仿宋" w:cs="仿宋"/>
          <w:bCs/>
          <w:kern w:val="2"/>
          <w:szCs w:val="32"/>
          <w:lang w:val="en-US" w:eastAsia="zh-CN" w:bidi="ar-SA"/>
        </w:rPr>
        <w:instrText xml:space="preserve"> HYPERLINK \l _Toc12242 </w:instrText>
      </w:r>
      <w:r>
        <w:rPr>
          <w:rFonts w:hint="eastAsia" w:ascii="仿宋" w:hAnsi="仿宋" w:eastAsia="仿宋" w:cs="仿宋"/>
          <w:bCs/>
          <w:kern w:val="2"/>
          <w:szCs w:val="32"/>
          <w:lang w:val="en-US" w:eastAsia="zh-CN" w:bidi="ar-SA"/>
        </w:rPr>
        <w:fldChar w:fldCharType="separate"/>
      </w:r>
      <w:r>
        <w:rPr>
          <w:rFonts w:ascii="黑体" w:hAnsi="黑体" w:eastAsia="黑体" w:cs="黑体"/>
          <w:spacing w:val="0"/>
        </w:rPr>
        <w:t>四、政府性基金预算财政拨款支出决算情况说明</w:t>
      </w:r>
      <w:r>
        <w:tab/>
      </w:r>
      <w:r>
        <w:fldChar w:fldCharType="begin"/>
      </w:r>
      <w:r>
        <w:instrText xml:space="preserve"> PAGEREF _Toc12242 \h </w:instrText>
      </w:r>
      <w:r>
        <w:fldChar w:fldCharType="separate"/>
      </w:r>
      <w:r>
        <w:t>19</w:t>
      </w:r>
      <w:r>
        <w:fldChar w:fldCharType="end"/>
      </w:r>
      <w:r>
        <w:rPr>
          <w:rFonts w:hint="eastAsia" w:ascii="仿宋" w:hAnsi="仿宋" w:eastAsia="仿宋" w:cs="仿宋"/>
          <w:bCs/>
          <w:kern w:val="2"/>
          <w:szCs w:val="32"/>
          <w:lang w:val="en-US" w:eastAsia="zh-CN" w:bidi="ar-SA"/>
        </w:rPr>
        <w:fldChar w:fldCharType="end"/>
      </w:r>
    </w:p>
    <w:p>
      <w:pPr>
        <w:pStyle w:val="12"/>
        <w:tabs>
          <w:tab w:val="right" w:leader="dot" w:pos="9026"/>
        </w:tabs>
        <w:spacing w:line="360" w:lineRule="auto"/>
        <w:ind w:left="0" w:leftChars="0" w:firstLine="640" w:firstLineChars="200"/>
        <w:jc w:val="center"/>
      </w:pPr>
      <w:r>
        <w:rPr>
          <w:rFonts w:hint="eastAsia" w:ascii="仿宋" w:hAnsi="仿宋" w:eastAsia="仿宋" w:cs="仿宋"/>
          <w:bCs/>
          <w:kern w:val="2"/>
          <w:szCs w:val="32"/>
          <w:lang w:val="en-US" w:eastAsia="zh-CN" w:bidi="ar-SA"/>
        </w:rPr>
        <w:fldChar w:fldCharType="begin"/>
      </w:r>
      <w:r>
        <w:rPr>
          <w:rFonts w:hint="eastAsia" w:ascii="仿宋" w:hAnsi="仿宋" w:eastAsia="仿宋" w:cs="仿宋"/>
          <w:bCs/>
          <w:kern w:val="2"/>
          <w:szCs w:val="32"/>
          <w:lang w:val="en-US" w:eastAsia="zh-CN" w:bidi="ar-SA"/>
        </w:rPr>
        <w:instrText xml:space="preserve"> HYPERLINK \l _Toc3370 </w:instrText>
      </w:r>
      <w:r>
        <w:rPr>
          <w:rFonts w:hint="eastAsia" w:ascii="仿宋" w:hAnsi="仿宋" w:eastAsia="仿宋" w:cs="仿宋"/>
          <w:bCs/>
          <w:kern w:val="2"/>
          <w:szCs w:val="32"/>
          <w:lang w:val="en-US" w:eastAsia="zh-CN" w:bidi="ar-SA"/>
        </w:rPr>
        <w:fldChar w:fldCharType="separate"/>
      </w:r>
      <w:r>
        <w:rPr>
          <w:rFonts w:ascii="黑体" w:hAnsi="黑体" w:eastAsia="黑体" w:cs="黑体"/>
          <w:spacing w:val="0"/>
        </w:rPr>
        <w:t>五、国有资本经营预算财政拨款支出决算情况说明</w:t>
      </w:r>
      <w:r>
        <w:tab/>
      </w:r>
      <w:r>
        <w:fldChar w:fldCharType="begin"/>
      </w:r>
      <w:r>
        <w:instrText xml:space="preserve"> PAGEREF _Toc3370 \h </w:instrText>
      </w:r>
      <w:r>
        <w:fldChar w:fldCharType="separate"/>
      </w:r>
      <w:r>
        <w:t>19</w:t>
      </w:r>
      <w:r>
        <w:fldChar w:fldCharType="end"/>
      </w:r>
      <w:r>
        <w:rPr>
          <w:rFonts w:hint="eastAsia" w:ascii="仿宋" w:hAnsi="仿宋" w:eastAsia="仿宋" w:cs="仿宋"/>
          <w:bCs/>
          <w:kern w:val="2"/>
          <w:szCs w:val="32"/>
          <w:lang w:val="en-US" w:eastAsia="zh-CN" w:bidi="ar-SA"/>
        </w:rPr>
        <w:fldChar w:fldCharType="end"/>
      </w:r>
    </w:p>
    <w:p>
      <w:pPr>
        <w:pStyle w:val="12"/>
        <w:tabs>
          <w:tab w:val="right" w:leader="dot" w:pos="9026"/>
        </w:tabs>
        <w:spacing w:line="360" w:lineRule="auto"/>
        <w:ind w:left="0" w:leftChars="0" w:firstLine="640" w:firstLineChars="200"/>
        <w:jc w:val="center"/>
      </w:pPr>
      <w:r>
        <w:rPr>
          <w:rFonts w:hint="eastAsia" w:ascii="仿宋" w:hAnsi="仿宋" w:eastAsia="仿宋" w:cs="仿宋"/>
          <w:bCs/>
          <w:kern w:val="2"/>
          <w:szCs w:val="32"/>
          <w:lang w:val="en-US" w:eastAsia="zh-CN" w:bidi="ar-SA"/>
        </w:rPr>
        <w:fldChar w:fldCharType="begin"/>
      </w:r>
      <w:r>
        <w:rPr>
          <w:rFonts w:hint="eastAsia" w:ascii="仿宋" w:hAnsi="仿宋" w:eastAsia="仿宋" w:cs="仿宋"/>
          <w:bCs/>
          <w:kern w:val="2"/>
          <w:szCs w:val="32"/>
          <w:lang w:val="en-US" w:eastAsia="zh-CN" w:bidi="ar-SA"/>
        </w:rPr>
        <w:instrText xml:space="preserve"> HYPERLINK \l _Toc9180 </w:instrText>
      </w:r>
      <w:r>
        <w:rPr>
          <w:rFonts w:hint="eastAsia" w:ascii="仿宋" w:hAnsi="仿宋" w:eastAsia="仿宋" w:cs="仿宋"/>
          <w:bCs/>
          <w:kern w:val="2"/>
          <w:szCs w:val="32"/>
          <w:lang w:val="en-US" w:eastAsia="zh-CN" w:bidi="ar-SA"/>
        </w:rPr>
        <w:fldChar w:fldCharType="separate"/>
      </w:r>
      <w:r>
        <w:rPr>
          <w:rFonts w:ascii="黑体" w:hAnsi="黑体" w:eastAsia="黑体" w:cs="黑体"/>
          <w:spacing w:val="0"/>
        </w:rPr>
        <w:t>六、一般公共预算财政拨款基本支出决算情况说明</w:t>
      </w:r>
      <w:r>
        <w:tab/>
      </w:r>
      <w:r>
        <w:fldChar w:fldCharType="begin"/>
      </w:r>
      <w:r>
        <w:instrText xml:space="preserve"> PAGEREF _Toc9180 \h </w:instrText>
      </w:r>
      <w:r>
        <w:fldChar w:fldCharType="separate"/>
      </w:r>
      <w:r>
        <w:t>20</w:t>
      </w:r>
      <w:r>
        <w:fldChar w:fldCharType="end"/>
      </w:r>
      <w:r>
        <w:rPr>
          <w:rFonts w:hint="eastAsia" w:ascii="仿宋" w:hAnsi="仿宋" w:eastAsia="仿宋" w:cs="仿宋"/>
          <w:bCs/>
          <w:kern w:val="2"/>
          <w:szCs w:val="32"/>
          <w:lang w:val="en-US" w:eastAsia="zh-CN" w:bidi="ar-SA"/>
        </w:rPr>
        <w:fldChar w:fldCharType="end"/>
      </w:r>
    </w:p>
    <w:p>
      <w:pPr>
        <w:pStyle w:val="12"/>
        <w:tabs>
          <w:tab w:val="right" w:leader="dot" w:pos="9026"/>
        </w:tabs>
        <w:spacing w:line="360" w:lineRule="auto"/>
        <w:ind w:left="0" w:leftChars="0" w:firstLine="640" w:firstLineChars="200"/>
        <w:jc w:val="center"/>
      </w:pPr>
      <w:r>
        <w:rPr>
          <w:rFonts w:hint="eastAsia" w:ascii="仿宋" w:hAnsi="仿宋" w:eastAsia="仿宋" w:cs="仿宋"/>
          <w:bCs/>
          <w:kern w:val="2"/>
          <w:szCs w:val="32"/>
          <w:lang w:val="en-US" w:eastAsia="zh-CN" w:bidi="ar-SA"/>
        </w:rPr>
        <w:fldChar w:fldCharType="begin"/>
      </w:r>
      <w:r>
        <w:rPr>
          <w:rFonts w:hint="eastAsia" w:ascii="仿宋" w:hAnsi="仿宋" w:eastAsia="仿宋" w:cs="仿宋"/>
          <w:bCs/>
          <w:kern w:val="2"/>
          <w:szCs w:val="32"/>
          <w:lang w:val="en-US" w:eastAsia="zh-CN" w:bidi="ar-SA"/>
        </w:rPr>
        <w:instrText xml:space="preserve"> HYPERLINK \l _Toc29960 </w:instrText>
      </w:r>
      <w:r>
        <w:rPr>
          <w:rFonts w:hint="eastAsia" w:ascii="仿宋" w:hAnsi="仿宋" w:eastAsia="仿宋" w:cs="仿宋"/>
          <w:bCs/>
          <w:kern w:val="2"/>
          <w:szCs w:val="32"/>
          <w:lang w:val="en-US" w:eastAsia="zh-CN" w:bidi="ar-SA"/>
        </w:rPr>
        <w:fldChar w:fldCharType="separate"/>
      </w:r>
      <w:r>
        <w:rPr>
          <w:rFonts w:ascii="黑体" w:hAnsi="黑体" w:eastAsia="黑体" w:cs="黑体"/>
          <w:spacing w:val="0"/>
        </w:rPr>
        <w:t>七、一般公共预算拨款“三公”经费支出决算情况说明</w:t>
      </w:r>
      <w:r>
        <w:tab/>
      </w:r>
      <w:r>
        <w:fldChar w:fldCharType="begin"/>
      </w:r>
      <w:r>
        <w:instrText xml:space="preserve"> PAGEREF _Toc29960 \h </w:instrText>
      </w:r>
      <w:r>
        <w:fldChar w:fldCharType="separate"/>
      </w:r>
      <w:r>
        <w:t>20</w:t>
      </w:r>
      <w:r>
        <w:fldChar w:fldCharType="end"/>
      </w:r>
      <w:r>
        <w:rPr>
          <w:rFonts w:hint="eastAsia" w:ascii="仿宋" w:hAnsi="仿宋" w:eastAsia="仿宋" w:cs="仿宋"/>
          <w:bCs/>
          <w:kern w:val="2"/>
          <w:szCs w:val="32"/>
          <w:lang w:val="en-US" w:eastAsia="zh-CN" w:bidi="ar-SA"/>
        </w:rPr>
        <w:fldChar w:fldCharType="end"/>
      </w:r>
    </w:p>
    <w:p>
      <w:pPr>
        <w:pStyle w:val="12"/>
        <w:tabs>
          <w:tab w:val="right" w:leader="dot" w:pos="9026"/>
        </w:tabs>
        <w:spacing w:line="360" w:lineRule="auto"/>
        <w:ind w:left="0" w:leftChars="0" w:firstLine="640" w:firstLineChars="200"/>
        <w:jc w:val="center"/>
      </w:pPr>
      <w:r>
        <w:rPr>
          <w:rFonts w:hint="eastAsia" w:ascii="仿宋" w:hAnsi="仿宋" w:eastAsia="仿宋" w:cs="仿宋"/>
          <w:bCs/>
          <w:kern w:val="2"/>
          <w:szCs w:val="32"/>
          <w:lang w:val="en-US" w:eastAsia="zh-CN" w:bidi="ar-SA"/>
        </w:rPr>
        <w:fldChar w:fldCharType="begin"/>
      </w:r>
      <w:r>
        <w:rPr>
          <w:rFonts w:hint="eastAsia" w:ascii="仿宋" w:hAnsi="仿宋" w:eastAsia="仿宋" w:cs="仿宋"/>
          <w:bCs/>
          <w:kern w:val="2"/>
          <w:szCs w:val="32"/>
          <w:lang w:val="en-US" w:eastAsia="zh-CN" w:bidi="ar-SA"/>
        </w:rPr>
        <w:instrText xml:space="preserve"> HYPERLINK \l _Toc7530 </w:instrText>
      </w:r>
      <w:r>
        <w:rPr>
          <w:rFonts w:hint="eastAsia" w:ascii="仿宋" w:hAnsi="仿宋" w:eastAsia="仿宋" w:cs="仿宋"/>
          <w:bCs/>
          <w:kern w:val="2"/>
          <w:szCs w:val="32"/>
          <w:lang w:val="en-US" w:eastAsia="zh-CN" w:bidi="ar-SA"/>
        </w:rPr>
        <w:fldChar w:fldCharType="separate"/>
      </w:r>
      <w:r>
        <w:rPr>
          <w:rFonts w:ascii="黑体" w:hAnsi="黑体" w:eastAsia="黑体" w:cs="黑体"/>
          <w:spacing w:val="0"/>
        </w:rPr>
        <w:t>八、预算绩效情况说明</w:t>
      </w:r>
      <w:r>
        <w:tab/>
      </w:r>
      <w:r>
        <w:fldChar w:fldCharType="begin"/>
      </w:r>
      <w:r>
        <w:instrText xml:space="preserve"> PAGEREF _Toc7530 \h </w:instrText>
      </w:r>
      <w:r>
        <w:fldChar w:fldCharType="separate"/>
      </w:r>
      <w:r>
        <w:t>21</w:t>
      </w:r>
      <w:r>
        <w:fldChar w:fldCharType="end"/>
      </w:r>
      <w:r>
        <w:rPr>
          <w:rFonts w:hint="eastAsia" w:ascii="仿宋" w:hAnsi="仿宋" w:eastAsia="仿宋" w:cs="仿宋"/>
          <w:bCs/>
          <w:kern w:val="2"/>
          <w:szCs w:val="32"/>
          <w:lang w:val="en-US" w:eastAsia="zh-CN" w:bidi="ar-SA"/>
        </w:rPr>
        <w:fldChar w:fldCharType="end"/>
      </w:r>
    </w:p>
    <w:p>
      <w:pPr>
        <w:pStyle w:val="12"/>
        <w:tabs>
          <w:tab w:val="right" w:leader="dot" w:pos="9026"/>
        </w:tabs>
        <w:spacing w:line="360" w:lineRule="auto"/>
        <w:ind w:left="0" w:leftChars="0" w:firstLine="640" w:firstLineChars="200"/>
        <w:jc w:val="center"/>
      </w:pPr>
      <w:r>
        <w:rPr>
          <w:rFonts w:hint="eastAsia" w:ascii="仿宋" w:hAnsi="仿宋" w:eastAsia="仿宋" w:cs="仿宋"/>
          <w:bCs/>
          <w:kern w:val="2"/>
          <w:szCs w:val="32"/>
          <w:lang w:val="en-US" w:eastAsia="zh-CN" w:bidi="ar-SA"/>
        </w:rPr>
        <w:fldChar w:fldCharType="begin"/>
      </w:r>
      <w:r>
        <w:rPr>
          <w:rFonts w:hint="eastAsia" w:ascii="仿宋" w:hAnsi="仿宋" w:eastAsia="仿宋" w:cs="仿宋"/>
          <w:bCs/>
          <w:kern w:val="2"/>
          <w:szCs w:val="32"/>
          <w:lang w:val="en-US" w:eastAsia="zh-CN" w:bidi="ar-SA"/>
        </w:rPr>
        <w:instrText xml:space="preserve"> HYPERLINK \l _Toc32131 </w:instrText>
      </w:r>
      <w:r>
        <w:rPr>
          <w:rFonts w:hint="eastAsia" w:ascii="仿宋" w:hAnsi="仿宋" w:eastAsia="仿宋" w:cs="仿宋"/>
          <w:bCs/>
          <w:kern w:val="2"/>
          <w:szCs w:val="32"/>
          <w:lang w:val="en-US" w:eastAsia="zh-CN" w:bidi="ar-SA"/>
        </w:rPr>
        <w:fldChar w:fldCharType="separate"/>
      </w:r>
      <w:r>
        <w:rPr>
          <w:rFonts w:ascii="黑体" w:hAnsi="黑体" w:eastAsia="黑体" w:cs="黑体"/>
          <w:spacing w:val="0"/>
        </w:rPr>
        <w:t>九、其他重要事项说明</w:t>
      </w:r>
      <w:r>
        <w:tab/>
      </w:r>
      <w:r>
        <w:fldChar w:fldCharType="begin"/>
      </w:r>
      <w:r>
        <w:instrText xml:space="preserve"> PAGEREF _Toc32131 \h </w:instrText>
      </w:r>
      <w:r>
        <w:fldChar w:fldCharType="separate"/>
      </w:r>
      <w:r>
        <w:t>22</w:t>
      </w:r>
      <w:r>
        <w:fldChar w:fldCharType="end"/>
      </w:r>
      <w:r>
        <w:rPr>
          <w:rFonts w:hint="eastAsia" w:ascii="仿宋" w:hAnsi="仿宋" w:eastAsia="仿宋" w:cs="仿宋"/>
          <w:bCs/>
          <w:kern w:val="2"/>
          <w:szCs w:val="32"/>
          <w:lang w:val="en-US" w:eastAsia="zh-CN" w:bidi="ar-SA"/>
        </w:rPr>
        <w:fldChar w:fldCharType="end"/>
      </w:r>
    </w:p>
    <w:p>
      <w:pPr>
        <w:pStyle w:val="19"/>
        <w:tabs>
          <w:tab w:val="right" w:leader="dot" w:pos="9026"/>
        </w:tabs>
        <w:spacing w:line="360" w:lineRule="auto"/>
        <w:ind w:left="0" w:leftChars="0" w:firstLine="0" w:firstLineChars="0"/>
        <w:jc w:val="center"/>
        <w:rPr>
          <w:rFonts w:hint="default"/>
          <w:lang w:val="en-US"/>
        </w:rPr>
      </w:pPr>
      <w:r>
        <w:rPr>
          <w:rFonts w:hint="eastAsia" w:ascii="仿宋" w:hAnsi="仿宋" w:eastAsia="仿宋" w:cs="仿宋"/>
          <w:bCs/>
          <w:kern w:val="2"/>
          <w:szCs w:val="32"/>
          <w:lang w:val="en-US" w:eastAsia="zh-CN" w:bidi="ar-SA"/>
        </w:rPr>
        <w:fldChar w:fldCharType="begin"/>
      </w:r>
      <w:r>
        <w:rPr>
          <w:rFonts w:hint="eastAsia" w:ascii="仿宋" w:hAnsi="仿宋" w:eastAsia="仿宋" w:cs="仿宋"/>
          <w:bCs/>
          <w:kern w:val="2"/>
          <w:szCs w:val="32"/>
          <w:lang w:val="en-US" w:eastAsia="zh-CN" w:bidi="ar-SA"/>
        </w:rPr>
        <w:instrText xml:space="preserve"> HYPERLINK \l _Toc2738 </w:instrText>
      </w:r>
      <w:r>
        <w:rPr>
          <w:rFonts w:hint="eastAsia" w:ascii="仿宋" w:hAnsi="仿宋" w:eastAsia="仿宋" w:cs="仿宋"/>
          <w:bCs/>
          <w:kern w:val="2"/>
          <w:szCs w:val="32"/>
          <w:lang w:val="en-US" w:eastAsia="zh-CN" w:bidi="ar-SA"/>
        </w:rPr>
        <w:fldChar w:fldCharType="separate"/>
      </w:r>
      <w:r>
        <w:rPr>
          <w:rFonts w:ascii="黑体" w:hAnsi="黑体" w:eastAsia="黑体" w:cs="黑体"/>
          <w:spacing w:val="0"/>
          <w:szCs w:val="56"/>
        </w:rPr>
        <w:t>第四部分</w:t>
      </w:r>
      <w:r>
        <w:tab/>
      </w:r>
      <w:r>
        <w:rPr>
          <w:rFonts w:hint="eastAsia"/>
          <w:lang w:val="en-US" w:eastAsia="zh-CN"/>
        </w:rPr>
        <w:t>2</w:t>
      </w:r>
      <w:r>
        <w:rPr>
          <w:rFonts w:hint="eastAsia" w:ascii="仿宋" w:hAnsi="仿宋" w:eastAsia="仿宋" w:cs="仿宋"/>
          <w:bCs/>
          <w:kern w:val="2"/>
          <w:szCs w:val="32"/>
          <w:lang w:val="en-US" w:eastAsia="zh-CN" w:bidi="ar-SA"/>
        </w:rPr>
        <w:fldChar w:fldCharType="end"/>
      </w:r>
      <w:r>
        <w:rPr>
          <w:rFonts w:hint="eastAsia" w:ascii="仿宋" w:hAnsi="仿宋" w:cs="仿宋"/>
          <w:bCs/>
          <w:kern w:val="2"/>
          <w:szCs w:val="32"/>
          <w:lang w:val="en-US" w:eastAsia="zh-CN" w:bidi="ar-SA"/>
        </w:rPr>
        <w:t>3</w:t>
      </w:r>
    </w:p>
    <w:p>
      <w:pPr>
        <w:pStyle w:val="19"/>
        <w:tabs>
          <w:tab w:val="right" w:leader="dot" w:pos="9026"/>
        </w:tabs>
        <w:spacing w:line="360" w:lineRule="auto"/>
        <w:ind w:left="0" w:leftChars="0" w:firstLine="0" w:firstLineChars="0"/>
        <w:jc w:val="center"/>
        <w:rPr>
          <w:rFonts w:hint="default"/>
          <w:lang w:val="en-US"/>
        </w:rPr>
      </w:pPr>
      <w:r>
        <w:rPr>
          <w:rFonts w:hint="eastAsia" w:ascii="仿宋" w:hAnsi="仿宋" w:eastAsia="仿宋" w:cs="仿宋"/>
          <w:bCs/>
          <w:kern w:val="2"/>
          <w:szCs w:val="32"/>
          <w:lang w:val="en-US" w:eastAsia="zh-CN" w:bidi="ar-SA"/>
        </w:rPr>
        <w:fldChar w:fldCharType="begin"/>
      </w:r>
      <w:r>
        <w:rPr>
          <w:rFonts w:hint="eastAsia" w:ascii="仿宋" w:hAnsi="仿宋" w:eastAsia="仿宋" w:cs="仿宋"/>
          <w:bCs/>
          <w:kern w:val="2"/>
          <w:szCs w:val="32"/>
          <w:lang w:val="en-US" w:eastAsia="zh-CN" w:bidi="ar-SA"/>
        </w:rPr>
        <w:instrText xml:space="preserve"> HYPERLINK \l _Toc28453 </w:instrText>
      </w:r>
      <w:r>
        <w:rPr>
          <w:rFonts w:hint="eastAsia" w:ascii="仿宋" w:hAnsi="仿宋" w:eastAsia="仿宋" w:cs="仿宋"/>
          <w:bCs/>
          <w:kern w:val="2"/>
          <w:szCs w:val="32"/>
          <w:lang w:val="en-US" w:eastAsia="zh-CN" w:bidi="ar-SA"/>
        </w:rPr>
        <w:fldChar w:fldCharType="separate"/>
      </w:r>
      <w:r>
        <w:rPr>
          <w:rFonts w:ascii="黑体" w:hAnsi="黑体" w:eastAsia="黑体" w:cs="黑体"/>
          <w:spacing w:val="0"/>
          <w:szCs w:val="56"/>
        </w:rPr>
        <w:t>名词解释</w:t>
      </w:r>
      <w:r>
        <w:tab/>
      </w:r>
      <w:r>
        <w:rPr>
          <w:rFonts w:hint="eastAsia"/>
          <w:lang w:val="en-US" w:eastAsia="zh-CN"/>
        </w:rPr>
        <w:t>2</w:t>
      </w:r>
      <w:r>
        <w:rPr>
          <w:rFonts w:hint="eastAsia" w:ascii="仿宋" w:hAnsi="仿宋" w:eastAsia="仿宋" w:cs="仿宋"/>
          <w:bCs/>
          <w:kern w:val="2"/>
          <w:szCs w:val="32"/>
          <w:lang w:val="en-US" w:eastAsia="zh-CN" w:bidi="ar-SA"/>
        </w:rPr>
        <w:fldChar w:fldCharType="end"/>
      </w:r>
      <w:r>
        <w:rPr>
          <w:rFonts w:hint="eastAsia" w:ascii="仿宋" w:hAnsi="仿宋" w:cs="仿宋"/>
          <w:bCs/>
          <w:kern w:val="2"/>
          <w:szCs w:val="32"/>
          <w:lang w:val="en-US" w:eastAsia="zh-CN" w:bidi="ar-SA"/>
        </w:rPr>
        <w:t>3</w:t>
      </w:r>
    </w:p>
    <w:p>
      <w:pPr>
        <w:pStyle w:val="19"/>
        <w:tabs>
          <w:tab w:val="right" w:leader="dot" w:pos="9026"/>
        </w:tabs>
        <w:spacing w:line="360" w:lineRule="auto"/>
        <w:ind w:left="0" w:leftChars="0" w:firstLine="0" w:firstLineChars="0"/>
        <w:jc w:val="center"/>
        <w:rPr>
          <w:rFonts w:hint="default"/>
          <w:lang w:val="en-US"/>
        </w:rPr>
      </w:pPr>
      <w:r>
        <w:rPr>
          <w:rFonts w:hint="eastAsia" w:ascii="仿宋" w:hAnsi="仿宋" w:eastAsia="仿宋" w:cs="仿宋"/>
          <w:bCs/>
          <w:kern w:val="2"/>
          <w:szCs w:val="32"/>
          <w:lang w:val="en-US" w:eastAsia="zh-CN" w:bidi="ar-SA"/>
        </w:rPr>
        <w:fldChar w:fldCharType="begin"/>
      </w:r>
      <w:r>
        <w:rPr>
          <w:rFonts w:hint="eastAsia" w:ascii="仿宋" w:hAnsi="仿宋" w:eastAsia="仿宋" w:cs="仿宋"/>
          <w:bCs/>
          <w:kern w:val="2"/>
          <w:szCs w:val="32"/>
          <w:lang w:val="en-US" w:eastAsia="zh-CN" w:bidi="ar-SA"/>
        </w:rPr>
        <w:instrText xml:space="preserve"> HYPERLINK \l _Toc8313 </w:instrText>
      </w:r>
      <w:r>
        <w:rPr>
          <w:rFonts w:hint="eastAsia" w:ascii="仿宋" w:hAnsi="仿宋" w:eastAsia="仿宋" w:cs="仿宋"/>
          <w:bCs/>
          <w:kern w:val="2"/>
          <w:szCs w:val="32"/>
          <w:lang w:val="en-US" w:eastAsia="zh-CN" w:bidi="ar-SA"/>
        </w:rPr>
        <w:fldChar w:fldCharType="separate"/>
      </w:r>
      <w:r>
        <w:rPr>
          <w:rFonts w:ascii="黑体" w:hAnsi="黑体" w:eastAsia="黑体" w:cs="黑体"/>
          <w:szCs w:val="56"/>
        </w:rPr>
        <w:t>第五部分</w:t>
      </w:r>
      <w:r>
        <w:tab/>
      </w:r>
      <w:r>
        <w:rPr>
          <w:rFonts w:hint="eastAsia"/>
          <w:lang w:val="en-US" w:eastAsia="zh-CN"/>
        </w:rPr>
        <w:t>2</w:t>
      </w:r>
      <w:r>
        <w:rPr>
          <w:rFonts w:hint="eastAsia" w:ascii="仿宋" w:hAnsi="仿宋" w:eastAsia="仿宋" w:cs="仿宋"/>
          <w:bCs/>
          <w:kern w:val="2"/>
          <w:szCs w:val="32"/>
          <w:lang w:val="en-US" w:eastAsia="zh-CN" w:bidi="ar-SA"/>
        </w:rPr>
        <w:fldChar w:fldCharType="end"/>
      </w:r>
      <w:r>
        <w:rPr>
          <w:rFonts w:hint="eastAsia" w:ascii="仿宋" w:hAnsi="仿宋" w:cs="仿宋"/>
          <w:bCs/>
          <w:kern w:val="2"/>
          <w:szCs w:val="32"/>
          <w:lang w:val="en-US" w:eastAsia="zh-CN" w:bidi="ar-SA"/>
        </w:rPr>
        <w:t>5</w:t>
      </w:r>
    </w:p>
    <w:p>
      <w:pPr>
        <w:pStyle w:val="19"/>
        <w:tabs>
          <w:tab w:val="right" w:leader="dot" w:pos="9026"/>
        </w:tabs>
        <w:spacing w:line="360" w:lineRule="auto"/>
        <w:ind w:left="0" w:leftChars="0" w:firstLine="0" w:firstLineChars="0"/>
        <w:jc w:val="center"/>
        <w:rPr>
          <w:rFonts w:hint="default"/>
          <w:lang w:val="en-US"/>
        </w:rPr>
      </w:pPr>
      <w:r>
        <w:rPr>
          <w:rFonts w:hint="eastAsia" w:ascii="仿宋" w:hAnsi="仿宋" w:eastAsia="仿宋" w:cs="仿宋"/>
          <w:bCs/>
          <w:kern w:val="2"/>
          <w:szCs w:val="32"/>
          <w:lang w:val="en-US" w:eastAsia="zh-CN" w:bidi="ar-SA"/>
        </w:rPr>
        <w:fldChar w:fldCharType="begin"/>
      </w:r>
      <w:r>
        <w:rPr>
          <w:rFonts w:hint="eastAsia" w:ascii="仿宋" w:hAnsi="仿宋" w:eastAsia="仿宋" w:cs="仿宋"/>
          <w:bCs/>
          <w:kern w:val="2"/>
          <w:szCs w:val="32"/>
          <w:lang w:val="en-US" w:eastAsia="zh-CN" w:bidi="ar-SA"/>
        </w:rPr>
        <w:instrText xml:space="preserve"> HYPERLINK \l _Toc10340 </w:instrText>
      </w:r>
      <w:r>
        <w:rPr>
          <w:rFonts w:hint="eastAsia" w:ascii="仿宋" w:hAnsi="仿宋" w:eastAsia="仿宋" w:cs="仿宋"/>
          <w:bCs/>
          <w:kern w:val="2"/>
          <w:szCs w:val="32"/>
          <w:lang w:val="en-US" w:eastAsia="zh-CN" w:bidi="ar-SA"/>
        </w:rPr>
        <w:fldChar w:fldCharType="separate"/>
      </w:r>
      <w:r>
        <w:rPr>
          <w:rFonts w:ascii="黑体" w:hAnsi="黑体" w:eastAsia="黑体" w:cs="黑体"/>
          <w:szCs w:val="56"/>
        </w:rPr>
        <w:t>附件</w:t>
      </w:r>
      <w:r>
        <w:tab/>
      </w:r>
      <w:r>
        <w:rPr>
          <w:rFonts w:hint="eastAsia"/>
          <w:lang w:val="en-US" w:eastAsia="zh-CN"/>
        </w:rPr>
        <w:t>2</w:t>
      </w:r>
      <w:r>
        <w:rPr>
          <w:rFonts w:hint="eastAsia" w:ascii="仿宋" w:hAnsi="仿宋" w:eastAsia="仿宋" w:cs="仿宋"/>
          <w:bCs/>
          <w:kern w:val="2"/>
          <w:szCs w:val="32"/>
          <w:lang w:val="en-US" w:eastAsia="zh-CN" w:bidi="ar-SA"/>
        </w:rPr>
        <w:fldChar w:fldCharType="end"/>
      </w:r>
      <w:r>
        <w:rPr>
          <w:rFonts w:hint="eastAsia" w:ascii="仿宋" w:hAnsi="仿宋" w:cs="仿宋"/>
          <w:bCs/>
          <w:kern w:val="2"/>
          <w:szCs w:val="32"/>
          <w:lang w:val="en-US" w:eastAsia="zh-CN" w:bidi="ar-SA"/>
        </w:rPr>
        <w:t>5</w:t>
      </w:r>
    </w:p>
    <w:p>
      <w:pPr>
        <w:adjustRightInd w:val="0"/>
        <w:snapToGrid w:val="0"/>
        <w:spacing w:line="360" w:lineRule="auto"/>
        <w:rPr>
          <w:rFonts w:hint="eastAsia" w:ascii="仿宋" w:hAnsi="仿宋" w:eastAsia="仿宋" w:cs="仿宋"/>
          <w:b w:val="0"/>
          <w:bCs/>
          <w:kern w:val="2"/>
          <w:sz w:val="32"/>
          <w:szCs w:val="32"/>
          <w:lang w:val="en-US" w:eastAsia="zh-CN" w:bidi="ar-SA"/>
        </w:rPr>
        <w:sectPr>
          <w:footerReference r:id="rId4" w:type="default"/>
          <w:pgSz w:w="11906" w:h="16838"/>
          <w:pgMar w:top="1440" w:right="1100" w:bottom="1440" w:left="1083" w:header="720" w:footer="720" w:gutter="0"/>
          <w:cols w:space="0" w:num="1"/>
          <w:rtlGutter w:val="0"/>
          <w:docGrid w:linePitch="317" w:charSpace="0"/>
        </w:sectPr>
      </w:pPr>
      <w:r>
        <w:rPr>
          <w:rFonts w:hint="eastAsia" w:ascii="仿宋" w:hAnsi="仿宋" w:eastAsia="仿宋" w:cs="仿宋"/>
          <w:bCs/>
          <w:kern w:val="2"/>
          <w:szCs w:val="32"/>
          <w:lang w:val="en-US" w:eastAsia="zh-CN" w:bidi="ar-SA"/>
        </w:rPr>
        <w:fldChar w:fldCharType="end"/>
      </w:r>
    </w:p>
    <w:p>
      <w:pPr>
        <w:pStyle w:val="6"/>
        <w:spacing w:before="100" w:after="100" w:line="360" w:lineRule="auto"/>
        <w:ind w:left="0" w:leftChars="0" w:right="0" w:firstLine="0" w:firstLineChars="0"/>
        <w:jc w:val="center"/>
        <w:rPr>
          <w:rFonts w:ascii="黑体" w:hAnsi="黑体" w:eastAsia="黑体" w:cs="黑体"/>
          <w:b/>
          <w:spacing w:val="0"/>
        </w:rPr>
      </w:pPr>
      <w:bookmarkStart w:id="0" w:name="_Toc256000000"/>
      <w:bookmarkStart w:id="1" w:name="_Toc256000031"/>
      <w:bookmarkStart w:id="2" w:name="_Toc256000062"/>
      <w:bookmarkStart w:id="3" w:name="_Toc256000093"/>
      <w:bookmarkStart w:id="4" w:name="_Toc7709"/>
      <w:bookmarkStart w:id="5" w:name="a000"/>
      <w:r>
        <w:rPr>
          <w:rFonts w:ascii="黑体" w:hAnsi="黑体" w:eastAsia="黑体" w:cs="黑体"/>
          <w:kern w:val="0"/>
          <w:sz w:val="36"/>
          <w:szCs w:val="36"/>
        </w:rPr>
        <w:t>第一部分</w:t>
      </w:r>
      <w:bookmarkEnd w:id="0"/>
      <w:bookmarkEnd w:id="1"/>
      <w:bookmarkEnd w:id="2"/>
      <w:bookmarkEnd w:id="3"/>
      <w:bookmarkStart w:id="6" w:name="_Toc256000094"/>
      <w:bookmarkStart w:id="7" w:name="_Toc256000001"/>
      <w:bookmarkStart w:id="8" w:name="_Toc256000032"/>
      <w:bookmarkStart w:id="9" w:name="_Toc256000063"/>
      <w:r>
        <w:rPr>
          <w:rFonts w:hint="eastAsia" w:ascii="黑体" w:hAnsi="黑体" w:eastAsia="黑体" w:cs="黑体"/>
          <w:kern w:val="0"/>
          <w:sz w:val="36"/>
          <w:szCs w:val="36"/>
          <w:lang w:val="en-US" w:eastAsia="zh-CN"/>
        </w:rPr>
        <w:t xml:space="preserve">  </w:t>
      </w:r>
      <w:r>
        <w:rPr>
          <w:rFonts w:ascii="黑体" w:hAnsi="黑体" w:eastAsia="黑体" w:cs="黑体"/>
          <w:kern w:val="0"/>
          <w:sz w:val="36"/>
          <w:szCs w:val="36"/>
        </w:rPr>
        <w:t>单位概况</w:t>
      </w:r>
      <w:bookmarkEnd w:id="6"/>
      <w:bookmarkEnd w:id="7"/>
      <w:bookmarkEnd w:id="8"/>
      <w:bookmarkEnd w:id="9"/>
    </w:p>
    <w:p>
      <w:pPr>
        <w:pStyle w:val="6"/>
        <w:spacing w:before="100" w:after="100" w:line="360" w:lineRule="auto"/>
        <w:ind w:left="0" w:right="0" w:firstLine="643" w:firstLineChars="200"/>
        <w:rPr>
          <w:rFonts w:ascii="Times New Roman" w:hAnsi="Times New Roman" w:eastAsia="Times New Roman" w:cs="Times New Roman"/>
          <w:b/>
          <w:bCs/>
          <w:kern w:val="0"/>
          <w:sz w:val="28"/>
          <w:szCs w:val="28"/>
        </w:rPr>
      </w:pPr>
      <w:r>
        <w:rPr>
          <w:rFonts w:ascii="黑体" w:hAnsi="黑体" w:eastAsia="黑体" w:cs="黑体"/>
          <w:b/>
          <w:spacing w:val="0"/>
        </w:rPr>
        <w:t xml:space="preserve"> </w:t>
      </w:r>
      <w:bookmarkStart w:id="10" w:name="_Toc256000064"/>
      <w:bookmarkStart w:id="11" w:name="_Toc256000002"/>
      <w:bookmarkStart w:id="12" w:name="_Toc256000033"/>
      <w:r>
        <w:rPr>
          <w:rFonts w:ascii="黑体" w:hAnsi="黑体" w:eastAsia="黑体" w:cs="黑体"/>
          <w:b w:val="0"/>
          <w:bCs w:val="0"/>
          <w:spacing w:val="0"/>
        </w:rPr>
        <w:t>一、单位主要职责</w:t>
      </w:r>
      <w:bookmarkEnd w:id="4"/>
      <w:bookmarkEnd w:id="10"/>
      <w:bookmarkEnd w:id="11"/>
      <w:bookmarkEnd w:id="12"/>
    </w:p>
    <w:p>
      <w:pPr>
        <w:pStyle w:val="26"/>
        <w:widowControl/>
        <w:spacing w:before="100" w:after="100" w:line="360" w:lineRule="auto"/>
        <w:ind w:left="0" w:right="0" w:firstLine="640"/>
        <w:jc w:val="left"/>
        <w:rPr>
          <w:rFonts w:ascii="仿宋" w:hAnsi="仿宋" w:eastAsia="仿宋" w:cs="仿宋"/>
          <w:spacing w:val="0"/>
          <w:kern w:val="0"/>
          <w:sz w:val="32"/>
          <w:szCs w:val="32"/>
        </w:rPr>
      </w:pPr>
      <w:r>
        <w:rPr>
          <w:rFonts w:ascii="仿宋" w:hAnsi="仿宋" w:eastAsia="仿宋" w:cs="仿宋"/>
          <w:spacing w:val="0"/>
          <w:kern w:val="0"/>
          <w:sz w:val="32"/>
          <w:szCs w:val="32"/>
        </w:rPr>
        <w:t>厦门市湖里中心小学单位的主要职责是：</w:t>
      </w:r>
    </w:p>
    <w:p>
      <w:pPr>
        <w:pStyle w:val="26"/>
        <w:widowControl/>
        <w:spacing w:before="100" w:after="100" w:line="360" w:lineRule="auto"/>
        <w:ind w:left="0" w:right="0" w:firstLine="640"/>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（一）全面贯彻教育方针，不断改善办学条件，努力提高队伍素质；面向全体学生，发展学生个性，全面提高学生素质，培养德智体美劳全面发展的接班人。</w:t>
      </w:r>
    </w:p>
    <w:p>
      <w:pPr>
        <w:pStyle w:val="26"/>
        <w:widowControl/>
        <w:spacing w:before="100" w:after="100" w:line="360" w:lineRule="auto"/>
        <w:ind w:left="0" w:right="0" w:firstLine="640"/>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（二）为谋划师生的发展之道，学校在秉承“让每个生命绽放光彩”的办学理念的基础上，明确了办学主张——“美•真”教育，并确立了三风一训。全面推进素质教育，努力创建特色学校。</w:t>
      </w:r>
    </w:p>
    <w:p>
      <w:pPr>
        <w:pStyle w:val="26"/>
        <w:widowControl/>
        <w:spacing w:before="100" w:after="100" w:line="360" w:lineRule="auto"/>
        <w:ind w:left="0" w:right="0" w:firstLine="640"/>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（三）面向全体，全面育人，和谐发展，让学生成才，让教师成功，让家长放心，让社会满意。</w:t>
      </w:r>
    </w:p>
    <w:p>
      <w:pPr>
        <w:pStyle w:val="6"/>
        <w:spacing w:before="100" w:after="100" w:line="360" w:lineRule="auto"/>
        <w:ind w:left="0" w:right="0" w:firstLine="640" w:firstLineChars="0"/>
        <w:rPr>
          <w:rFonts w:ascii="Times New Roman" w:hAnsi="Times New Roman" w:eastAsia="Times New Roman" w:cs="Times New Roman"/>
          <w:b/>
          <w:bCs/>
          <w:kern w:val="0"/>
          <w:sz w:val="28"/>
          <w:szCs w:val="28"/>
        </w:rPr>
      </w:pPr>
      <w:bookmarkStart w:id="13" w:name="_Toc19218"/>
      <w:bookmarkStart w:id="14" w:name="_Toc256000065"/>
      <w:bookmarkStart w:id="15" w:name="_Toc256000034"/>
      <w:bookmarkStart w:id="16" w:name="_Toc256000003"/>
      <w:r>
        <w:rPr>
          <w:rFonts w:ascii="黑体" w:hAnsi="黑体" w:eastAsia="黑体" w:cs="黑体"/>
          <w:b w:val="0"/>
          <w:bCs w:val="0"/>
          <w:spacing w:val="0"/>
        </w:rPr>
        <w:t>二、单位基本情况</w:t>
      </w:r>
      <w:bookmarkEnd w:id="13"/>
      <w:bookmarkEnd w:id="14"/>
      <w:bookmarkEnd w:id="15"/>
      <w:bookmarkEnd w:id="16"/>
    </w:p>
    <w:p>
      <w:pPr>
        <w:pStyle w:val="26"/>
        <w:widowControl/>
        <w:spacing w:before="100" w:after="100" w:line="360" w:lineRule="auto"/>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从决算单位构成看，本单位包括</w:t>
      </w:r>
      <w:r>
        <w:rPr>
          <w:rFonts w:hint="eastAsia" w:ascii="仿宋" w:hAnsi="仿宋" w:eastAsia="仿宋" w:cs="仿宋"/>
          <w:spacing w:val="0"/>
          <w:kern w:val="0"/>
          <w:sz w:val="32"/>
          <w:szCs w:val="32"/>
          <w:lang w:val="en-US" w:eastAsia="zh-CN"/>
        </w:rPr>
        <w:t>4</w:t>
      </w:r>
      <w:r>
        <w:rPr>
          <w:rFonts w:ascii="仿宋" w:hAnsi="仿宋" w:eastAsia="仿宋" w:cs="仿宋"/>
          <w:spacing w:val="0"/>
          <w:kern w:val="0"/>
          <w:sz w:val="32"/>
          <w:szCs w:val="32"/>
        </w:rPr>
        <w:t>个内设机构，其中：列入2024年决算编制范围的单位详细情况见下表:</w:t>
      </w:r>
    </w:p>
    <w:tbl>
      <w:tblPr>
        <w:tblStyle w:val="24"/>
        <w:tblW w:w="8859"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2590"/>
        <w:gridCol w:w="6269"/>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rHeight w:val="454" w:hRule="atLeast"/>
          <w:tblHeader/>
          <w:jc w:val="center"/>
        </w:trPr>
        <w:tc>
          <w:tcPr>
            <w:tcW w:w="2590" w:type="dxa"/>
            <w:tcBorders>
              <w:bottom w:val="single" w:color="auto" w:sz="4" w:space="0"/>
              <w:right w:val="inset" w:color="808080" w:sz="6" w:space="0"/>
            </w:tcBorders>
            <w:tcMar>
              <w:top w:w="22" w:type="dxa"/>
              <w:left w:w="22" w:type="dxa"/>
              <w:bottom w:w="22" w:type="dxa"/>
              <w:right w:w="22" w:type="dxa"/>
            </w:tcMar>
            <w:vAlign w:val="center"/>
          </w:tcPr>
          <w:p>
            <w:pPr>
              <w:widowControl/>
              <w:ind w:firstLine="640"/>
              <w:jc w:val="center"/>
              <w:rPr>
                <w:rFonts w:ascii="仿宋" w:hAnsi="仿宋" w:eastAsia="仿宋" w:cs="仿宋"/>
                <w:b w:val="0"/>
                <w:bCs w:val="0"/>
                <w:i w:val="0"/>
                <w:iCs w:val="0"/>
                <w:smallCaps w:val="0"/>
                <w:color w:val="000000"/>
                <w:spacing w:val="0"/>
                <w:kern w:val="0"/>
                <w:sz w:val="32"/>
                <w:szCs w:val="32"/>
              </w:rPr>
            </w:pPr>
            <w:r>
              <w:rPr>
                <w:rFonts w:ascii="仿宋" w:hAnsi="仿宋" w:eastAsia="仿宋" w:cs="仿宋"/>
                <w:b w:val="0"/>
                <w:bCs w:val="0"/>
                <w:i w:val="0"/>
                <w:iCs w:val="0"/>
                <w:smallCaps w:val="0"/>
                <w:color w:val="000000"/>
                <w:spacing w:val="0"/>
                <w:kern w:val="0"/>
                <w:sz w:val="32"/>
                <w:szCs w:val="32"/>
              </w:rPr>
              <w:t>序号</w:t>
            </w:r>
          </w:p>
        </w:tc>
        <w:tc>
          <w:tcPr>
            <w:tcW w:w="6269" w:type="dxa"/>
            <w:tcBorders>
              <w:left w:val="inset" w:color="808080" w:sz="6" w:space="0"/>
              <w:bottom w:val="single" w:color="auto" w:sz="4" w:space="0"/>
            </w:tcBorders>
            <w:tcMar>
              <w:top w:w="22" w:type="dxa"/>
              <w:left w:w="22" w:type="dxa"/>
              <w:bottom w:w="22" w:type="dxa"/>
              <w:right w:w="22" w:type="dxa"/>
            </w:tcMar>
            <w:vAlign w:val="center"/>
          </w:tcPr>
          <w:p>
            <w:pPr>
              <w:widowControl/>
              <w:ind w:firstLine="640"/>
              <w:jc w:val="center"/>
              <w:rPr>
                <w:rFonts w:ascii="仿宋" w:hAnsi="仿宋" w:eastAsia="仿宋" w:cs="仿宋"/>
                <w:b w:val="0"/>
                <w:bCs w:val="0"/>
                <w:i w:val="0"/>
                <w:iCs w:val="0"/>
                <w:smallCaps w:val="0"/>
                <w:color w:val="000000"/>
                <w:spacing w:val="0"/>
                <w:kern w:val="0"/>
                <w:sz w:val="32"/>
                <w:szCs w:val="32"/>
              </w:rPr>
            </w:pPr>
            <w:r>
              <w:rPr>
                <w:rFonts w:ascii="仿宋" w:hAnsi="仿宋" w:eastAsia="仿宋" w:cs="仿宋"/>
                <w:b w:val="0"/>
                <w:bCs w:val="0"/>
                <w:i w:val="0"/>
                <w:iCs w:val="0"/>
                <w:smallCaps w:val="0"/>
                <w:color w:val="000000"/>
                <w:spacing w:val="0"/>
                <w:kern w:val="0"/>
                <w:sz w:val="32"/>
                <w:szCs w:val="32"/>
              </w:rPr>
              <w:t>单位名称</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rHeight w:val="454" w:hRule="atLeast"/>
          <w:tblHeader/>
          <w:jc w:val="center"/>
        </w:trPr>
        <w:tc>
          <w:tcPr>
            <w:tcW w:w="2590" w:type="dxa"/>
            <w:tcBorders>
              <w:top w:val="single" w:color="auto" w:sz="4" w:space="0"/>
              <w:right w:val="inset" w:color="808080" w:sz="6" w:space="0"/>
            </w:tcBorders>
            <w:tcMar>
              <w:top w:w="22" w:type="dxa"/>
              <w:left w:w="22" w:type="dxa"/>
              <w:bottom w:w="22" w:type="dxa"/>
              <w:right w:w="22" w:type="dxa"/>
            </w:tcMar>
            <w:vAlign w:val="center"/>
          </w:tcPr>
          <w:p>
            <w:pPr>
              <w:widowControl/>
              <w:ind w:firstLine="640"/>
              <w:jc w:val="center"/>
              <w:rPr>
                <w:rFonts w:hint="eastAsia" w:ascii="仿宋" w:hAnsi="仿宋" w:eastAsia="仿宋" w:cs="仿宋"/>
                <w:b w:val="0"/>
                <w:bCs w:val="0"/>
                <w:i w:val="0"/>
                <w:iCs w:val="0"/>
                <w:smallCaps w:val="0"/>
                <w:color w:val="000000"/>
                <w:spacing w:val="0"/>
                <w:kern w:val="0"/>
                <w:sz w:val="32"/>
                <w:szCs w:val="32"/>
                <w:lang w:val="en-US" w:eastAsia="zh-CN"/>
              </w:rPr>
            </w:pPr>
            <w:bookmarkStart w:id="17" w:name="_Toc256000066"/>
            <w:bookmarkStart w:id="18" w:name="_Toc256000035"/>
            <w:bookmarkStart w:id="19" w:name="_Toc256000004"/>
            <w:r>
              <w:rPr>
                <w:rFonts w:hint="eastAsia" w:ascii="仿宋" w:hAnsi="仿宋" w:eastAsia="仿宋" w:cs="仿宋"/>
                <w:b w:val="0"/>
                <w:bCs w:val="0"/>
                <w:i w:val="0"/>
                <w:iCs w:val="0"/>
                <w:smallCaps w:val="0"/>
                <w:color w:val="000000"/>
                <w:spacing w:val="0"/>
                <w:kern w:val="0"/>
                <w:sz w:val="32"/>
                <w:szCs w:val="32"/>
                <w:lang w:val="en-US" w:eastAsia="zh-CN"/>
              </w:rPr>
              <w:t>1</w:t>
            </w:r>
          </w:p>
        </w:tc>
        <w:tc>
          <w:tcPr>
            <w:tcW w:w="6269" w:type="dxa"/>
            <w:tcBorders>
              <w:top w:val="single" w:color="auto" w:sz="4" w:space="0"/>
              <w:left w:val="inset" w:color="808080" w:sz="6" w:space="0"/>
            </w:tcBorders>
            <w:tcMar>
              <w:top w:w="22" w:type="dxa"/>
              <w:left w:w="22" w:type="dxa"/>
              <w:bottom w:w="22" w:type="dxa"/>
              <w:right w:w="22" w:type="dxa"/>
            </w:tcMar>
            <w:vAlign w:val="center"/>
          </w:tcPr>
          <w:p>
            <w:pPr>
              <w:widowControl/>
              <w:ind w:firstLine="640"/>
              <w:jc w:val="center"/>
              <w:rPr>
                <w:rFonts w:hint="default" w:ascii="仿宋" w:hAnsi="仿宋" w:eastAsia="仿宋" w:cs="仿宋"/>
                <w:b w:val="0"/>
                <w:bCs w:val="0"/>
                <w:i w:val="0"/>
                <w:iCs w:val="0"/>
                <w:smallCaps w:val="0"/>
                <w:color w:val="000000"/>
                <w:spacing w:val="0"/>
                <w:kern w:val="0"/>
                <w:sz w:val="32"/>
                <w:szCs w:val="32"/>
                <w:lang w:val="en-US" w:eastAsia="zh-CN"/>
              </w:rPr>
            </w:pPr>
            <w:r>
              <w:rPr>
                <w:rFonts w:hint="eastAsia" w:ascii="仿宋" w:hAnsi="仿宋" w:eastAsia="仿宋" w:cs="仿宋"/>
                <w:b w:val="0"/>
                <w:bCs w:val="0"/>
                <w:i w:val="0"/>
                <w:iCs w:val="0"/>
                <w:smallCaps w:val="0"/>
                <w:color w:val="000000"/>
                <w:spacing w:val="0"/>
                <w:kern w:val="0"/>
                <w:sz w:val="32"/>
                <w:szCs w:val="32"/>
                <w:lang w:val="en-US" w:eastAsia="zh-CN"/>
              </w:rPr>
              <w:t>厦门市湖里中心小学</w:t>
            </w:r>
          </w:p>
        </w:tc>
      </w:tr>
    </w:tbl>
    <w:p>
      <w:pPr>
        <w:pStyle w:val="6"/>
        <w:spacing w:before="100" w:after="100" w:line="360" w:lineRule="auto"/>
        <w:ind w:left="0" w:right="0" w:firstLine="640" w:firstLineChars="0"/>
        <w:rPr>
          <w:rFonts w:ascii="Times New Roman" w:hAnsi="Times New Roman" w:eastAsia="Times New Roman" w:cs="Times New Roman"/>
          <w:b w:val="0"/>
          <w:bCs w:val="0"/>
          <w:kern w:val="0"/>
          <w:sz w:val="28"/>
          <w:szCs w:val="28"/>
        </w:rPr>
      </w:pPr>
      <w:bookmarkStart w:id="20" w:name="_Toc19958"/>
      <w:r>
        <w:rPr>
          <w:rFonts w:ascii="黑体" w:hAnsi="黑体" w:eastAsia="黑体" w:cs="黑体"/>
          <w:b w:val="0"/>
          <w:bCs w:val="0"/>
          <w:spacing w:val="0"/>
        </w:rPr>
        <w:t>三、单位主要工作总结</w:t>
      </w:r>
      <w:bookmarkEnd w:id="17"/>
      <w:bookmarkEnd w:id="18"/>
      <w:bookmarkEnd w:id="19"/>
      <w:bookmarkEnd w:id="20"/>
    </w:p>
    <w:p>
      <w:pPr>
        <w:pStyle w:val="26"/>
        <w:widowControl/>
        <w:spacing w:before="100" w:after="100" w:line="360" w:lineRule="auto"/>
        <w:ind w:left="0" w:right="0" w:firstLine="640"/>
        <w:jc w:val="left"/>
      </w:pPr>
      <w:r>
        <w:rPr>
          <w:rFonts w:ascii="仿宋" w:hAnsi="仿宋" w:eastAsia="仿宋" w:cs="仿宋"/>
          <w:spacing w:val="0"/>
          <w:kern w:val="0"/>
          <w:sz w:val="32"/>
          <w:szCs w:val="32"/>
        </w:rPr>
        <w:t>2024年，厦门市湖里中心小学单位主要任务是：</w:t>
      </w:r>
    </w:p>
    <w:p>
      <w:pPr>
        <w:spacing w:line="360" w:lineRule="auto"/>
        <w:ind w:firstLine="640" w:firstLineChars="200"/>
        <w:rPr>
          <w:rFonts w:hint="eastAsia" w:ascii="仿宋" w:hAnsi="仿宋" w:eastAsia="仿宋" w:cs="仿宋"/>
          <w:sz w:val="32"/>
          <w:szCs w:val="40"/>
        </w:rPr>
      </w:pPr>
      <w:r>
        <w:rPr>
          <w:rFonts w:hint="eastAsia" w:ascii="仿宋" w:hAnsi="仿宋" w:eastAsia="仿宋" w:cs="仿宋"/>
          <w:sz w:val="32"/>
          <w:szCs w:val="40"/>
        </w:rPr>
        <w:t>（一）班子和谐</w:t>
      </w:r>
      <w:r>
        <w:rPr>
          <w:rFonts w:hint="eastAsia" w:ascii="仿宋" w:hAnsi="仿宋" w:eastAsia="仿宋" w:cs="仿宋"/>
          <w:sz w:val="32"/>
          <w:szCs w:val="40"/>
          <w:lang w:eastAsia="zh-CN"/>
        </w:rPr>
        <w:t>，</w:t>
      </w:r>
      <w:r>
        <w:rPr>
          <w:rFonts w:hint="eastAsia" w:ascii="仿宋" w:hAnsi="仿宋" w:eastAsia="仿宋" w:cs="仿宋"/>
          <w:sz w:val="32"/>
          <w:szCs w:val="40"/>
        </w:rPr>
        <w:t>引领有效</w:t>
      </w:r>
      <w:r>
        <w:rPr>
          <w:rFonts w:hint="eastAsia" w:ascii="仿宋" w:hAnsi="仿宋" w:eastAsia="仿宋" w:cs="仿宋"/>
          <w:sz w:val="32"/>
          <w:szCs w:val="40"/>
          <w:lang w:eastAsia="zh-CN"/>
        </w:rPr>
        <w:t>。</w:t>
      </w:r>
      <w:r>
        <w:rPr>
          <w:rFonts w:hint="eastAsia" w:ascii="仿宋" w:hAnsi="仿宋" w:eastAsia="仿宋" w:cs="仿宋"/>
          <w:sz w:val="32"/>
          <w:szCs w:val="40"/>
        </w:rPr>
        <w:t>学校实行党组织负责制，领导班子成员分工负责，职责明确，政令畅通，团结协作、作风民主，提倡“三互三不”意识（相互支持不越位；相互宽容不计较；相互补位不拆台），具有较强的开拓、创新、务实精神。</w:t>
      </w:r>
    </w:p>
    <w:p>
      <w:pPr>
        <w:spacing w:line="360" w:lineRule="auto"/>
        <w:ind w:firstLine="640" w:firstLineChars="200"/>
        <w:rPr>
          <w:rFonts w:hint="eastAsia" w:ascii="仿宋" w:hAnsi="仿宋" w:eastAsia="仿宋" w:cs="仿宋"/>
          <w:sz w:val="32"/>
          <w:szCs w:val="40"/>
        </w:rPr>
      </w:pPr>
      <w:r>
        <w:rPr>
          <w:rFonts w:hint="eastAsia" w:ascii="仿宋" w:hAnsi="仿宋" w:eastAsia="仿宋" w:cs="仿宋"/>
          <w:sz w:val="32"/>
          <w:szCs w:val="40"/>
        </w:rPr>
        <w:t>（二）德育育人，实践有效</w:t>
      </w:r>
      <w:r>
        <w:rPr>
          <w:rFonts w:hint="eastAsia" w:ascii="仿宋" w:hAnsi="仿宋" w:eastAsia="仿宋" w:cs="仿宋"/>
          <w:sz w:val="32"/>
          <w:szCs w:val="40"/>
          <w:lang w:eastAsia="zh-CN"/>
        </w:rPr>
        <w:t>。</w:t>
      </w:r>
      <w:r>
        <w:rPr>
          <w:rFonts w:hint="eastAsia" w:ascii="仿宋" w:hAnsi="仿宋" w:eastAsia="仿宋" w:cs="仿宋"/>
          <w:sz w:val="32"/>
          <w:szCs w:val="40"/>
        </w:rPr>
        <w:t>为切实加强德育工作管理，学校建立了以党支部为首的管理网络，成立德育工作领导小组，细化工作任务，形成了校长总体抓，副校长具体分管，各处室主任和大队辅导员、段长、班主任老师携手全方位对学生进行日常教育，少先队干部参与管理的德育工作新局面。</w:t>
      </w:r>
    </w:p>
    <w:p>
      <w:pPr>
        <w:spacing w:line="360" w:lineRule="auto"/>
        <w:ind w:firstLine="640" w:firstLineChars="200"/>
        <w:rPr>
          <w:rFonts w:hint="eastAsia" w:ascii="仿宋" w:hAnsi="仿宋" w:eastAsia="仿宋" w:cs="仿宋"/>
          <w:sz w:val="32"/>
          <w:szCs w:val="40"/>
        </w:rPr>
      </w:pPr>
      <w:r>
        <w:rPr>
          <w:rFonts w:hint="eastAsia" w:ascii="仿宋" w:hAnsi="仿宋" w:eastAsia="仿宋" w:cs="仿宋"/>
          <w:sz w:val="32"/>
          <w:szCs w:val="40"/>
        </w:rPr>
        <w:t>（三） 教师发展，指导有效</w:t>
      </w:r>
      <w:r>
        <w:rPr>
          <w:rFonts w:hint="eastAsia" w:ascii="仿宋" w:hAnsi="仿宋" w:eastAsia="仿宋" w:cs="仿宋"/>
          <w:sz w:val="32"/>
          <w:szCs w:val="40"/>
          <w:lang w:eastAsia="zh-CN"/>
        </w:rPr>
        <w:t>。</w:t>
      </w:r>
      <w:r>
        <w:rPr>
          <w:rFonts w:hint="eastAsia" w:ascii="仿宋" w:hAnsi="仿宋" w:eastAsia="仿宋" w:cs="仿宋"/>
          <w:sz w:val="32"/>
          <w:szCs w:val="40"/>
        </w:rPr>
        <w:t>俗话说：“家和万事兴！”学校就像是一个大家庭，教师则好比是这个家庭中的家长，教师 们的综合素养、团队凝聚力将直接影响着孩子的健康成长。</w:t>
      </w:r>
    </w:p>
    <w:p>
      <w:pPr>
        <w:spacing w:line="360" w:lineRule="auto"/>
        <w:ind w:firstLine="640" w:firstLineChars="200"/>
        <w:rPr>
          <w:rFonts w:ascii="Times New Roman" w:hAnsi="Times New Roman" w:eastAsia="Times New Roman" w:cs="Times New Roman"/>
          <w:kern w:val="0"/>
          <w:sz w:val="24"/>
        </w:rPr>
      </w:pPr>
      <w:r>
        <w:rPr>
          <w:rFonts w:hint="eastAsia" w:ascii="仿宋" w:hAnsi="仿宋" w:eastAsia="仿宋" w:cs="仿宋"/>
          <w:sz w:val="32"/>
          <w:szCs w:val="40"/>
        </w:rPr>
        <w:t>（</w:t>
      </w:r>
      <w:r>
        <w:rPr>
          <w:rFonts w:hint="eastAsia" w:ascii="仿宋" w:hAnsi="仿宋" w:eastAsia="仿宋" w:cs="仿宋"/>
          <w:sz w:val="32"/>
          <w:szCs w:val="40"/>
          <w:lang w:val="en-US" w:eastAsia="zh-CN"/>
        </w:rPr>
        <w:t>四</w:t>
      </w:r>
      <w:r>
        <w:rPr>
          <w:rFonts w:hint="eastAsia" w:ascii="仿宋" w:hAnsi="仿宋" w:eastAsia="仿宋" w:cs="仿宋"/>
          <w:sz w:val="32"/>
          <w:szCs w:val="40"/>
        </w:rPr>
        <w:t>）后勤保障，助推成效</w:t>
      </w:r>
      <w:r>
        <w:rPr>
          <w:rFonts w:hint="eastAsia" w:ascii="仿宋" w:hAnsi="仿宋" w:eastAsia="仿宋" w:cs="仿宋"/>
          <w:sz w:val="32"/>
          <w:szCs w:val="40"/>
          <w:lang w:val="en-US" w:eastAsia="zh-CN"/>
        </w:rPr>
        <w:t>。</w:t>
      </w:r>
      <w:r>
        <w:rPr>
          <w:rFonts w:hint="eastAsia" w:ascii="仿宋" w:hAnsi="仿宋" w:eastAsia="仿宋" w:cs="仿宋"/>
          <w:sz w:val="32"/>
          <w:szCs w:val="40"/>
        </w:rPr>
        <w:t>除了后勤常规工作外，重点完成了：1.利用暑假</w:t>
      </w:r>
      <w:r>
        <w:rPr>
          <w:rFonts w:hint="eastAsia" w:ascii="仿宋" w:hAnsi="仿宋" w:eastAsia="仿宋" w:cs="仿宋"/>
          <w:sz w:val="32"/>
          <w:szCs w:val="40"/>
          <w:lang w:val="en-US" w:eastAsia="zh-CN"/>
        </w:rPr>
        <w:t>拆除教学楼立面花池，并对教学楼进行加固修缮，</w:t>
      </w:r>
      <w:r>
        <w:rPr>
          <w:rFonts w:hint="eastAsia" w:ascii="仿宋" w:hAnsi="仿宋" w:eastAsia="仿宋" w:cs="仿宋"/>
          <w:sz w:val="32"/>
          <w:szCs w:val="40"/>
        </w:rPr>
        <w:t>给予</w:t>
      </w:r>
      <w:r>
        <w:rPr>
          <w:rFonts w:hint="eastAsia" w:ascii="仿宋" w:hAnsi="仿宋" w:eastAsia="仿宋" w:cs="仿宋"/>
          <w:sz w:val="32"/>
          <w:szCs w:val="40"/>
          <w:lang w:val="en-US" w:eastAsia="zh-CN"/>
        </w:rPr>
        <w:t>全体师生安全、</w:t>
      </w:r>
      <w:r>
        <w:rPr>
          <w:rFonts w:hint="eastAsia" w:ascii="仿宋" w:hAnsi="仿宋" w:eastAsia="仿宋" w:cs="仿宋"/>
          <w:sz w:val="32"/>
          <w:szCs w:val="40"/>
        </w:rPr>
        <w:t>良好的学习环境，2.常态化各类疫情防控：落实开学前、中、后期和日常学习中</w:t>
      </w:r>
      <w:r>
        <w:rPr>
          <w:rFonts w:hint="eastAsia" w:ascii="仿宋" w:hAnsi="仿宋" w:eastAsia="仿宋" w:cs="仿宋"/>
          <w:sz w:val="32"/>
          <w:szCs w:val="40"/>
          <w:lang w:val="en-US" w:eastAsia="zh-CN"/>
        </w:rPr>
        <w:t>杀毒消菌和</w:t>
      </w:r>
      <w:r>
        <w:rPr>
          <w:rFonts w:hint="eastAsia" w:ascii="仿宋" w:hAnsi="仿宋" w:eastAsia="仿宋" w:cs="仿宋"/>
          <w:sz w:val="32"/>
          <w:szCs w:val="40"/>
        </w:rPr>
        <w:t>流行性病毒的防控工作</w:t>
      </w:r>
      <w:r>
        <w:rPr>
          <w:rFonts w:hint="eastAsia" w:ascii="仿宋" w:hAnsi="仿宋" w:eastAsia="仿宋" w:cs="仿宋"/>
          <w:sz w:val="32"/>
          <w:szCs w:val="40"/>
          <w:lang w:eastAsia="zh-CN"/>
        </w:rPr>
        <w:t>，</w:t>
      </w:r>
      <w:r>
        <w:rPr>
          <w:rFonts w:hint="eastAsia" w:ascii="仿宋" w:hAnsi="仿宋" w:eastAsia="仿宋" w:cs="仿宋"/>
          <w:sz w:val="32"/>
          <w:szCs w:val="40"/>
          <w:lang w:val="en-US" w:eastAsia="zh-CN"/>
        </w:rPr>
        <w:t>实时</w:t>
      </w:r>
      <w:r>
        <w:rPr>
          <w:rFonts w:hint="eastAsia" w:ascii="仿宋" w:hAnsi="仿宋" w:eastAsia="仿宋" w:cs="仿宋"/>
          <w:sz w:val="32"/>
          <w:szCs w:val="40"/>
        </w:rPr>
        <w:t>关注学生身体健康；</w:t>
      </w:r>
      <w:r>
        <w:rPr>
          <w:rFonts w:hint="eastAsia" w:ascii="仿宋" w:hAnsi="仿宋" w:eastAsia="仿宋" w:cs="仿宋"/>
          <w:sz w:val="32"/>
          <w:szCs w:val="40"/>
          <w:lang w:val="en-US" w:eastAsia="zh-CN"/>
        </w:rPr>
        <w:t>3</w:t>
      </w:r>
      <w:r>
        <w:rPr>
          <w:rFonts w:hint="eastAsia" w:ascii="仿宋" w:hAnsi="仿宋" w:eastAsia="仿宋" w:cs="仿宋"/>
          <w:sz w:val="32"/>
          <w:szCs w:val="40"/>
        </w:rPr>
        <w:t>.为了完成湖里区教育局为民办实事——运动场对外开放工作中，我校利用</w:t>
      </w:r>
      <w:r>
        <w:rPr>
          <w:rFonts w:hint="eastAsia" w:ascii="仿宋" w:hAnsi="仿宋" w:eastAsia="仿宋" w:cs="仿宋"/>
          <w:sz w:val="32"/>
          <w:szCs w:val="40"/>
          <w:lang w:val="en-US" w:eastAsia="zh-CN"/>
        </w:rPr>
        <w:t>周末和放假时间</w:t>
      </w:r>
      <w:r>
        <w:rPr>
          <w:rFonts w:hint="eastAsia" w:ascii="仿宋" w:hAnsi="仿宋" w:eastAsia="仿宋" w:cs="仿宋"/>
          <w:sz w:val="32"/>
          <w:szCs w:val="40"/>
        </w:rPr>
        <w:t>对我校篮球场地进行了面层的翻新工作</w:t>
      </w:r>
      <w:r>
        <w:rPr>
          <w:rFonts w:hint="eastAsia" w:ascii="仿宋" w:hAnsi="仿宋" w:eastAsia="仿宋" w:cs="仿宋"/>
          <w:sz w:val="32"/>
          <w:szCs w:val="40"/>
          <w:lang w:val="en-US" w:eastAsia="zh-CN"/>
        </w:rPr>
        <w:t>和体育运动耗材（如足球网和篮球网等）进行更换</w:t>
      </w:r>
      <w:r>
        <w:rPr>
          <w:rFonts w:hint="eastAsia" w:ascii="仿宋" w:hAnsi="仿宋" w:eastAsia="仿宋" w:cs="仿宋"/>
          <w:sz w:val="32"/>
          <w:szCs w:val="40"/>
        </w:rPr>
        <w:t>，为学生提供良好的运动环境的同时，切实保障市民入校运动的安全</w:t>
      </w:r>
      <w:r>
        <w:rPr>
          <w:rFonts w:hint="eastAsia" w:ascii="仿宋" w:hAnsi="仿宋" w:eastAsia="仿宋" w:cs="仿宋"/>
          <w:sz w:val="32"/>
          <w:szCs w:val="40"/>
          <w:lang w:eastAsia="zh-CN"/>
        </w:rPr>
        <w:t>。</w:t>
      </w:r>
    </w:p>
    <w:p>
      <w:pPr>
        <w:pStyle w:val="26"/>
        <w:widowControl/>
        <w:spacing w:before="240" w:after="240"/>
        <w:jc w:val="center"/>
        <w:rPr>
          <w:rFonts w:ascii="黑体" w:hAnsi="黑体" w:eastAsia="黑体" w:cs="黑体"/>
          <w:kern w:val="0"/>
          <w:sz w:val="36"/>
          <w:szCs w:val="36"/>
        </w:rPr>
      </w:pPr>
      <w:bookmarkStart w:id="21" w:name="_Toc256000098"/>
    </w:p>
    <w:p>
      <w:pPr>
        <w:pStyle w:val="26"/>
        <w:widowControl/>
        <w:spacing w:before="240" w:after="240"/>
        <w:jc w:val="center"/>
        <w:rPr>
          <w:rFonts w:ascii="黑体" w:hAnsi="黑体" w:eastAsia="黑体" w:cs="黑体"/>
          <w:b/>
          <w:spacing w:val="0"/>
        </w:rPr>
      </w:pPr>
      <w:r>
        <w:rPr>
          <w:rFonts w:ascii="黑体" w:hAnsi="黑体" w:eastAsia="黑体" w:cs="黑体"/>
          <w:kern w:val="0"/>
          <w:sz w:val="36"/>
          <w:szCs w:val="36"/>
        </w:rPr>
        <w:t>第二部分</w:t>
      </w:r>
      <w:bookmarkEnd w:id="21"/>
      <w:bookmarkStart w:id="22" w:name="_Toc256000099"/>
      <w:bookmarkStart w:id="23" w:name="_Toc256000037"/>
      <w:bookmarkStart w:id="24" w:name="_Toc256000006"/>
      <w:bookmarkStart w:id="25" w:name="_Toc256000068"/>
      <w:r>
        <w:rPr>
          <w:rFonts w:hint="eastAsia" w:ascii="黑体" w:hAnsi="黑体" w:eastAsia="黑体" w:cs="黑体"/>
          <w:kern w:val="0"/>
          <w:sz w:val="36"/>
          <w:szCs w:val="36"/>
          <w:lang w:val="en-US" w:eastAsia="zh-CN"/>
        </w:rPr>
        <w:t xml:space="preserve">  </w:t>
      </w:r>
      <w:r>
        <w:rPr>
          <w:rFonts w:ascii="黑体" w:hAnsi="黑体" w:eastAsia="黑体" w:cs="黑体"/>
          <w:kern w:val="0"/>
          <w:sz w:val="36"/>
          <w:szCs w:val="36"/>
        </w:rPr>
        <w:t>2024年度决算表</w:t>
      </w:r>
      <w:bookmarkEnd w:id="22"/>
      <w:bookmarkEnd w:id="23"/>
      <w:bookmarkEnd w:id="24"/>
      <w:bookmarkEnd w:id="25"/>
      <w:bookmarkStart w:id="26" w:name="_Toc256000069"/>
      <w:bookmarkStart w:id="27" w:name="_Toc256000038"/>
      <w:bookmarkStart w:id="28" w:name="_Toc256000007"/>
    </w:p>
    <w:p>
      <w:pPr>
        <w:pStyle w:val="6"/>
        <w:spacing w:before="100" w:after="100" w:line="240" w:lineRule="auto"/>
        <w:ind w:left="0" w:leftChars="0" w:right="0" w:firstLine="0" w:firstLineChars="0"/>
        <w:rPr>
          <w:b w:val="0"/>
          <w:bCs w:val="0"/>
        </w:rPr>
      </w:pPr>
      <w:bookmarkStart w:id="29" w:name="_Toc7364"/>
      <w:r>
        <w:rPr>
          <w:rFonts w:ascii="黑体" w:hAnsi="黑体" w:eastAsia="黑体" w:cs="黑体"/>
          <w:b w:val="0"/>
          <w:bCs w:val="0"/>
          <w:spacing w:val="0"/>
        </w:rPr>
        <w:t>一、收入支出决算总表</w:t>
      </w:r>
      <w:bookmarkEnd w:id="26"/>
      <w:bookmarkEnd w:id="27"/>
      <w:bookmarkEnd w:id="28"/>
      <w:bookmarkEnd w:id="29"/>
    </w:p>
    <w:tbl>
      <w:tblPr>
        <w:tblStyle w:val="24"/>
        <w:tblW w:w="9066"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512"/>
        <w:gridCol w:w="1510"/>
        <w:gridCol w:w="1511"/>
        <w:gridCol w:w="1595"/>
        <w:gridCol w:w="1427"/>
        <w:gridCol w:w="15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9066" w:type="dxa"/>
            <w:gridSpan w:val="6"/>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3022"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9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2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51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单位：厦门市湖里中心小学</w:t>
            </w:r>
          </w:p>
        </w:tc>
        <w:tc>
          <w:tcPr>
            <w:tcW w:w="151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9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142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453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收入</w:t>
            </w:r>
          </w:p>
        </w:tc>
        <w:tc>
          <w:tcPr>
            <w:tcW w:w="453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行次</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w:t>
            </w:r>
          </w:p>
        </w:tc>
        <w:tc>
          <w:tcPr>
            <w:tcW w:w="15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p>
        </w:tc>
        <w:tc>
          <w:tcPr>
            <w:tcW w:w="1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行次</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栏次</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5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栏次</w:t>
            </w:r>
          </w:p>
        </w:tc>
        <w:tc>
          <w:tcPr>
            <w:tcW w:w="1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一、一般公共预算财政拨款收入</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2,906.64</w:t>
            </w:r>
          </w:p>
        </w:tc>
        <w:tc>
          <w:tcPr>
            <w:tcW w:w="15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一、一般公共服务支出</w:t>
            </w:r>
          </w:p>
        </w:tc>
        <w:tc>
          <w:tcPr>
            <w:tcW w:w="1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二、政府性基金预算财政拨款收入</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15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二、外交支出</w:t>
            </w:r>
            <w:r>
              <w:rPr>
                <w:rFonts w:ascii="Times New Roman" w:hAnsi="Times New Roman" w:eastAsia="Times New Roman" w:cs="Times New Roman"/>
                <w:b w:val="0"/>
                <w:bCs w:val="0"/>
                <w:i w:val="0"/>
                <w:iCs w:val="0"/>
                <w:smallCaps w:val="0"/>
                <w:color w:val="000000"/>
                <w:kern w:val="0"/>
                <w:sz w:val="18"/>
                <w:szCs w:val="18"/>
              </w:rPr>
              <w:t xml:space="preserve"> </w:t>
            </w:r>
          </w:p>
        </w:tc>
        <w:tc>
          <w:tcPr>
            <w:tcW w:w="1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三、国有资本经营预算财政拨款收入</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三、国防支出</w:t>
            </w:r>
          </w:p>
        </w:tc>
        <w:tc>
          <w:tcPr>
            <w:tcW w:w="1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四、上级补助收入</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四、公共安全支出</w:t>
            </w:r>
          </w:p>
        </w:tc>
        <w:tc>
          <w:tcPr>
            <w:tcW w:w="1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五、事业收入</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五、教育支出</w:t>
            </w:r>
          </w:p>
        </w:tc>
        <w:tc>
          <w:tcPr>
            <w:tcW w:w="1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2,364.12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六、经营收入</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六、科学技术支出</w:t>
            </w:r>
          </w:p>
        </w:tc>
        <w:tc>
          <w:tcPr>
            <w:tcW w:w="1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七、附属单位上缴收入</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七、文化旅游体育与传媒支出</w:t>
            </w:r>
          </w:p>
        </w:tc>
        <w:tc>
          <w:tcPr>
            <w:tcW w:w="1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八、其他收入</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八、社会保障和就业支出</w:t>
            </w:r>
          </w:p>
        </w:tc>
        <w:tc>
          <w:tcPr>
            <w:tcW w:w="1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422.06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九、卫生健康支出</w:t>
            </w:r>
          </w:p>
        </w:tc>
        <w:tc>
          <w:tcPr>
            <w:tcW w:w="1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108.11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十、节能环保支出</w:t>
            </w:r>
          </w:p>
        </w:tc>
        <w:tc>
          <w:tcPr>
            <w:tcW w:w="1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十一、城乡社区支出</w:t>
            </w:r>
          </w:p>
        </w:tc>
        <w:tc>
          <w:tcPr>
            <w:tcW w:w="1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十二、农林水支出</w:t>
            </w:r>
          </w:p>
        </w:tc>
        <w:tc>
          <w:tcPr>
            <w:tcW w:w="1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十三、交通运输支出</w:t>
            </w:r>
          </w:p>
        </w:tc>
        <w:tc>
          <w:tcPr>
            <w:tcW w:w="1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十四、资源勘探工业信息等支出</w:t>
            </w:r>
          </w:p>
        </w:tc>
        <w:tc>
          <w:tcPr>
            <w:tcW w:w="1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十五、商业服务业等支出</w:t>
            </w:r>
          </w:p>
        </w:tc>
        <w:tc>
          <w:tcPr>
            <w:tcW w:w="1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十六、金融支出</w:t>
            </w:r>
          </w:p>
        </w:tc>
        <w:tc>
          <w:tcPr>
            <w:tcW w:w="1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十七、援助其他地区支出</w:t>
            </w:r>
          </w:p>
        </w:tc>
        <w:tc>
          <w:tcPr>
            <w:tcW w:w="1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十八、自然资源海洋气象等支出</w:t>
            </w:r>
          </w:p>
        </w:tc>
        <w:tc>
          <w:tcPr>
            <w:tcW w:w="1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十九、住房保障支出</w:t>
            </w:r>
          </w:p>
        </w:tc>
        <w:tc>
          <w:tcPr>
            <w:tcW w:w="1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二十、粮油物资储备支出</w:t>
            </w:r>
          </w:p>
        </w:tc>
        <w:tc>
          <w:tcPr>
            <w:tcW w:w="1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二十一、国有资本经营预算支出</w:t>
            </w:r>
          </w:p>
        </w:tc>
        <w:tc>
          <w:tcPr>
            <w:tcW w:w="1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二十二、灾害防治及应急管理支出</w:t>
            </w:r>
          </w:p>
        </w:tc>
        <w:tc>
          <w:tcPr>
            <w:tcW w:w="1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二十三、其他支出</w:t>
            </w:r>
          </w:p>
        </w:tc>
        <w:tc>
          <w:tcPr>
            <w:tcW w:w="1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二十四、债务还本支出</w:t>
            </w:r>
          </w:p>
        </w:tc>
        <w:tc>
          <w:tcPr>
            <w:tcW w:w="1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二十五、债务付息支出</w:t>
            </w:r>
          </w:p>
        </w:tc>
        <w:tc>
          <w:tcPr>
            <w:tcW w:w="1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56</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二十六、抗疫特别国债安排的支出</w:t>
            </w:r>
          </w:p>
        </w:tc>
        <w:tc>
          <w:tcPr>
            <w:tcW w:w="1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本年收入合计</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2,908.06</w:t>
            </w:r>
          </w:p>
        </w:tc>
        <w:tc>
          <w:tcPr>
            <w:tcW w:w="15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本年支出合计</w:t>
            </w:r>
          </w:p>
        </w:tc>
        <w:tc>
          <w:tcPr>
            <w:tcW w:w="1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2,908.06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使用非财政拨款结余（含专用结余）</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结余分配</w:t>
            </w:r>
          </w:p>
        </w:tc>
        <w:tc>
          <w:tcPr>
            <w:tcW w:w="1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年初结转和结余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年末结转和结余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60</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5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总计</w:t>
            </w:r>
          </w:p>
        </w:tc>
        <w:tc>
          <w:tcPr>
            <w:tcW w:w="15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2,908.06</w:t>
            </w:r>
          </w:p>
        </w:tc>
        <w:tc>
          <w:tcPr>
            <w:tcW w:w="15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总计</w:t>
            </w:r>
          </w:p>
        </w:tc>
        <w:tc>
          <w:tcPr>
            <w:tcW w:w="14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w:t>
            </w:r>
          </w:p>
        </w:tc>
        <w:tc>
          <w:tcPr>
            <w:tcW w:w="15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2,908.06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9066" w:type="dxa"/>
            <w:gridSpan w:val="6"/>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w:t>
            </w:r>
            <w:r>
              <w:rPr>
                <w:rFonts w:ascii="Times New Roman" w:hAnsi="Times New Roman" w:eastAsia="Times New Roman" w:cs="Times New Roman"/>
                <w:b w:val="0"/>
                <w:bCs w:val="0"/>
                <w:i w:val="0"/>
                <w:iCs w:val="0"/>
                <w:smallCaps w:val="0"/>
                <w:color w:val="000000"/>
                <w:kern w:val="0"/>
                <w:sz w:val="18"/>
                <w:szCs w:val="18"/>
              </w:rPr>
              <w:t>1.</w:t>
            </w:r>
            <w:r>
              <w:rPr>
                <w:b w:val="0"/>
                <w:bCs w:val="0"/>
                <w:i w:val="0"/>
                <w:iCs w:val="0"/>
                <w:smallCaps w:val="0"/>
                <w:color w:val="000000"/>
                <w:kern w:val="0"/>
                <w:sz w:val="18"/>
                <w:szCs w:val="18"/>
              </w:rPr>
              <w:t>本表反映部门本年度的总收支和年末结转结余情况。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9066" w:type="dxa"/>
            <w:gridSpan w:val="6"/>
            <w:tcMar>
              <w:top w:w="20" w:type="dxa"/>
              <w:left w:w="485"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r>
              <w:rPr>
                <w:b w:val="0"/>
                <w:bCs w:val="0"/>
                <w:i w:val="0"/>
                <w:iCs w:val="0"/>
                <w:smallCaps w:val="0"/>
                <w:color w:val="000000"/>
                <w:kern w:val="0"/>
                <w:sz w:val="18"/>
                <w:szCs w:val="18"/>
              </w:rPr>
              <w:t>本套报表金额单位转换时可能存在尾数误差。</w:t>
            </w:r>
          </w:p>
        </w:tc>
      </w:tr>
    </w:tbl>
    <w:p>
      <w:pPr>
        <w:pStyle w:val="6"/>
        <w:spacing w:before="100" w:after="100" w:line="240" w:lineRule="auto"/>
        <w:ind w:left="0" w:leftChars="0" w:right="0" w:firstLine="0" w:firstLineChars="0"/>
        <w:rPr>
          <w:rFonts w:ascii="黑体" w:hAnsi="黑体" w:eastAsia="黑体" w:cs="黑体"/>
          <w:b/>
          <w:spacing w:val="0"/>
        </w:rPr>
      </w:pPr>
      <w:bookmarkStart w:id="30" w:name="_Toc256000008"/>
      <w:bookmarkStart w:id="31" w:name="_Toc256000070"/>
      <w:bookmarkStart w:id="32" w:name="_Toc30546"/>
      <w:bookmarkStart w:id="33" w:name="_Toc256000039"/>
    </w:p>
    <w:p>
      <w:pPr>
        <w:pStyle w:val="6"/>
        <w:spacing w:before="100" w:after="100" w:line="240" w:lineRule="auto"/>
        <w:ind w:left="0" w:leftChars="0" w:right="0" w:firstLine="0" w:firstLineChars="0"/>
        <w:rPr>
          <w:rFonts w:ascii="Times New Roman" w:hAnsi="Times New Roman" w:eastAsia="Times New Roman" w:cs="Times New Roman"/>
          <w:b w:val="0"/>
          <w:bCs w:val="0"/>
          <w:kern w:val="0"/>
          <w:sz w:val="28"/>
          <w:szCs w:val="28"/>
        </w:rPr>
      </w:pPr>
      <w:r>
        <w:rPr>
          <w:rFonts w:ascii="黑体" w:hAnsi="黑体" w:eastAsia="黑体" w:cs="黑体"/>
          <w:b w:val="0"/>
          <w:bCs w:val="0"/>
          <w:spacing w:val="0"/>
        </w:rPr>
        <w:t>二、收入决算表</w:t>
      </w:r>
      <w:bookmarkEnd w:id="30"/>
      <w:bookmarkEnd w:id="31"/>
      <w:bookmarkEnd w:id="32"/>
      <w:bookmarkEnd w:id="33"/>
    </w:p>
    <w:tbl>
      <w:tblPr>
        <w:tblStyle w:val="24"/>
        <w:tblW w:w="9066"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848"/>
        <w:gridCol w:w="1166"/>
        <w:gridCol w:w="1007"/>
        <w:gridCol w:w="1008"/>
        <w:gridCol w:w="1007"/>
        <w:gridCol w:w="1008"/>
        <w:gridCol w:w="1007"/>
        <w:gridCol w:w="1008"/>
        <w:gridCol w:w="10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9066" w:type="dxa"/>
            <w:gridSpan w:val="9"/>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84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4029"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单位：厦门市湖里中心小学</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10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2014"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p>
        </w:tc>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本年收入合计</w:t>
            </w:r>
          </w:p>
        </w:tc>
        <w:tc>
          <w:tcPr>
            <w:tcW w:w="100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财政拨款收入</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上级补助收入</w:t>
            </w:r>
          </w:p>
        </w:tc>
        <w:tc>
          <w:tcPr>
            <w:tcW w:w="100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事业收入</w:t>
            </w:r>
          </w:p>
        </w:tc>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经营收入</w:t>
            </w:r>
          </w:p>
        </w:tc>
        <w:tc>
          <w:tcPr>
            <w:tcW w:w="100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附属单位上缴收入</w:t>
            </w:r>
          </w:p>
        </w:tc>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84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科目代码</w:t>
            </w:r>
          </w:p>
        </w:tc>
        <w:tc>
          <w:tcPr>
            <w:tcW w:w="116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科目名称</w:t>
            </w: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84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6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2014"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栏次</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2014"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2,908.06</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2,908.06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8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教育支出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2,364.12</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2,364.12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8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普通教育</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2,247.34</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2,247.34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8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小学教育</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2,070.97</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2,070.97</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8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其他普通教育支出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176.37</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176.37</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8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教育费附加安排的支出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116.78</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116.78</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8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其他教育费附加安排的支出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116.78</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116.78</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8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社会保障和就业支出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422.06</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422.06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8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行政事业单位养老支出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422.06</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422.06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8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事业单位离退休</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161.65</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161.65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8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机关事业单位基本养老保险缴费支出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167.12</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167.12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8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机关事业单位职业年金缴费支出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93.29</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93.29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8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卫生健康支出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108.11</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108.11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8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行政事业单位医疗</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108.11</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108.11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8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事业单位医疗</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71.55</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71.55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8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其他行政事业单位医疗支出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36.56</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36.56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8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住房保障支出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8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住房改革支出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8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购房补贴</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8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8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彩票公益金安排的支出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8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1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用于体育事业的彩票公益金支出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9066" w:type="dxa"/>
            <w:gridSpan w:val="9"/>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注：本表反映部门本年度取得的各项收入情况。</w:t>
            </w:r>
          </w:p>
        </w:tc>
      </w:tr>
    </w:tbl>
    <w:p>
      <w:pPr>
        <w:pStyle w:val="5"/>
        <w:ind w:left="0" w:leftChars="0" w:firstLine="0" w:firstLineChars="0"/>
      </w:pPr>
      <w:bookmarkStart w:id="34" w:name="_Toc256000071"/>
      <w:bookmarkStart w:id="35" w:name="_Toc256000040"/>
      <w:bookmarkStart w:id="36" w:name="_Toc17035"/>
      <w:bookmarkStart w:id="37" w:name="_Toc256000009"/>
    </w:p>
    <w:p>
      <w:pPr>
        <w:pStyle w:val="6"/>
        <w:spacing w:before="100" w:after="100" w:line="240" w:lineRule="auto"/>
        <w:ind w:left="0" w:leftChars="0" w:right="0" w:firstLine="0" w:firstLineChars="0"/>
        <w:rPr>
          <w:rFonts w:ascii="Times New Roman" w:hAnsi="Times New Roman" w:eastAsia="Times New Roman" w:cs="Times New Roman"/>
          <w:b w:val="0"/>
          <w:bCs w:val="0"/>
          <w:kern w:val="0"/>
          <w:sz w:val="28"/>
          <w:szCs w:val="28"/>
        </w:rPr>
      </w:pPr>
      <w:r>
        <w:rPr>
          <w:rFonts w:ascii="黑体" w:hAnsi="黑体" w:eastAsia="黑体" w:cs="黑体"/>
          <w:b w:val="0"/>
          <w:bCs w:val="0"/>
          <w:spacing w:val="0"/>
        </w:rPr>
        <w:t>三、支出决算表</w:t>
      </w:r>
      <w:bookmarkEnd w:id="34"/>
      <w:bookmarkEnd w:id="35"/>
      <w:bookmarkEnd w:id="36"/>
      <w:bookmarkEnd w:id="37"/>
    </w:p>
    <w:tbl>
      <w:tblPr>
        <w:tblStyle w:val="24"/>
        <w:tblW w:w="9066"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922"/>
        <w:gridCol w:w="855"/>
        <w:gridCol w:w="581"/>
        <w:gridCol w:w="1175"/>
        <w:gridCol w:w="922"/>
        <w:gridCol w:w="922"/>
        <w:gridCol w:w="923"/>
        <w:gridCol w:w="922"/>
        <w:gridCol w:w="922"/>
        <w:gridCol w:w="9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9066" w:type="dxa"/>
            <w:gridSpan w:val="1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9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7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4455" w:type="dxa"/>
            <w:gridSpan w:val="5"/>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单位：厦门市湖里中心小学</w:t>
            </w:r>
          </w:p>
        </w:tc>
        <w:tc>
          <w:tcPr>
            <w:tcW w:w="9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92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3533"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p>
        </w:tc>
        <w:tc>
          <w:tcPr>
            <w:tcW w:w="92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本年支出合计</w:t>
            </w:r>
          </w:p>
        </w:tc>
        <w:tc>
          <w:tcPr>
            <w:tcW w:w="92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基本支出</w:t>
            </w:r>
          </w:p>
        </w:tc>
        <w:tc>
          <w:tcPr>
            <w:tcW w:w="92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项目支出</w:t>
            </w:r>
          </w:p>
        </w:tc>
        <w:tc>
          <w:tcPr>
            <w:tcW w:w="92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上缴上级支出</w:t>
            </w:r>
          </w:p>
        </w:tc>
        <w:tc>
          <w:tcPr>
            <w:tcW w:w="92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经营支出</w:t>
            </w:r>
          </w:p>
        </w:tc>
        <w:tc>
          <w:tcPr>
            <w:tcW w:w="92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2358" w:type="dxa"/>
            <w:gridSpan w:val="3"/>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科目代码</w:t>
            </w:r>
          </w:p>
        </w:tc>
        <w:tc>
          <w:tcPr>
            <w:tcW w:w="117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科目名称</w:t>
            </w: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2358"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7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3533"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栏次</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3533"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2,908.06</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2,668.14</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239.92</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235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11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教育支出</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2,364.12</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2,125.63</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238.5</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235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11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普通教育</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2,247.34</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2,125.63</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121.71</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235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11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小学教育</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2,070.97</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2,070.97</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235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11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其他普通教育支出</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176.37</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54.66</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121.71</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235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11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教育费附加安排的支出</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116.78</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116.78</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235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11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其他教育费附加安排的支出</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116.78</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116.78</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235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11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社会保障和就业支出</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422.06</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422.06</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235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11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行政事业单位养老支出</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422.06</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422.06</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235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11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事业单位离退休</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161.65</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161.65</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235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11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机关事业单位基本养老保险缴费支出</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167.12</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167.12</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235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11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机关事业单位职业年金缴费支出</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93.29</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93.29</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235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11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卫生健康支出</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108.11</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108.11</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235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11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行政事业单位医疗</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108.11</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108.11</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235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11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事业单位医疗</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71.55</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71.55</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235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11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其他行政事业单位医疗支出</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36.56</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36.56</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235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11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住房保障支出</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235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11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住房改革支出</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235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11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购房补贴</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235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11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其他支出</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235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11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彩票公益金安排的支出</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235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11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用于体育事业的彩票公益金支出</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9066" w:type="dxa"/>
            <w:gridSpan w:val="1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注：本表反映部门本年度各项支出情况。</w:t>
            </w:r>
          </w:p>
        </w:tc>
      </w:tr>
    </w:tbl>
    <w:p>
      <w:pPr>
        <w:pStyle w:val="6"/>
        <w:spacing w:before="100" w:after="100" w:line="240" w:lineRule="auto"/>
        <w:ind w:left="0" w:leftChars="0" w:right="0" w:firstLine="0" w:firstLineChars="0"/>
        <w:rPr>
          <w:rFonts w:ascii="Times New Roman" w:hAnsi="Times New Roman" w:eastAsia="Times New Roman" w:cs="Times New Roman"/>
          <w:b/>
          <w:bCs/>
          <w:kern w:val="0"/>
          <w:sz w:val="28"/>
          <w:szCs w:val="28"/>
        </w:rPr>
      </w:pPr>
      <w:bookmarkStart w:id="38" w:name="_Toc256000010"/>
      <w:bookmarkStart w:id="39" w:name="_Toc256000072"/>
      <w:bookmarkStart w:id="40" w:name="_Toc12581"/>
      <w:bookmarkStart w:id="41" w:name="_Toc256000041"/>
      <w:r>
        <w:rPr>
          <w:rFonts w:ascii="黑体" w:hAnsi="黑体" w:eastAsia="黑体" w:cs="黑体"/>
          <w:b w:val="0"/>
          <w:bCs w:val="0"/>
          <w:spacing w:val="0"/>
        </w:rPr>
        <w:t>四、财政拨款收入支出决算总表</w:t>
      </w:r>
      <w:bookmarkEnd w:id="38"/>
      <w:bookmarkEnd w:id="39"/>
      <w:bookmarkEnd w:id="40"/>
      <w:bookmarkEnd w:id="41"/>
    </w:p>
    <w:tbl>
      <w:tblPr>
        <w:tblStyle w:val="24"/>
        <w:tblW w:w="9066"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007"/>
        <w:gridCol w:w="1007"/>
        <w:gridCol w:w="886"/>
        <w:gridCol w:w="1240"/>
        <w:gridCol w:w="896"/>
        <w:gridCol w:w="1007"/>
        <w:gridCol w:w="1"/>
        <w:gridCol w:w="1007"/>
        <w:gridCol w:w="1007"/>
        <w:gridCol w:w="1"/>
        <w:gridCol w:w="10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9066" w:type="dxa"/>
            <w:gridSpan w:val="11"/>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财政拨款收入支出决算总表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2014"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8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4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9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单位：厦门市湖里中心小学</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8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4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9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1008"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290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收入</w:t>
            </w:r>
          </w:p>
        </w:tc>
        <w:tc>
          <w:tcPr>
            <w:tcW w:w="6166" w:type="dxa"/>
            <w:gridSpan w:val="8"/>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行次</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行次</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一般公共预算财政拨款</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政府性基金预算财政拨款</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栏次</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栏次</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一、一般公共预算财政拨款</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2,906.64</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一、一般公共服务支出</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二、政府性基金预算财政拨款</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二、外交支出</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三、国有资本经营预算财政拨款</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三、国防支出</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四、公共安全支出</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五、教育支出</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2,364.12</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2,364.12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六、科学技术支出</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七、文化旅游体育与传媒支出</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八、社会保障和就业支出</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422.06</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422.06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九、卫生健康支出</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108.11</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108.11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十、节能环保支出</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十一、城乡社区支出</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十二、农林水支出</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十三、交通运输支出</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十四、资源勘探工业信息等支出</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十五、商业服务业等支出</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十六、金融支出</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十七、援助其他地区支出</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十八、自然资源海洋气象等支出</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十九、住房保障支出</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二十、粮油物资储备支出</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二十一、国有资本经营预算支出</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二十二、灾害防治及应急管理支出</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二十三、其他支出</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二十四、债务还本支出</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二十五、债务付息支出</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二十六、抗疫特别国债安排的支出</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本年收入合计</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2,908.06</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本年支出合计</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2,908.06</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2,906.64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年初财政拨款结转和结余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年末财政拨款结转和结余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60</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一、一般公共预算财政拨款</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二、政府性基金预算财政拨款</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三、国有资本经营预算财政拨款</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总计</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2,908.06</w:t>
            </w:r>
          </w:p>
        </w:tc>
        <w:tc>
          <w:tcPr>
            <w:tcW w:w="12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总计</w:t>
            </w:r>
            <w:r>
              <w:rPr>
                <w:rFonts w:ascii="Times New Roman" w:hAnsi="Times New Roman" w:eastAsia="Times New Roman" w:cs="Times New Roman"/>
                <w:b w:val="0"/>
                <w:bCs w:val="0"/>
                <w:i w:val="0"/>
                <w:iCs w:val="0"/>
                <w:smallCaps w:val="0"/>
                <w:color w:val="000000"/>
                <w:kern w:val="0"/>
                <w:sz w:val="18"/>
                <w:szCs w:val="18"/>
              </w:rPr>
              <w:t xml:space="preserve"> </w:t>
            </w:r>
          </w:p>
        </w:tc>
        <w:tc>
          <w:tcPr>
            <w:tcW w:w="8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2,908.06</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2,906.64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10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9066" w:type="dxa"/>
            <w:gridSpan w:val="11"/>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注：本表反映部门本年度一般公共预算财政拨款、政府性基金预算财政拨款和国有资本经营预算财政拨款的总收支和年末结转结余情况。</w:t>
            </w:r>
          </w:p>
        </w:tc>
      </w:tr>
    </w:tbl>
    <w:p>
      <w:pPr>
        <w:pStyle w:val="6"/>
        <w:spacing w:before="100" w:after="100" w:line="240" w:lineRule="auto"/>
        <w:ind w:left="0" w:leftChars="0" w:right="0" w:firstLine="0" w:firstLineChars="0"/>
        <w:rPr>
          <w:rFonts w:ascii="Times New Roman" w:hAnsi="Times New Roman" w:eastAsia="Times New Roman" w:cs="Times New Roman"/>
          <w:b/>
          <w:bCs/>
          <w:kern w:val="0"/>
          <w:sz w:val="28"/>
          <w:szCs w:val="28"/>
        </w:rPr>
      </w:pPr>
      <w:bookmarkStart w:id="42" w:name="_Toc256000073"/>
      <w:bookmarkStart w:id="43" w:name="_Toc256000011"/>
      <w:bookmarkStart w:id="44" w:name="_Toc4536"/>
      <w:bookmarkStart w:id="45" w:name="_Toc256000042"/>
      <w:r>
        <w:rPr>
          <w:rFonts w:ascii="黑体" w:hAnsi="黑体" w:eastAsia="黑体" w:cs="黑体"/>
          <w:b w:val="0"/>
          <w:bCs w:val="0"/>
          <w:spacing w:val="0"/>
        </w:rPr>
        <w:t>五、一般公共预算财政拨款支出决算表</w:t>
      </w:r>
      <w:bookmarkEnd w:id="42"/>
      <w:bookmarkEnd w:id="43"/>
      <w:bookmarkEnd w:id="44"/>
      <w:bookmarkEnd w:id="45"/>
    </w:p>
    <w:tbl>
      <w:tblPr>
        <w:tblStyle w:val="24"/>
        <w:tblW w:w="9066"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133"/>
        <w:gridCol w:w="1322"/>
        <w:gridCol w:w="1323"/>
        <w:gridCol w:w="1322"/>
        <w:gridCol w:w="1322"/>
        <w:gridCol w:w="1322"/>
        <w:gridCol w:w="13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9066" w:type="dxa"/>
            <w:gridSpan w:val="7"/>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6422" w:type="dxa"/>
            <w:gridSpan w:val="5"/>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单位：厦门市湖里中心小学</w:t>
            </w:r>
          </w:p>
        </w:tc>
        <w:tc>
          <w:tcPr>
            <w:tcW w:w="13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13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5100"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p>
        </w:tc>
        <w:tc>
          <w:tcPr>
            <w:tcW w:w="396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3778" w:type="dxa"/>
            <w:gridSpan w:val="3"/>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科目代码</w:t>
            </w:r>
          </w:p>
        </w:tc>
        <w:tc>
          <w:tcPr>
            <w:tcW w:w="132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科目名称</w:t>
            </w:r>
          </w:p>
        </w:tc>
        <w:tc>
          <w:tcPr>
            <w:tcW w:w="132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小计</w:t>
            </w:r>
          </w:p>
        </w:tc>
        <w:tc>
          <w:tcPr>
            <w:tcW w:w="132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基本支出</w:t>
            </w:r>
          </w:p>
        </w:tc>
        <w:tc>
          <w:tcPr>
            <w:tcW w:w="132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3778"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3778"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5100"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2,906.64</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2,668.14</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教育支出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2,364.12</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2,125.63</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普通教育</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2,247.34</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2,125.63</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121.71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小学教育</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2,070.97</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2,070.97</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其他普通教育支出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176.37</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54.66</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121.71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教育费附加安排的支出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116.78</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116.78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其他教育费附加安排的支出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116.78</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116.78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社会保障和就业支出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422.06</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422.06</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行政事业单位养老支出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422.06</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422.06</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事业单位离退休</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161.65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161.65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机关事业单位基本养老保险缴费支出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167.12</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167.12</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机关事业单位职业年金缴费支出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93.29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93.29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卫生健康支出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108.11</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108.11</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行政事业单位医疗</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108.11</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108.11</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事业单位医疗</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71.55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71.55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其他行政事业单位医疗支出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36.56</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36.56</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住房保障支出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住房改革支出</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37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购房补贴</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3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9066" w:type="dxa"/>
            <w:gridSpan w:val="7"/>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注：本表反映部门本年度一般公共预算财政拨款支出情况。</w:t>
            </w:r>
          </w:p>
        </w:tc>
      </w:tr>
    </w:tbl>
    <w:p>
      <w:pPr>
        <w:bidi w:val="0"/>
        <w:jc w:val="left"/>
      </w:pPr>
    </w:p>
    <w:p>
      <w:pPr>
        <w:pStyle w:val="6"/>
        <w:spacing w:before="100" w:after="100" w:line="240" w:lineRule="auto"/>
        <w:ind w:left="0" w:leftChars="0" w:right="0" w:firstLine="0" w:firstLineChars="0"/>
        <w:rPr>
          <w:rFonts w:ascii="Times New Roman" w:hAnsi="Times New Roman" w:eastAsia="Times New Roman" w:cs="Times New Roman"/>
          <w:b w:val="0"/>
          <w:bCs w:val="0"/>
          <w:kern w:val="0"/>
          <w:sz w:val="28"/>
          <w:szCs w:val="28"/>
        </w:rPr>
      </w:pPr>
      <w:bookmarkStart w:id="46" w:name="_Toc256000012"/>
      <w:bookmarkStart w:id="47" w:name="_Toc256000074"/>
      <w:bookmarkStart w:id="48" w:name="_Toc21329"/>
      <w:bookmarkStart w:id="49" w:name="_Toc256000043"/>
      <w:r>
        <w:rPr>
          <w:rFonts w:ascii="黑体" w:hAnsi="黑体" w:eastAsia="黑体" w:cs="黑体"/>
          <w:b w:val="0"/>
          <w:bCs w:val="0"/>
          <w:spacing w:val="0"/>
        </w:rPr>
        <w:t>六、一般公共预算财政拨款基本支出决算表</w:t>
      </w:r>
      <w:bookmarkEnd w:id="46"/>
      <w:bookmarkEnd w:id="47"/>
      <w:bookmarkEnd w:id="48"/>
      <w:bookmarkEnd w:id="49"/>
    </w:p>
    <w:tbl>
      <w:tblPr>
        <w:tblStyle w:val="24"/>
        <w:tblW w:w="9066"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007"/>
        <w:gridCol w:w="1007"/>
        <w:gridCol w:w="1007"/>
        <w:gridCol w:w="1008"/>
        <w:gridCol w:w="1007"/>
        <w:gridCol w:w="1008"/>
        <w:gridCol w:w="1007"/>
        <w:gridCol w:w="1008"/>
        <w:gridCol w:w="10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9066" w:type="dxa"/>
            <w:gridSpan w:val="9"/>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一般公共预算财政拨款基本支出决算表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公开</w:t>
            </w:r>
            <w:r>
              <w:rPr>
                <w:rFonts w:ascii="Times New Roman" w:hAnsi="Times New Roman" w:eastAsia="Times New Roman" w:cs="Times New Roman"/>
                <w:b w:val="0"/>
                <w:bCs w:val="0"/>
                <w:i w:val="0"/>
                <w:iCs w:val="0"/>
                <w:smallCaps w:val="0"/>
                <w:color w:val="000000"/>
                <w:kern w:val="0"/>
                <w:sz w:val="18"/>
                <w:szCs w:val="18"/>
              </w:rPr>
              <w:t>06</w:t>
            </w:r>
            <w:r>
              <w:rPr>
                <w:b w:val="0"/>
                <w:bCs w:val="0"/>
                <w:i w:val="0"/>
                <w:iCs w:val="0"/>
                <w:smallCaps w:val="0"/>
                <w:color w:val="000000"/>
                <w:kern w:val="0"/>
                <w:sz w:val="18"/>
                <w:szCs w:val="18"/>
              </w:rPr>
              <w:t>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4029"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单位：厦门市湖里中心小学</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10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经济分类科目编码</w:t>
            </w:r>
          </w:p>
        </w:tc>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科目名称</w:t>
            </w:r>
          </w:p>
        </w:tc>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w:t>
            </w:r>
          </w:p>
        </w:tc>
        <w:tc>
          <w:tcPr>
            <w:tcW w:w="100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经济分类科目编码</w:t>
            </w:r>
          </w:p>
        </w:tc>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科目名称</w:t>
            </w:r>
          </w:p>
        </w:tc>
        <w:tc>
          <w:tcPr>
            <w:tcW w:w="100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w:t>
            </w:r>
          </w:p>
        </w:tc>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经济分类科目编码</w:t>
            </w:r>
          </w:p>
        </w:tc>
        <w:tc>
          <w:tcPr>
            <w:tcW w:w="100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科目名称</w:t>
            </w:r>
          </w:p>
        </w:tc>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工资福利支出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2,254.61</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商品和服务支出</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237.65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30703</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国内债务发行费用</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基本工资</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300.44</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办公费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112.36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30704</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国外债务发行费用</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津贴补贴</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423.01</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印刷费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资本性支出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奖金</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706.92</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咨询费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31001</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房屋建筑物购建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伙食补助费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手续费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31002</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办公设备购置</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30107</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绩效工资</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125.08</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水费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31003</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专用设备购置</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30108</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机关事业单位基本养老保险缴费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167.12</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电费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17.62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31005</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基础设施建设</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职业年金缴费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93.29</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30207</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邮电费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31006</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大型修缮</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30110</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职工基本医疗保险缴费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71.55</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30208</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取暖费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31007</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信息网络及软件购置更新</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公务员医疗补助缴费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物业管理费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31008</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物资储备</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其他社会保障缴费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49.73</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差旅费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31009</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土地补偿</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住房公积金</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183.23</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因公出国（境）费用</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31010</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安置补助</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医疗费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维修（护）费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22.56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31011</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地上附着物和青苗补偿</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30199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其他工资福利支出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134.23</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租赁费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31012</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拆迁补偿</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对个人和家庭的补助</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167.24</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会议费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31013</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公务用车购置</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离休费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培训费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12.65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31019</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其他交通工具购置</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退休费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30217</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公务接待费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31021</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文物和陈列品购置</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退职（役）费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30218</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专用材料费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31022</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无形资产购置</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抚恤金</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被装购置费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31099</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其他资本性支出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生活补助</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专用燃料费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对企业补助</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救济费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劳务费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11.54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31201</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资本金注入</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30307</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医疗费补助</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30227</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委托业务费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31203</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政府投资基金股权投资</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30308</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助学金</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30228</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工会经费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41.09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31204</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费用补贴</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奖励金</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5.46</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福利费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31205</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利息补贴</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30310</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个人农业生产补贴</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30231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公务用车运行维护费</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31206</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其他资本性补助</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30311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代缴社会保险费</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30239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其他交通费用</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31299</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其他对企业补助</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30399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其他对个人和家庭的补助</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161.78</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30240</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税金及附加费用</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30299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其他商品和服务支出</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11.69</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39907</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国家赔偿费用支出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债务利息及费用支出</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39908</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对民间非营利组织和群众性自治组织补贴</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国内债务付息</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39909</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经常性赠与</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30702</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国外债务付息</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39910</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资本性赠与</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39999</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其他支出</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2014"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人员经费合计</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2,421.85</w:t>
            </w:r>
          </w:p>
        </w:tc>
        <w:tc>
          <w:tcPr>
            <w:tcW w:w="4030"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公用经费合计</w:t>
            </w:r>
          </w:p>
        </w:tc>
        <w:tc>
          <w:tcPr>
            <w:tcW w:w="201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246.29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9066" w:type="dxa"/>
            <w:gridSpan w:val="9"/>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注：本表反映部门本年度一般公共预算财政拨款基本支出明细情况。</w:t>
            </w:r>
          </w:p>
        </w:tc>
      </w:tr>
    </w:tbl>
    <w:p>
      <w:pPr>
        <w:pStyle w:val="6"/>
        <w:numPr>
          <w:ilvl w:val="0"/>
          <w:numId w:val="0"/>
        </w:numPr>
        <w:spacing w:before="100" w:after="100" w:line="240" w:lineRule="auto"/>
        <w:ind w:right="0" w:rightChars="0"/>
        <w:rPr>
          <w:rFonts w:hint="eastAsia" w:ascii="黑体" w:hAnsi="黑体" w:eastAsia="黑体" w:cs="黑体"/>
          <w:b w:val="0"/>
          <w:bCs w:val="0"/>
          <w:spacing w:val="0"/>
          <w:sz w:val="32"/>
          <w:szCs w:val="32"/>
          <w:lang w:val="en-US" w:eastAsia="zh-CN" w:bidi="ar-SA"/>
        </w:rPr>
      </w:pPr>
      <w:bookmarkStart w:id="50" w:name="_Toc256000075"/>
      <w:bookmarkStart w:id="51" w:name="_Toc27456"/>
      <w:bookmarkStart w:id="52" w:name="_Toc256000044"/>
      <w:bookmarkStart w:id="53" w:name="_Toc256000013"/>
    </w:p>
    <w:p>
      <w:pPr>
        <w:pStyle w:val="6"/>
        <w:numPr>
          <w:ilvl w:val="0"/>
          <w:numId w:val="0"/>
        </w:numPr>
        <w:spacing w:before="100" w:after="100" w:line="240" w:lineRule="auto"/>
        <w:ind w:right="0" w:rightChars="0"/>
        <w:rPr>
          <w:rFonts w:hint="eastAsia" w:ascii="黑体" w:hAnsi="黑体" w:eastAsia="黑体" w:cs="黑体"/>
          <w:b w:val="0"/>
          <w:bCs w:val="0"/>
          <w:spacing w:val="0"/>
          <w:sz w:val="32"/>
          <w:szCs w:val="32"/>
          <w:lang w:val="en-US" w:eastAsia="zh-CN" w:bidi="ar-SA"/>
        </w:rPr>
      </w:pPr>
    </w:p>
    <w:p>
      <w:pPr>
        <w:pStyle w:val="6"/>
        <w:numPr>
          <w:ilvl w:val="0"/>
          <w:numId w:val="0"/>
        </w:numPr>
        <w:spacing w:before="100" w:after="100" w:line="240" w:lineRule="auto"/>
        <w:ind w:right="0" w:rightChars="0"/>
        <w:rPr>
          <w:rFonts w:hint="eastAsia" w:ascii="黑体" w:hAnsi="黑体" w:eastAsia="黑体" w:cs="黑体"/>
          <w:b w:val="0"/>
          <w:bCs w:val="0"/>
          <w:spacing w:val="0"/>
          <w:sz w:val="32"/>
          <w:szCs w:val="32"/>
          <w:lang w:val="en-US" w:eastAsia="zh-CN" w:bidi="ar-SA"/>
        </w:rPr>
      </w:pPr>
    </w:p>
    <w:p>
      <w:pPr>
        <w:pStyle w:val="6"/>
        <w:numPr>
          <w:ilvl w:val="0"/>
          <w:numId w:val="0"/>
        </w:numPr>
        <w:spacing w:before="100" w:after="100" w:line="240" w:lineRule="auto"/>
        <w:ind w:right="0" w:rightChars="0"/>
        <w:rPr>
          <w:rFonts w:hint="eastAsia" w:ascii="黑体" w:hAnsi="黑体" w:eastAsia="黑体" w:cs="黑体"/>
          <w:b w:val="0"/>
          <w:bCs w:val="0"/>
          <w:spacing w:val="0"/>
          <w:sz w:val="32"/>
          <w:szCs w:val="32"/>
          <w:lang w:val="en-US" w:eastAsia="zh-CN" w:bidi="ar-SA"/>
        </w:rPr>
      </w:pPr>
    </w:p>
    <w:p>
      <w:pPr>
        <w:pStyle w:val="6"/>
        <w:numPr>
          <w:ilvl w:val="0"/>
          <w:numId w:val="0"/>
        </w:numPr>
        <w:spacing w:before="100" w:after="100" w:line="240" w:lineRule="auto"/>
        <w:ind w:right="0" w:rightChars="0"/>
        <w:rPr>
          <w:rFonts w:hint="eastAsia" w:ascii="黑体" w:hAnsi="黑体" w:eastAsia="黑体" w:cs="黑体"/>
          <w:b w:val="0"/>
          <w:bCs w:val="0"/>
          <w:spacing w:val="0"/>
          <w:sz w:val="32"/>
          <w:szCs w:val="32"/>
          <w:lang w:val="en-US" w:eastAsia="zh-CN" w:bidi="ar-SA"/>
        </w:rPr>
      </w:pPr>
    </w:p>
    <w:p>
      <w:pPr>
        <w:pStyle w:val="5"/>
        <w:rPr>
          <w:rFonts w:hint="eastAsia"/>
          <w:lang w:val="en-US" w:eastAsia="zh-CN"/>
        </w:rPr>
      </w:pPr>
    </w:p>
    <w:p>
      <w:pPr>
        <w:pStyle w:val="6"/>
        <w:numPr>
          <w:ilvl w:val="0"/>
          <w:numId w:val="0"/>
        </w:numPr>
        <w:spacing w:before="100" w:after="100" w:line="240" w:lineRule="auto"/>
        <w:ind w:right="0" w:rightChars="0"/>
        <w:rPr>
          <w:rFonts w:hint="eastAsia" w:ascii="黑体" w:hAnsi="黑体" w:eastAsia="黑体" w:cs="黑体"/>
          <w:b w:val="0"/>
          <w:bCs w:val="0"/>
          <w:spacing w:val="0"/>
          <w:sz w:val="32"/>
          <w:szCs w:val="32"/>
          <w:lang w:val="en-US" w:eastAsia="zh-CN" w:bidi="ar-SA"/>
        </w:rPr>
      </w:pPr>
    </w:p>
    <w:p>
      <w:pPr>
        <w:pStyle w:val="5"/>
        <w:rPr>
          <w:rFonts w:hint="eastAsia"/>
          <w:lang w:val="en-US" w:eastAsia="zh-CN"/>
        </w:rPr>
      </w:pPr>
    </w:p>
    <w:p>
      <w:pPr>
        <w:pStyle w:val="6"/>
        <w:numPr>
          <w:ilvl w:val="0"/>
          <w:numId w:val="0"/>
        </w:numPr>
        <w:spacing w:before="100" w:after="100" w:line="240" w:lineRule="auto"/>
        <w:ind w:right="0" w:rightChars="0"/>
        <w:rPr>
          <w:rFonts w:ascii="黑体" w:hAnsi="黑体" w:eastAsia="黑体" w:cs="黑体"/>
          <w:b w:val="0"/>
          <w:bCs w:val="0"/>
          <w:spacing w:val="0"/>
        </w:rPr>
      </w:pPr>
      <w:r>
        <w:rPr>
          <w:rFonts w:hint="eastAsia" w:ascii="黑体" w:hAnsi="黑体" w:eastAsia="黑体" w:cs="黑体"/>
          <w:b w:val="0"/>
          <w:bCs w:val="0"/>
          <w:spacing w:val="0"/>
          <w:sz w:val="32"/>
          <w:szCs w:val="32"/>
          <w:lang w:val="en-US" w:eastAsia="zh-CN" w:bidi="ar-SA"/>
        </w:rPr>
        <w:t>七、</w:t>
      </w:r>
      <w:r>
        <w:rPr>
          <w:rFonts w:ascii="黑体" w:hAnsi="黑体" w:eastAsia="黑体" w:cs="黑体"/>
          <w:b w:val="0"/>
          <w:bCs w:val="0"/>
          <w:spacing w:val="0"/>
        </w:rPr>
        <w:t>一般公共预算财政拨款“三公”经费支出决算表</w:t>
      </w:r>
      <w:bookmarkEnd w:id="50"/>
      <w:bookmarkEnd w:id="51"/>
      <w:bookmarkEnd w:id="52"/>
      <w:bookmarkEnd w:id="53"/>
    </w:p>
    <w:tbl>
      <w:tblPr>
        <w:tblStyle w:val="24"/>
        <w:tblW w:w="9066"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55"/>
        <w:gridCol w:w="755"/>
        <w:gridCol w:w="755"/>
        <w:gridCol w:w="755"/>
        <w:gridCol w:w="1"/>
        <w:gridCol w:w="755"/>
        <w:gridCol w:w="755"/>
        <w:gridCol w:w="755"/>
        <w:gridCol w:w="1"/>
        <w:gridCol w:w="755"/>
        <w:gridCol w:w="1"/>
        <w:gridCol w:w="755"/>
        <w:gridCol w:w="1"/>
        <w:gridCol w:w="755"/>
        <w:gridCol w:w="755"/>
        <w:gridCol w:w="1"/>
        <w:gridCol w:w="7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9066" w:type="dxa"/>
            <w:gridSpan w:val="17"/>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一般公共预算财政拨款</w:t>
            </w:r>
            <w:r>
              <w:rPr>
                <w:rFonts w:ascii="Times New Roman" w:hAnsi="Times New Roman" w:eastAsia="Times New Roman" w:cs="Times New Roman"/>
                <w:b w:val="0"/>
                <w:bCs w:val="0"/>
                <w:i w:val="0"/>
                <w:iCs w:val="0"/>
                <w:smallCaps w:val="0"/>
                <w:color w:val="000000"/>
                <w:kern w:val="0"/>
                <w:sz w:val="32"/>
                <w:szCs w:val="32"/>
              </w:rPr>
              <w:t>“</w:t>
            </w:r>
            <w:r>
              <w:rPr>
                <w:b w:val="0"/>
                <w:bCs w:val="0"/>
                <w:i w:val="0"/>
                <w:iCs w:val="0"/>
                <w:smallCaps w:val="0"/>
                <w:color w:val="000000"/>
                <w:kern w:val="0"/>
                <w:sz w:val="32"/>
                <w:szCs w:val="32"/>
              </w:rPr>
              <w:t>三公</w:t>
            </w:r>
            <w:r>
              <w:rPr>
                <w:rFonts w:ascii="Times New Roman" w:hAnsi="Times New Roman" w:eastAsia="Times New Roman" w:cs="Times New Roman"/>
                <w:b w:val="0"/>
                <w:bCs w:val="0"/>
                <w:i w:val="0"/>
                <w:iCs w:val="0"/>
                <w:smallCaps w:val="0"/>
                <w:color w:val="000000"/>
                <w:kern w:val="0"/>
                <w:sz w:val="32"/>
                <w:szCs w:val="32"/>
              </w:rPr>
              <w:t>”</w:t>
            </w:r>
            <w:r>
              <w:rPr>
                <w:b w:val="0"/>
                <w:bCs w:val="0"/>
                <w:i w:val="0"/>
                <w:iCs w:val="0"/>
                <w:smallCaps w:val="0"/>
                <w:color w:val="000000"/>
                <w:kern w:val="0"/>
                <w:sz w:val="32"/>
                <w:szCs w:val="32"/>
              </w:rPr>
              <w:t>经费支出决算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7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4531" w:type="dxa"/>
            <w:gridSpan w:val="7"/>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单位：厦门市湖里中心小学</w:t>
            </w:r>
          </w:p>
        </w:tc>
        <w:tc>
          <w:tcPr>
            <w:tcW w:w="75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75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4531" w:type="dxa"/>
            <w:gridSpan w:val="7"/>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预算数</w:t>
            </w:r>
          </w:p>
        </w:tc>
        <w:tc>
          <w:tcPr>
            <w:tcW w:w="4535" w:type="dxa"/>
            <w:gridSpan w:val="10"/>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7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7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因公出国</w:t>
            </w:r>
            <w:r>
              <w:rPr>
                <w:rFonts w:ascii="Times New Roman" w:hAnsi="Times New Roman" w:eastAsia="Times New Roman" w:cs="Times New Roman"/>
                <w:b w:val="0"/>
                <w:bCs w:val="0"/>
                <w:i w:val="0"/>
                <w:iCs w:val="0"/>
                <w:smallCaps w:val="0"/>
                <w:color w:val="000000"/>
                <w:kern w:val="0"/>
                <w:sz w:val="18"/>
                <w:szCs w:val="18"/>
              </w:rPr>
              <w:t xml:space="preserve"> </w:t>
            </w:r>
            <w:r>
              <w:rPr>
                <w:b w:val="0"/>
                <w:bCs w:val="0"/>
                <w:i w:val="0"/>
                <w:iCs w:val="0"/>
                <w:smallCaps w:val="0"/>
                <w:color w:val="000000"/>
                <w:kern w:val="0"/>
                <w:sz w:val="18"/>
                <w:szCs w:val="18"/>
              </w:rPr>
              <w:t>（境）费</w:t>
            </w:r>
          </w:p>
        </w:tc>
        <w:tc>
          <w:tcPr>
            <w:tcW w:w="2266"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公务用车购置及运行维护费</w:t>
            </w:r>
          </w:p>
        </w:tc>
        <w:tc>
          <w:tcPr>
            <w:tcW w:w="7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公务接待费</w:t>
            </w:r>
          </w:p>
        </w:tc>
        <w:tc>
          <w:tcPr>
            <w:tcW w:w="7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756" w:type="dxa"/>
            <w:gridSpan w:val="2"/>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因公出国</w:t>
            </w:r>
            <w:r>
              <w:rPr>
                <w:rFonts w:ascii="Times New Roman" w:hAnsi="Times New Roman" w:eastAsia="Times New Roman" w:cs="Times New Roman"/>
                <w:b w:val="0"/>
                <w:bCs w:val="0"/>
                <w:i w:val="0"/>
                <w:iCs w:val="0"/>
                <w:smallCaps w:val="0"/>
                <w:color w:val="000000"/>
                <w:kern w:val="0"/>
                <w:sz w:val="18"/>
                <w:szCs w:val="18"/>
              </w:rPr>
              <w:t xml:space="preserve"> </w:t>
            </w:r>
            <w:r>
              <w:rPr>
                <w:b w:val="0"/>
                <w:bCs w:val="0"/>
                <w:i w:val="0"/>
                <w:iCs w:val="0"/>
                <w:smallCaps w:val="0"/>
                <w:color w:val="000000"/>
                <w:kern w:val="0"/>
                <w:sz w:val="18"/>
                <w:szCs w:val="18"/>
              </w:rPr>
              <w:t>（境）费</w:t>
            </w:r>
          </w:p>
        </w:tc>
        <w:tc>
          <w:tcPr>
            <w:tcW w:w="2267" w:type="dxa"/>
            <w:gridSpan w:val="5"/>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公务用车购置及运行维护费</w:t>
            </w:r>
          </w:p>
        </w:tc>
        <w:tc>
          <w:tcPr>
            <w:tcW w:w="757" w:type="dxa"/>
            <w:gridSpan w:val="2"/>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小计</w:t>
            </w:r>
            <w:r>
              <w:rPr>
                <w:rFonts w:ascii="Times New Roman" w:hAnsi="Times New Roman" w:eastAsia="Times New Roman" w:cs="Times New Roman"/>
                <w:b w:val="0"/>
                <w:bCs w:val="0"/>
                <w:i w:val="0"/>
                <w:iCs w:val="0"/>
                <w:smallCaps w:val="0"/>
                <w:color w:val="000000"/>
                <w:kern w:val="0"/>
                <w:sz w:val="18"/>
                <w:szCs w:val="18"/>
              </w:rPr>
              <w:t xml:space="preserve"> </w:t>
            </w:r>
          </w:p>
        </w:tc>
        <w:tc>
          <w:tcPr>
            <w:tcW w:w="7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公务用车购置费</w:t>
            </w:r>
          </w:p>
        </w:tc>
        <w:tc>
          <w:tcPr>
            <w:tcW w:w="756" w:type="dxa"/>
            <w:gridSpan w:val="2"/>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公务用车运行维护费</w:t>
            </w: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小计</w:t>
            </w:r>
            <w:r>
              <w:rPr>
                <w:rFonts w:ascii="Times New Roman" w:hAnsi="Times New Roman" w:eastAsia="Times New Roman" w:cs="Times New Roman"/>
                <w:b w:val="0"/>
                <w:bCs w:val="0"/>
                <w:i w:val="0"/>
                <w:iCs w:val="0"/>
                <w:smallCaps w:val="0"/>
                <w:color w:val="000000"/>
                <w:kern w:val="0"/>
                <w:sz w:val="18"/>
                <w:szCs w:val="18"/>
              </w:rPr>
              <w:t xml:space="preserve"> </w:t>
            </w:r>
          </w:p>
        </w:tc>
        <w:tc>
          <w:tcPr>
            <w:tcW w:w="756" w:type="dxa"/>
            <w:gridSpan w:val="2"/>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公务用车购置费</w:t>
            </w:r>
          </w:p>
        </w:tc>
        <w:tc>
          <w:tcPr>
            <w:tcW w:w="7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公务用车运行维护费</w:t>
            </w:r>
          </w:p>
        </w:tc>
        <w:tc>
          <w:tcPr>
            <w:tcW w:w="757"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7"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75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bookmarkStart w:id="118" w:name="_GoBack" w:colFirst="1" w:colLast="11"/>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r>
      <w:bookmarkEnd w:id="118"/>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9066" w:type="dxa"/>
            <w:gridSpan w:val="17"/>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注：本表反映部门本年度财政拨款</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三公</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经费支出预决算情况。其中，预算数为</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三公</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经费全年预算数，反映按规定程序调整后的预算数；决算数是包括当年财政拨款和以前年度结转资金安排的实际支出。</w:t>
            </w:r>
          </w:p>
        </w:tc>
      </w:tr>
    </w:tbl>
    <w:p>
      <w:pPr>
        <w:spacing w:line="360" w:lineRule="auto"/>
        <w:ind w:firstLine="640" w:firstLineChars="200"/>
      </w:pPr>
      <w:r>
        <w:rPr>
          <w:rFonts w:hint="eastAsia" w:ascii="仿宋" w:hAnsi="仿宋" w:eastAsia="仿宋" w:cs="仿宋"/>
          <w:b w:val="0"/>
          <w:bCs w:val="0"/>
          <w:i w:val="0"/>
          <w:iCs w:val="0"/>
          <w:smallCaps w:val="0"/>
          <w:color w:val="000000"/>
          <w:kern w:val="0"/>
          <w:sz w:val="32"/>
          <w:szCs w:val="32"/>
          <w:lang w:eastAsia="zh-CN"/>
        </w:rPr>
        <w:t>本单位</w:t>
      </w:r>
      <w:r>
        <w:rPr>
          <w:rFonts w:hint="eastAsia" w:ascii="仿宋" w:hAnsi="仿宋" w:eastAsia="仿宋" w:cs="仿宋"/>
          <w:b w:val="0"/>
          <w:bCs w:val="0"/>
          <w:i w:val="0"/>
          <w:iCs w:val="0"/>
          <w:smallCaps w:val="0"/>
          <w:color w:val="000000"/>
          <w:kern w:val="0"/>
          <w:sz w:val="32"/>
          <w:szCs w:val="32"/>
          <w:lang w:val="en-US" w:eastAsia="zh-CN"/>
        </w:rPr>
        <w:t>2024年度没有使用一般公共预算财政拨款安排的“三公”经费支出。</w:t>
      </w:r>
    </w:p>
    <w:p>
      <w:pPr>
        <w:pStyle w:val="6"/>
        <w:spacing w:before="100" w:after="100" w:line="240" w:lineRule="auto"/>
        <w:ind w:left="0" w:right="0" w:firstLine="0" w:firstLineChars="0"/>
        <w:rPr>
          <w:rFonts w:ascii="Times New Roman" w:hAnsi="Times New Roman" w:eastAsia="Times New Roman" w:cs="Times New Roman"/>
          <w:b w:val="0"/>
          <w:bCs w:val="0"/>
          <w:kern w:val="0"/>
          <w:sz w:val="28"/>
          <w:szCs w:val="28"/>
        </w:rPr>
      </w:pPr>
      <w:bookmarkStart w:id="54" w:name="_Toc256000076"/>
      <w:bookmarkStart w:id="55" w:name="_Toc256000045"/>
      <w:bookmarkStart w:id="56" w:name="_Toc256000014"/>
      <w:bookmarkStart w:id="57" w:name="_Toc14644"/>
      <w:r>
        <w:rPr>
          <w:rFonts w:ascii="黑体" w:hAnsi="黑体" w:eastAsia="黑体" w:cs="黑体"/>
          <w:b w:val="0"/>
          <w:bCs w:val="0"/>
          <w:spacing w:val="0"/>
        </w:rPr>
        <w:t>八、政府性基金预算财政拨款收入支出决算表</w:t>
      </w:r>
      <w:bookmarkEnd w:id="54"/>
      <w:bookmarkEnd w:id="55"/>
      <w:bookmarkEnd w:id="56"/>
      <w:bookmarkEnd w:id="57"/>
    </w:p>
    <w:tbl>
      <w:tblPr>
        <w:tblStyle w:val="24"/>
        <w:tblpPr w:leftFromText="180" w:rightFromText="180" w:vertAnchor="text" w:horzAnchor="page" w:tblpXSpec="center" w:tblpY="126"/>
        <w:tblOverlap w:val="never"/>
        <w:tblW w:w="9066"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133"/>
        <w:gridCol w:w="1133"/>
        <w:gridCol w:w="1133"/>
        <w:gridCol w:w="1134"/>
        <w:gridCol w:w="1133"/>
        <w:gridCol w:w="1133"/>
        <w:gridCol w:w="1134"/>
        <w:gridCol w:w="11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9066" w:type="dxa"/>
            <w:gridSpan w:val="8"/>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4533"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单位：厦门市湖里中心小学</w:t>
            </w:r>
          </w:p>
        </w:tc>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226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p>
        </w:tc>
        <w:tc>
          <w:tcPr>
            <w:tcW w:w="113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年初结转和结余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13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本年收入</w:t>
            </w:r>
          </w:p>
        </w:tc>
        <w:tc>
          <w:tcPr>
            <w:tcW w:w="340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本年支出</w:t>
            </w:r>
          </w:p>
        </w:tc>
        <w:tc>
          <w:tcPr>
            <w:tcW w:w="113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13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支出功能分类科目编码</w:t>
            </w:r>
          </w:p>
        </w:tc>
        <w:tc>
          <w:tcPr>
            <w:tcW w:w="113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科目名称</w:t>
            </w: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小计</w:t>
            </w:r>
          </w:p>
        </w:tc>
        <w:tc>
          <w:tcPr>
            <w:tcW w:w="113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基本支出</w:t>
            </w:r>
            <w:r>
              <w:rPr>
                <w:rFonts w:ascii="Times New Roman" w:hAnsi="Times New Roman" w:eastAsia="Times New Roman" w:cs="Times New Roman"/>
                <w:b w:val="0"/>
                <w:bCs w:val="0"/>
                <w:i w:val="0"/>
                <w:iCs w:val="0"/>
                <w:smallCaps w:val="0"/>
                <w:color w:val="000000"/>
                <w:kern w:val="0"/>
                <w:sz w:val="18"/>
                <w:szCs w:val="18"/>
              </w:rPr>
              <w:t xml:space="preserve"> </w:t>
            </w:r>
          </w:p>
        </w:tc>
        <w:tc>
          <w:tcPr>
            <w:tcW w:w="113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项目支出</w:t>
            </w: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226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栏次</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226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其他支出</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彩票公益金安排的支出</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用于体育事业的彩票公益金支出</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jc w:val="center"/>
        </w:trPr>
        <w:tc>
          <w:tcPr>
            <w:tcW w:w="9066" w:type="dxa"/>
            <w:gridSpan w:val="8"/>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注：本表反映部门本年度政府性基金预算财政拨款收入、支出及结转和结余情况。</w:t>
            </w:r>
          </w:p>
        </w:tc>
      </w:tr>
    </w:tbl>
    <w:p>
      <w:pPr>
        <w:pStyle w:val="6"/>
        <w:spacing w:before="100" w:after="100" w:line="240" w:lineRule="auto"/>
        <w:ind w:left="0" w:right="0" w:firstLine="0" w:firstLineChars="0"/>
        <w:rPr>
          <w:rFonts w:ascii="Times New Roman" w:hAnsi="Times New Roman" w:eastAsia="Times New Roman" w:cs="Times New Roman"/>
          <w:b/>
          <w:bCs/>
          <w:kern w:val="0"/>
          <w:sz w:val="28"/>
          <w:szCs w:val="28"/>
        </w:rPr>
      </w:pPr>
      <w:bookmarkStart w:id="58" w:name="_Toc19011"/>
      <w:bookmarkStart w:id="59" w:name="_Toc256000046"/>
      <w:bookmarkStart w:id="60" w:name="_Toc256000077"/>
      <w:bookmarkStart w:id="61" w:name="_Toc256000015"/>
      <w:r>
        <w:rPr>
          <w:rFonts w:ascii="黑体" w:hAnsi="黑体" w:eastAsia="黑体" w:cs="黑体"/>
          <w:b/>
          <w:spacing w:val="0"/>
        </w:rPr>
        <w:t>九、国有资本经营预算财政拨款支出决算表</w:t>
      </w:r>
      <w:bookmarkEnd w:id="58"/>
      <w:bookmarkEnd w:id="59"/>
      <w:bookmarkEnd w:id="60"/>
      <w:bookmarkEnd w:id="61"/>
    </w:p>
    <w:tbl>
      <w:tblPr>
        <w:tblStyle w:val="24"/>
        <w:tblpPr w:leftFromText="180" w:rightFromText="180" w:vertAnchor="text" w:horzAnchor="page" w:tblpX="1429" w:tblpY="597"/>
        <w:tblOverlap w:val="never"/>
        <w:tblW w:w="906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813"/>
        <w:gridCol w:w="1813"/>
        <w:gridCol w:w="1813"/>
        <w:gridCol w:w="1814"/>
        <w:gridCol w:w="18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9066" w:type="dxa"/>
            <w:gridSpan w:val="5"/>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8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62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单位：厦门市湖里中心小学</w:t>
            </w:r>
          </w:p>
        </w:tc>
        <w:tc>
          <w:tcPr>
            <w:tcW w:w="18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181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62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p>
        </w:tc>
        <w:tc>
          <w:tcPr>
            <w:tcW w:w="544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81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科目代码</w:t>
            </w:r>
          </w:p>
        </w:tc>
        <w:tc>
          <w:tcPr>
            <w:tcW w:w="181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科目名称</w:t>
            </w:r>
          </w:p>
        </w:tc>
        <w:tc>
          <w:tcPr>
            <w:tcW w:w="181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181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基本支出</w:t>
            </w:r>
          </w:p>
        </w:tc>
        <w:tc>
          <w:tcPr>
            <w:tcW w:w="181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62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栏次</w:t>
            </w:r>
          </w:p>
        </w:tc>
        <w:tc>
          <w:tcPr>
            <w:tcW w:w="1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8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62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1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9066" w:type="dxa"/>
            <w:gridSpan w:val="5"/>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注：本表反映部门本年度国有资本经营预算财政拨款支出情况。</w:t>
            </w:r>
          </w:p>
        </w:tc>
      </w:tr>
    </w:tbl>
    <w:p>
      <w:pPr>
        <w:pStyle w:val="26"/>
        <w:widowControl/>
        <w:spacing w:before="240" w:after="240" w:line="360" w:lineRule="auto"/>
        <w:ind w:firstLine="640" w:firstLineChars="200"/>
        <w:jc w:val="both"/>
        <w:rPr>
          <w:rFonts w:ascii="黑体" w:hAnsi="黑体" w:eastAsia="黑体" w:cs="黑体"/>
          <w:kern w:val="0"/>
          <w:sz w:val="36"/>
          <w:szCs w:val="36"/>
        </w:rPr>
      </w:pPr>
      <w:r>
        <w:rPr>
          <w:rFonts w:hint="eastAsia" w:ascii="仿宋" w:hAnsi="仿宋" w:eastAsia="仿宋" w:cs="仿宋"/>
          <w:kern w:val="0"/>
          <w:sz w:val="32"/>
          <w:szCs w:val="32"/>
        </w:rPr>
        <w:t>本</w:t>
      </w:r>
      <w:r>
        <w:rPr>
          <w:rFonts w:hint="eastAsia" w:ascii="仿宋" w:hAnsi="仿宋" w:eastAsia="仿宋" w:cs="仿宋"/>
          <w:kern w:val="0"/>
          <w:sz w:val="32"/>
          <w:szCs w:val="32"/>
          <w:lang w:eastAsia="zh-CN"/>
        </w:rPr>
        <w:t>单位</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年度没有使用国有资本经营预算财政拨款安排的</w:t>
      </w:r>
      <w:r>
        <w:rPr>
          <w:rFonts w:hint="eastAsia" w:ascii="仿宋" w:hAnsi="仿宋" w:eastAsia="仿宋" w:cs="仿宋"/>
          <w:kern w:val="0"/>
          <w:sz w:val="32"/>
          <w:szCs w:val="32"/>
          <w:lang w:eastAsia="zh-CN"/>
        </w:rPr>
        <w:t>支出。</w:t>
      </w:r>
    </w:p>
    <w:p>
      <w:pPr>
        <w:pStyle w:val="26"/>
        <w:widowControl/>
        <w:spacing w:before="240" w:after="240"/>
        <w:jc w:val="center"/>
        <w:rPr>
          <w:rFonts w:ascii="黑体" w:hAnsi="黑体" w:eastAsia="黑体" w:cs="黑体"/>
          <w:kern w:val="0"/>
          <w:sz w:val="36"/>
          <w:szCs w:val="36"/>
        </w:rPr>
      </w:pPr>
    </w:p>
    <w:p>
      <w:pPr>
        <w:pStyle w:val="26"/>
        <w:widowControl/>
        <w:spacing w:before="240" w:after="240" w:line="360" w:lineRule="auto"/>
        <w:jc w:val="center"/>
        <w:rPr>
          <w:rFonts w:ascii="Times New Roman" w:hAnsi="Times New Roman" w:eastAsia="Times New Roman" w:cs="Times New Roman"/>
          <w:kern w:val="0"/>
          <w:sz w:val="24"/>
        </w:rPr>
      </w:pPr>
      <w:r>
        <w:rPr>
          <w:rFonts w:ascii="黑体" w:hAnsi="黑体" w:eastAsia="黑体" w:cs="黑体"/>
          <w:kern w:val="0"/>
          <w:sz w:val="36"/>
          <w:szCs w:val="36"/>
        </w:rPr>
        <w:t>第三部分 </w:t>
      </w:r>
      <w:bookmarkStart w:id="62" w:name="_Toc256000017"/>
      <w:bookmarkStart w:id="63" w:name="_Toc256000110"/>
      <w:bookmarkStart w:id="64" w:name="_Toc256000048"/>
      <w:bookmarkStart w:id="65" w:name="_Toc256000079"/>
      <w:r>
        <w:rPr>
          <w:rFonts w:ascii="黑体" w:hAnsi="黑体" w:eastAsia="黑体" w:cs="黑体"/>
          <w:kern w:val="0"/>
          <w:sz w:val="36"/>
          <w:szCs w:val="36"/>
        </w:rPr>
        <w:t>2024年度决算情况说明</w:t>
      </w:r>
      <w:bookmarkEnd w:id="62"/>
      <w:bookmarkEnd w:id="63"/>
      <w:bookmarkEnd w:id="64"/>
      <w:bookmarkEnd w:id="65"/>
    </w:p>
    <w:p>
      <w:pPr>
        <w:pStyle w:val="6"/>
        <w:pageBreakBefore w:val="0"/>
        <w:widowControl/>
        <w:kinsoku/>
        <w:wordWrap/>
        <w:overflowPunct/>
        <w:topLinePunct w:val="0"/>
        <w:autoSpaceDE/>
        <w:autoSpaceDN/>
        <w:bidi w:val="0"/>
        <w:adjustRightInd/>
        <w:snapToGrid/>
        <w:spacing w:before="100" w:after="100" w:line="360" w:lineRule="auto"/>
        <w:ind w:left="0" w:leftChars="0" w:right="0" w:firstLine="643" w:firstLineChars="200"/>
        <w:textAlignment w:val="auto"/>
        <w:rPr>
          <w:rFonts w:ascii="Times New Roman" w:hAnsi="Times New Roman" w:eastAsia="Times New Roman" w:cs="Times New Roman"/>
          <w:b/>
          <w:bCs/>
          <w:kern w:val="0"/>
          <w:sz w:val="28"/>
          <w:szCs w:val="28"/>
        </w:rPr>
      </w:pPr>
      <w:bookmarkStart w:id="66" w:name="_Toc256000049"/>
      <w:bookmarkStart w:id="67" w:name="_Toc319"/>
      <w:bookmarkStart w:id="68" w:name="_Toc256000018"/>
      <w:bookmarkStart w:id="69" w:name="_Toc256000080"/>
      <w:r>
        <w:rPr>
          <w:rFonts w:ascii="黑体" w:hAnsi="黑体" w:eastAsia="黑体" w:cs="黑体"/>
          <w:b/>
          <w:spacing w:val="0"/>
        </w:rPr>
        <w:t>一、收入支出决算总体情况说明</w:t>
      </w:r>
      <w:bookmarkEnd w:id="66"/>
      <w:bookmarkEnd w:id="67"/>
      <w:bookmarkEnd w:id="68"/>
      <w:bookmarkEnd w:id="69"/>
    </w:p>
    <w:p>
      <w:pPr>
        <w:pStyle w:val="26"/>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spacing w:val="0"/>
          <w:kern w:val="0"/>
          <w:sz w:val="32"/>
          <w:szCs w:val="32"/>
        </w:rPr>
        <w:t>（一）收入支出决算总体情况说明</w:t>
      </w:r>
    </w:p>
    <w:p>
      <w:pPr>
        <w:pStyle w:val="26"/>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hint="eastAsia" w:ascii="仿宋" w:hAnsi="仿宋" w:eastAsia="仿宋" w:cs="仿宋"/>
          <w:spacing w:val="0"/>
          <w:kern w:val="0"/>
          <w:sz w:val="32"/>
          <w:szCs w:val="32"/>
        </w:rPr>
      </w:pPr>
      <w:r>
        <w:rPr>
          <w:rFonts w:ascii="仿宋" w:hAnsi="仿宋" w:eastAsia="仿宋" w:cs="仿宋"/>
          <w:spacing w:val="0"/>
          <w:kern w:val="0"/>
          <w:sz w:val="32"/>
          <w:szCs w:val="32"/>
        </w:rPr>
        <w:t>2024年度本单位收入总计2908.06万元，支出总计2908.06万元，与上年决算数相比，各增加54.56万元，各增长1.91%。主要是</w:t>
      </w:r>
      <w:r>
        <w:rPr>
          <w:rFonts w:hint="eastAsia" w:ascii="仿宋" w:hAnsi="仿宋" w:eastAsia="仿宋" w:cs="仿宋"/>
          <w:spacing w:val="0"/>
          <w:kern w:val="0"/>
          <w:sz w:val="32"/>
          <w:szCs w:val="32"/>
        </w:rPr>
        <w:t>校园建设投入增</w:t>
      </w:r>
      <w:r>
        <w:rPr>
          <w:rFonts w:hint="eastAsia" w:ascii="仿宋" w:hAnsi="仿宋" w:eastAsia="仿宋" w:cs="仿宋"/>
          <w:spacing w:val="0"/>
          <w:kern w:val="0"/>
          <w:sz w:val="32"/>
          <w:szCs w:val="32"/>
          <w:lang w:val="en-US" w:eastAsia="zh-CN"/>
        </w:rPr>
        <w:t>多</w:t>
      </w:r>
      <w:r>
        <w:rPr>
          <w:rFonts w:hint="eastAsia" w:ascii="仿宋" w:hAnsi="仿宋" w:eastAsia="仿宋" w:cs="仿宋"/>
          <w:spacing w:val="0"/>
          <w:kern w:val="0"/>
          <w:sz w:val="32"/>
          <w:szCs w:val="32"/>
        </w:rPr>
        <w:t>。</w:t>
      </w:r>
    </w:p>
    <w:p>
      <w:pPr>
        <w:pStyle w:val="26"/>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spacing w:val="0"/>
          <w:kern w:val="0"/>
          <w:sz w:val="32"/>
          <w:szCs w:val="32"/>
        </w:rPr>
        <w:t>（二）收入决算情况说明</w:t>
      </w:r>
    </w:p>
    <w:p>
      <w:pPr>
        <w:pStyle w:val="26"/>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2024年度收入2908.06万元，比上年决算数</w:t>
      </w:r>
      <w:r>
        <w:rPr>
          <w:rFonts w:ascii="仿宋" w:hAnsi="仿宋" w:eastAsia="仿宋" w:cs="仿宋"/>
          <w:kern w:val="0"/>
          <w:sz w:val="32"/>
          <w:szCs w:val="32"/>
        </w:rPr>
        <w:t>增加</w:t>
      </w:r>
      <w:r>
        <w:rPr>
          <w:rFonts w:ascii="仿宋" w:hAnsi="仿宋" w:eastAsia="仿宋" w:cs="仿宋"/>
          <w:spacing w:val="0"/>
          <w:kern w:val="0"/>
          <w:sz w:val="32"/>
          <w:szCs w:val="32"/>
        </w:rPr>
        <w:t>54.56万元，</w:t>
      </w:r>
      <w:r>
        <w:rPr>
          <w:rFonts w:ascii="仿宋" w:hAnsi="仿宋" w:eastAsia="仿宋" w:cs="仿宋"/>
          <w:kern w:val="0"/>
          <w:sz w:val="32"/>
          <w:szCs w:val="32"/>
        </w:rPr>
        <w:t>增长</w:t>
      </w:r>
      <w:r>
        <w:rPr>
          <w:rFonts w:ascii="仿宋" w:hAnsi="仿宋" w:eastAsia="仿宋" w:cs="仿宋"/>
          <w:spacing w:val="0"/>
          <w:kern w:val="0"/>
          <w:sz w:val="32"/>
          <w:szCs w:val="32"/>
        </w:rPr>
        <w:t>1.91%，具体情况如下：</w:t>
      </w:r>
    </w:p>
    <w:p>
      <w:pPr>
        <w:pStyle w:val="26"/>
        <w:pageBreakBefore w:val="0"/>
        <w:widowControl/>
        <w:kinsoku/>
        <w:wordWrap/>
        <w:overflowPunct/>
        <w:topLinePunct w:val="0"/>
        <w:autoSpaceDE/>
        <w:autoSpaceDN/>
        <w:bidi w:val="0"/>
        <w:adjustRightInd/>
        <w:snapToGrid/>
        <w:spacing w:before="100" w:after="100" w:line="360" w:lineRule="auto"/>
        <w:ind w:left="160" w:right="0" w:firstLine="48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1.一般公共预算财政拨款收入2906.64万元。</w:t>
      </w:r>
    </w:p>
    <w:p>
      <w:pPr>
        <w:pStyle w:val="26"/>
        <w:pageBreakBefore w:val="0"/>
        <w:widowControl/>
        <w:kinsoku/>
        <w:wordWrap/>
        <w:overflowPunct/>
        <w:topLinePunct w:val="0"/>
        <w:autoSpaceDE/>
        <w:autoSpaceDN/>
        <w:bidi w:val="0"/>
        <w:adjustRightInd/>
        <w:snapToGrid/>
        <w:spacing w:before="100" w:after="100" w:line="360" w:lineRule="auto"/>
        <w:ind w:left="160" w:right="0" w:firstLine="48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2.政府性基金预算财政拨款收入1.42万元。</w:t>
      </w:r>
    </w:p>
    <w:p>
      <w:pPr>
        <w:pStyle w:val="26"/>
        <w:pageBreakBefore w:val="0"/>
        <w:widowControl/>
        <w:kinsoku/>
        <w:wordWrap/>
        <w:overflowPunct/>
        <w:topLinePunct w:val="0"/>
        <w:autoSpaceDE/>
        <w:autoSpaceDN/>
        <w:bidi w:val="0"/>
        <w:adjustRightInd/>
        <w:snapToGrid/>
        <w:spacing w:before="100" w:after="100" w:line="360" w:lineRule="auto"/>
        <w:ind w:left="160" w:right="0" w:firstLine="48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3.国有资本经营预算财政拨款收入0万元。</w:t>
      </w:r>
    </w:p>
    <w:p>
      <w:pPr>
        <w:pStyle w:val="26"/>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4.上级补助收入0万元。</w:t>
      </w:r>
    </w:p>
    <w:p>
      <w:pPr>
        <w:pStyle w:val="26"/>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5.事业收入0万元。</w:t>
      </w:r>
    </w:p>
    <w:p>
      <w:pPr>
        <w:pStyle w:val="26"/>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6.经营收入0万元。</w:t>
      </w:r>
    </w:p>
    <w:p>
      <w:pPr>
        <w:pStyle w:val="26"/>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7.附属单位上缴收入0万元。</w:t>
      </w:r>
    </w:p>
    <w:p>
      <w:pPr>
        <w:pStyle w:val="26"/>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spacing w:val="0"/>
          <w:kern w:val="0"/>
          <w:sz w:val="32"/>
          <w:szCs w:val="32"/>
        </w:rPr>
      </w:pPr>
      <w:r>
        <w:rPr>
          <w:rFonts w:ascii="仿宋" w:hAnsi="仿宋" w:eastAsia="仿宋" w:cs="仿宋"/>
          <w:spacing w:val="0"/>
          <w:kern w:val="0"/>
          <w:sz w:val="32"/>
          <w:szCs w:val="32"/>
        </w:rPr>
        <w:t>8.其他收入0万元。</w:t>
      </w:r>
    </w:p>
    <w:p>
      <w:pPr>
        <w:pStyle w:val="26"/>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hint="eastAsia" w:eastAsia="宋体"/>
          <w:lang w:eastAsia="zh-CN"/>
        </w:rPr>
      </w:pPr>
      <w:r>
        <w:rPr>
          <w:spacing w:val="0"/>
          <w:kern w:val="0"/>
          <w:sz w:val="32"/>
          <w:szCs w:val="32"/>
        </w:rPr>
        <w:t>（三）支出决算情况说明</w:t>
      </w:r>
    </w:p>
    <w:p>
      <w:pPr>
        <w:pStyle w:val="26"/>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2024年度支出2908.06万元，比上年决算数增加54.56万元，增长1.91%，具体情况如下：</w:t>
      </w:r>
    </w:p>
    <w:p>
      <w:pPr>
        <w:pStyle w:val="26"/>
        <w:keepNext w:val="0"/>
        <w:keepLines w:val="0"/>
        <w:pageBreakBefore w:val="0"/>
        <w:widowControl/>
        <w:kinsoku/>
        <w:wordWrap/>
        <w:overflowPunct/>
        <w:topLinePunct w:val="0"/>
        <w:autoSpaceDE/>
        <w:autoSpaceDN/>
        <w:bidi w:val="0"/>
        <w:adjustRightInd/>
        <w:snapToGrid/>
        <w:spacing w:before="100" w:after="100" w:line="360" w:lineRule="auto"/>
        <w:ind w:right="0" w:firstLine="641"/>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1.基本支出2668.14万元。其中，人员支出2421.85万元，公用支出246.29万元。</w:t>
      </w:r>
    </w:p>
    <w:p>
      <w:pPr>
        <w:pStyle w:val="26"/>
        <w:keepNext w:val="0"/>
        <w:keepLines w:val="0"/>
        <w:pageBreakBefore w:val="0"/>
        <w:widowControl/>
        <w:kinsoku/>
        <w:wordWrap/>
        <w:overflowPunct/>
        <w:topLinePunct w:val="0"/>
        <w:autoSpaceDE/>
        <w:autoSpaceDN/>
        <w:bidi w:val="0"/>
        <w:adjustRightInd/>
        <w:snapToGrid/>
        <w:spacing w:before="240" w:after="240" w:line="360" w:lineRule="auto"/>
        <w:ind w:right="0" w:firstLine="641"/>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2.项目支出239.92万元。</w:t>
      </w:r>
    </w:p>
    <w:p>
      <w:pPr>
        <w:pStyle w:val="26"/>
        <w:keepNext w:val="0"/>
        <w:keepLines w:val="0"/>
        <w:pageBreakBefore w:val="0"/>
        <w:widowControl/>
        <w:kinsoku/>
        <w:wordWrap/>
        <w:overflowPunct/>
        <w:topLinePunct w:val="0"/>
        <w:autoSpaceDE/>
        <w:autoSpaceDN/>
        <w:bidi w:val="0"/>
        <w:adjustRightInd/>
        <w:snapToGrid/>
        <w:spacing w:before="100" w:after="100" w:line="360" w:lineRule="auto"/>
        <w:ind w:right="0" w:firstLine="641"/>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3.上缴上级支出0万元。</w:t>
      </w:r>
    </w:p>
    <w:p>
      <w:pPr>
        <w:pStyle w:val="26"/>
        <w:keepNext w:val="0"/>
        <w:keepLines w:val="0"/>
        <w:pageBreakBefore w:val="0"/>
        <w:widowControl/>
        <w:kinsoku/>
        <w:wordWrap/>
        <w:overflowPunct/>
        <w:topLinePunct w:val="0"/>
        <w:autoSpaceDE/>
        <w:autoSpaceDN/>
        <w:bidi w:val="0"/>
        <w:adjustRightInd/>
        <w:snapToGrid/>
        <w:spacing w:before="100" w:after="100" w:line="360" w:lineRule="auto"/>
        <w:ind w:right="0" w:firstLine="641"/>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4.经营支出0万元。</w:t>
      </w:r>
    </w:p>
    <w:p>
      <w:pPr>
        <w:pStyle w:val="26"/>
        <w:pageBreakBefore w:val="0"/>
        <w:widowControl/>
        <w:kinsoku/>
        <w:wordWrap/>
        <w:overflowPunct/>
        <w:topLinePunct w:val="0"/>
        <w:autoSpaceDE/>
        <w:autoSpaceDN/>
        <w:bidi w:val="0"/>
        <w:adjustRightInd/>
        <w:snapToGrid/>
        <w:spacing w:before="100" w:after="100" w:line="360" w:lineRule="auto"/>
        <w:ind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5.对附属单位补助支出0万元。</w:t>
      </w:r>
    </w:p>
    <w:p>
      <w:pPr>
        <w:pStyle w:val="6"/>
        <w:pageBreakBefore w:val="0"/>
        <w:widowControl/>
        <w:kinsoku/>
        <w:wordWrap/>
        <w:overflowPunct/>
        <w:topLinePunct w:val="0"/>
        <w:autoSpaceDE/>
        <w:autoSpaceDN/>
        <w:bidi w:val="0"/>
        <w:adjustRightInd/>
        <w:snapToGrid/>
        <w:spacing w:before="100" w:after="100" w:line="360" w:lineRule="auto"/>
        <w:ind w:left="0" w:right="0" w:firstLine="480" w:firstLineChars="0"/>
        <w:jc w:val="both"/>
        <w:textAlignment w:val="auto"/>
        <w:rPr>
          <w:rFonts w:ascii="Times New Roman" w:hAnsi="Times New Roman" w:eastAsia="Times New Roman" w:cs="Times New Roman"/>
          <w:b/>
          <w:bCs/>
          <w:kern w:val="0"/>
          <w:sz w:val="28"/>
          <w:szCs w:val="28"/>
        </w:rPr>
      </w:pPr>
      <w:bookmarkStart w:id="70" w:name="_Toc256000019"/>
      <w:bookmarkStart w:id="71" w:name="_Toc256000050"/>
      <w:bookmarkStart w:id="72" w:name="_Toc256000081"/>
      <w:bookmarkStart w:id="73" w:name="_Toc27097"/>
      <w:r>
        <w:rPr>
          <w:rFonts w:ascii="黑体" w:hAnsi="黑体" w:eastAsia="黑体" w:cs="黑体"/>
          <w:b/>
          <w:spacing w:val="0"/>
        </w:rPr>
        <w:t>二、财政拨款收入支出决算总体情况说明</w:t>
      </w:r>
      <w:bookmarkEnd w:id="70"/>
      <w:bookmarkEnd w:id="71"/>
      <w:bookmarkEnd w:id="72"/>
      <w:bookmarkEnd w:id="73"/>
    </w:p>
    <w:p>
      <w:pPr>
        <w:pStyle w:val="26"/>
        <w:keepNext w:val="0"/>
        <w:keepLines w:val="0"/>
        <w:pageBreakBefore w:val="0"/>
        <w:widowControl/>
        <w:kinsoku/>
        <w:wordWrap/>
        <w:overflowPunct/>
        <w:topLinePunct w:val="0"/>
        <w:autoSpaceDE/>
        <w:autoSpaceDN/>
        <w:bidi w:val="0"/>
        <w:adjustRightInd/>
        <w:snapToGrid/>
        <w:spacing w:before="100" w:after="100" w:line="360" w:lineRule="auto"/>
        <w:ind w:left="0" w:right="0" w:firstLine="641"/>
        <w:jc w:val="both"/>
        <w:textAlignment w:val="auto"/>
        <w:rPr>
          <w:rFonts w:hint="eastAsia" w:ascii="Times New Roman" w:hAnsi="Times New Roman" w:eastAsia="仿宋" w:cs="Times New Roman"/>
          <w:kern w:val="0"/>
          <w:sz w:val="24"/>
          <w:lang w:eastAsia="zh-CN"/>
        </w:rPr>
      </w:pPr>
      <w:r>
        <w:rPr>
          <w:rFonts w:ascii="仿宋" w:hAnsi="仿宋" w:eastAsia="仿宋" w:cs="仿宋"/>
          <w:spacing w:val="0"/>
          <w:kern w:val="0"/>
          <w:sz w:val="32"/>
          <w:szCs w:val="32"/>
        </w:rPr>
        <w:t>2024年度财政拨款收入总计2908.06万元，支出总计2908.06万元，与上年决算数相比，各增加54.56万元，增长1.91%，主要是：</w:t>
      </w:r>
      <w:r>
        <w:rPr>
          <w:rFonts w:hint="eastAsia" w:ascii="仿宋" w:hAnsi="仿宋" w:eastAsia="仿宋" w:cs="仿宋"/>
          <w:spacing w:val="0"/>
          <w:kern w:val="0"/>
          <w:sz w:val="32"/>
          <w:szCs w:val="32"/>
        </w:rPr>
        <w:t>校园建设投入增多</w:t>
      </w:r>
      <w:r>
        <w:rPr>
          <w:rFonts w:hint="eastAsia" w:ascii="仿宋" w:hAnsi="仿宋" w:eastAsia="仿宋" w:cs="仿宋"/>
          <w:spacing w:val="0"/>
          <w:kern w:val="0"/>
          <w:sz w:val="32"/>
          <w:szCs w:val="32"/>
          <w:lang w:eastAsia="zh-CN"/>
        </w:rPr>
        <w:t>。</w:t>
      </w:r>
    </w:p>
    <w:p>
      <w:pPr>
        <w:pStyle w:val="6"/>
        <w:pageBreakBefore w:val="0"/>
        <w:widowControl/>
        <w:kinsoku/>
        <w:wordWrap/>
        <w:overflowPunct/>
        <w:topLinePunct w:val="0"/>
        <w:autoSpaceDE/>
        <w:autoSpaceDN/>
        <w:bidi w:val="0"/>
        <w:adjustRightInd/>
        <w:snapToGrid/>
        <w:spacing w:before="100" w:after="100" w:line="360" w:lineRule="auto"/>
        <w:ind w:left="0" w:right="0" w:firstLine="640" w:firstLineChars="0"/>
        <w:jc w:val="both"/>
        <w:textAlignment w:val="auto"/>
        <w:rPr>
          <w:rFonts w:ascii="Times New Roman" w:hAnsi="Times New Roman" w:eastAsia="Times New Roman" w:cs="Times New Roman"/>
          <w:b/>
          <w:bCs/>
          <w:kern w:val="0"/>
          <w:sz w:val="28"/>
          <w:szCs w:val="28"/>
        </w:rPr>
      </w:pPr>
      <w:bookmarkStart w:id="74" w:name="_Toc256000082"/>
      <w:bookmarkStart w:id="75" w:name="_Toc256000051"/>
      <w:bookmarkStart w:id="76" w:name="_Toc256000020"/>
      <w:bookmarkStart w:id="77" w:name="_Toc6683"/>
      <w:r>
        <w:rPr>
          <w:rFonts w:ascii="黑体" w:hAnsi="黑体" w:eastAsia="黑体" w:cs="黑体"/>
          <w:b/>
          <w:spacing w:val="0"/>
        </w:rPr>
        <w:t>三、一般公共预算拨款支出决算情况说明</w:t>
      </w:r>
      <w:bookmarkEnd w:id="74"/>
      <w:bookmarkEnd w:id="75"/>
      <w:bookmarkEnd w:id="76"/>
      <w:bookmarkEnd w:id="77"/>
    </w:p>
    <w:p>
      <w:pPr>
        <w:pStyle w:val="26"/>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仿宋" w:hAnsi="仿宋" w:eastAsia="仿宋" w:cs="仿宋"/>
          <w:spacing w:val="0"/>
          <w:kern w:val="0"/>
          <w:sz w:val="32"/>
          <w:szCs w:val="32"/>
        </w:rPr>
      </w:pPr>
      <w:r>
        <w:rPr>
          <w:rFonts w:ascii="仿宋" w:hAnsi="仿宋" w:eastAsia="仿宋" w:cs="仿宋"/>
          <w:spacing w:val="0"/>
          <w:kern w:val="0"/>
          <w:sz w:val="32"/>
          <w:szCs w:val="32"/>
        </w:rPr>
        <w:t>2024年一般公共预算支出2906.64万元，比上年决算数增加71.73万元，增长2.53%，具体情况如下(按</w:t>
      </w:r>
      <w:r>
        <w:rPr>
          <w:rStyle w:val="32"/>
          <w:rFonts w:ascii="仿宋" w:hAnsi="仿宋" w:eastAsia="仿宋" w:cs="仿宋"/>
          <w:spacing w:val="0"/>
          <w:kern w:val="0"/>
          <w:sz w:val="32"/>
          <w:szCs w:val="32"/>
        </w:rPr>
        <w:t>项级科目</w:t>
      </w:r>
      <w:r>
        <w:rPr>
          <w:rFonts w:ascii="仿宋" w:hAnsi="仿宋" w:eastAsia="仿宋" w:cs="仿宋"/>
          <w:spacing w:val="0"/>
          <w:kern w:val="0"/>
          <w:sz w:val="32"/>
          <w:szCs w:val="32"/>
        </w:rPr>
        <w:t>分类统计)：</w:t>
      </w:r>
    </w:p>
    <w:p>
      <w:pPr>
        <w:pStyle w:val="26"/>
        <w:pageBreakBefore w:val="0"/>
        <w:widowControl/>
        <w:kinsoku/>
        <w:wordWrap/>
        <w:overflowPunct/>
        <w:topLinePunct w:val="0"/>
        <w:autoSpaceDE/>
        <w:autoSpaceDN/>
        <w:bidi w:val="0"/>
        <w:adjustRightInd/>
        <w:snapToGrid/>
        <w:spacing w:before="100" w:after="100" w:line="360" w:lineRule="auto"/>
        <w:ind w:right="0" w:firstLine="640" w:firstLineChars="200"/>
        <w:jc w:val="both"/>
        <w:textAlignment w:val="auto"/>
        <w:rPr>
          <w:rFonts w:hint="eastAsia" w:ascii="仿宋" w:hAnsi="仿宋" w:eastAsia="仿宋" w:cs="仿宋"/>
          <w:spacing w:val="0"/>
          <w:kern w:val="0"/>
          <w:sz w:val="32"/>
          <w:szCs w:val="32"/>
          <w:lang w:val="en-US" w:eastAsia="zh-CN"/>
        </w:rPr>
      </w:pPr>
      <w:r>
        <w:rPr>
          <w:rFonts w:ascii="仿宋" w:hAnsi="仿宋" w:eastAsia="仿宋" w:cs="仿宋"/>
          <w:spacing w:val="0"/>
          <w:kern w:val="0"/>
          <w:sz w:val="32"/>
          <w:szCs w:val="32"/>
        </w:rPr>
        <w:t>（一）2050202 小学教育2,070.97万元，较上年决算数减少9.67万元，下降0.46%。主要原因是</w:t>
      </w:r>
      <w:r>
        <w:rPr>
          <w:rFonts w:hint="eastAsia" w:ascii="仿宋" w:hAnsi="仿宋" w:eastAsia="仿宋" w:cs="仿宋"/>
          <w:spacing w:val="0"/>
          <w:kern w:val="0"/>
          <w:sz w:val="32"/>
          <w:szCs w:val="32"/>
          <w:lang w:val="en-US" w:eastAsia="zh-CN"/>
        </w:rPr>
        <w:t>教职工人数减少。</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（二）2050299 其他普通教育支出176.37万元，较上年决算数增加21.35万元，增长13.77%。主要原因是</w:t>
      </w:r>
      <w:r>
        <w:rPr>
          <w:rFonts w:hint="eastAsia" w:ascii="仿宋" w:hAnsi="仿宋" w:eastAsia="仿宋" w:cs="仿宋"/>
          <w:spacing w:val="0"/>
          <w:kern w:val="0"/>
          <w:sz w:val="32"/>
          <w:szCs w:val="32"/>
          <w:lang w:val="en-US" w:eastAsia="zh-CN"/>
        </w:rPr>
        <w:t>用于少先队长廊建设、党建活动室改造和学生活动中心建设等。</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（三）2050999 其他教育费附加安排的支出116.78万元，较上年决算数增加78.16万元，增长202.35%。主要原因是</w:t>
      </w:r>
      <w:r>
        <w:rPr>
          <w:rFonts w:hint="eastAsia" w:ascii="仿宋" w:hAnsi="仿宋" w:eastAsia="仿宋" w:cs="仿宋"/>
          <w:spacing w:val="0"/>
          <w:kern w:val="0"/>
          <w:sz w:val="32"/>
          <w:szCs w:val="32"/>
          <w:lang w:val="en-US" w:eastAsia="zh-CN"/>
        </w:rPr>
        <w:t>用于教学楼立面花池拆除和走廊结构加固修缮工程以及学生课桌椅采购项目。</w:t>
      </w:r>
    </w:p>
    <w:p>
      <w:pPr>
        <w:pStyle w:val="26"/>
        <w:pageBreakBefore w:val="0"/>
        <w:widowControl/>
        <w:kinsoku/>
        <w:wordWrap/>
        <w:overflowPunct/>
        <w:topLinePunct w:val="0"/>
        <w:autoSpaceDE/>
        <w:autoSpaceDN/>
        <w:bidi w:val="0"/>
        <w:adjustRightInd/>
        <w:snapToGrid/>
        <w:spacing w:before="100" w:after="100" w:line="360" w:lineRule="auto"/>
        <w:ind w:right="0" w:firstLine="640" w:firstLineChars="200"/>
        <w:jc w:val="both"/>
        <w:textAlignment w:val="auto"/>
        <w:rPr>
          <w:rFonts w:hint="default" w:ascii="Times New Roman" w:hAnsi="Times New Roman" w:eastAsia="仿宋" w:cs="Times New Roman"/>
          <w:kern w:val="0"/>
          <w:sz w:val="24"/>
          <w:lang w:val="en-US" w:eastAsia="zh-CN"/>
        </w:rPr>
      </w:pPr>
      <w:r>
        <w:rPr>
          <w:rFonts w:ascii="仿宋" w:hAnsi="仿宋" w:eastAsia="仿宋" w:cs="仿宋"/>
          <w:spacing w:val="0"/>
          <w:kern w:val="0"/>
          <w:sz w:val="32"/>
          <w:szCs w:val="32"/>
        </w:rPr>
        <w:t>（四）2080502 事业单位离退休161.65万元，较上年决算数减少12.34万元，下降7.09%。主要原因是</w:t>
      </w:r>
      <w:r>
        <w:rPr>
          <w:rFonts w:hint="eastAsia" w:ascii="仿宋" w:hAnsi="仿宋" w:eastAsia="仿宋" w:cs="仿宋"/>
          <w:spacing w:val="0"/>
          <w:kern w:val="0"/>
          <w:sz w:val="32"/>
          <w:szCs w:val="32"/>
          <w:lang w:val="en-US" w:eastAsia="zh-CN"/>
        </w:rPr>
        <w:t>退休人员减少。</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（五</w:t>
      </w:r>
      <w:r>
        <w:rPr>
          <w:rFonts w:hint="eastAsia" w:ascii="仿宋" w:hAnsi="仿宋" w:eastAsia="仿宋" w:cs="仿宋"/>
          <w:spacing w:val="0"/>
          <w:kern w:val="0"/>
          <w:sz w:val="32"/>
          <w:szCs w:val="32"/>
          <w:lang w:eastAsia="zh-CN"/>
        </w:rPr>
        <w:t>）</w:t>
      </w:r>
      <w:r>
        <w:rPr>
          <w:rFonts w:ascii="仿宋" w:hAnsi="仿宋" w:eastAsia="仿宋" w:cs="仿宋"/>
          <w:spacing w:val="0"/>
          <w:kern w:val="0"/>
          <w:sz w:val="32"/>
          <w:szCs w:val="32"/>
        </w:rPr>
        <w:t>2080505 机关事业单位基本养老保险缴费支出167.12万元，较上年决算数减少0.43万元，下降0.26%。主要原因是</w:t>
      </w:r>
      <w:r>
        <w:rPr>
          <w:rFonts w:hint="eastAsia" w:ascii="仿宋" w:hAnsi="仿宋" w:eastAsia="仿宋" w:cs="仿宋"/>
          <w:spacing w:val="0"/>
          <w:kern w:val="0"/>
          <w:sz w:val="32"/>
          <w:szCs w:val="32"/>
          <w:lang w:eastAsia="zh-CN"/>
        </w:rPr>
        <w:t>缴费人员</w:t>
      </w:r>
      <w:r>
        <w:rPr>
          <w:rFonts w:hint="eastAsia" w:ascii="仿宋" w:hAnsi="仿宋" w:eastAsia="仿宋" w:cs="仿宋"/>
          <w:spacing w:val="0"/>
          <w:kern w:val="0"/>
          <w:sz w:val="32"/>
          <w:szCs w:val="32"/>
          <w:lang w:val="en-US" w:eastAsia="zh-CN"/>
        </w:rPr>
        <w:t>减少。</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（六）2080506 机关事业单位职业年金缴费支出93.29万元，较上年决算数减少17.41万元，下降15.73%。主要原因是</w:t>
      </w:r>
      <w:r>
        <w:rPr>
          <w:rFonts w:hint="eastAsia" w:ascii="仿宋" w:hAnsi="仿宋" w:eastAsia="仿宋" w:cs="仿宋"/>
          <w:spacing w:val="0"/>
          <w:kern w:val="0"/>
          <w:sz w:val="32"/>
          <w:szCs w:val="32"/>
          <w:lang w:eastAsia="zh-CN"/>
        </w:rPr>
        <w:t>缴费人员</w:t>
      </w:r>
      <w:r>
        <w:rPr>
          <w:rFonts w:hint="eastAsia" w:ascii="仿宋" w:hAnsi="仿宋" w:eastAsia="仿宋" w:cs="仿宋"/>
          <w:spacing w:val="0"/>
          <w:kern w:val="0"/>
          <w:sz w:val="32"/>
          <w:szCs w:val="32"/>
        </w:rPr>
        <w:t>减少。</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（七）2101102 事业单位医疗71.55万元，较上年决算数减少0.18万元，下降0.26%。主要原因是</w:t>
      </w:r>
      <w:r>
        <w:rPr>
          <w:rFonts w:hint="eastAsia" w:ascii="仿宋" w:hAnsi="仿宋" w:eastAsia="仿宋" w:cs="仿宋"/>
          <w:spacing w:val="0"/>
          <w:kern w:val="0"/>
          <w:sz w:val="32"/>
          <w:szCs w:val="32"/>
          <w:lang w:eastAsia="zh-CN"/>
        </w:rPr>
        <w:t>缴费</w:t>
      </w:r>
      <w:r>
        <w:rPr>
          <w:rFonts w:hint="eastAsia" w:ascii="仿宋" w:hAnsi="仿宋" w:eastAsia="仿宋" w:cs="仿宋"/>
          <w:spacing w:val="0"/>
          <w:kern w:val="0"/>
          <w:sz w:val="32"/>
          <w:szCs w:val="32"/>
        </w:rPr>
        <w:t>人员减少。</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（八）2101199 其他行政事业单位医疗支出36.56万元，较上年决算数减少0.09万元，下降0.26%。主要原因是</w:t>
      </w:r>
      <w:r>
        <w:rPr>
          <w:rFonts w:hint="eastAsia" w:ascii="仿宋" w:hAnsi="仿宋" w:eastAsia="仿宋" w:cs="仿宋"/>
          <w:spacing w:val="0"/>
          <w:kern w:val="0"/>
          <w:sz w:val="32"/>
          <w:szCs w:val="32"/>
          <w:lang w:eastAsia="zh-CN"/>
        </w:rPr>
        <w:t>缴费</w:t>
      </w:r>
      <w:r>
        <w:rPr>
          <w:rFonts w:hint="eastAsia" w:ascii="仿宋" w:hAnsi="仿宋" w:eastAsia="仿宋" w:cs="仿宋"/>
          <w:spacing w:val="0"/>
          <w:kern w:val="0"/>
          <w:sz w:val="32"/>
          <w:szCs w:val="32"/>
        </w:rPr>
        <w:t>人员减少。</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（九）2210203 购房补贴12.35万元，较上年决算数增加12.35万元，增长100%。主要原因是</w:t>
      </w:r>
      <w:r>
        <w:rPr>
          <w:rFonts w:hint="eastAsia" w:ascii="仿宋" w:hAnsi="仿宋" w:eastAsia="仿宋" w:cs="仿宋"/>
          <w:spacing w:val="0"/>
          <w:kern w:val="0"/>
          <w:sz w:val="32"/>
          <w:szCs w:val="32"/>
          <w:lang w:val="en-US" w:eastAsia="zh-CN"/>
        </w:rPr>
        <w:t>申请购房补贴的教职工人员增多。</w:t>
      </w:r>
    </w:p>
    <w:p>
      <w:pPr>
        <w:pStyle w:val="6"/>
        <w:pageBreakBefore w:val="0"/>
        <w:widowControl/>
        <w:kinsoku/>
        <w:wordWrap/>
        <w:overflowPunct/>
        <w:topLinePunct w:val="0"/>
        <w:autoSpaceDE/>
        <w:autoSpaceDN/>
        <w:bidi w:val="0"/>
        <w:adjustRightInd/>
        <w:snapToGrid/>
        <w:spacing w:before="100" w:after="100" w:line="360" w:lineRule="auto"/>
        <w:ind w:left="0" w:right="0" w:firstLine="640" w:firstLineChars="0"/>
        <w:jc w:val="both"/>
        <w:textAlignment w:val="auto"/>
        <w:rPr>
          <w:rFonts w:ascii="Times New Roman" w:hAnsi="Times New Roman" w:eastAsia="Times New Roman" w:cs="Times New Roman"/>
          <w:b/>
          <w:bCs/>
          <w:kern w:val="0"/>
          <w:sz w:val="28"/>
          <w:szCs w:val="28"/>
        </w:rPr>
      </w:pPr>
      <w:bookmarkStart w:id="78" w:name="_Toc12242"/>
      <w:bookmarkStart w:id="79" w:name="_Toc256000083"/>
      <w:bookmarkStart w:id="80" w:name="_Toc256000021"/>
      <w:bookmarkStart w:id="81" w:name="_Toc256000052"/>
      <w:r>
        <w:rPr>
          <w:rFonts w:ascii="黑体" w:hAnsi="黑体" w:eastAsia="黑体" w:cs="黑体"/>
          <w:b/>
          <w:spacing w:val="0"/>
        </w:rPr>
        <w:t>四、政府性基金预算财政拨款支出决算情况说明</w:t>
      </w:r>
      <w:bookmarkEnd w:id="78"/>
      <w:bookmarkEnd w:id="79"/>
      <w:bookmarkEnd w:id="80"/>
      <w:bookmarkEnd w:id="81"/>
    </w:p>
    <w:p>
      <w:pPr>
        <w:pStyle w:val="26"/>
        <w:pageBreakBefore w:val="0"/>
        <w:widowControl/>
        <w:kinsoku/>
        <w:wordWrap/>
        <w:overflowPunct/>
        <w:topLinePunct w:val="0"/>
        <w:autoSpaceDE/>
        <w:autoSpaceDN/>
        <w:bidi w:val="0"/>
        <w:adjustRightInd/>
        <w:snapToGrid/>
        <w:spacing w:before="100" w:after="100" w:line="360" w:lineRule="auto"/>
        <w:ind w:left="0" w:right="0" w:firstLine="704"/>
        <w:jc w:val="both"/>
        <w:textAlignment w:val="auto"/>
        <w:rPr>
          <w:rFonts w:ascii="仿宋" w:hAnsi="仿宋" w:eastAsia="仿宋" w:cs="仿宋"/>
          <w:spacing w:val="0"/>
          <w:kern w:val="0"/>
          <w:sz w:val="32"/>
          <w:szCs w:val="32"/>
        </w:rPr>
      </w:pPr>
      <w:r>
        <w:rPr>
          <w:rFonts w:ascii="仿宋" w:hAnsi="仿宋" w:eastAsia="仿宋" w:cs="仿宋"/>
          <w:spacing w:val="0"/>
          <w:kern w:val="0"/>
          <w:sz w:val="32"/>
          <w:szCs w:val="32"/>
        </w:rPr>
        <w:t>2024年度政府性基金支出1.42万元，比上年决算数</w:t>
      </w:r>
      <w:r>
        <w:rPr>
          <w:rFonts w:hint="eastAsia" w:ascii="仿宋" w:hAnsi="仿宋" w:eastAsia="仿宋" w:cs="仿宋"/>
          <w:spacing w:val="0"/>
          <w:kern w:val="0"/>
          <w:sz w:val="32"/>
          <w:szCs w:val="32"/>
          <w:lang w:eastAsia="zh-CN"/>
        </w:rPr>
        <w:t>减少</w:t>
      </w:r>
      <w:r>
        <w:rPr>
          <w:rFonts w:ascii="仿宋" w:hAnsi="仿宋" w:eastAsia="仿宋" w:cs="仿宋"/>
          <w:spacing w:val="0"/>
          <w:kern w:val="0"/>
          <w:sz w:val="32"/>
          <w:szCs w:val="32"/>
        </w:rPr>
        <w:t>17.17万元，</w:t>
      </w:r>
      <w:r>
        <w:rPr>
          <w:rFonts w:hint="eastAsia" w:ascii="仿宋" w:hAnsi="仿宋" w:eastAsia="仿宋" w:cs="仿宋"/>
          <w:spacing w:val="0"/>
          <w:kern w:val="0"/>
          <w:sz w:val="32"/>
          <w:szCs w:val="32"/>
          <w:lang w:eastAsia="zh-CN"/>
        </w:rPr>
        <w:t>下降</w:t>
      </w:r>
      <w:r>
        <w:rPr>
          <w:rFonts w:ascii="仿宋" w:hAnsi="仿宋" w:eastAsia="仿宋" w:cs="仿宋"/>
          <w:spacing w:val="0"/>
          <w:kern w:val="0"/>
          <w:sz w:val="32"/>
          <w:szCs w:val="32"/>
        </w:rPr>
        <w:t>92.35%，具体情况如下(按项级科目统计)：</w:t>
      </w:r>
    </w:p>
    <w:p>
      <w:pPr>
        <w:pStyle w:val="26"/>
        <w:pageBreakBefore w:val="0"/>
        <w:widowControl/>
        <w:kinsoku/>
        <w:wordWrap/>
        <w:overflowPunct/>
        <w:topLinePunct w:val="0"/>
        <w:autoSpaceDE/>
        <w:autoSpaceDN/>
        <w:bidi w:val="0"/>
        <w:adjustRightInd/>
        <w:snapToGrid/>
        <w:spacing w:before="100" w:after="100" w:line="360" w:lineRule="auto"/>
        <w:ind w:left="0" w:right="0" w:firstLine="704"/>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2296003 用于体育事业的彩票公益金支出1.42万元，较上年决算数减少17.17万元，下降92.35%。主要原因是</w:t>
      </w:r>
      <w:r>
        <w:rPr>
          <w:rFonts w:hint="eastAsia" w:ascii="仿宋" w:hAnsi="仿宋" w:eastAsia="仿宋" w:cs="仿宋"/>
          <w:spacing w:val="0"/>
          <w:kern w:val="0"/>
          <w:sz w:val="32"/>
          <w:szCs w:val="32"/>
        </w:rPr>
        <w:t>学校对外开放场地建设基本完成，经费仅用于对外开放场地</w:t>
      </w:r>
      <w:r>
        <w:rPr>
          <w:rFonts w:hint="eastAsia" w:ascii="仿宋" w:hAnsi="仿宋" w:eastAsia="仿宋" w:cs="仿宋"/>
          <w:spacing w:val="0"/>
          <w:kern w:val="0"/>
          <w:sz w:val="32"/>
          <w:szCs w:val="32"/>
          <w:lang w:val="en-US" w:eastAsia="zh-CN"/>
        </w:rPr>
        <w:t>日常</w:t>
      </w:r>
      <w:r>
        <w:rPr>
          <w:rFonts w:hint="eastAsia" w:ascii="仿宋" w:hAnsi="仿宋" w:eastAsia="仿宋" w:cs="仿宋"/>
          <w:spacing w:val="0"/>
          <w:kern w:val="0"/>
          <w:sz w:val="32"/>
          <w:szCs w:val="32"/>
        </w:rPr>
        <w:t>维护工作</w:t>
      </w:r>
      <w:r>
        <w:rPr>
          <w:rFonts w:hint="eastAsia" w:ascii="仿宋" w:hAnsi="仿宋" w:eastAsia="仿宋" w:cs="仿宋"/>
          <w:spacing w:val="0"/>
          <w:kern w:val="0"/>
          <w:sz w:val="32"/>
          <w:szCs w:val="32"/>
          <w:lang w:val="en-US" w:eastAsia="zh-CN"/>
        </w:rPr>
        <w:t>的项目支出</w:t>
      </w:r>
      <w:r>
        <w:rPr>
          <w:rFonts w:hint="eastAsia" w:ascii="仿宋" w:hAnsi="仿宋" w:eastAsia="仿宋" w:cs="仿宋"/>
          <w:spacing w:val="0"/>
          <w:kern w:val="0"/>
          <w:sz w:val="32"/>
          <w:szCs w:val="32"/>
        </w:rPr>
        <w:t>。</w:t>
      </w:r>
    </w:p>
    <w:p>
      <w:pPr>
        <w:pStyle w:val="6"/>
        <w:pageBreakBefore w:val="0"/>
        <w:widowControl/>
        <w:kinsoku/>
        <w:wordWrap/>
        <w:overflowPunct/>
        <w:topLinePunct w:val="0"/>
        <w:autoSpaceDE/>
        <w:autoSpaceDN/>
        <w:bidi w:val="0"/>
        <w:adjustRightInd/>
        <w:snapToGrid/>
        <w:spacing w:before="100" w:after="100" w:line="360" w:lineRule="auto"/>
        <w:ind w:left="0" w:right="0" w:firstLine="640" w:firstLineChars="0"/>
        <w:jc w:val="both"/>
        <w:textAlignment w:val="auto"/>
        <w:rPr>
          <w:rFonts w:ascii="Times New Roman" w:hAnsi="Times New Roman" w:eastAsia="Times New Roman" w:cs="Times New Roman"/>
          <w:b/>
          <w:bCs/>
          <w:kern w:val="0"/>
          <w:sz w:val="28"/>
          <w:szCs w:val="28"/>
        </w:rPr>
      </w:pPr>
      <w:bookmarkStart w:id="82" w:name="_Toc3370"/>
      <w:bookmarkStart w:id="83" w:name="_Toc256000022"/>
      <w:bookmarkStart w:id="84" w:name="_Toc256000053"/>
      <w:bookmarkStart w:id="85" w:name="_Toc256000084"/>
      <w:r>
        <w:rPr>
          <w:rFonts w:ascii="黑体" w:hAnsi="黑体" w:eastAsia="黑体" w:cs="黑体"/>
          <w:b/>
          <w:spacing w:val="0"/>
        </w:rPr>
        <w:t>五、国有资本经营预算财政拨款支出决算情况说明</w:t>
      </w:r>
      <w:bookmarkEnd w:id="82"/>
      <w:bookmarkEnd w:id="83"/>
      <w:bookmarkEnd w:id="84"/>
      <w:bookmarkEnd w:id="85"/>
    </w:p>
    <w:p>
      <w:pPr>
        <w:pStyle w:val="26"/>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hint="eastAsia" w:ascii="Times New Roman" w:hAnsi="Times New Roman" w:eastAsia="仿宋" w:cs="Times New Roman"/>
          <w:kern w:val="0"/>
          <w:sz w:val="24"/>
          <w:lang w:eastAsia="zh-CN"/>
        </w:rPr>
      </w:pPr>
      <w:r>
        <w:rPr>
          <w:rFonts w:ascii="仿宋" w:hAnsi="仿宋" w:eastAsia="仿宋" w:cs="仿宋"/>
          <w:spacing w:val="0"/>
          <w:kern w:val="0"/>
          <w:sz w:val="32"/>
          <w:szCs w:val="32"/>
        </w:rPr>
        <w:t>2024年度国有资本经营预算支出0万元，比上年决算数增加0万元，增长0%</w:t>
      </w:r>
      <w:r>
        <w:rPr>
          <w:rFonts w:hint="eastAsia" w:ascii="仿宋" w:hAnsi="仿宋" w:eastAsia="仿宋" w:cs="仿宋"/>
          <w:spacing w:val="0"/>
          <w:kern w:val="0"/>
          <w:sz w:val="32"/>
          <w:szCs w:val="32"/>
          <w:lang w:eastAsia="zh-CN"/>
        </w:rPr>
        <w:t>。</w:t>
      </w:r>
    </w:p>
    <w:p>
      <w:pPr>
        <w:pStyle w:val="26"/>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hint="eastAsia" w:ascii="Times New Roman" w:hAnsi="Times New Roman" w:eastAsia="宋体" w:cs="Times New Roman"/>
          <w:kern w:val="0"/>
          <w:sz w:val="24"/>
          <w:lang w:eastAsia="zh-CN"/>
        </w:rPr>
      </w:pPr>
      <w:r>
        <w:rPr>
          <w:rFonts w:hint="eastAsia" w:ascii="仿宋" w:hAnsi="仿宋" w:eastAsia="仿宋" w:cs="仿宋"/>
          <w:spacing w:val="0"/>
          <w:kern w:val="0"/>
          <w:sz w:val="32"/>
          <w:szCs w:val="32"/>
        </w:rPr>
        <w:t>本单位2024年度没有使用国有资本经营预算财政拨款安排的支出</w:t>
      </w:r>
      <w:r>
        <w:rPr>
          <w:rFonts w:hint="eastAsia" w:ascii="仿宋" w:hAnsi="仿宋" w:eastAsia="仿宋" w:cs="仿宋"/>
          <w:spacing w:val="0"/>
          <w:kern w:val="0"/>
          <w:sz w:val="32"/>
          <w:szCs w:val="32"/>
          <w:lang w:eastAsia="zh-CN"/>
        </w:rPr>
        <w:t>。</w:t>
      </w:r>
    </w:p>
    <w:p>
      <w:pPr>
        <w:pStyle w:val="6"/>
        <w:pageBreakBefore w:val="0"/>
        <w:widowControl/>
        <w:kinsoku/>
        <w:wordWrap/>
        <w:overflowPunct/>
        <w:topLinePunct w:val="0"/>
        <w:autoSpaceDE/>
        <w:autoSpaceDN/>
        <w:bidi w:val="0"/>
        <w:adjustRightInd/>
        <w:snapToGrid/>
        <w:spacing w:before="100" w:after="100" w:line="360" w:lineRule="auto"/>
        <w:ind w:left="0" w:right="0" w:firstLine="640" w:firstLineChars="0"/>
        <w:jc w:val="both"/>
        <w:textAlignment w:val="auto"/>
        <w:rPr>
          <w:rFonts w:ascii="Times New Roman" w:hAnsi="Times New Roman" w:eastAsia="Times New Roman" w:cs="Times New Roman"/>
          <w:b/>
          <w:bCs/>
          <w:kern w:val="0"/>
          <w:sz w:val="28"/>
          <w:szCs w:val="28"/>
        </w:rPr>
      </w:pPr>
      <w:bookmarkStart w:id="86" w:name="_Toc9180"/>
      <w:bookmarkStart w:id="87" w:name="_Toc256000085"/>
      <w:bookmarkStart w:id="88" w:name="_Toc256000054"/>
      <w:bookmarkStart w:id="89" w:name="_Toc256000023"/>
      <w:r>
        <w:rPr>
          <w:rFonts w:ascii="黑体" w:hAnsi="黑体" w:eastAsia="黑体" w:cs="黑体"/>
          <w:b/>
          <w:spacing w:val="0"/>
        </w:rPr>
        <w:t>六、一般公共预算财政拨款基本支出决算情况说明</w:t>
      </w:r>
      <w:bookmarkEnd w:id="86"/>
      <w:bookmarkEnd w:id="87"/>
      <w:bookmarkEnd w:id="88"/>
      <w:bookmarkEnd w:id="89"/>
    </w:p>
    <w:p>
      <w:pPr>
        <w:pStyle w:val="26"/>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2024年度一般公共预算财政拨款基本支出2668.14万元，其中：</w:t>
      </w:r>
    </w:p>
    <w:p>
      <w:pPr>
        <w:pStyle w:val="26"/>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一）人员经费2421.85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26"/>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二）公用经费246.29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6"/>
        <w:pageBreakBefore w:val="0"/>
        <w:widowControl/>
        <w:kinsoku/>
        <w:wordWrap/>
        <w:overflowPunct/>
        <w:topLinePunct w:val="0"/>
        <w:autoSpaceDE/>
        <w:autoSpaceDN/>
        <w:bidi w:val="0"/>
        <w:adjustRightInd/>
        <w:snapToGrid/>
        <w:spacing w:before="100" w:after="100" w:line="360" w:lineRule="auto"/>
        <w:ind w:left="0" w:right="0" w:firstLine="640" w:firstLineChars="0"/>
        <w:jc w:val="both"/>
        <w:textAlignment w:val="auto"/>
        <w:rPr>
          <w:rFonts w:ascii="Times New Roman" w:hAnsi="Times New Roman" w:eastAsia="Times New Roman" w:cs="Times New Roman"/>
          <w:b/>
          <w:bCs/>
          <w:kern w:val="0"/>
          <w:sz w:val="28"/>
          <w:szCs w:val="28"/>
        </w:rPr>
      </w:pPr>
      <w:bookmarkStart w:id="90" w:name="_Toc256000086"/>
      <w:bookmarkStart w:id="91" w:name="_Toc256000055"/>
      <w:bookmarkStart w:id="92" w:name="_Toc29960"/>
      <w:bookmarkStart w:id="93" w:name="_Toc256000024"/>
      <w:r>
        <w:rPr>
          <w:rFonts w:ascii="黑体" w:hAnsi="黑体" w:eastAsia="黑体" w:cs="黑体"/>
          <w:b/>
          <w:spacing w:val="0"/>
        </w:rPr>
        <w:t>七、一般公共预算拨款“三公”经费支出决算情况说明</w:t>
      </w:r>
      <w:bookmarkEnd w:id="90"/>
      <w:bookmarkEnd w:id="91"/>
      <w:bookmarkEnd w:id="92"/>
      <w:bookmarkEnd w:id="93"/>
    </w:p>
    <w:p>
      <w:pPr>
        <w:pStyle w:val="26"/>
        <w:pageBreakBefore w:val="0"/>
        <w:widowControl/>
        <w:kinsoku/>
        <w:wordWrap/>
        <w:overflowPunct/>
        <w:topLinePunct w:val="0"/>
        <w:autoSpaceDE/>
        <w:autoSpaceDN/>
        <w:bidi w:val="0"/>
        <w:adjustRightInd/>
        <w:snapToGrid/>
        <w:spacing w:before="100" w:after="100" w:line="360" w:lineRule="auto"/>
        <w:ind w:left="0" w:right="0" w:firstLine="645"/>
        <w:jc w:val="both"/>
        <w:textAlignment w:val="auto"/>
        <w:rPr>
          <w:rFonts w:ascii="仿宋" w:hAnsi="仿宋" w:eastAsia="仿宋" w:cs="仿宋"/>
          <w:spacing w:val="0"/>
          <w:kern w:val="0"/>
          <w:sz w:val="32"/>
          <w:szCs w:val="32"/>
        </w:rPr>
      </w:pPr>
      <w:r>
        <w:rPr>
          <w:rFonts w:hint="eastAsia" w:ascii="仿宋" w:hAnsi="仿宋" w:eastAsia="仿宋" w:cs="仿宋"/>
          <w:spacing w:val="0"/>
          <w:kern w:val="0"/>
          <w:sz w:val="32"/>
          <w:szCs w:val="32"/>
        </w:rPr>
        <w:t>2024年度一般公共预算拨款“三公”经费支出0万元，与全年预算0.00万元持平，较上年决算的0.00万元相比持平。主要原因是本单位没有使用“三公”经费支出</w:t>
      </w:r>
      <w:r>
        <w:rPr>
          <w:rFonts w:ascii="仿宋" w:hAnsi="仿宋" w:eastAsia="仿宋" w:cs="仿宋"/>
          <w:spacing w:val="0"/>
          <w:kern w:val="0"/>
          <w:sz w:val="32"/>
          <w:szCs w:val="32"/>
        </w:rPr>
        <w:t>。具体情况如下：</w:t>
      </w:r>
    </w:p>
    <w:p>
      <w:pPr>
        <w:pStyle w:val="26"/>
        <w:pageBreakBefore w:val="0"/>
        <w:widowControl/>
        <w:kinsoku/>
        <w:wordWrap/>
        <w:overflowPunct/>
        <w:topLinePunct w:val="0"/>
        <w:autoSpaceDE/>
        <w:autoSpaceDN/>
        <w:bidi w:val="0"/>
        <w:adjustRightInd/>
        <w:snapToGrid/>
        <w:spacing w:before="100" w:after="100" w:line="360" w:lineRule="auto"/>
        <w:ind w:left="0" w:right="0" w:firstLine="645"/>
        <w:jc w:val="both"/>
        <w:textAlignment w:val="auto"/>
        <w:rPr>
          <w:rFonts w:ascii="仿宋" w:hAnsi="仿宋" w:eastAsia="仿宋" w:cs="仿宋"/>
          <w:spacing w:val="0"/>
          <w:kern w:val="0"/>
          <w:sz w:val="32"/>
          <w:szCs w:val="32"/>
        </w:rPr>
      </w:pPr>
      <w:r>
        <w:rPr>
          <w:rFonts w:ascii="仿宋" w:hAnsi="仿宋" w:eastAsia="仿宋" w:cs="仿宋"/>
          <w:spacing w:val="0"/>
          <w:kern w:val="0"/>
          <w:sz w:val="32"/>
          <w:szCs w:val="32"/>
        </w:rPr>
        <w:t>（一）</w:t>
      </w:r>
      <w:r>
        <w:rPr>
          <w:rFonts w:hint="eastAsia" w:ascii="仿宋" w:hAnsi="仿宋" w:eastAsia="仿宋" w:cs="仿宋"/>
          <w:spacing w:val="0"/>
          <w:kern w:val="0"/>
          <w:sz w:val="32"/>
          <w:szCs w:val="32"/>
        </w:rPr>
        <w:t>因公出国（境）费支出0.00万元，与全年预算0.00万元持平，较上年决算的0.00万元相比持平。全年安排本单位组织的出国团组0 个，参加其他单位出国团组0 个；全年因公出国（境）累计0人次。主要是本单位没有组织出国团组及参加其他部门出国团组。</w:t>
      </w:r>
    </w:p>
    <w:p>
      <w:pPr>
        <w:pStyle w:val="26"/>
        <w:pageBreakBefore w:val="0"/>
        <w:widowControl/>
        <w:kinsoku/>
        <w:wordWrap/>
        <w:overflowPunct/>
        <w:topLinePunct w:val="0"/>
        <w:autoSpaceDE/>
        <w:autoSpaceDN/>
        <w:bidi w:val="0"/>
        <w:adjustRightInd/>
        <w:snapToGrid/>
        <w:spacing w:before="100" w:after="100" w:line="360" w:lineRule="auto"/>
        <w:ind w:left="0" w:right="0" w:firstLine="645"/>
        <w:jc w:val="both"/>
        <w:textAlignment w:val="auto"/>
        <w:rPr>
          <w:rFonts w:hint="eastAsia" w:ascii="仿宋" w:hAnsi="仿宋" w:eastAsia="仿宋" w:cs="仿宋"/>
          <w:spacing w:val="0"/>
          <w:kern w:val="0"/>
          <w:sz w:val="32"/>
          <w:szCs w:val="32"/>
        </w:rPr>
      </w:pPr>
      <w:r>
        <w:rPr>
          <w:rFonts w:ascii="仿宋" w:hAnsi="仿宋" w:eastAsia="仿宋" w:cs="仿宋"/>
          <w:spacing w:val="0"/>
          <w:kern w:val="0"/>
          <w:sz w:val="32"/>
          <w:szCs w:val="32"/>
        </w:rPr>
        <w:t>（二）</w:t>
      </w:r>
      <w:r>
        <w:rPr>
          <w:rFonts w:hint="eastAsia" w:ascii="仿宋" w:hAnsi="仿宋" w:eastAsia="仿宋" w:cs="仿宋"/>
          <w:spacing w:val="0"/>
          <w:kern w:val="0"/>
          <w:sz w:val="32"/>
          <w:szCs w:val="32"/>
        </w:rPr>
        <w:t>公务用车购置及运行费支出0.00万元，与全年预算0.00万元持平，较上年决算的0.00万元相比持平。主要是本单位没有购置公务用车及运行</w:t>
      </w:r>
      <w:r>
        <w:rPr>
          <w:rFonts w:hint="eastAsia" w:ascii="仿宋" w:hAnsi="仿宋" w:eastAsia="仿宋" w:cs="仿宋"/>
          <w:spacing w:val="0"/>
          <w:kern w:val="0"/>
          <w:sz w:val="32"/>
          <w:szCs w:val="32"/>
          <w:lang w:eastAsia="zh-CN"/>
        </w:rPr>
        <w:t>维护</w:t>
      </w:r>
      <w:r>
        <w:rPr>
          <w:rFonts w:hint="eastAsia" w:ascii="仿宋" w:hAnsi="仿宋" w:eastAsia="仿宋" w:cs="仿宋"/>
          <w:spacing w:val="0"/>
          <w:kern w:val="0"/>
          <w:sz w:val="32"/>
          <w:szCs w:val="32"/>
        </w:rPr>
        <w:t>费支出。其中：</w:t>
      </w:r>
    </w:p>
    <w:p>
      <w:pPr>
        <w:pStyle w:val="26"/>
        <w:pageBreakBefore w:val="0"/>
        <w:widowControl/>
        <w:kinsoku/>
        <w:wordWrap/>
        <w:overflowPunct/>
        <w:topLinePunct w:val="0"/>
        <w:autoSpaceDE/>
        <w:autoSpaceDN/>
        <w:bidi w:val="0"/>
        <w:adjustRightInd/>
        <w:snapToGrid/>
        <w:spacing w:before="100" w:after="100" w:line="360" w:lineRule="auto"/>
        <w:ind w:left="0" w:right="0" w:firstLine="645"/>
        <w:jc w:val="both"/>
        <w:textAlignment w:val="auto"/>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公务用车购置费支出0.00万元，与全年预算0.00万元持平，较上年决算的0.00万元相比持平。2024年公务用车购置0 辆。主要是本单位没有购置公务用车。</w:t>
      </w:r>
    </w:p>
    <w:p>
      <w:pPr>
        <w:pStyle w:val="26"/>
        <w:pageBreakBefore w:val="0"/>
        <w:widowControl/>
        <w:kinsoku/>
        <w:wordWrap/>
        <w:overflowPunct/>
        <w:topLinePunct w:val="0"/>
        <w:autoSpaceDE/>
        <w:autoSpaceDN/>
        <w:bidi w:val="0"/>
        <w:adjustRightInd/>
        <w:snapToGrid/>
        <w:spacing w:before="100" w:after="100" w:line="360" w:lineRule="auto"/>
        <w:ind w:left="0" w:right="0" w:firstLine="645"/>
        <w:jc w:val="both"/>
        <w:textAlignment w:val="auto"/>
        <w:rPr>
          <w:rFonts w:ascii="Times New Roman" w:hAnsi="Times New Roman" w:eastAsia="Times New Roman" w:cs="Times New Roman"/>
          <w:kern w:val="0"/>
          <w:sz w:val="24"/>
        </w:rPr>
      </w:pPr>
      <w:r>
        <w:rPr>
          <w:rFonts w:hint="eastAsia" w:ascii="仿宋" w:hAnsi="仿宋" w:eastAsia="仿宋" w:cs="仿宋"/>
          <w:spacing w:val="0"/>
          <w:kern w:val="0"/>
          <w:sz w:val="32"/>
          <w:szCs w:val="32"/>
        </w:rPr>
        <w:t>公务用车运行费支出0.00万元，与全年预算0.00万元持平，较上年决算的0.00万元相比持平。主要是本单位没有公务用车运行</w:t>
      </w:r>
      <w:r>
        <w:rPr>
          <w:rFonts w:hint="eastAsia" w:ascii="仿宋" w:hAnsi="仿宋" w:eastAsia="仿宋" w:cs="仿宋"/>
          <w:spacing w:val="0"/>
          <w:kern w:val="0"/>
          <w:sz w:val="32"/>
          <w:szCs w:val="32"/>
          <w:lang w:eastAsia="zh-CN"/>
        </w:rPr>
        <w:t>维护</w:t>
      </w:r>
      <w:r>
        <w:rPr>
          <w:rFonts w:hint="eastAsia" w:ascii="仿宋" w:hAnsi="仿宋" w:eastAsia="仿宋" w:cs="仿宋"/>
          <w:spacing w:val="0"/>
          <w:kern w:val="0"/>
          <w:sz w:val="32"/>
          <w:szCs w:val="32"/>
        </w:rPr>
        <w:t>费的支出。截至2024年12月31日，本单位公务用车保有量为0辆。</w:t>
      </w:r>
    </w:p>
    <w:p>
      <w:pPr>
        <w:pStyle w:val="26"/>
        <w:pageBreakBefore w:val="0"/>
        <w:widowControl/>
        <w:kinsoku/>
        <w:wordWrap/>
        <w:overflowPunct/>
        <w:topLinePunct w:val="0"/>
        <w:autoSpaceDE/>
        <w:autoSpaceDN/>
        <w:bidi w:val="0"/>
        <w:adjustRightInd/>
        <w:snapToGrid/>
        <w:spacing w:before="100" w:after="100" w:line="360" w:lineRule="auto"/>
        <w:ind w:left="0" w:right="0" w:firstLine="645"/>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（三）</w:t>
      </w:r>
      <w:r>
        <w:rPr>
          <w:rFonts w:hint="eastAsia" w:ascii="仿宋" w:hAnsi="仿宋" w:eastAsia="仿宋" w:cs="仿宋"/>
          <w:spacing w:val="0"/>
          <w:kern w:val="0"/>
          <w:sz w:val="32"/>
          <w:szCs w:val="32"/>
        </w:rPr>
        <w:t>公务接待费支出0.00万元，与全年预算0.00万元持平，较上年决算的0.00万元相比持平。主要是本单位没有公务接待活动。累计接待0 批次、0人次。</w:t>
      </w:r>
    </w:p>
    <w:p>
      <w:pPr>
        <w:pStyle w:val="6"/>
        <w:pageBreakBefore w:val="0"/>
        <w:widowControl/>
        <w:kinsoku/>
        <w:wordWrap/>
        <w:overflowPunct/>
        <w:topLinePunct w:val="0"/>
        <w:autoSpaceDE/>
        <w:autoSpaceDN/>
        <w:bidi w:val="0"/>
        <w:adjustRightInd/>
        <w:snapToGrid/>
        <w:spacing w:before="100" w:after="100" w:line="360" w:lineRule="auto"/>
        <w:ind w:left="0" w:right="0" w:firstLine="640" w:firstLineChars="0"/>
        <w:jc w:val="both"/>
        <w:textAlignment w:val="auto"/>
        <w:rPr>
          <w:rFonts w:ascii="Times New Roman" w:hAnsi="Times New Roman" w:eastAsia="Times New Roman" w:cs="Times New Roman"/>
          <w:b/>
          <w:bCs/>
          <w:kern w:val="0"/>
          <w:sz w:val="28"/>
          <w:szCs w:val="28"/>
        </w:rPr>
      </w:pPr>
      <w:bookmarkStart w:id="94" w:name="_Toc7530"/>
      <w:bookmarkStart w:id="95" w:name="_Toc256000087"/>
      <w:bookmarkStart w:id="96" w:name="_Toc256000025"/>
      <w:bookmarkStart w:id="97" w:name="_Toc256000056"/>
      <w:r>
        <w:rPr>
          <w:rFonts w:ascii="黑体" w:hAnsi="黑体" w:eastAsia="黑体" w:cs="黑体"/>
          <w:b/>
          <w:spacing w:val="0"/>
        </w:rPr>
        <w:t>八、预算绩效情况说明</w:t>
      </w:r>
      <w:bookmarkEnd w:id="94"/>
      <w:bookmarkEnd w:id="95"/>
      <w:bookmarkEnd w:id="96"/>
      <w:bookmarkEnd w:id="97"/>
    </w:p>
    <w:p>
      <w:pPr>
        <w:pStyle w:val="26"/>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根据预算绩效管理要求，本单位组织对2024年度</w:t>
      </w:r>
      <w:r>
        <w:rPr>
          <w:rFonts w:hint="eastAsia" w:ascii="仿宋" w:hAnsi="仿宋" w:eastAsia="仿宋" w:cs="仿宋"/>
          <w:spacing w:val="0"/>
          <w:kern w:val="0"/>
          <w:sz w:val="32"/>
          <w:szCs w:val="32"/>
          <w:lang w:val="en-US" w:eastAsia="zh-CN"/>
        </w:rPr>
        <w:t>1</w:t>
      </w:r>
      <w:r>
        <w:rPr>
          <w:rFonts w:ascii="仿宋" w:hAnsi="仿宋" w:eastAsia="仿宋" w:cs="仿宋"/>
          <w:spacing w:val="0"/>
          <w:kern w:val="0"/>
          <w:sz w:val="32"/>
          <w:szCs w:val="32"/>
        </w:rPr>
        <w:t>个项目实施单位自评，</w:t>
      </w:r>
      <w:r>
        <w:rPr>
          <w:rFonts w:hint="eastAsia" w:ascii="仿宋" w:hAnsi="仿宋" w:eastAsia="仿宋" w:cs="仿宋"/>
          <w:spacing w:val="0"/>
          <w:kern w:val="0"/>
          <w:sz w:val="32"/>
          <w:szCs w:val="32"/>
          <w:lang w:eastAsia="zh-CN"/>
        </w:rPr>
        <w:t>项目名称</w:t>
      </w:r>
      <w:r>
        <w:rPr>
          <w:rFonts w:ascii="仿宋" w:hAnsi="仿宋" w:eastAsia="仿宋" w:cs="仿宋"/>
          <w:spacing w:val="0"/>
          <w:kern w:val="0"/>
          <w:sz w:val="32"/>
          <w:szCs w:val="32"/>
        </w:rPr>
        <w:t>是</w:t>
      </w:r>
      <w:r>
        <w:rPr>
          <w:rFonts w:hint="eastAsia" w:ascii="仿宋" w:hAnsi="仿宋" w:eastAsia="仿宋" w:cs="仿宋"/>
          <w:spacing w:val="0"/>
          <w:kern w:val="0"/>
          <w:sz w:val="32"/>
          <w:szCs w:val="32"/>
        </w:rPr>
        <w:t>义务教育阶段家庭经济困难学生营养餐补</w:t>
      </w:r>
      <w:r>
        <w:rPr>
          <w:rFonts w:hint="eastAsia" w:ascii="仿宋" w:hAnsi="仿宋" w:eastAsia="仿宋" w:cs="仿宋"/>
          <w:spacing w:val="0"/>
          <w:kern w:val="0"/>
          <w:sz w:val="32"/>
          <w:szCs w:val="32"/>
          <w:lang w:val="en-US" w:eastAsia="zh-CN"/>
        </w:rPr>
        <w:t>助</w:t>
      </w:r>
      <w:r>
        <w:rPr>
          <w:rFonts w:ascii="仿宋" w:hAnsi="仿宋" w:eastAsia="仿宋" w:cs="仿宋"/>
          <w:spacing w:val="0"/>
          <w:kern w:val="0"/>
          <w:sz w:val="32"/>
          <w:szCs w:val="32"/>
        </w:rPr>
        <w:t>，涉及财政拨款资金共计</w:t>
      </w:r>
      <w:r>
        <w:rPr>
          <w:rFonts w:hint="eastAsia" w:ascii="仿宋" w:hAnsi="仿宋" w:eastAsia="仿宋" w:cs="仿宋"/>
          <w:spacing w:val="0"/>
          <w:kern w:val="0"/>
          <w:sz w:val="32"/>
          <w:szCs w:val="32"/>
          <w:lang w:val="en-US" w:eastAsia="zh-CN"/>
        </w:rPr>
        <w:t>0.1086</w:t>
      </w:r>
      <w:r>
        <w:rPr>
          <w:rFonts w:ascii="仿宋" w:hAnsi="仿宋" w:eastAsia="仿宋" w:cs="仿宋"/>
          <w:spacing w:val="0"/>
          <w:kern w:val="0"/>
          <w:sz w:val="32"/>
          <w:szCs w:val="32"/>
        </w:rPr>
        <w:t>万元。（《项目支出绩效自评表》详见附件）</w:t>
      </w:r>
    </w:p>
    <w:p>
      <w:pPr>
        <w:pStyle w:val="6"/>
        <w:pageBreakBefore w:val="0"/>
        <w:widowControl/>
        <w:kinsoku/>
        <w:wordWrap/>
        <w:overflowPunct/>
        <w:topLinePunct w:val="0"/>
        <w:autoSpaceDE/>
        <w:autoSpaceDN/>
        <w:bidi w:val="0"/>
        <w:adjustRightInd/>
        <w:snapToGrid/>
        <w:spacing w:before="100" w:after="100" w:line="360" w:lineRule="auto"/>
        <w:ind w:left="0" w:right="0" w:firstLine="640" w:firstLineChars="0"/>
        <w:jc w:val="both"/>
        <w:textAlignment w:val="auto"/>
        <w:rPr>
          <w:rFonts w:ascii="Times New Roman" w:hAnsi="Times New Roman" w:eastAsia="Times New Roman" w:cs="Times New Roman"/>
          <w:b/>
          <w:bCs/>
          <w:kern w:val="0"/>
          <w:sz w:val="28"/>
          <w:szCs w:val="28"/>
        </w:rPr>
      </w:pPr>
      <w:bookmarkStart w:id="98" w:name="_Toc256000057"/>
      <w:bookmarkStart w:id="99" w:name="_Toc256000088"/>
      <w:bookmarkStart w:id="100" w:name="_Toc256000026"/>
      <w:bookmarkStart w:id="101" w:name="_Toc32131"/>
      <w:r>
        <w:rPr>
          <w:rFonts w:ascii="黑体" w:hAnsi="黑体" w:eastAsia="黑体" w:cs="黑体"/>
          <w:b/>
          <w:spacing w:val="0"/>
        </w:rPr>
        <w:t>九、其他重要事项说明</w:t>
      </w:r>
      <w:bookmarkEnd w:id="98"/>
      <w:bookmarkEnd w:id="99"/>
      <w:bookmarkEnd w:id="100"/>
      <w:bookmarkEnd w:id="101"/>
    </w:p>
    <w:p>
      <w:pPr>
        <w:pStyle w:val="26"/>
        <w:pageBreakBefore w:val="0"/>
        <w:widowControl/>
        <w:kinsoku/>
        <w:wordWrap/>
        <w:overflowPunct/>
        <w:topLinePunct w:val="0"/>
        <w:autoSpaceDE/>
        <w:autoSpaceDN/>
        <w:bidi w:val="0"/>
        <w:adjustRightInd/>
        <w:snapToGrid/>
        <w:spacing w:before="100" w:after="100" w:line="360" w:lineRule="auto"/>
        <w:ind w:left="0" w:right="0" w:firstLine="643"/>
        <w:jc w:val="both"/>
        <w:textAlignment w:val="auto"/>
        <w:rPr>
          <w:rFonts w:ascii="Times New Roman" w:hAnsi="Times New Roman" w:eastAsia="Times New Roman" w:cs="Times New Roman"/>
          <w:kern w:val="0"/>
          <w:sz w:val="24"/>
        </w:rPr>
      </w:pPr>
      <w:r>
        <w:rPr>
          <w:rStyle w:val="32"/>
          <w:b/>
          <w:bCs/>
          <w:spacing w:val="0"/>
          <w:kern w:val="0"/>
          <w:sz w:val="32"/>
          <w:szCs w:val="32"/>
        </w:rPr>
        <w:t>（一）机关运行经费</w:t>
      </w:r>
      <w:r>
        <w:rPr>
          <w:rFonts w:ascii="宋体" w:hAnsi="宋体" w:cs="宋体"/>
          <w:spacing w:val="0"/>
          <w:kern w:val="0"/>
          <w:sz w:val="32"/>
          <w:szCs w:val="32"/>
        </w:rPr>
        <w:t> </w:t>
      </w:r>
    </w:p>
    <w:p>
      <w:pPr>
        <w:pStyle w:val="26"/>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hint="eastAsia" w:ascii="Times New Roman" w:hAnsi="Times New Roman" w:eastAsia="仿宋" w:cs="Times New Roman"/>
          <w:kern w:val="0"/>
          <w:sz w:val="24"/>
          <w:lang w:eastAsia="zh-CN"/>
        </w:rPr>
      </w:pPr>
      <w:r>
        <w:rPr>
          <w:rFonts w:ascii="仿宋" w:hAnsi="仿宋" w:eastAsia="仿宋" w:cs="仿宋"/>
          <w:spacing w:val="0"/>
          <w:kern w:val="0"/>
          <w:sz w:val="32"/>
          <w:szCs w:val="32"/>
        </w:rPr>
        <w:t>2024年度机关运行经费支出0万元，比上年决算数增加（减少）</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万元，增长（下降）</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%，主要原因是:本单位为事业单位</w:t>
      </w:r>
      <w:r>
        <w:rPr>
          <w:rFonts w:hint="eastAsia" w:ascii="仿宋" w:hAnsi="仿宋" w:eastAsia="仿宋" w:cs="仿宋"/>
          <w:spacing w:val="0"/>
          <w:kern w:val="0"/>
          <w:sz w:val="32"/>
          <w:szCs w:val="32"/>
          <w:lang w:eastAsia="zh-CN"/>
        </w:rPr>
        <w:t>，</w:t>
      </w:r>
      <w:r>
        <w:rPr>
          <w:rFonts w:ascii="仿宋" w:hAnsi="仿宋" w:eastAsia="仿宋" w:cs="仿宋"/>
          <w:spacing w:val="0"/>
          <w:kern w:val="0"/>
          <w:sz w:val="32"/>
          <w:szCs w:val="32"/>
        </w:rPr>
        <w:t>没有机关运行经费。</w:t>
      </w:r>
    </w:p>
    <w:p>
      <w:pPr>
        <w:pStyle w:val="26"/>
        <w:pageBreakBefore w:val="0"/>
        <w:widowControl/>
        <w:kinsoku/>
        <w:wordWrap/>
        <w:overflowPunct/>
        <w:topLinePunct w:val="0"/>
        <w:autoSpaceDE/>
        <w:autoSpaceDN/>
        <w:bidi w:val="0"/>
        <w:adjustRightInd/>
        <w:snapToGrid/>
        <w:spacing w:before="100" w:after="100" w:line="360" w:lineRule="auto"/>
        <w:ind w:left="0" w:right="0" w:firstLine="643"/>
        <w:jc w:val="both"/>
        <w:textAlignment w:val="auto"/>
        <w:rPr>
          <w:rFonts w:ascii="Times New Roman" w:hAnsi="Times New Roman" w:eastAsia="Times New Roman" w:cs="Times New Roman"/>
          <w:kern w:val="0"/>
          <w:sz w:val="24"/>
        </w:rPr>
      </w:pPr>
      <w:r>
        <w:rPr>
          <w:rStyle w:val="32"/>
          <w:b/>
          <w:bCs/>
          <w:spacing w:val="0"/>
          <w:kern w:val="0"/>
          <w:sz w:val="32"/>
          <w:szCs w:val="32"/>
        </w:rPr>
        <w:t>（二）政府采购情况</w:t>
      </w:r>
    </w:p>
    <w:p>
      <w:pPr>
        <w:pStyle w:val="26"/>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hint="eastAsia" w:ascii="仿宋" w:hAnsi="仿宋" w:eastAsia="仿宋" w:cs="仿宋"/>
          <w:spacing w:val="0"/>
          <w:kern w:val="0"/>
          <w:sz w:val="32"/>
          <w:szCs w:val="32"/>
          <w:lang w:val="en-US" w:eastAsia="zh-CN"/>
        </w:rPr>
      </w:pPr>
      <w:r>
        <w:rPr>
          <w:rFonts w:ascii="仿宋" w:hAnsi="仿宋" w:eastAsia="仿宋" w:cs="仿宋"/>
          <w:spacing w:val="0"/>
          <w:kern w:val="0"/>
          <w:sz w:val="32"/>
          <w:szCs w:val="32"/>
        </w:rPr>
        <w:t>本单位2024年度政府采购支出总额0万元，其中：政府采购货物支出0万元、政府采购工程支出0万元、政府采购服务支出0万元。授予中小企业合同金额0万元，占政府采购支出总额的0%，其中：授予小微企业合同金额0万元，占授予中小企业合同金额的0%；货物采购授予中小企业合同金额占货物支出金额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%，工程采购授予中小企业合同金额占工程支出金额的%，服务采购授予中小企业合同金额占服务支出金额的</w:t>
      </w:r>
      <w:r>
        <w:rPr>
          <w:rFonts w:hint="eastAsia" w:ascii="仿宋" w:hAnsi="仿宋" w:eastAsia="仿宋" w:cs="仿宋"/>
          <w:spacing w:val="0"/>
          <w:kern w:val="0"/>
          <w:sz w:val="32"/>
          <w:szCs w:val="32"/>
          <w:lang w:val="en-US" w:eastAsia="zh-CN"/>
        </w:rPr>
        <w:t>0%。</w:t>
      </w:r>
    </w:p>
    <w:p>
      <w:pPr>
        <w:pStyle w:val="26"/>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Style w:val="32"/>
          <w:b/>
          <w:bCs/>
          <w:spacing w:val="0"/>
          <w:kern w:val="0"/>
          <w:sz w:val="32"/>
          <w:szCs w:val="32"/>
        </w:rPr>
      </w:pPr>
      <w:r>
        <w:rPr>
          <w:rFonts w:hint="eastAsia" w:ascii="仿宋" w:hAnsi="仿宋" w:eastAsia="仿宋" w:cs="仿宋"/>
          <w:spacing w:val="0"/>
          <w:kern w:val="0"/>
          <w:sz w:val="32"/>
          <w:szCs w:val="32"/>
        </w:rPr>
        <w:t>本单位2024年度没有政府采购支出。</w:t>
      </w:r>
    </w:p>
    <w:p>
      <w:pPr>
        <w:pStyle w:val="26"/>
        <w:pageBreakBefore w:val="0"/>
        <w:widowControl/>
        <w:kinsoku/>
        <w:wordWrap/>
        <w:overflowPunct/>
        <w:topLinePunct w:val="0"/>
        <w:autoSpaceDE/>
        <w:autoSpaceDN/>
        <w:bidi w:val="0"/>
        <w:adjustRightInd/>
        <w:snapToGrid/>
        <w:spacing w:before="100" w:after="100" w:line="360" w:lineRule="auto"/>
        <w:ind w:left="0" w:right="0" w:firstLine="707"/>
        <w:jc w:val="both"/>
        <w:textAlignment w:val="auto"/>
        <w:rPr>
          <w:rFonts w:ascii="Times New Roman" w:hAnsi="Times New Roman" w:eastAsia="Times New Roman" w:cs="Times New Roman"/>
          <w:kern w:val="0"/>
          <w:sz w:val="24"/>
        </w:rPr>
      </w:pPr>
      <w:r>
        <w:rPr>
          <w:rStyle w:val="32"/>
          <w:b/>
          <w:bCs/>
          <w:spacing w:val="0"/>
          <w:kern w:val="0"/>
          <w:sz w:val="32"/>
          <w:szCs w:val="32"/>
        </w:rPr>
        <w:t>（三）国有资产占用使用情况</w:t>
      </w:r>
      <w:r>
        <w:rPr>
          <w:rFonts w:ascii="宋体" w:hAnsi="宋体" w:cs="宋体"/>
          <w:spacing w:val="0"/>
          <w:kern w:val="0"/>
          <w:sz w:val="32"/>
          <w:szCs w:val="32"/>
        </w:rPr>
        <w:t> </w:t>
      </w:r>
    </w:p>
    <w:p>
      <w:pPr>
        <w:pStyle w:val="26"/>
        <w:pageBreakBefore w:val="0"/>
        <w:widowControl/>
        <w:kinsoku/>
        <w:wordWrap/>
        <w:overflowPunct/>
        <w:topLinePunct w:val="0"/>
        <w:autoSpaceDE/>
        <w:autoSpaceDN/>
        <w:bidi w:val="0"/>
        <w:adjustRightInd/>
        <w:snapToGrid/>
        <w:spacing w:before="100" w:after="100" w:line="360" w:lineRule="auto"/>
        <w:ind w:left="0" w:right="0" w:firstLine="704"/>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截至2024年12月31日，本单位共有车辆0 辆，其中：副部（省）级以上领导用车0 辆、主要领导干部用车0 辆、机要通信用车0辆、应急保障用车0辆、执法执勤用车0辆、特种专业技术用车0辆、离退休干部用车0辆、其他用车0辆；单位价值100万元以上设备（不含车辆）0台（套）。</w:t>
      </w:r>
      <w:r>
        <w:rPr>
          <w:rFonts w:ascii="Calibri" w:hAnsi="Calibri" w:eastAsia="Calibri" w:cs="Calibri"/>
          <w:spacing w:val="0"/>
          <w:kern w:val="0"/>
          <w:sz w:val="32"/>
          <w:szCs w:val="32"/>
        </w:rPr>
        <w:t>  </w:t>
      </w:r>
      <w:r>
        <w:rPr>
          <w:rFonts w:ascii="宋体" w:hAnsi="宋体" w:cs="宋体"/>
          <w:spacing w:val="0"/>
          <w:kern w:val="0"/>
          <w:sz w:val="56"/>
          <w:szCs w:val="56"/>
        </w:rPr>
        <w:t xml:space="preserve"> </w:t>
      </w:r>
    </w:p>
    <w:p>
      <w:pPr>
        <w:pStyle w:val="26"/>
        <w:widowControl/>
        <w:spacing w:before="100" w:after="100" w:line="360" w:lineRule="auto"/>
        <w:ind w:right="0"/>
        <w:jc w:val="center"/>
        <w:rPr>
          <w:rFonts w:ascii="黑体" w:hAnsi="黑体" w:eastAsia="黑体" w:cs="黑体"/>
          <w:bCs w:val="0"/>
          <w:kern w:val="0"/>
          <w:sz w:val="36"/>
          <w:szCs w:val="36"/>
          <w:lang w:val="en-US" w:eastAsia="zh-CN" w:bidi="ar-SA"/>
        </w:rPr>
      </w:pPr>
      <w:bookmarkStart w:id="102" w:name="_Toc256000089"/>
      <w:bookmarkStart w:id="103" w:name="_Toc256000120"/>
      <w:bookmarkStart w:id="104" w:name="_Toc256000027"/>
      <w:bookmarkStart w:id="105" w:name="_Toc256000058"/>
    </w:p>
    <w:p>
      <w:pPr>
        <w:pStyle w:val="26"/>
        <w:widowControl/>
        <w:spacing w:before="100" w:after="100" w:line="360" w:lineRule="auto"/>
        <w:ind w:right="0"/>
        <w:jc w:val="center"/>
        <w:rPr>
          <w:rStyle w:val="32"/>
          <w:rFonts w:ascii="仿宋" w:hAnsi="仿宋" w:eastAsia="仿宋" w:cs="仿宋"/>
          <w:b/>
          <w:bCs/>
          <w:spacing w:val="0"/>
          <w:kern w:val="0"/>
          <w:sz w:val="32"/>
          <w:szCs w:val="32"/>
        </w:rPr>
      </w:pPr>
      <w:r>
        <w:rPr>
          <w:rFonts w:ascii="黑体" w:hAnsi="黑体" w:eastAsia="黑体" w:cs="黑体"/>
          <w:bCs w:val="0"/>
          <w:kern w:val="0"/>
          <w:sz w:val="36"/>
          <w:szCs w:val="36"/>
          <w:lang w:val="en-US" w:eastAsia="zh-CN" w:bidi="ar-SA"/>
        </w:rPr>
        <w:t>第四部分</w:t>
      </w:r>
      <w:bookmarkEnd w:id="102"/>
      <w:bookmarkEnd w:id="103"/>
      <w:bookmarkEnd w:id="104"/>
      <w:bookmarkEnd w:id="105"/>
      <w:r>
        <w:rPr>
          <w:rFonts w:ascii="黑体" w:hAnsi="黑体" w:eastAsia="黑体" w:cs="黑体"/>
          <w:bCs w:val="0"/>
          <w:kern w:val="0"/>
          <w:sz w:val="36"/>
          <w:szCs w:val="36"/>
          <w:lang w:val="en-US" w:eastAsia="zh-CN" w:bidi="ar-SA"/>
        </w:rPr>
        <w:t> </w:t>
      </w:r>
      <w:bookmarkStart w:id="106" w:name="_Toc256000090"/>
      <w:bookmarkStart w:id="107" w:name="_Toc256000028"/>
      <w:bookmarkStart w:id="108" w:name="_Toc256000059"/>
      <w:bookmarkStart w:id="109" w:name="_Toc256000121"/>
      <w:r>
        <w:rPr>
          <w:rFonts w:hint="eastAsia" w:ascii="黑体" w:hAnsi="黑体" w:eastAsia="黑体" w:cs="黑体"/>
          <w:bCs w:val="0"/>
          <w:kern w:val="0"/>
          <w:sz w:val="36"/>
          <w:szCs w:val="36"/>
          <w:lang w:val="en-US" w:eastAsia="zh-CN" w:bidi="ar-SA"/>
        </w:rPr>
        <w:t xml:space="preserve"> </w:t>
      </w:r>
      <w:r>
        <w:rPr>
          <w:rFonts w:ascii="黑体" w:hAnsi="黑体" w:eastAsia="黑体" w:cs="黑体"/>
          <w:bCs w:val="0"/>
          <w:kern w:val="0"/>
          <w:sz w:val="36"/>
          <w:szCs w:val="36"/>
          <w:lang w:val="en-US" w:eastAsia="zh-CN" w:bidi="ar-SA"/>
        </w:rPr>
        <w:t>名词解释</w:t>
      </w:r>
      <w:bookmarkEnd w:id="106"/>
      <w:bookmarkEnd w:id="107"/>
      <w:bookmarkEnd w:id="108"/>
      <w:bookmarkEnd w:id="109"/>
    </w:p>
    <w:p>
      <w:pPr>
        <w:pStyle w:val="26"/>
        <w:widowControl/>
        <w:spacing w:before="100" w:after="100" w:line="360" w:lineRule="auto"/>
        <w:ind w:left="0" w:right="0" w:firstLine="710"/>
        <w:jc w:val="both"/>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一、财政拨款收入：</w:t>
      </w:r>
      <w:r>
        <w:rPr>
          <w:rFonts w:ascii="仿宋" w:hAnsi="仿宋" w:eastAsia="仿宋" w:cs="仿宋"/>
          <w:spacing w:val="0"/>
          <w:kern w:val="0"/>
          <w:sz w:val="32"/>
          <w:szCs w:val="32"/>
        </w:rPr>
        <w:t>指单位从本级财政单位取得的财政预算资金，包括一般公共预算财政拨款、政府性基金预算财政拨款和国有资本经营预算财政拨款。</w:t>
      </w:r>
    </w:p>
    <w:p>
      <w:pPr>
        <w:pStyle w:val="26"/>
        <w:widowControl/>
        <w:spacing w:before="100" w:after="100" w:line="360" w:lineRule="auto"/>
        <w:ind w:left="0" w:right="0" w:firstLine="710"/>
        <w:jc w:val="both"/>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二、事业收入：</w:t>
      </w:r>
      <w:r>
        <w:rPr>
          <w:rFonts w:ascii="仿宋" w:hAnsi="仿宋" w:eastAsia="仿宋" w:cs="仿宋"/>
          <w:spacing w:val="0"/>
          <w:kern w:val="0"/>
          <w:sz w:val="32"/>
          <w:szCs w:val="32"/>
        </w:rPr>
        <w:t>指事业单位开展专业业务活动及辅助活动所取得的收入。</w:t>
      </w:r>
    </w:p>
    <w:p>
      <w:pPr>
        <w:pStyle w:val="26"/>
        <w:widowControl/>
        <w:spacing w:before="100" w:after="100" w:line="360" w:lineRule="auto"/>
        <w:ind w:left="0" w:right="0" w:firstLine="710"/>
        <w:jc w:val="both"/>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三、经营收入：</w:t>
      </w:r>
      <w:r>
        <w:rPr>
          <w:rFonts w:ascii="仿宋" w:hAnsi="仿宋" w:eastAsia="仿宋" w:cs="仿宋"/>
          <w:spacing w:val="0"/>
          <w:kern w:val="0"/>
          <w:sz w:val="32"/>
          <w:szCs w:val="32"/>
        </w:rPr>
        <w:t>指事业单位在专业业务活动及其辅助活动之外开展非独立核算经营活动取得的收入。</w:t>
      </w:r>
    </w:p>
    <w:p>
      <w:pPr>
        <w:pStyle w:val="26"/>
        <w:widowControl/>
        <w:spacing w:before="100" w:after="100" w:line="360" w:lineRule="auto"/>
        <w:ind w:left="0" w:right="0" w:firstLine="710"/>
        <w:jc w:val="both"/>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四、其他收入：</w:t>
      </w:r>
      <w:r>
        <w:rPr>
          <w:rFonts w:ascii="仿宋" w:hAnsi="仿宋" w:eastAsia="仿宋" w:cs="仿宋"/>
          <w:spacing w:val="0"/>
          <w:kern w:val="0"/>
          <w:sz w:val="32"/>
          <w:szCs w:val="32"/>
        </w:rPr>
        <w:t>指除上述“财政拨款收入”“事业收入”</w:t>
      </w:r>
      <w:r>
        <w:rPr>
          <w:rFonts w:ascii="宋体" w:hAnsi="宋体" w:cs="宋体"/>
          <w:spacing w:val="0"/>
          <w:kern w:val="0"/>
          <w:szCs w:val="21"/>
        </w:rPr>
        <w:t> </w:t>
      </w:r>
      <w:r>
        <w:rPr>
          <w:rFonts w:ascii="仿宋" w:hAnsi="仿宋" w:eastAsia="仿宋" w:cs="仿宋"/>
          <w:spacing w:val="0"/>
          <w:kern w:val="0"/>
          <w:sz w:val="32"/>
          <w:szCs w:val="32"/>
        </w:rPr>
        <w:t>“上级补助收入”“附属单位上缴收入”“经营收入”等以外取得的各项收入。主要是事业单位固定资产出租收入等。</w:t>
      </w:r>
    </w:p>
    <w:p>
      <w:pPr>
        <w:pStyle w:val="26"/>
        <w:widowControl/>
        <w:spacing w:before="100" w:after="100" w:line="360" w:lineRule="auto"/>
        <w:ind w:left="0" w:right="0" w:firstLine="710"/>
        <w:jc w:val="both"/>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五、使用非财政拨款结余：</w:t>
      </w:r>
      <w:r>
        <w:rPr>
          <w:rFonts w:ascii="仿宋" w:hAnsi="仿宋" w:eastAsia="仿宋" w:cs="仿宋"/>
          <w:spacing w:val="0"/>
          <w:kern w:val="0"/>
          <w:sz w:val="32"/>
          <w:szCs w:val="32"/>
        </w:rPr>
        <w:t>指事业单位使用以前年度积累的非财政拨款结余弥补当年收支差额的金额。</w:t>
      </w:r>
    </w:p>
    <w:p>
      <w:pPr>
        <w:pStyle w:val="26"/>
        <w:widowControl/>
        <w:spacing w:before="100" w:after="100" w:line="360" w:lineRule="auto"/>
        <w:ind w:left="0" w:right="0" w:firstLine="710"/>
        <w:jc w:val="both"/>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六、年初结转和结余：</w:t>
      </w:r>
      <w:r>
        <w:rPr>
          <w:rFonts w:ascii="仿宋" w:hAnsi="仿宋" w:eastAsia="仿宋" w:cs="仿宋"/>
          <w:spacing w:val="0"/>
          <w:kern w:val="0"/>
          <w:sz w:val="32"/>
          <w:szCs w:val="32"/>
        </w:rPr>
        <w:t>指单位以前年度尚未完成、结转到本年仍按原规定用途继续使用的资金，或项目已完成等产生的结余资金。</w:t>
      </w:r>
    </w:p>
    <w:p>
      <w:pPr>
        <w:pStyle w:val="27"/>
        <w:widowControl/>
        <w:spacing w:before="100" w:after="100" w:line="360" w:lineRule="auto"/>
        <w:ind w:left="0" w:right="0" w:firstLine="640"/>
        <w:jc w:val="both"/>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七、结余分配：</w:t>
      </w:r>
      <w:r>
        <w:rPr>
          <w:rFonts w:ascii="仿宋" w:hAnsi="仿宋" w:eastAsia="仿宋" w:cs="仿宋"/>
          <w:spacing w:val="0"/>
          <w:kern w:val="0"/>
          <w:sz w:val="32"/>
          <w:szCs w:val="32"/>
        </w:rPr>
        <w:t>指事业单位按照会计制度规定缴纳的所得税、提取的专用结余以及转入非财政拨款结余的金额等。</w:t>
      </w:r>
    </w:p>
    <w:p>
      <w:pPr>
        <w:pStyle w:val="27"/>
        <w:widowControl/>
        <w:spacing w:before="100" w:after="100" w:line="360" w:lineRule="auto"/>
        <w:ind w:left="0" w:right="0" w:firstLine="640"/>
        <w:jc w:val="both"/>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八、年末结转和结余：</w:t>
      </w:r>
      <w:r>
        <w:rPr>
          <w:rFonts w:ascii="仿宋" w:hAnsi="仿宋" w:eastAsia="仿宋" w:cs="仿宋"/>
          <w:spacing w:val="0"/>
          <w:kern w:val="0"/>
          <w:sz w:val="32"/>
          <w:szCs w:val="32"/>
        </w:rPr>
        <w:t>指单位按有关规定结转到下年或以后年度继续使用的资金，或项目已完成等产生的结余资金。</w:t>
      </w:r>
    </w:p>
    <w:p>
      <w:pPr>
        <w:pStyle w:val="27"/>
        <w:widowControl/>
        <w:spacing w:before="100" w:after="100" w:line="360" w:lineRule="auto"/>
        <w:ind w:left="0" w:right="0" w:firstLine="640"/>
        <w:jc w:val="both"/>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九、基本支出：</w:t>
      </w:r>
      <w:r>
        <w:rPr>
          <w:rFonts w:ascii="仿宋" w:hAnsi="仿宋" w:eastAsia="仿宋" w:cs="仿宋"/>
          <w:spacing w:val="0"/>
          <w:kern w:val="0"/>
          <w:sz w:val="32"/>
          <w:szCs w:val="32"/>
        </w:rPr>
        <w:t>指为保障机构正常运转、完成日常工作任务而发生的人员支出和公用支出。</w:t>
      </w:r>
    </w:p>
    <w:p>
      <w:pPr>
        <w:pStyle w:val="27"/>
        <w:widowControl/>
        <w:spacing w:before="100" w:after="100" w:line="360" w:lineRule="auto"/>
        <w:ind w:left="0" w:right="0" w:firstLine="640"/>
        <w:jc w:val="both"/>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十、项目支出：</w:t>
      </w:r>
      <w:r>
        <w:rPr>
          <w:rFonts w:ascii="仿宋" w:hAnsi="仿宋" w:eastAsia="仿宋" w:cs="仿宋"/>
          <w:spacing w:val="0"/>
          <w:kern w:val="0"/>
          <w:sz w:val="32"/>
          <w:szCs w:val="32"/>
        </w:rPr>
        <w:t>指在基本支出之外为完成特定行政任务和事业发展目标所发生的支出。</w:t>
      </w:r>
    </w:p>
    <w:p>
      <w:pPr>
        <w:pStyle w:val="27"/>
        <w:widowControl/>
        <w:spacing w:before="100" w:after="100" w:line="360" w:lineRule="auto"/>
        <w:ind w:left="0" w:right="0" w:firstLine="640"/>
        <w:jc w:val="both"/>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十一、经营支出：</w:t>
      </w:r>
      <w:r>
        <w:rPr>
          <w:rFonts w:ascii="仿宋" w:hAnsi="仿宋" w:eastAsia="仿宋" w:cs="仿宋"/>
          <w:spacing w:val="0"/>
          <w:kern w:val="0"/>
          <w:sz w:val="32"/>
          <w:szCs w:val="32"/>
        </w:rPr>
        <w:t>指事业单位在专业业务活动及其辅助活动之外开展非独立核算经营活动发生的支出。</w:t>
      </w:r>
    </w:p>
    <w:p>
      <w:pPr>
        <w:pStyle w:val="27"/>
        <w:widowControl/>
        <w:spacing w:before="100" w:after="100" w:line="360" w:lineRule="auto"/>
        <w:ind w:left="0" w:right="0" w:firstLine="640"/>
        <w:jc w:val="both"/>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十二、“三公”经费：</w:t>
      </w:r>
      <w:r>
        <w:rPr>
          <w:rFonts w:ascii="仿宋" w:hAnsi="仿宋" w:eastAsia="仿宋" w:cs="仿宋"/>
          <w:spacing w:val="0"/>
          <w:kern w:val="0"/>
          <w:sz w:val="32"/>
          <w:szCs w:val="32"/>
        </w:rPr>
        <w:t>纳入本级财政预决算管理的“三公”经费，是指本级单位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27"/>
        <w:widowControl/>
        <w:spacing w:before="100" w:after="100" w:line="360" w:lineRule="auto"/>
        <w:ind w:left="0" w:right="0" w:firstLine="640"/>
        <w:jc w:val="both"/>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十三、机关运行经费：</w:t>
      </w:r>
      <w:r>
        <w:rPr>
          <w:rFonts w:ascii="仿宋" w:hAnsi="仿宋" w:eastAsia="仿宋" w:cs="仿宋"/>
          <w:spacing w:val="0"/>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bookmarkEnd w:id="5"/>
    <w:p>
      <w:pPr>
        <w:bidi w:val="0"/>
        <w:jc w:val="left"/>
        <w:rPr>
          <w:sz w:val="32"/>
          <w:szCs w:val="40"/>
          <w:lang w:val="en-US" w:eastAsia="zh-CN"/>
        </w:rPr>
      </w:pPr>
    </w:p>
    <w:p>
      <w:pPr>
        <w:pStyle w:val="4"/>
        <w:keepNext w:val="0"/>
        <w:keepLines w:val="0"/>
        <w:spacing w:before="100" w:after="100" w:line="240" w:lineRule="auto"/>
        <w:ind w:left="0" w:right="0" w:firstLine="0" w:firstLineChars="0"/>
        <w:jc w:val="center"/>
        <w:rPr>
          <w:rFonts w:ascii="Times New Roman" w:hAnsi="Times New Roman" w:eastAsia="Times New Roman" w:cs="Times New Roman"/>
          <w:kern w:val="0"/>
          <w:sz w:val="24"/>
        </w:rPr>
      </w:pPr>
      <w:bookmarkStart w:id="110" w:name="_Toc256000060"/>
      <w:bookmarkStart w:id="111" w:name="_Toc256000122"/>
      <w:bookmarkStart w:id="112" w:name="_Toc256000091"/>
      <w:bookmarkStart w:id="113" w:name="_Toc256000029"/>
      <w:r>
        <w:rPr>
          <w:rFonts w:ascii="黑体" w:hAnsi="黑体" w:eastAsia="黑体" w:cs="黑体"/>
          <w:bCs w:val="0"/>
          <w:kern w:val="0"/>
          <w:sz w:val="36"/>
          <w:szCs w:val="36"/>
          <w:lang w:val="en-US" w:eastAsia="zh-CN" w:bidi="ar-SA"/>
        </w:rPr>
        <w:t>第五部分</w:t>
      </w:r>
      <w:bookmarkEnd w:id="110"/>
      <w:bookmarkEnd w:id="111"/>
      <w:bookmarkEnd w:id="112"/>
      <w:bookmarkEnd w:id="113"/>
      <w:bookmarkStart w:id="114" w:name="_Toc256000123"/>
      <w:bookmarkStart w:id="115" w:name="_Toc256000061"/>
      <w:bookmarkStart w:id="116" w:name="_Toc256000030"/>
      <w:bookmarkStart w:id="117" w:name="_Toc256000092"/>
      <w:r>
        <w:rPr>
          <w:rFonts w:hint="eastAsia" w:ascii="黑体" w:hAnsi="黑体" w:eastAsia="黑体" w:cs="黑体"/>
          <w:bCs w:val="0"/>
          <w:kern w:val="0"/>
          <w:sz w:val="36"/>
          <w:szCs w:val="36"/>
          <w:lang w:val="en-US" w:eastAsia="zh-CN" w:bidi="ar-SA"/>
        </w:rPr>
        <w:t xml:space="preserve">  </w:t>
      </w:r>
      <w:r>
        <w:rPr>
          <w:rFonts w:ascii="黑体" w:hAnsi="黑体" w:eastAsia="黑体" w:cs="黑体"/>
          <w:bCs w:val="0"/>
          <w:kern w:val="0"/>
          <w:sz w:val="36"/>
          <w:szCs w:val="36"/>
          <w:lang w:val="en-US" w:eastAsia="zh-CN" w:bidi="ar-SA"/>
        </w:rPr>
        <w:t>附件</w:t>
      </w:r>
      <w:bookmarkEnd w:id="114"/>
      <w:bookmarkEnd w:id="115"/>
      <w:bookmarkEnd w:id="116"/>
      <w:bookmarkEnd w:id="117"/>
    </w:p>
    <w:tbl>
      <w:tblPr>
        <w:tblStyle w:val="24"/>
        <w:tblW w:w="9738" w:type="dxa"/>
        <w:tblInd w:w="0" w:type="dxa"/>
        <w:shd w:val="clear" w:color="auto" w:fill="auto"/>
        <w:tblLayout w:type="fixed"/>
        <w:tblCellMar>
          <w:top w:w="0" w:type="dxa"/>
          <w:left w:w="0" w:type="dxa"/>
          <w:bottom w:w="0" w:type="dxa"/>
          <w:right w:w="0" w:type="dxa"/>
        </w:tblCellMar>
      </w:tblPr>
      <w:tblGrid>
        <w:gridCol w:w="690"/>
        <w:gridCol w:w="1170"/>
        <w:gridCol w:w="1700"/>
        <w:gridCol w:w="1170"/>
        <w:gridCol w:w="680"/>
        <w:gridCol w:w="818"/>
        <w:gridCol w:w="750"/>
        <w:gridCol w:w="675"/>
        <w:gridCol w:w="675"/>
        <w:gridCol w:w="600"/>
        <w:gridCol w:w="810"/>
      </w:tblGrid>
      <w:tr>
        <w:tblPrEx>
          <w:shd w:val="clear" w:color="auto" w:fill="auto"/>
          <w:tblLayout w:type="fixed"/>
          <w:tblCellMar>
            <w:top w:w="0" w:type="dxa"/>
            <w:left w:w="0" w:type="dxa"/>
            <w:bottom w:w="0" w:type="dxa"/>
            <w:right w:w="0" w:type="dxa"/>
          </w:tblCellMar>
        </w:tblPrEx>
        <w:trPr>
          <w:trHeight w:val="520" w:hRule="atLeast"/>
        </w:trPr>
        <w:tc>
          <w:tcPr>
            <w:tcW w:w="9738" w:type="dxa"/>
            <w:gridSpan w:val="11"/>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部门（单位）项目支出绩效自评表</w:t>
            </w:r>
          </w:p>
        </w:tc>
      </w:tr>
      <w:tr>
        <w:tblPrEx>
          <w:shd w:val="clear" w:color="auto" w:fill="auto"/>
          <w:tblLayout w:type="fixed"/>
          <w:tblCellMar>
            <w:top w:w="0" w:type="dxa"/>
            <w:left w:w="0" w:type="dxa"/>
            <w:bottom w:w="0" w:type="dxa"/>
            <w:right w:w="0" w:type="dxa"/>
          </w:tblCellMar>
        </w:tblPrEx>
        <w:trPr>
          <w:trHeight w:val="460" w:hRule="atLeast"/>
        </w:trPr>
        <w:tc>
          <w:tcPr>
            <w:tcW w:w="9738" w:type="dxa"/>
            <w:gridSpan w:val="11"/>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（2024年度）</w:t>
            </w:r>
          </w:p>
        </w:tc>
      </w:tr>
      <w:tr>
        <w:tblPrEx>
          <w:shd w:val="clear" w:color="auto" w:fill="auto"/>
          <w:tblLayout w:type="fixed"/>
          <w:tblCellMar>
            <w:top w:w="0" w:type="dxa"/>
            <w:left w:w="0" w:type="dxa"/>
            <w:bottom w:w="0" w:type="dxa"/>
            <w:right w:w="0" w:type="dxa"/>
          </w:tblCellMar>
        </w:tblPrEx>
        <w:trPr>
          <w:trHeight w:val="480" w:hRule="atLeast"/>
        </w:trPr>
        <w:tc>
          <w:tcPr>
            <w:tcW w:w="4730" w:type="dxa"/>
            <w:gridSpan w:val="4"/>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预算单位（盖章）：厦门市</w:t>
            </w:r>
            <w:r>
              <w:rPr>
                <w:rFonts w:hint="eastAsia" w:ascii="宋体" w:hAnsi="宋体" w:cs="宋体"/>
                <w:i w:val="0"/>
                <w:color w:val="000000"/>
                <w:kern w:val="0"/>
                <w:sz w:val="18"/>
                <w:szCs w:val="18"/>
                <w:u w:val="none"/>
                <w:lang w:val="en-US" w:eastAsia="zh-CN" w:bidi="ar"/>
              </w:rPr>
              <w:t>湖里中心小学</w:t>
            </w:r>
            <w:r>
              <w:rPr>
                <w:rFonts w:hint="eastAsia" w:ascii="宋体" w:hAnsi="宋体" w:eastAsia="宋体" w:cs="宋体"/>
                <w:i w:val="0"/>
                <w:color w:val="000000"/>
                <w:kern w:val="0"/>
                <w:sz w:val="18"/>
                <w:szCs w:val="18"/>
                <w:u w:val="none"/>
                <w:lang w:val="en-US" w:eastAsia="zh-CN" w:bidi="ar"/>
              </w:rPr>
              <w:t xml:space="preserve">                                                                                                  </w:t>
            </w:r>
          </w:p>
        </w:tc>
        <w:tc>
          <w:tcPr>
            <w:tcW w:w="680"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818" w:type="dxa"/>
            <w:tcBorders>
              <w:top w:val="nil"/>
              <w:left w:val="nil"/>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50"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75"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2085" w:type="dxa"/>
            <w:gridSpan w:val="3"/>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单位：万元</w:t>
            </w:r>
          </w:p>
        </w:tc>
      </w:tr>
      <w:tr>
        <w:tblPrEx>
          <w:shd w:val="clear" w:color="auto" w:fill="auto"/>
          <w:tblLayout w:type="fixed"/>
          <w:tblCellMar>
            <w:top w:w="0" w:type="dxa"/>
            <w:left w:w="0" w:type="dxa"/>
            <w:bottom w:w="0" w:type="dxa"/>
            <w:right w:w="0" w:type="dxa"/>
          </w:tblCellMar>
        </w:tblPrEx>
        <w:trPr>
          <w:trHeight w:val="600" w:hRule="atLeast"/>
        </w:trPr>
        <w:tc>
          <w:tcPr>
            <w:tcW w:w="186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4368" w:type="dxa"/>
            <w:gridSpan w:val="4"/>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sz w:val="18"/>
                <w:szCs w:val="18"/>
                <w:u w:val="none"/>
              </w:rPr>
              <w:t>义务教育阶段家庭经济困难学生营养餐补助</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自评</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年度</w:t>
            </w: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2024年1月1日-2024年12月31日</w:t>
            </w:r>
          </w:p>
        </w:tc>
      </w:tr>
      <w:tr>
        <w:tblPrEx>
          <w:shd w:val="clear" w:color="auto" w:fill="auto"/>
          <w:tblLayout w:type="fixed"/>
          <w:tblCellMar>
            <w:top w:w="0" w:type="dxa"/>
            <w:left w:w="0" w:type="dxa"/>
            <w:bottom w:w="0" w:type="dxa"/>
            <w:right w:w="0" w:type="dxa"/>
          </w:tblCellMar>
        </w:tblPrEx>
        <w:trPr>
          <w:trHeight w:val="450" w:hRule="atLeast"/>
        </w:trPr>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主管部门</w:t>
            </w:r>
          </w:p>
        </w:tc>
        <w:tc>
          <w:tcPr>
            <w:tcW w:w="436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湖里区教育局</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实施单位</w:t>
            </w: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r>
              <w:rPr>
                <w:rFonts w:hint="eastAsia" w:ascii="宋体" w:hAnsi="宋体" w:eastAsia="宋体" w:cs="宋体"/>
                <w:b w:val="0"/>
                <w:bCs/>
                <w:i w:val="0"/>
                <w:color w:val="000000"/>
                <w:kern w:val="0"/>
                <w:sz w:val="18"/>
                <w:szCs w:val="18"/>
                <w:u w:val="none"/>
                <w:lang w:val="en-US" w:eastAsia="zh-CN" w:bidi="ar"/>
              </w:rPr>
              <w:t>厦门市</w:t>
            </w:r>
            <w:r>
              <w:rPr>
                <w:rFonts w:hint="eastAsia" w:ascii="宋体" w:hAnsi="宋体" w:cs="宋体"/>
                <w:b w:val="0"/>
                <w:bCs/>
                <w:i w:val="0"/>
                <w:color w:val="000000"/>
                <w:kern w:val="0"/>
                <w:sz w:val="18"/>
                <w:szCs w:val="18"/>
                <w:u w:val="none"/>
                <w:lang w:val="en-US" w:eastAsia="zh-CN" w:bidi="ar"/>
              </w:rPr>
              <w:t>湖里中心小学</w:t>
            </w:r>
          </w:p>
        </w:tc>
      </w:tr>
      <w:tr>
        <w:tblPrEx>
          <w:shd w:val="clear" w:color="auto" w:fill="auto"/>
          <w:tblLayout w:type="fixed"/>
          <w:tblCellMar>
            <w:top w:w="0" w:type="dxa"/>
            <w:left w:w="0" w:type="dxa"/>
            <w:bottom w:w="0" w:type="dxa"/>
            <w:right w:w="0" w:type="dxa"/>
          </w:tblCellMar>
        </w:tblPrEx>
        <w:trPr>
          <w:trHeight w:val="675" w:hRule="atLeast"/>
        </w:trPr>
        <w:tc>
          <w:tcPr>
            <w:tcW w:w="18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年度预算执行情况</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年初预算数</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已调整数</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调整后预算数</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全年执行数</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执行率</w:t>
            </w:r>
          </w:p>
        </w:tc>
        <w:tc>
          <w:tcPr>
            <w:tcW w:w="67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设置分值</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存在问题及原因</w:t>
            </w:r>
          </w:p>
        </w:tc>
      </w:tr>
      <w:tr>
        <w:tblPrEx>
          <w:shd w:val="clear" w:color="auto" w:fill="auto"/>
          <w:tblLayout w:type="fixed"/>
          <w:tblCellMar>
            <w:top w:w="0" w:type="dxa"/>
            <w:left w:w="0" w:type="dxa"/>
            <w:bottom w:w="0" w:type="dxa"/>
            <w:right w:w="0" w:type="dxa"/>
          </w:tblCellMar>
        </w:tblPrEx>
        <w:trPr>
          <w:trHeight w:val="860" w:hRule="atLeast"/>
        </w:trPr>
        <w:tc>
          <w:tcPr>
            <w:tcW w:w="18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年度资金总额</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0.72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0.72</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0.1086</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15.08</w:t>
            </w:r>
            <w:r>
              <w:rPr>
                <w:rFonts w:hint="eastAsia" w:ascii="宋体" w:hAnsi="宋体" w:eastAsia="宋体" w:cs="宋体"/>
                <w:i w:val="0"/>
                <w:color w:val="000000"/>
                <w:kern w:val="0"/>
                <w:sz w:val="18"/>
                <w:szCs w:val="18"/>
                <w:u w:val="none"/>
                <w:lang w:val="en-US" w:eastAsia="zh-CN" w:bidi="ar"/>
              </w:rPr>
              <w:t>%</w:t>
            </w:r>
          </w:p>
        </w:tc>
        <w:tc>
          <w:tcPr>
            <w:tcW w:w="67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2</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困难学生未全部在校用餐</w:t>
            </w:r>
          </w:p>
        </w:tc>
      </w:tr>
      <w:tr>
        <w:tblPrEx>
          <w:shd w:val="clear" w:color="auto" w:fill="auto"/>
          <w:tblLayout w:type="fixed"/>
          <w:tblCellMar>
            <w:top w:w="0" w:type="dxa"/>
            <w:left w:w="0" w:type="dxa"/>
            <w:bottom w:w="0" w:type="dxa"/>
            <w:right w:w="0" w:type="dxa"/>
          </w:tblCellMar>
        </w:tblPrEx>
        <w:trPr>
          <w:trHeight w:val="270" w:hRule="atLeast"/>
        </w:trPr>
        <w:tc>
          <w:tcPr>
            <w:tcW w:w="18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其中：当年财政拨款</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0.72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0.72</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0.1086</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15.08</w:t>
            </w:r>
            <w:r>
              <w:rPr>
                <w:rFonts w:hint="eastAsia" w:ascii="宋体" w:hAnsi="宋体" w:eastAsia="宋体" w:cs="宋体"/>
                <w:i w:val="0"/>
                <w:color w:val="000000"/>
                <w:kern w:val="0"/>
                <w:sz w:val="18"/>
                <w:szCs w:val="18"/>
                <w:u w:val="none"/>
                <w:lang w:val="en-US" w:eastAsia="zh-CN" w:bidi="ar"/>
              </w:rPr>
              <w:t>%</w:t>
            </w:r>
          </w:p>
        </w:tc>
        <w:tc>
          <w:tcPr>
            <w:tcW w:w="67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270" w:hRule="atLeast"/>
        </w:trPr>
        <w:tc>
          <w:tcPr>
            <w:tcW w:w="18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 xml:space="preserve">     上年结转资金</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7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270" w:hRule="atLeast"/>
        </w:trPr>
        <w:tc>
          <w:tcPr>
            <w:tcW w:w="18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 xml:space="preserve">     其他资金</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7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270"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总体</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目标</w:t>
            </w:r>
          </w:p>
        </w:tc>
        <w:tc>
          <w:tcPr>
            <w:tcW w:w="553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预期目标</w:t>
            </w:r>
          </w:p>
        </w:tc>
        <w:tc>
          <w:tcPr>
            <w:tcW w:w="351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实际完成情况</w:t>
            </w:r>
          </w:p>
        </w:tc>
      </w:tr>
      <w:tr>
        <w:tblPrEx>
          <w:shd w:val="clear" w:color="auto" w:fill="auto"/>
          <w:tblLayout w:type="fixed"/>
          <w:tblCellMar>
            <w:top w:w="0" w:type="dxa"/>
            <w:left w:w="0" w:type="dxa"/>
            <w:bottom w:w="0" w:type="dxa"/>
            <w:right w:w="0" w:type="dxa"/>
          </w:tblCellMar>
        </w:tblPrEx>
        <w:trPr>
          <w:trHeight w:val="50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538"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厦门市教育局等五部门关于印发《厦门市学生资助资金管理实施办法》的通知（厦教发〔2022〕83号）及厦门市教育局等八部门关于印发《厦门市家庭经济困难学生认定办法》的通知（厦教规【2022】3号）等文件，对义务教育阶段公办校（学校提供午餐）家庭经济困难学生营养餐补助，确保补助工作顺利实施。</w:t>
            </w:r>
          </w:p>
        </w:tc>
        <w:tc>
          <w:tcPr>
            <w:tcW w:w="3510"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2024年完成春、秋两季关于我区义务教育阶段公办校（学校提供午餐）家庭经济困难学生营养餐补助对象审核及资金下拨。</w:t>
            </w:r>
          </w:p>
        </w:tc>
      </w:tr>
      <w:tr>
        <w:tblPrEx>
          <w:shd w:val="clear" w:color="auto" w:fill="auto"/>
          <w:tblLayout w:type="fixed"/>
          <w:tblCellMar>
            <w:top w:w="0" w:type="dxa"/>
            <w:left w:w="0" w:type="dxa"/>
            <w:bottom w:w="0" w:type="dxa"/>
            <w:right w:w="0" w:type="dxa"/>
          </w:tblCellMar>
        </w:tblPrEx>
        <w:trPr>
          <w:trHeight w:val="62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538"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51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675"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指标类型</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绩效目标值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实际完成值</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完成比例</w:t>
            </w:r>
          </w:p>
        </w:tc>
        <w:tc>
          <w:tcPr>
            <w:tcW w:w="67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设置分值</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存在问题及原因</w:t>
            </w:r>
          </w:p>
        </w:tc>
      </w:tr>
      <w:tr>
        <w:tblPrEx>
          <w:shd w:val="clear" w:color="auto" w:fill="auto"/>
          <w:tblLayout w:type="fixed"/>
          <w:tblCellMar>
            <w:top w:w="0" w:type="dxa"/>
            <w:left w:w="0" w:type="dxa"/>
            <w:bottom w:w="0" w:type="dxa"/>
            <w:right w:w="0" w:type="dxa"/>
          </w:tblCellMar>
        </w:tblPrEx>
        <w:trPr>
          <w:trHeight w:val="450"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绩</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效</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指</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标</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完</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成</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情</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况</w:t>
            </w: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产出指标</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审核义务教育阶段受助学生</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r>
              <w:rPr>
                <w:rFonts w:hint="eastAsia" w:ascii="宋体" w:hAnsi="宋体" w:cs="宋体"/>
                <w:i w:val="0"/>
                <w:color w:val="000000"/>
                <w:kern w:val="0"/>
                <w:sz w:val="18"/>
                <w:szCs w:val="18"/>
                <w:u w:val="none"/>
                <w:lang w:val="en-US" w:eastAsia="zh-CN" w:bidi="ar"/>
              </w:rPr>
              <w:t>8</w:t>
            </w:r>
            <w:r>
              <w:rPr>
                <w:rFonts w:hint="eastAsia" w:ascii="宋体" w:hAnsi="宋体" w:eastAsia="宋体" w:cs="宋体"/>
                <w:i w:val="0"/>
                <w:color w:val="000000"/>
                <w:kern w:val="0"/>
                <w:sz w:val="18"/>
                <w:szCs w:val="18"/>
                <w:u w:val="none"/>
                <w:lang w:val="en-US" w:eastAsia="zh-CN" w:bidi="ar"/>
              </w:rPr>
              <w:t>人</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8</w:t>
            </w:r>
            <w:r>
              <w:rPr>
                <w:rFonts w:hint="eastAsia" w:ascii="宋体" w:hAnsi="宋体" w:eastAsia="宋体" w:cs="宋体"/>
                <w:i w:val="0"/>
                <w:color w:val="000000"/>
                <w:kern w:val="0"/>
                <w:sz w:val="18"/>
                <w:szCs w:val="18"/>
                <w:u w:val="none"/>
                <w:lang w:val="en-US" w:eastAsia="zh-CN" w:bidi="ar"/>
              </w:rPr>
              <w:t>人</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45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全年营养餐补助学生</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r>
              <w:rPr>
                <w:rFonts w:hint="eastAsia" w:ascii="宋体" w:hAnsi="宋体" w:cs="宋体"/>
                <w:i w:val="0"/>
                <w:color w:val="000000"/>
                <w:kern w:val="0"/>
                <w:sz w:val="18"/>
                <w:szCs w:val="18"/>
                <w:u w:val="none"/>
                <w:lang w:val="en-US" w:eastAsia="zh-CN" w:bidi="ar"/>
              </w:rPr>
              <w:t>2</w:t>
            </w:r>
            <w:r>
              <w:rPr>
                <w:rFonts w:hint="eastAsia" w:ascii="宋体" w:hAnsi="宋体" w:eastAsia="宋体" w:cs="宋体"/>
                <w:i w:val="0"/>
                <w:color w:val="000000"/>
                <w:kern w:val="0"/>
                <w:sz w:val="18"/>
                <w:szCs w:val="18"/>
                <w:u w:val="none"/>
                <w:lang w:val="en-US" w:eastAsia="zh-CN" w:bidi="ar"/>
              </w:rPr>
              <w:t>人</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2</w:t>
            </w:r>
            <w:r>
              <w:rPr>
                <w:rFonts w:hint="eastAsia" w:ascii="宋体" w:hAnsi="宋体" w:eastAsia="宋体" w:cs="宋体"/>
                <w:i w:val="0"/>
                <w:color w:val="000000"/>
                <w:kern w:val="0"/>
                <w:sz w:val="18"/>
                <w:szCs w:val="18"/>
                <w:u w:val="none"/>
                <w:lang w:val="en-US" w:eastAsia="zh-CN" w:bidi="ar"/>
              </w:rPr>
              <w:t>人</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60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营养餐发放标准</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6元/餐</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6元/餐</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74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义务教育困难生资助资金下拨及时率</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60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17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效益指标</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改善受助学生学习生活质量</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有所改善</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有所改善</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60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指标</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受资助对象满意度</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8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大于等于90%</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r>
              <w:rPr>
                <w:rFonts w:hint="eastAsia" w:ascii="宋体" w:hAnsi="宋体" w:cs="宋体"/>
                <w:i w:val="0"/>
                <w:color w:val="000000"/>
                <w:kern w:val="0"/>
                <w:sz w:val="18"/>
                <w:szCs w:val="18"/>
                <w:u w:val="none"/>
                <w:lang w:val="en-US" w:eastAsia="zh-CN" w:bidi="ar"/>
              </w:rPr>
              <w:t>8</w:t>
            </w:r>
            <w:r>
              <w:rPr>
                <w:rFonts w:hint="eastAsia" w:ascii="宋体" w:hAnsi="宋体" w:eastAsia="宋体" w:cs="宋体"/>
                <w:i w:val="0"/>
                <w:color w:val="000000"/>
                <w:kern w:val="0"/>
                <w:sz w:val="18"/>
                <w:szCs w:val="18"/>
                <w:u w:val="none"/>
                <w:lang w:val="en-US" w:eastAsia="zh-CN" w:bidi="ar"/>
              </w:rPr>
              <w:t>%</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270" w:hRule="atLeast"/>
        </w:trPr>
        <w:tc>
          <w:tcPr>
            <w:tcW w:w="765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总分</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r>
              <w:rPr>
                <w:rFonts w:hint="eastAsia" w:ascii="宋体" w:hAnsi="宋体" w:cs="宋体"/>
                <w:i w:val="0"/>
                <w:color w:val="000000"/>
                <w:kern w:val="0"/>
                <w:sz w:val="18"/>
                <w:szCs w:val="18"/>
                <w:u w:val="none"/>
                <w:lang w:val="en-US" w:eastAsia="zh-CN" w:bidi="ar"/>
              </w:rPr>
              <w:t>2</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1580" w:hRule="atLeast"/>
        </w:trPr>
        <w:tc>
          <w:tcPr>
            <w:tcW w:w="9738"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填表说明：1.年度总体目标和绩效指标中的“具体指标”“年度指标值”按照部门预算批复的绩效目标填写，必须有量化指标。</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         2.设置分值原则：预算执行率和一级指标权重统一设置为：预算执行率10%、产出指标50%、效益指标30%、服务对象满意度指标10%。如有特殊情况，一级指标权重可做适当调整。二、三级指标应当根据指标重要程度等因素综合确定，准确反映项目的产出和效益。</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         3.存在问题及原因主要针对进度是否滞后，管理制度是否健全，是否违反财务管理制度，绩效目标完成情况是否明显偏离，以及其他资金使用及管理方面的问题进行阐述，并分析产生问题的原因。</w:t>
            </w:r>
          </w:p>
        </w:tc>
      </w:tr>
    </w:tbl>
    <w:p>
      <w:pPr>
        <w:pStyle w:val="2"/>
        <w:rPr>
          <w:lang w:val="en-US" w:eastAsia="zh-CN"/>
        </w:rPr>
      </w:pPr>
    </w:p>
    <w:sectPr>
      <w:footerReference r:id="rId5" w:type="default"/>
      <w:pgSz w:w="11906" w:h="16838"/>
      <w:pgMar w:top="1984" w:right="1083" w:bottom="1984" w:left="1083" w:header="720" w:footer="720" w:gutter="0"/>
      <w:cols w:space="0" w:num="1"/>
      <w:rtlGutter w:val="0"/>
      <w:docGrid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FEFD32B-CA0A-4C76-922C-ED47A981259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4C0D00B6-2ED1-438E-B5CD-B299D4D70CEC}"/>
  </w:font>
  <w:font w:name="仿宋">
    <w:panose1 w:val="02010609060101010101"/>
    <w:charset w:val="86"/>
    <w:family w:val="auto"/>
    <w:pitch w:val="default"/>
    <w:sig w:usb0="800002BF" w:usb1="38CF7CFA" w:usb2="00000016" w:usb3="00000000" w:csb0="00040001" w:csb1="00000000"/>
    <w:embedRegular r:id="rId3" w:fontKey="{92E8450D-3531-42E6-A885-6339C79A7373}"/>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panose1 w:val="02000000000000000000"/>
    <w:charset w:val="86"/>
    <w:family w:val="auto"/>
    <w:pitch w:val="default"/>
    <w:sig w:usb0="00000000" w:usb1="00000000" w:usb2="00000000" w:usb3="00000000" w:csb0="00000000" w:csb1="00000000"/>
    <w:embedRegular r:id="rId4" w:fontKey="{A78F5B47-3558-4C5B-8E37-14CA5284243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w:t>
    </w:r>
    <w:r>
      <w:rPr>
        <w:rFonts w:ascii="宋体" w:hAnsi="宋体" w:eastAsia="宋体" w:cs="宋体"/>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43</w:t>
    </w:r>
    <w:r>
      <w:rPr>
        <w:rFonts w:ascii="宋体" w:hAnsi="宋体" w:eastAsia="宋体" w:cs="宋体"/>
        <w:sz w:val="18"/>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HorizontalSpacing w:val="210"/>
  <w:drawingGridVerticalSpacing w:val="999999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814297"/>
    <w:rsid w:val="0E662C5A"/>
    <w:rsid w:val="1C110248"/>
    <w:rsid w:val="25D158AD"/>
    <w:rsid w:val="272A389D"/>
    <w:rsid w:val="2DD2603B"/>
    <w:rsid w:val="2EFA13DF"/>
    <w:rsid w:val="301A3DA9"/>
    <w:rsid w:val="32110D3D"/>
    <w:rsid w:val="355B4D23"/>
    <w:rsid w:val="368D3AD0"/>
    <w:rsid w:val="3B9C5C23"/>
    <w:rsid w:val="4CBA5E50"/>
    <w:rsid w:val="4D227BDE"/>
    <w:rsid w:val="625909B2"/>
    <w:rsid w:val="6B8F0831"/>
    <w:rsid w:val="72FD20D5"/>
    <w:rsid w:val="7EFB52E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4">
    <w:name w:val="heading 2"/>
    <w:basedOn w:val="5"/>
    <w:next w:val="5"/>
    <w:qFormat/>
    <w:uiPriority w:val="0"/>
    <w:pPr>
      <w:keepNext/>
      <w:keepLines/>
      <w:spacing w:before="260" w:after="260" w:line="416" w:lineRule="auto"/>
      <w:outlineLvl w:val="1"/>
    </w:pPr>
    <w:rPr>
      <w:rFonts w:ascii="Arial" w:hAnsi="Arial" w:eastAsia="仿宋"/>
      <w:bCs/>
      <w:sz w:val="32"/>
      <w:szCs w:val="32"/>
    </w:rPr>
  </w:style>
  <w:style w:type="paragraph" w:styleId="6">
    <w:name w:val="heading 3"/>
    <w:basedOn w:val="5"/>
    <w:next w:val="5"/>
    <w:link w:val="31"/>
    <w:qFormat/>
    <w:uiPriority w:val="0"/>
    <w:pPr>
      <w:keepNext/>
      <w:keepLines/>
      <w:spacing w:before="260" w:after="260" w:line="416" w:lineRule="auto"/>
      <w:outlineLvl w:val="2"/>
    </w:pPr>
    <w:rPr>
      <w:rFonts w:eastAsia="仿宋"/>
      <w:bCs/>
      <w:sz w:val="32"/>
      <w:szCs w:val="32"/>
    </w:rPr>
  </w:style>
  <w:style w:type="paragraph" w:styleId="7">
    <w:name w:val="heading 4"/>
    <w:basedOn w:val="5"/>
    <w:next w:val="5"/>
    <w:link w:val="28"/>
    <w:qFormat/>
    <w:uiPriority w:val="0"/>
    <w:pPr>
      <w:keepNext/>
      <w:keepLines/>
      <w:spacing w:before="280" w:after="290" w:line="376" w:lineRule="auto"/>
      <w:outlineLvl w:val="3"/>
    </w:pPr>
    <w:rPr>
      <w:rFonts w:ascii="Cambria" w:hAnsi="Cambria" w:eastAsia="仿宋"/>
      <w:bCs/>
      <w:sz w:val="32"/>
      <w:szCs w:val="28"/>
    </w:rPr>
  </w:style>
  <w:style w:type="character" w:default="1" w:styleId="21">
    <w:name w:val="Default Paragraph Font"/>
    <w:semiHidden/>
    <w:unhideWhenUsed/>
    <w:qFormat/>
    <w:uiPriority w:val="1"/>
  </w:style>
  <w:style w:type="table" w:default="1" w:styleId="24">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1.正文"/>
    <w:basedOn w:val="1"/>
    <w:qFormat/>
    <w:uiPriority w:val="0"/>
    <w:pPr>
      <w:spacing w:before="0" w:beforeAutospacing="0" w:after="0" w:afterAutospacing="0"/>
      <w:ind w:left="0" w:right="0"/>
      <w:jc w:val="left"/>
    </w:pPr>
    <w:rPr>
      <w:rFonts w:hint="eastAsia" w:ascii="宋体" w:hAnsi="Times New Roman" w:eastAsia="宋体" w:cs="宋体"/>
      <w:kern w:val="0"/>
      <w:sz w:val="24"/>
      <w:szCs w:val="24"/>
      <w:lang w:val="en-US" w:eastAsia="zh-CN" w:bidi="ar"/>
    </w:rPr>
  </w:style>
  <w:style w:type="paragraph" w:customStyle="1" w:styleId="5">
    <w:name w:val="No Spacing"/>
    <w:link w:val="29"/>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8">
    <w:name w:val="toc 7"/>
    <w:basedOn w:val="1"/>
    <w:next w:val="1"/>
    <w:qFormat/>
    <w:uiPriority w:val="0"/>
    <w:pPr>
      <w:ind w:left="1260"/>
      <w:jc w:val="left"/>
    </w:pPr>
    <w:rPr>
      <w:sz w:val="20"/>
      <w:szCs w:val="20"/>
    </w:rPr>
  </w:style>
  <w:style w:type="paragraph" w:styleId="9">
    <w:name w:val="Document Map"/>
    <w:basedOn w:val="1"/>
    <w:qFormat/>
    <w:uiPriority w:val="0"/>
    <w:pPr>
      <w:shd w:val="clear" w:color="auto" w:fill="000080"/>
    </w:pPr>
  </w:style>
  <w:style w:type="paragraph" w:styleId="10">
    <w:name w:val="Body Text"/>
    <w:basedOn w:val="1"/>
    <w:semiHidden/>
    <w:qFormat/>
    <w:uiPriority w:val="0"/>
    <w:rPr>
      <w:rFonts w:ascii="仿宋" w:hAnsi="仿宋" w:eastAsia="仿宋" w:cs="仿宋"/>
      <w:sz w:val="30"/>
      <w:szCs w:val="30"/>
      <w:lang w:val="en-US" w:eastAsia="en-US" w:bidi="ar-SA"/>
    </w:rPr>
  </w:style>
  <w:style w:type="paragraph" w:styleId="11">
    <w:name w:val="toc 5"/>
    <w:basedOn w:val="1"/>
    <w:next w:val="1"/>
    <w:qFormat/>
    <w:uiPriority w:val="0"/>
    <w:pPr>
      <w:ind w:left="840"/>
      <w:jc w:val="left"/>
    </w:pPr>
    <w:rPr>
      <w:sz w:val="20"/>
      <w:szCs w:val="20"/>
    </w:rPr>
  </w:style>
  <w:style w:type="paragraph" w:styleId="12">
    <w:name w:val="toc 3"/>
    <w:next w:val="6"/>
    <w:qFormat/>
    <w:uiPriority w:val="0"/>
    <w:pPr>
      <w:adjustRightInd w:val="0"/>
      <w:snapToGrid w:val="0"/>
      <w:spacing w:line="360" w:lineRule="auto"/>
      <w:ind w:firstLine="400" w:firstLineChars="400"/>
      <w:jc w:val="left"/>
    </w:pPr>
    <w:rPr>
      <w:rFonts w:ascii="Times New Roman" w:hAnsi="Times New Roman" w:eastAsia="仿宋" w:cs="Times New Roman"/>
      <w:sz w:val="32"/>
      <w:szCs w:val="20"/>
      <w:lang w:val="en-US" w:eastAsia="zh-CN" w:bidi="ar-SA"/>
    </w:rPr>
  </w:style>
  <w:style w:type="paragraph" w:styleId="13">
    <w:name w:val="toc 8"/>
    <w:basedOn w:val="1"/>
    <w:next w:val="1"/>
    <w:qFormat/>
    <w:uiPriority w:val="0"/>
    <w:pPr>
      <w:ind w:left="1470"/>
      <w:jc w:val="left"/>
    </w:pPr>
    <w:rPr>
      <w:sz w:val="20"/>
      <w:szCs w:val="20"/>
    </w:rPr>
  </w:style>
  <w:style w:type="paragraph" w:styleId="14">
    <w:name w:val="footer"/>
    <w:basedOn w:val="1"/>
    <w:link w:val="30"/>
    <w:qFormat/>
    <w:uiPriority w:val="0"/>
    <w:pPr>
      <w:tabs>
        <w:tab w:val="center" w:pos="4153"/>
        <w:tab w:val="right" w:pos="8306"/>
      </w:tabs>
      <w:snapToGrid w:val="0"/>
      <w:jc w:val="left"/>
    </w:pPr>
    <w:rPr>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next w:val="5"/>
    <w:qFormat/>
    <w:uiPriority w:val="0"/>
    <w:pPr>
      <w:adjustRightInd w:val="0"/>
      <w:snapToGrid w:val="0"/>
      <w:spacing w:line="360" w:lineRule="auto"/>
      <w:jc w:val="left"/>
    </w:pPr>
    <w:rPr>
      <w:rFonts w:ascii="Times New Roman" w:hAnsi="Times New Roman" w:eastAsia="仿宋" w:cs="Times New Roman"/>
      <w:bCs/>
      <w:sz w:val="32"/>
      <w:szCs w:val="20"/>
      <w:lang w:val="en-US" w:eastAsia="zh-CN" w:bidi="ar-SA"/>
    </w:rPr>
  </w:style>
  <w:style w:type="paragraph" w:styleId="17">
    <w:name w:val="toc 4"/>
    <w:basedOn w:val="1"/>
    <w:next w:val="1"/>
    <w:qFormat/>
    <w:uiPriority w:val="0"/>
    <w:pPr>
      <w:ind w:left="630"/>
      <w:jc w:val="left"/>
    </w:pPr>
    <w:rPr>
      <w:sz w:val="20"/>
      <w:szCs w:val="20"/>
    </w:rPr>
  </w:style>
  <w:style w:type="paragraph" w:styleId="18">
    <w:name w:val="toc 6"/>
    <w:basedOn w:val="1"/>
    <w:next w:val="1"/>
    <w:qFormat/>
    <w:uiPriority w:val="0"/>
    <w:pPr>
      <w:ind w:left="1050"/>
      <w:jc w:val="left"/>
    </w:pPr>
    <w:rPr>
      <w:sz w:val="20"/>
      <w:szCs w:val="20"/>
    </w:rPr>
  </w:style>
  <w:style w:type="paragraph" w:styleId="19">
    <w:name w:val="toc 2"/>
    <w:next w:val="5"/>
    <w:qFormat/>
    <w:uiPriority w:val="0"/>
    <w:pPr>
      <w:adjustRightInd w:val="0"/>
      <w:snapToGrid w:val="0"/>
      <w:spacing w:line="360" w:lineRule="auto"/>
      <w:ind w:firstLine="200" w:firstLineChars="200"/>
      <w:jc w:val="left"/>
    </w:pPr>
    <w:rPr>
      <w:rFonts w:ascii="Times New Roman" w:hAnsi="Times New Roman" w:eastAsia="仿宋" w:cs="Times New Roman"/>
      <w:iCs/>
      <w:sz w:val="32"/>
      <w:szCs w:val="20"/>
      <w:lang w:val="en-US" w:eastAsia="zh-CN" w:bidi="ar-SA"/>
    </w:rPr>
  </w:style>
  <w:style w:type="paragraph" w:styleId="20">
    <w:name w:val="toc 9"/>
    <w:basedOn w:val="1"/>
    <w:next w:val="1"/>
    <w:qFormat/>
    <w:uiPriority w:val="0"/>
    <w:pPr>
      <w:ind w:left="1680"/>
      <w:jc w:val="left"/>
    </w:pPr>
    <w:rPr>
      <w:sz w:val="20"/>
      <w:szCs w:val="20"/>
    </w:rPr>
  </w:style>
  <w:style w:type="character" w:styleId="22">
    <w:name w:val="page number"/>
    <w:basedOn w:val="21"/>
    <w:qFormat/>
    <w:uiPriority w:val="0"/>
  </w:style>
  <w:style w:type="character" w:styleId="23">
    <w:name w:val="Hyperlink"/>
    <w:qFormat/>
    <w:uiPriority w:val="0"/>
    <w:rPr>
      <w:rFonts w:ascii="宋体" w:hAnsi="宋体" w:eastAsia="仿宋" w:cs="Times New Roman"/>
      <w:kern w:val="2"/>
      <w:sz w:val="32"/>
      <w:szCs w:val="32"/>
      <w:lang w:val="en-US" w:eastAsia="zh-CN" w:bidi="ar-SA"/>
    </w:rPr>
  </w:style>
  <w:style w:type="paragraph" w:customStyle="1" w:styleId="25">
    <w:name w:val="List Paragraph"/>
    <w:basedOn w:val="1"/>
    <w:qFormat/>
    <w:uiPriority w:val="0"/>
    <w:pPr>
      <w:ind w:firstLine="420" w:firstLineChars="200"/>
    </w:pPr>
  </w:style>
  <w:style w:type="paragraph" w:customStyle="1" w:styleId="26">
    <w:name w:val="MsoNormal"/>
    <w:basedOn w:val="1"/>
    <w:qFormat/>
    <w:uiPriority w:val="0"/>
  </w:style>
  <w:style w:type="paragraph" w:customStyle="1" w:styleId="27">
    <w:name w:val="p"/>
    <w:basedOn w:val="1"/>
    <w:qFormat/>
    <w:uiPriority w:val="0"/>
  </w:style>
  <w:style w:type="character" w:customStyle="1" w:styleId="28">
    <w:name w:val="标题 4 字符"/>
    <w:basedOn w:val="21"/>
    <w:link w:val="7"/>
    <w:qFormat/>
    <w:uiPriority w:val="0"/>
    <w:rPr>
      <w:rFonts w:ascii="Cambria" w:hAnsi="Cambria" w:eastAsia="仿宋"/>
      <w:bCs/>
      <w:kern w:val="2"/>
      <w:sz w:val="32"/>
      <w:szCs w:val="28"/>
    </w:rPr>
  </w:style>
  <w:style w:type="character" w:customStyle="1" w:styleId="29">
    <w:name w:val="无间隔 字符"/>
    <w:link w:val="5"/>
    <w:qFormat/>
    <w:locked/>
    <w:uiPriority w:val="0"/>
    <w:rPr>
      <w:rFonts w:eastAsia="仿宋_GB2312"/>
      <w:sz w:val="30"/>
      <w:szCs w:val="22"/>
      <w:lang w:bidi="ar-SA"/>
    </w:rPr>
  </w:style>
  <w:style w:type="character" w:customStyle="1" w:styleId="30">
    <w:name w:val="页脚 字符"/>
    <w:basedOn w:val="21"/>
    <w:link w:val="14"/>
    <w:qFormat/>
    <w:uiPriority w:val="0"/>
    <w:rPr>
      <w:kern w:val="2"/>
      <w:sz w:val="18"/>
      <w:szCs w:val="18"/>
    </w:rPr>
  </w:style>
  <w:style w:type="character" w:customStyle="1" w:styleId="31">
    <w:name w:val="标题 3 字符"/>
    <w:basedOn w:val="21"/>
    <w:link w:val="6"/>
    <w:qFormat/>
    <w:uiPriority w:val="0"/>
    <w:rPr>
      <w:rFonts w:eastAsia="仿宋"/>
      <w:bCs/>
      <w:kern w:val="2"/>
      <w:sz w:val="32"/>
      <w:szCs w:val="32"/>
    </w:rPr>
  </w:style>
  <w:style w:type="character" w:customStyle="1" w:styleId="32">
    <w:name w:val="15"/>
    <w:basedOn w:val="2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26</Pages>
  <Words>8876</Words>
  <Characters>11151</Characters>
  <Lines>1</Lines>
  <Paragraphs>1</Paragraphs>
  <TotalTime>0</TotalTime>
  <ScaleCrop>false</ScaleCrop>
  <LinksUpToDate>false</LinksUpToDate>
  <CharactersWithSpaces>11911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2021-04-16T00:45:00Z</cp:lastPrinted>
  <dcterms:modified xsi:type="dcterms:W3CDTF">2025-09-16T05:00:04Z</dcterms:modified>
  <dc:title>××年度××部门/单位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EA5A9A3EE3CB4C95B5A9D9912CAF3E9B_13</vt:lpwstr>
  </property>
  <property fmtid="{D5CDD505-2E9C-101B-9397-08002B2CF9AE}" pid="3" name="KSOProductBuildVer">
    <vt:lpwstr>2052-11.8.2.8053</vt:lpwstr>
  </property>
  <property fmtid="{D5CDD505-2E9C-101B-9397-08002B2CF9AE}" pid="4" name="KSOTemplateDocerSaveRecord">
    <vt:lpwstr>eyJoZGlkIjoiODI4MzdhYzA0NjQxZjY2MDI2NzNkZDZmOWFlYWFiOGYiLCJ1c2VySWQiOiIzNDgxNjQ1NTYifQ==</vt:lpwstr>
  </property>
</Properties>
</file>