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widowControl/>
        <w:jc w:val="center"/>
        <w:rPr>
          <w:sz w:val="32"/>
          <w:szCs w:val="32"/>
          <w:highlight w:val="none"/>
        </w:rPr>
      </w:pPr>
    </w:p>
    <w:p>
      <w:pPr>
        <w:widowControl/>
        <w:jc w:val="both"/>
        <w:rPr>
          <w:sz w:val="84"/>
          <w:szCs w:val="84"/>
          <w:highlight w:val="none"/>
        </w:rPr>
      </w:pPr>
    </w:p>
    <w:p>
      <w:pPr>
        <w:widowControl/>
        <w:jc w:val="center"/>
        <w:rPr>
          <w:rFonts w:hint="eastAsia" w:ascii="黑体" w:hAnsi="黑体" w:eastAsia="黑体" w:cs="黑体"/>
          <w:b/>
          <w:bCs/>
          <w:sz w:val="84"/>
          <w:szCs w:val="84"/>
          <w:highlight w:val="none"/>
        </w:rPr>
      </w:pPr>
      <w:r>
        <w:rPr>
          <w:rFonts w:hint="eastAsia" w:ascii="黑体" w:hAnsi="黑体" w:eastAsia="黑体" w:cs="黑体"/>
          <w:b/>
          <w:bCs/>
          <w:sz w:val="84"/>
          <w:szCs w:val="84"/>
          <w:highlight w:val="none"/>
          <w:lang w:val="en-US" w:eastAsia="zh-CN"/>
        </w:rPr>
        <w:t>2024</w:t>
      </w:r>
      <w:r>
        <w:rPr>
          <w:rFonts w:hint="eastAsia" w:ascii="黑体" w:hAnsi="黑体" w:eastAsia="黑体" w:cs="黑体"/>
          <w:b/>
          <w:bCs/>
          <w:sz w:val="84"/>
          <w:szCs w:val="84"/>
          <w:highlight w:val="none"/>
        </w:rPr>
        <w:t>年度</w:t>
      </w:r>
    </w:p>
    <w:p>
      <w:pPr>
        <w:widowControl/>
        <w:jc w:val="center"/>
        <w:rPr>
          <w:rFonts w:hint="eastAsia" w:ascii="黑体" w:hAnsi="黑体" w:eastAsia="黑体" w:cs="黑体"/>
          <w:b/>
          <w:bCs/>
          <w:sz w:val="84"/>
          <w:szCs w:val="84"/>
          <w:highlight w:val="none"/>
        </w:rPr>
      </w:pPr>
      <w:r>
        <w:rPr>
          <w:rFonts w:hint="eastAsia" w:ascii="黑体" w:hAnsi="黑体" w:eastAsia="黑体" w:cs="黑体"/>
          <w:b/>
          <w:bCs/>
          <w:sz w:val="84"/>
          <w:szCs w:val="84"/>
          <w:highlight w:val="none"/>
        </w:rPr>
        <w:t>厦门市湖里创新实验学校</w:t>
      </w:r>
    </w:p>
    <w:p>
      <w:pPr>
        <w:widowControl/>
        <w:jc w:val="center"/>
        <w:rPr>
          <w:rFonts w:hint="eastAsia" w:ascii="黑体" w:hAnsi="黑体" w:eastAsia="黑体" w:cs="黑体"/>
          <w:b/>
          <w:bCs/>
          <w:sz w:val="84"/>
          <w:szCs w:val="84"/>
          <w:highlight w:val="none"/>
          <w:lang w:val="en-US" w:eastAsia="zh-CN"/>
        </w:rPr>
        <w:sectPr>
          <w:footerReference r:id="rId3" w:type="default"/>
          <w:pgSz w:w="11906" w:h="16838"/>
          <w:pgMar w:top="1440" w:right="1083" w:bottom="1440" w:left="1083" w:header="0" w:footer="720" w:gutter="0"/>
          <w:pgBorders>
            <w:top w:val="none" w:sz="0" w:space="0"/>
            <w:left w:val="none" w:sz="0" w:space="0"/>
            <w:bottom w:val="none" w:sz="0" w:space="0"/>
            <w:right w:val="none" w:sz="0" w:space="0"/>
          </w:pgBorders>
          <w:pgNumType w:fmt="decimal"/>
          <w:cols w:space="0" w:num="1"/>
          <w:rtlGutter w:val="0"/>
          <w:docGrid w:type="lines" w:linePitch="317" w:charSpace="0"/>
        </w:sectPr>
      </w:pPr>
      <w:r>
        <w:rPr>
          <w:rFonts w:hint="eastAsia" w:ascii="黑体" w:hAnsi="黑体" w:eastAsia="黑体" w:cs="黑体"/>
          <w:b/>
          <w:bCs/>
          <w:sz w:val="84"/>
          <w:szCs w:val="84"/>
          <w:highlight w:val="none"/>
          <w:lang w:val="en-US" w:eastAsia="zh-CN"/>
        </w:rPr>
        <w:t>单位</w:t>
      </w:r>
      <w:r>
        <w:rPr>
          <w:rFonts w:hint="eastAsia" w:ascii="黑体" w:hAnsi="黑体" w:eastAsia="黑体" w:cs="黑体"/>
          <w:b/>
          <w:bCs/>
          <w:sz w:val="84"/>
          <w:szCs w:val="84"/>
          <w:highlight w:val="none"/>
        </w:rPr>
        <w:t>决算</w:t>
      </w:r>
    </w:p>
    <w:sdt>
      <w:sdtPr>
        <w:rPr>
          <w:rFonts w:hint="eastAsia" w:ascii="仿宋" w:hAnsi="仿宋" w:eastAsia="仿宋" w:cs="仿宋"/>
          <w:b/>
          <w:bCs/>
          <w:kern w:val="0"/>
          <w:sz w:val="32"/>
          <w:szCs w:val="32"/>
          <w:lang w:val="en-US" w:eastAsia="zh-CN"/>
        </w:rPr>
        <w:id w:val="147456983"/>
        <w15:color w:val="DBDBDB"/>
        <w:docPartObj>
          <w:docPartGallery w:val="Table of Contents"/>
          <w:docPartUnique/>
        </w:docPartObj>
      </w:sdtPr>
      <w:sdtEndPr>
        <w:rPr>
          <w:rFonts w:hint="eastAsia" w:ascii="宋体" w:hAnsi="宋体" w:eastAsia="宋体" w:cs="Times New Roman"/>
          <w:b/>
          <w:bCs/>
          <w:kern w:val="2"/>
          <w:sz w:val="32"/>
          <w:szCs w:val="32"/>
          <w:lang w:val="en-US" w:eastAsia="zh-CN" w:bidi="ar-SA"/>
        </w:rPr>
      </w:sdtEndPr>
      <w:sdtContent>
        <w:p>
          <w:pPr>
            <w:widowControl/>
            <w:spacing w:before="0" w:beforeLines="0" w:after="0" w:afterLines="0" w:line="240" w:lineRule="auto"/>
            <w:ind w:left="0" w:leftChars="0" w:right="0" w:rightChars="0" w:firstLine="0" w:firstLineChars="0"/>
            <w:jc w:val="center"/>
            <w:rPr>
              <w:rFonts w:hint="eastAsia" w:ascii="仿宋" w:hAnsi="仿宋" w:eastAsia="仿宋" w:cs="仿宋"/>
              <w:b/>
              <w:bCs/>
              <w:kern w:val="0"/>
              <w:sz w:val="32"/>
              <w:szCs w:val="32"/>
            </w:rPr>
          </w:pPr>
          <w:r>
            <w:rPr>
              <w:rFonts w:hint="eastAsia" w:ascii="仿宋" w:hAnsi="仿宋" w:eastAsia="仿宋" w:cs="仿宋"/>
              <w:b/>
              <w:bCs/>
              <w:kern w:val="0"/>
              <w:sz w:val="32"/>
              <w:szCs w:val="32"/>
            </w:rPr>
            <w:t>目录</w:t>
          </w:r>
        </w:p>
        <w:p>
          <w:pPr>
            <w:pStyle w:val="17"/>
            <w:tabs>
              <w:tab w:val="right" w:leader="dot" w:pos="9730"/>
            </w:tabs>
            <w:rPr>
              <w:rFonts w:asciiTheme="minorHAnsi" w:hAnsiTheme="minorHAnsi"/>
              <w:sz w:val="22"/>
            </w:rPr>
          </w:pPr>
          <w:r>
            <w:rPr>
              <w:rFonts w:hint="eastAsia" w:ascii="仿宋" w:hAnsi="仿宋" w:eastAsia="仿宋" w:cs="仿宋"/>
              <w:b w:val="0"/>
              <w:bCs/>
              <w:kern w:val="2"/>
              <w:sz w:val="32"/>
              <w:szCs w:val="32"/>
              <w:lang w:val="en-US" w:eastAsia="zh-CN" w:bidi="ar-SA"/>
            </w:rPr>
            <w:fldChar w:fldCharType="begin"/>
          </w:r>
          <w:r>
            <w:rPr>
              <w:rFonts w:hint="eastAsia" w:ascii="仿宋" w:hAnsi="仿宋" w:eastAsia="仿宋" w:cs="仿宋"/>
              <w:b w:val="0"/>
              <w:bCs/>
              <w:kern w:val="2"/>
              <w:sz w:val="32"/>
              <w:szCs w:val="32"/>
              <w:lang w:val="en-US" w:eastAsia="zh-CN" w:bidi="ar-SA"/>
            </w:rPr>
            <w:instrText xml:space="preserve">TOC \o "1-3" \h \u </w:instrText>
          </w:r>
          <w:r>
            <w:rPr>
              <w:rFonts w:hint="eastAsia" w:ascii="仿宋" w:hAnsi="仿宋" w:eastAsia="仿宋" w:cs="仿宋"/>
              <w:b w:val="0"/>
              <w:bCs/>
              <w:kern w:val="2"/>
              <w:sz w:val="32"/>
              <w:szCs w:val="32"/>
              <w:lang w:val="en-US" w:eastAsia="zh-CN" w:bidi="ar-SA"/>
            </w:rPr>
            <w:fldChar w:fldCharType="separate"/>
          </w:r>
          <w:r>
            <w:fldChar w:fldCharType="begin"/>
          </w:r>
          <w:r>
            <w:instrText xml:space="preserve"> HYPERLINK \l "_Toc256000093" </w:instrText>
          </w:r>
          <w:r>
            <w:fldChar w:fldCharType="separate"/>
          </w:r>
          <w:r>
            <w:rPr>
              <w:rStyle w:val="21"/>
              <w:rFonts w:ascii="黑体" w:hAnsi="黑体" w:eastAsia="黑体" w:cs="黑体"/>
            </w:rPr>
            <w:t>第一部分</w:t>
          </w:r>
          <w:r>
            <w:tab/>
          </w:r>
          <w:r>
            <w:fldChar w:fldCharType="begin"/>
          </w:r>
          <w:r>
            <w:instrText xml:space="preserve"> PAGEREF _Toc256000093 \h </w:instrText>
          </w:r>
          <w:r>
            <w:fldChar w:fldCharType="separate"/>
          </w:r>
          <w:r>
            <w:t>4</w:t>
          </w:r>
          <w:r>
            <w:fldChar w:fldCharType="end"/>
          </w:r>
          <w:r>
            <w:fldChar w:fldCharType="end"/>
          </w:r>
        </w:p>
        <w:p>
          <w:pPr>
            <w:pStyle w:val="17"/>
            <w:tabs>
              <w:tab w:val="right" w:leader="dot" w:pos="9730"/>
            </w:tabs>
            <w:rPr>
              <w:rFonts w:asciiTheme="minorHAnsi" w:hAnsiTheme="minorHAnsi"/>
              <w:sz w:val="22"/>
            </w:rPr>
          </w:pPr>
          <w:r>
            <w:fldChar w:fldCharType="begin"/>
          </w:r>
          <w:r>
            <w:instrText xml:space="preserve"> HYPERLINK \l "_Toc256000094" </w:instrText>
          </w:r>
          <w:r>
            <w:fldChar w:fldCharType="separate"/>
          </w:r>
          <w:r>
            <w:rPr>
              <w:rStyle w:val="21"/>
              <w:rFonts w:ascii="黑体" w:hAnsi="黑体" w:eastAsia="黑体" w:cs="黑体"/>
            </w:rPr>
            <w:t>单位概况</w:t>
          </w:r>
          <w:r>
            <w:tab/>
          </w:r>
          <w:r>
            <w:fldChar w:fldCharType="begin"/>
          </w:r>
          <w:r>
            <w:instrText xml:space="preserve"> PAGEREF _Toc256000094 \h </w:instrText>
          </w:r>
          <w:r>
            <w:fldChar w:fldCharType="separate"/>
          </w:r>
          <w:r>
            <w:t>4</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"_Toc256000095" </w:instrText>
          </w:r>
          <w:r>
            <w:fldChar w:fldCharType="separate"/>
          </w:r>
          <w:r>
            <w:rPr>
              <w:rStyle w:val="21"/>
              <w:rFonts w:ascii="黑体" w:hAnsi="黑体" w:eastAsia="黑体" w:cs="黑体"/>
            </w:rPr>
            <w:t>一、单位主要职责</w:t>
          </w:r>
          <w:r>
            <w:tab/>
          </w:r>
          <w:r>
            <w:fldChar w:fldCharType="begin"/>
          </w:r>
          <w:r>
            <w:instrText xml:space="preserve"> PAGEREF _Toc256000095 \h </w:instrText>
          </w:r>
          <w:r>
            <w:fldChar w:fldCharType="separate"/>
          </w:r>
          <w:r>
            <w:t>5</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"_Toc256000096" </w:instrText>
          </w:r>
          <w:r>
            <w:fldChar w:fldCharType="separate"/>
          </w:r>
          <w:r>
            <w:rPr>
              <w:rStyle w:val="21"/>
              <w:rFonts w:ascii="黑体" w:hAnsi="黑体" w:eastAsia="黑体" w:cs="黑体"/>
            </w:rPr>
            <w:t>二、单位基本情况</w:t>
          </w:r>
          <w:r>
            <w:tab/>
          </w:r>
          <w:r>
            <w:fldChar w:fldCharType="begin"/>
          </w:r>
          <w:r>
            <w:instrText xml:space="preserve"> PAGEREF _Toc256000096 \h </w:instrText>
          </w:r>
          <w:r>
            <w:fldChar w:fldCharType="separate"/>
          </w:r>
          <w:r>
            <w:t>5</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"_Toc256000097" </w:instrText>
          </w:r>
          <w:r>
            <w:fldChar w:fldCharType="separate"/>
          </w:r>
          <w:r>
            <w:rPr>
              <w:rStyle w:val="21"/>
              <w:rFonts w:ascii="黑体" w:hAnsi="黑体" w:eastAsia="黑体" w:cs="黑体"/>
            </w:rPr>
            <w:t>三、单位主要工作总结</w:t>
          </w:r>
          <w:r>
            <w:tab/>
          </w:r>
          <w:r>
            <w:fldChar w:fldCharType="begin"/>
          </w:r>
          <w:r>
            <w:instrText xml:space="preserve"> PAGEREF _Toc256000097 \h </w:instrText>
          </w:r>
          <w:r>
            <w:fldChar w:fldCharType="separate"/>
          </w:r>
          <w:r>
            <w:t>5</w:t>
          </w:r>
          <w:r>
            <w:fldChar w:fldCharType="end"/>
          </w:r>
          <w:r>
            <w:fldChar w:fldCharType="end"/>
          </w:r>
        </w:p>
        <w:p>
          <w:pPr>
            <w:pStyle w:val="17"/>
            <w:tabs>
              <w:tab w:val="right" w:leader="dot" w:pos="9730"/>
            </w:tabs>
            <w:rPr>
              <w:rFonts w:asciiTheme="minorHAnsi" w:hAnsiTheme="minorHAnsi"/>
              <w:sz w:val="22"/>
            </w:rPr>
          </w:pPr>
          <w:r>
            <w:fldChar w:fldCharType="begin"/>
          </w:r>
          <w:r>
            <w:instrText xml:space="preserve"> HYPERLINK \l "_Toc256000098" </w:instrText>
          </w:r>
          <w:r>
            <w:fldChar w:fldCharType="separate"/>
          </w:r>
          <w:r>
            <w:rPr>
              <w:rStyle w:val="21"/>
              <w:rFonts w:ascii="黑体" w:hAnsi="黑体" w:eastAsia="黑体" w:cs="黑体"/>
            </w:rPr>
            <w:t>第二部分</w:t>
          </w:r>
          <w:r>
            <w:tab/>
          </w:r>
          <w:r>
            <w:fldChar w:fldCharType="begin"/>
          </w:r>
          <w:r>
            <w:instrText xml:space="preserve"> PAGEREF _Toc256000098 \h </w:instrText>
          </w:r>
          <w:r>
            <w:fldChar w:fldCharType="separate"/>
          </w:r>
          <w:r>
            <w:t>8</w:t>
          </w:r>
          <w:r>
            <w:fldChar w:fldCharType="end"/>
          </w:r>
          <w:r>
            <w:fldChar w:fldCharType="end"/>
          </w:r>
        </w:p>
        <w:p>
          <w:pPr>
            <w:pStyle w:val="17"/>
            <w:tabs>
              <w:tab w:val="right" w:leader="dot" w:pos="9730"/>
            </w:tabs>
            <w:rPr>
              <w:rFonts w:asciiTheme="minorHAnsi" w:hAnsiTheme="minorHAnsi"/>
              <w:sz w:val="22"/>
            </w:rPr>
          </w:pPr>
          <w:r>
            <w:fldChar w:fldCharType="begin"/>
          </w:r>
          <w:r>
            <w:instrText xml:space="preserve"> HYPERLINK \l "_Toc256000099" </w:instrText>
          </w:r>
          <w:r>
            <w:fldChar w:fldCharType="separate"/>
          </w:r>
          <w:r>
            <w:rPr>
              <w:rStyle w:val="21"/>
              <w:rFonts w:ascii="黑体" w:hAnsi="黑体" w:eastAsia="黑体" w:cs="黑体"/>
            </w:rPr>
            <w:t>2024年度决算表</w:t>
          </w:r>
          <w:r>
            <w:tab/>
          </w:r>
          <w:r>
            <w:fldChar w:fldCharType="begin"/>
          </w:r>
          <w:r>
            <w:instrText xml:space="preserve"> PAGEREF _Toc256000099 \h </w:instrText>
          </w:r>
          <w:r>
            <w:fldChar w:fldCharType="separate"/>
          </w:r>
          <w:r>
            <w:t>8</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"_Toc256000100" </w:instrText>
          </w:r>
          <w:r>
            <w:fldChar w:fldCharType="separate"/>
          </w:r>
          <w:r>
            <w:rPr>
              <w:rStyle w:val="21"/>
              <w:rFonts w:ascii="黑体" w:hAnsi="黑体" w:eastAsia="黑体" w:cs="黑体"/>
            </w:rPr>
            <w:t>一、收入支出决算总表</w:t>
          </w:r>
          <w:r>
            <w:tab/>
          </w:r>
          <w:r>
            <w:rPr>
              <w:rFonts w:hint="eastAsia"/>
              <w:lang w:val="en-US" w:eastAsia="zh-CN"/>
            </w:rPr>
            <w:t>8</w:t>
          </w:r>
          <w:r>
            <w:fldChar w:fldCharType="end"/>
          </w:r>
        </w:p>
        <w:p>
          <w:pPr>
            <w:pStyle w:val="10"/>
            <w:tabs>
              <w:tab w:val="right" w:leader="dot" w:pos="9730"/>
            </w:tabs>
            <w:rPr>
              <w:rFonts w:asciiTheme="minorHAnsi" w:hAnsiTheme="minorHAnsi"/>
              <w:sz w:val="22"/>
            </w:rPr>
          </w:pPr>
          <w:r>
            <w:fldChar w:fldCharType="begin"/>
          </w:r>
          <w:r>
            <w:instrText xml:space="preserve"> HYPERLINK \l "_Toc256000101" </w:instrText>
          </w:r>
          <w:r>
            <w:fldChar w:fldCharType="separate"/>
          </w:r>
          <w:r>
            <w:rPr>
              <w:rStyle w:val="21"/>
              <w:rFonts w:ascii="黑体" w:hAnsi="黑体" w:eastAsia="黑体" w:cs="黑体"/>
            </w:rPr>
            <w:t>二、收入决算表</w:t>
          </w:r>
          <w:r>
            <w:tab/>
          </w:r>
          <w:r>
            <w:fldChar w:fldCharType="begin"/>
          </w:r>
          <w:r>
            <w:instrText xml:space="preserve"> PAGEREF _Toc256000101 \h </w:instrText>
          </w:r>
          <w:r>
            <w:fldChar w:fldCharType="separate"/>
          </w:r>
          <w:r>
            <w:t>9</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"_Toc256000102" </w:instrText>
          </w:r>
          <w:r>
            <w:fldChar w:fldCharType="separate"/>
          </w:r>
          <w:r>
            <w:rPr>
              <w:rStyle w:val="21"/>
              <w:rFonts w:ascii="黑体" w:hAnsi="黑体" w:eastAsia="黑体" w:cs="黑体"/>
            </w:rPr>
            <w:t>三、支出决算表</w:t>
          </w:r>
          <w:r>
            <w:tab/>
          </w:r>
          <w:r>
            <w:fldChar w:fldCharType="begin"/>
          </w:r>
          <w:r>
            <w:instrText xml:space="preserve"> PAGEREF _Toc256000102 \h </w:instrText>
          </w:r>
          <w:r>
            <w:fldChar w:fldCharType="separate"/>
          </w:r>
          <w:r>
            <w:t>11</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"_Toc256000103" </w:instrText>
          </w:r>
          <w:r>
            <w:fldChar w:fldCharType="separate"/>
          </w:r>
          <w:r>
            <w:rPr>
              <w:rStyle w:val="21"/>
              <w:rFonts w:ascii="黑体" w:hAnsi="黑体" w:eastAsia="黑体" w:cs="黑体"/>
            </w:rPr>
            <w:t>四、财政拨款收入支出决算总表</w:t>
          </w:r>
          <w:r>
            <w:tab/>
          </w:r>
          <w:r>
            <w:fldChar w:fldCharType="begin"/>
          </w:r>
          <w:r>
            <w:instrText xml:space="preserve"> PAGEREF _Toc256000103 \h </w:instrText>
          </w:r>
          <w:r>
            <w:fldChar w:fldCharType="separate"/>
          </w:r>
          <w:r>
            <w:t>12</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"_Toc256000104" </w:instrText>
          </w:r>
          <w:r>
            <w:fldChar w:fldCharType="separate"/>
          </w:r>
          <w:r>
            <w:rPr>
              <w:rStyle w:val="21"/>
              <w:rFonts w:ascii="黑体" w:hAnsi="黑体" w:eastAsia="黑体" w:cs="黑体"/>
            </w:rPr>
            <w:t>五、一般公共预算财政拨款支出决算表</w:t>
          </w:r>
          <w:r>
            <w:tab/>
          </w:r>
          <w:r>
            <w:fldChar w:fldCharType="begin"/>
          </w:r>
          <w:r>
            <w:instrText xml:space="preserve"> PAGEREF _Toc256000104 \h </w:instrText>
          </w:r>
          <w:r>
            <w:fldChar w:fldCharType="separate"/>
          </w:r>
          <w:r>
            <w:t>13</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"_Toc256000105" </w:instrText>
          </w:r>
          <w:r>
            <w:fldChar w:fldCharType="separate"/>
          </w:r>
          <w:r>
            <w:rPr>
              <w:rStyle w:val="21"/>
              <w:rFonts w:ascii="黑体" w:hAnsi="黑体" w:eastAsia="黑体" w:cs="黑体"/>
            </w:rPr>
            <w:t>六、一般公共预算财政拨款基本支出决算表</w:t>
          </w:r>
          <w:r>
            <w:tab/>
          </w:r>
          <w:r>
            <w:fldChar w:fldCharType="begin"/>
          </w:r>
          <w:r>
            <w:instrText xml:space="preserve"> PAGEREF _Toc256000105 \h </w:instrText>
          </w:r>
          <w:r>
            <w:fldChar w:fldCharType="separate"/>
          </w:r>
          <w:r>
            <w:t>14</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"_Toc256000106" </w:instrText>
          </w:r>
          <w:r>
            <w:fldChar w:fldCharType="separate"/>
          </w:r>
          <w:r>
            <w:rPr>
              <w:rStyle w:val="21"/>
              <w:rFonts w:ascii="黑体" w:hAnsi="黑体" w:eastAsia="黑体" w:cs="黑体"/>
            </w:rPr>
            <w:t>七、一般公共预算财政拨款“三公”经费支出决算表</w:t>
          </w:r>
          <w:r>
            <w:tab/>
          </w:r>
          <w:r>
            <w:fldChar w:fldCharType="begin"/>
          </w:r>
          <w:r>
            <w:instrText xml:space="preserve"> PAGEREF _Toc256000106 \h </w:instrText>
          </w:r>
          <w:r>
            <w:fldChar w:fldCharType="separate"/>
          </w:r>
          <w:r>
            <w:t>15</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"_Toc256000107" </w:instrText>
          </w:r>
          <w:r>
            <w:fldChar w:fldCharType="separate"/>
          </w:r>
          <w:r>
            <w:rPr>
              <w:rStyle w:val="21"/>
              <w:rFonts w:ascii="黑体" w:hAnsi="黑体" w:eastAsia="黑体" w:cs="黑体"/>
            </w:rPr>
            <w:t>八、政府性基金预算财政拨款收入支出决算表</w:t>
          </w:r>
          <w:r>
            <w:tab/>
          </w:r>
          <w:r>
            <w:fldChar w:fldCharType="begin"/>
          </w:r>
          <w:r>
            <w:instrText xml:space="preserve"> PAGEREF _Toc256000107 \h </w:instrText>
          </w:r>
          <w:r>
            <w:fldChar w:fldCharType="separate"/>
          </w:r>
          <w:r>
            <w:t>16</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"_Toc256000108" </w:instrText>
          </w:r>
          <w:r>
            <w:fldChar w:fldCharType="separate"/>
          </w:r>
          <w:r>
            <w:rPr>
              <w:rStyle w:val="21"/>
              <w:rFonts w:ascii="黑体" w:hAnsi="黑体" w:eastAsia="黑体" w:cs="黑体"/>
            </w:rPr>
            <w:t>九、国有资本经营预算财政拨款支出决算表</w:t>
          </w:r>
          <w:r>
            <w:tab/>
          </w:r>
          <w:r>
            <w:fldChar w:fldCharType="begin"/>
          </w:r>
          <w:r>
            <w:instrText xml:space="preserve"> PAGEREF _Toc256000108 \h </w:instrText>
          </w:r>
          <w:r>
            <w:fldChar w:fldCharType="separate"/>
          </w:r>
          <w:r>
            <w:t>16</w:t>
          </w:r>
          <w:r>
            <w:fldChar w:fldCharType="end"/>
          </w:r>
          <w:r>
            <w:fldChar w:fldCharType="end"/>
          </w:r>
        </w:p>
        <w:p>
          <w:pPr>
            <w:pStyle w:val="17"/>
            <w:tabs>
              <w:tab w:val="right" w:leader="dot" w:pos="9730"/>
            </w:tabs>
            <w:rPr>
              <w:rFonts w:asciiTheme="minorHAnsi" w:hAnsiTheme="minorHAnsi"/>
              <w:sz w:val="22"/>
            </w:rPr>
          </w:pPr>
          <w:r>
            <w:fldChar w:fldCharType="begin"/>
          </w:r>
          <w:r>
            <w:instrText xml:space="preserve"> HYPERLINK \l "_Toc256000109" </w:instrText>
          </w:r>
          <w:r>
            <w:fldChar w:fldCharType="separate"/>
          </w:r>
          <w:r>
            <w:rPr>
              <w:rStyle w:val="21"/>
              <w:rFonts w:ascii="黑体" w:hAnsi="黑体" w:eastAsia="黑体" w:cs="黑体"/>
            </w:rPr>
            <w:t>第三部分</w:t>
          </w:r>
          <w:r>
            <w:tab/>
          </w:r>
          <w:r>
            <w:fldChar w:fldCharType="begin"/>
          </w:r>
          <w:r>
            <w:instrText xml:space="preserve"> PAGEREF _Toc256000109 \h </w:instrText>
          </w:r>
          <w:r>
            <w:fldChar w:fldCharType="separate"/>
          </w:r>
          <w:r>
            <w:t>18</w:t>
          </w:r>
          <w:r>
            <w:fldChar w:fldCharType="end"/>
          </w:r>
          <w:r>
            <w:fldChar w:fldCharType="end"/>
          </w:r>
        </w:p>
        <w:p>
          <w:pPr>
            <w:pStyle w:val="17"/>
            <w:tabs>
              <w:tab w:val="right" w:leader="dot" w:pos="9730"/>
            </w:tabs>
            <w:rPr>
              <w:rFonts w:asciiTheme="minorHAnsi" w:hAnsiTheme="minorHAnsi"/>
              <w:sz w:val="22"/>
            </w:rPr>
          </w:pPr>
          <w:r>
            <w:fldChar w:fldCharType="begin"/>
          </w:r>
          <w:r>
            <w:instrText xml:space="preserve"> HYPERLINK \l "_Toc256000110" </w:instrText>
          </w:r>
          <w:r>
            <w:fldChar w:fldCharType="separate"/>
          </w:r>
          <w:r>
            <w:rPr>
              <w:rStyle w:val="21"/>
              <w:rFonts w:ascii="黑体" w:hAnsi="黑体" w:eastAsia="黑体" w:cs="黑体"/>
            </w:rPr>
            <w:t>2024年度决算情况说明</w:t>
          </w:r>
          <w:r>
            <w:tab/>
          </w:r>
          <w:r>
            <w:fldChar w:fldCharType="begin"/>
          </w:r>
          <w:r>
            <w:instrText xml:space="preserve"> PAGEREF _Toc256000110 \h </w:instrText>
          </w:r>
          <w:r>
            <w:fldChar w:fldCharType="separate"/>
          </w:r>
          <w:r>
            <w:t>18</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"_Toc256000111" </w:instrText>
          </w:r>
          <w:r>
            <w:fldChar w:fldCharType="separate"/>
          </w:r>
          <w:r>
            <w:rPr>
              <w:rStyle w:val="21"/>
              <w:rFonts w:ascii="黑体" w:hAnsi="黑体" w:eastAsia="黑体" w:cs="黑体"/>
            </w:rPr>
            <w:t>一、收入支出决算总体情况说明</w:t>
          </w:r>
          <w:r>
            <w:tab/>
          </w:r>
          <w:r>
            <w:fldChar w:fldCharType="begin"/>
          </w:r>
          <w:r>
            <w:instrText xml:space="preserve"> PAGEREF _Toc256000111 \h </w:instrText>
          </w:r>
          <w:r>
            <w:fldChar w:fldCharType="separate"/>
          </w:r>
          <w:r>
            <w:t>19</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"_Toc256000112" </w:instrText>
          </w:r>
          <w:r>
            <w:fldChar w:fldCharType="separate"/>
          </w:r>
          <w:r>
            <w:rPr>
              <w:rStyle w:val="21"/>
              <w:rFonts w:ascii="黑体" w:hAnsi="黑体" w:eastAsia="黑体" w:cs="黑体"/>
            </w:rPr>
            <w:t>二、财政拨款收入支出决算总体情况说明</w:t>
          </w:r>
          <w:r>
            <w:tab/>
          </w:r>
          <w:r>
            <w:fldChar w:fldCharType="begin"/>
          </w:r>
          <w:r>
            <w:instrText xml:space="preserve"> PAGEREF _Toc256000112 \h </w:instrText>
          </w:r>
          <w:r>
            <w:fldChar w:fldCharType="separate"/>
          </w:r>
          <w:r>
            <w:t>20</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"_Toc256000113" </w:instrText>
          </w:r>
          <w:r>
            <w:fldChar w:fldCharType="separate"/>
          </w:r>
          <w:r>
            <w:rPr>
              <w:rStyle w:val="21"/>
              <w:rFonts w:ascii="黑体" w:hAnsi="黑体" w:eastAsia="黑体" w:cs="黑体"/>
            </w:rPr>
            <w:t>三、一般公共预算拨款支出决算情况说明</w:t>
          </w:r>
          <w:r>
            <w:tab/>
          </w:r>
          <w:r>
            <w:fldChar w:fldCharType="begin"/>
          </w:r>
          <w:r>
            <w:instrText xml:space="preserve"> PAGEREF _Toc256000113 \h </w:instrText>
          </w:r>
          <w:r>
            <w:fldChar w:fldCharType="separate"/>
          </w:r>
          <w:r>
            <w:t>20</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"_Toc256000114" </w:instrText>
          </w:r>
          <w:r>
            <w:fldChar w:fldCharType="separate"/>
          </w:r>
          <w:r>
            <w:rPr>
              <w:rStyle w:val="21"/>
              <w:rFonts w:ascii="黑体" w:hAnsi="黑体" w:eastAsia="黑体" w:cs="黑体"/>
            </w:rPr>
            <w:t>四、政府性基金预算财政拨款支出决算情况说明</w:t>
          </w:r>
          <w:r>
            <w:tab/>
          </w:r>
          <w:r>
            <w:fldChar w:fldCharType="begin"/>
          </w:r>
          <w:r>
            <w:instrText xml:space="preserve"> PAGEREF _Toc256000114 \h </w:instrText>
          </w:r>
          <w:r>
            <w:fldChar w:fldCharType="separate"/>
          </w:r>
          <w:r>
            <w:t>21</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"_Toc256000115" </w:instrText>
          </w:r>
          <w:r>
            <w:fldChar w:fldCharType="separate"/>
          </w:r>
          <w:r>
            <w:rPr>
              <w:rStyle w:val="21"/>
              <w:rFonts w:ascii="黑体" w:hAnsi="黑体" w:eastAsia="黑体" w:cs="黑体"/>
            </w:rPr>
            <w:t>五、国有资本经营预算财政拨款支出决算情况说明</w:t>
          </w:r>
          <w:r>
            <w:tab/>
          </w:r>
          <w:r>
            <w:fldChar w:fldCharType="begin"/>
          </w:r>
          <w:r>
            <w:instrText xml:space="preserve"> PAGEREF _Toc256000115 \h </w:instrText>
          </w:r>
          <w:r>
            <w:fldChar w:fldCharType="separate"/>
          </w:r>
          <w:r>
            <w:t>21</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"_Toc256000116" </w:instrText>
          </w:r>
          <w:r>
            <w:fldChar w:fldCharType="separate"/>
          </w:r>
          <w:r>
            <w:rPr>
              <w:rStyle w:val="21"/>
              <w:rFonts w:ascii="黑体" w:hAnsi="黑体" w:eastAsia="黑体" w:cs="黑体"/>
            </w:rPr>
            <w:t>六、一般公共预算财政拨款基本支出决算情况说明</w:t>
          </w:r>
          <w:r>
            <w:tab/>
          </w:r>
          <w:r>
            <w:fldChar w:fldCharType="begin"/>
          </w:r>
          <w:r>
            <w:instrText xml:space="preserve"> PAGEREF _Toc256000116 \h </w:instrText>
          </w:r>
          <w:r>
            <w:fldChar w:fldCharType="separate"/>
          </w:r>
          <w:r>
            <w:t>21</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"_Toc256000117" </w:instrText>
          </w:r>
          <w:r>
            <w:fldChar w:fldCharType="separate"/>
          </w:r>
          <w:r>
            <w:rPr>
              <w:rStyle w:val="21"/>
              <w:rFonts w:ascii="黑体" w:hAnsi="黑体" w:eastAsia="黑体" w:cs="黑体"/>
            </w:rPr>
            <w:t>七、一般公共预算拨款“三公”经费支出决算情况说明</w:t>
          </w:r>
          <w:r>
            <w:tab/>
          </w:r>
          <w:r>
            <w:fldChar w:fldCharType="begin"/>
          </w:r>
          <w:r>
            <w:instrText xml:space="preserve"> PAGEREF _Toc256000117 \h </w:instrText>
          </w:r>
          <w:r>
            <w:fldChar w:fldCharType="separate"/>
          </w:r>
          <w:r>
            <w:t>22</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"_Toc256000118" </w:instrText>
          </w:r>
          <w:r>
            <w:fldChar w:fldCharType="separate"/>
          </w:r>
          <w:r>
            <w:rPr>
              <w:rStyle w:val="21"/>
              <w:rFonts w:ascii="黑体" w:hAnsi="黑体" w:eastAsia="黑体" w:cs="黑体"/>
            </w:rPr>
            <w:t>八、预算绩效情况说明</w:t>
          </w:r>
          <w:r>
            <w:tab/>
          </w:r>
          <w:r>
            <w:fldChar w:fldCharType="begin"/>
          </w:r>
          <w:r>
            <w:instrText xml:space="preserve"> PAGEREF _Toc256000118 \h </w:instrText>
          </w:r>
          <w:r>
            <w:fldChar w:fldCharType="separate"/>
          </w:r>
          <w:r>
            <w:t>23</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"_Toc256000119" </w:instrText>
          </w:r>
          <w:r>
            <w:fldChar w:fldCharType="separate"/>
          </w:r>
          <w:r>
            <w:rPr>
              <w:rStyle w:val="21"/>
              <w:rFonts w:ascii="黑体" w:hAnsi="黑体" w:eastAsia="黑体" w:cs="黑体"/>
            </w:rPr>
            <w:t>九、其他重要事项说明</w:t>
          </w:r>
          <w:r>
            <w:tab/>
          </w:r>
          <w:r>
            <w:fldChar w:fldCharType="begin"/>
          </w:r>
          <w:r>
            <w:instrText xml:space="preserve"> PAGEREF _Toc256000119 \h </w:instrText>
          </w:r>
          <w:r>
            <w:fldChar w:fldCharType="separate"/>
          </w:r>
          <w:r>
            <w:t>23</w:t>
          </w:r>
          <w:r>
            <w:fldChar w:fldCharType="end"/>
          </w:r>
          <w:r>
            <w:fldChar w:fldCharType="end"/>
          </w:r>
        </w:p>
        <w:p>
          <w:pPr>
            <w:pStyle w:val="17"/>
            <w:tabs>
              <w:tab w:val="right" w:leader="dot" w:pos="9730"/>
            </w:tabs>
            <w:rPr>
              <w:rFonts w:asciiTheme="minorHAnsi" w:hAnsiTheme="minorHAnsi"/>
              <w:sz w:val="22"/>
            </w:rPr>
          </w:pPr>
          <w:r>
            <w:fldChar w:fldCharType="begin"/>
          </w:r>
          <w:r>
            <w:instrText xml:space="preserve"> HYPERLINK \l "_Toc256000120" </w:instrText>
          </w:r>
          <w:r>
            <w:fldChar w:fldCharType="separate"/>
          </w:r>
          <w:r>
            <w:rPr>
              <w:rStyle w:val="21"/>
              <w:rFonts w:ascii="黑体" w:hAnsi="黑体" w:eastAsia="黑体" w:cs="黑体"/>
            </w:rPr>
            <w:t>第四部分</w:t>
          </w:r>
          <w:r>
            <w:tab/>
          </w:r>
          <w:r>
            <w:fldChar w:fldCharType="begin"/>
          </w:r>
          <w:r>
            <w:instrText xml:space="preserve"> PAGEREF _Toc256000120 \h </w:instrText>
          </w:r>
          <w:r>
            <w:fldChar w:fldCharType="separate"/>
          </w:r>
          <w:r>
            <w:t>25</w:t>
          </w:r>
          <w:r>
            <w:fldChar w:fldCharType="end"/>
          </w:r>
          <w:r>
            <w:fldChar w:fldCharType="end"/>
          </w:r>
        </w:p>
        <w:p>
          <w:pPr>
            <w:pStyle w:val="17"/>
            <w:tabs>
              <w:tab w:val="right" w:leader="dot" w:pos="9730"/>
            </w:tabs>
            <w:rPr>
              <w:rFonts w:asciiTheme="minorHAnsi" w:hAnsiTheme="minorHAnsi"/>
              <w:sz w:val="22"/>
            </w:rPr>
          </w:pPr>
          <w:r>
            <w:fldChar w:fldCharType="begin"/>
          </w:r>
          <w:r>
            <w:instrText xml:space="preserve"> HYPERLINK \l "_Toc256000121" </w:instrText>
          </w:r>
          <w:r>
            <w:fldChar w:fldCharType="separate"/>
          </w:r>
          <w:r>
            <w:rPr>
              <w:rStyle w:val="21"/>
              <w:rFonts w:ascii="黑体" w:hAnsi="黑体" w:eastAsia="黑体" w:cs="黑体"/>
            </w:rPr>
            <w:t>名词解释</w:t>
          </w:r>
          <w:r>
            <w:tab/>
          </w:r>
          <w:r>
            <w:fldChar w:fldCharType="begin"/>
          </w:r>
          <w:r>
            <w:instrText xml:space="preserve"> PAGEREF _Toc256000121 \h </w:instrText>
          </w:r>
          <w:r>
            <w:fldChar w:fldCharType="separate"/>
          </w:r>
          <w:r>
            <w:t>25</w:t>
          </w:r>
          <w:r>
            <w:fldChar w:fldCharType="end"/>
          </w:r>
          <w:r>
            <w:fldChar w:fldCharType="end"/>
          </w:r>
        </w:p>
        <w:p>
          <w:pPr>
            <w:pStyle w:val="17"/>
            <w:tabs>
              <w:tab w:val="right" w:leader="dot" w:pos="9730"/>
            </w:tabs>
            <w:rPr>
              <w:rFonts w:asciiTheme="minorHAnsi" w:hAnsiTheme="minorHAnsi"/>
              <w:sz w:val="22"/>
            </w:rPr>
          </w:pPr>
          <w:r>
            <w:fldChar w:fldCharType="begin"/>
          </w:r>
          <w:r>
            <w:instrText xml:space="preserve"> HYPERLINK \l "_Toc256000122" </w:instrText>
          </w:r>
          <w:r>
            <w:fldChar w:fldCharType="separate"/>
          </w:r>
          <w:r>
            <w:rPr>
              <w:rStyle w:val="21"/>
              <w:rFonts w:ascii="黑体" w:hAnsi="黑体" w:eastAsia="黑体" w:cs="黑体"/>
            </w:rPr>
            <w:t>第五部分</w:t>
          </w:r>
          <w:r>
            <w:tab/>
          </w:r>
          <w:r>
            <w:fldChar w:fldCharType="begin"/>
          </w:r>
          <w:r>
            <w:instrText xml:space="preserve"> PAGEREF _Toc256000122 \h </w:instrText>
          </w:r>
          <w:r>
            <w:fldChar w:fldCharType="separate"/>
          </w:r>
          <w:r>
            <w:t>28</w:t>
          </w:r>
          <w:r>
            <w:fldChar w:fldCharType="end"/>
          </w:r>
          <w:r>
            <w:fldChar w:fldCharType="end"/>
          </w:r>
        </w:p>
        <w:p>
          <w:pPr>
            <w:pStyle w:val="17"/>
            <w:tabs>
              <w:tab w:val="right" w:leader="dot" w:pos="9730"/>
            </w:tabs>
            <w:rPr>
              <w:rFonts w:asciiTheme="minorHAnsi" w:hAnsiTheme="minorHAnsi"/>
              <w:sz w:val="22"/>
            </w:rPr>
          </w:pPr>
          <w:r>
            <w:fldChar w:fldCharType="begin"/>
          </w:r>
          <w:r>
            <w:instrText xml:space="preserve"> HYPERLINK \l "_Toc256000123" </w:instrText>
          </w:r>
          <w:r>
            <w:fldChar w:fldCharType="separate"/>
          </w:r>
          <w:r>
            <w:rPr>
              <w:rStyle w:val="21"/>
              <w:rFonts w:ascii="黑体" w:hAnsi="黑体" w:eastAsia="黑体" w:cs="黑体"/>
            </w:rPr>
            <w:t>附件</w:t>
          </w:r>
          <w:r>
            <w:tab/>
          </w:r>
          <w:r>
            <w:rPr>
              <w:rFonts w:hint="eastAsia"/>
              <w:lang w:val="en-US" w:eastAsia="zh-CN"/>
            </w:rPr>
            <w:t>28</w:t>
          </w:r>
          <w:r>
            <w:fldChar w:fldCharType="end"/>
          </w:r>
        </w:p>
        <w:p>
          <w:pPr>
            <w:adjustRightInd w:val="0"/>
            <w:snapToGrid w:val="0"/>
            <w:rPr>
              <w:rFonts w:hint="eastAsia" w:ascii="仿宋" w:hAnsi="仿宋" w:eastAsia="仿宋" w:cs="仿宋"/>
              <w:b w:val="0"/>
              <w:bCs/>
              <w:kern w:val="2"/>
              <w:sz w:val="32"/>
              <w:szCs w:val="32"/>
              <w:lang w:val="en-US" w:eastAsia="zh-CN" w:bidi="ar-SA"/>
            </w:rPr>
            <w:sectPr>
              <w:footerReference r:id="rId4" w:type="default"/>
              <w:pgSz w:w="11906" w:h="16838"/>
              <w:pgMar w:top="1440" w:right="1083" w:bottom="1440" w:left="1083" w:header="0" w:footer="720" w:gutter="0"/>
              <w:cols w:space="0" w:num="1"/>
              <w:rtlGutter w:val="0"/>
              <w:docGrid w:type="lines" w:linePitch="317" w:charSpace="0"/>
            </w:sectPr>
          </w:pPr>
          <w:r>
            <w:rPr>
              <w:rFonts w:hint="eastAsia" w:ascii="仿宋" w:hAnsi="仿宋" w:eastAsia="仿宋" w:cs="仿宋"/>
              <w:b w:val="0"/>
              <w:bCs/>
              <w:kern w:val="2"/>
              <w:sz w:val="32"/>
              <w:szCs w:val="32"/>
              <w:lang w:val="en-US" w:eastAsia="zh-CN" w:bidi="ar-SA"/>
            </w:rPr>
            <w:fldChar w:fldCharType="end"/>
          </w:r>
        </w:p>
      </w:sdtContent>
    </w:sdt>
    <w:p>
      <w:pPr>
        <w:pStyle w:val="28"/>
        <w:widowControl/>
        <w:spacing w:before="100" w:after="270"/>
        <w:ind w:left="0" w:right="0" w:firstLine="0"/>
        <w:jc w:val="center"/>
        <w:rPr>
          <w:rFonts w:ascii="Times New Roman" w:hAnsi="Times New Roman" w:eastAsia="Times New Roman" w:cs="Times New Roman"/>
          <w:kern w:val="0"/>
          <w:sz w:val="24"/>
        </w:rPr>
      </w:pPr>
      <w:bookmarkStart w:id="0" w:name="a000"/>
    </w:p>
    <w:p>
      <w:pPr>
        <w:pStyle w:val="28"/>
        <w:widowControl/>
        <w:spacing w:before="100" w:after="100"/>
        <w:ind w:left="0" w:right="0" w:firstLine="0"/>
        <w:jc w:val="center"/>
        <w:rPr>
          <w:rFonts w:ascii="Times New Roman" w:hAnsi="Times New Roman" w:eastAsia="Times New Roman" w:cs="Times New Roman"/>
          <w:kern w:val="0"/>
          <w:sz w:val="24"/>
        </w:rPr>
      </w:pPr>
      <w:r>
        <w:rPr>
          <w:rFonts w:ascii="Calibri" w:hAnsi="Calibri" w:eastAsia="Calibri" w:cs="Calibri"/>
          <w:spacing w:val="0"/>
          <w:kern w:val="0"/>
          <w:sz w:val="84"/>
          <w:szCs w:val="84"/>
        </w:rPr>
        <w:t> </w:t>
      </w: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pStyle w:val="3"/>
        <w:keepNext w:val="0"/>
        <w:keepLines w:val="0"/>
        <w:spacing w:before="100" w:after="100" w:line="240" w:lineRule="auto"/>
        <w:ind w:left="0" w:right="0" w:firstLine="0" w:firstLineChars="0"/>
        <w:jc w:val="center"/>
        <w:rPr>
          <w:rFonts w:ascii="Times New Roman" w:hAnsi="Times New Roman" w:eastAsia="Times New Roman" w:cs="Times New Roman"/>
          <w:b/>
          <w:bCs/>
          <w:kern w:val="0"/>
          <w:sz w:val="36"/>
          <w:szCs w:val="36"/>
        </w:rPr>
      </w:pPr>
      <w:bookmarkStart w:id="1" w:name="_Toc256000062"/>
      <w:bookmarkStart w:id="2" w:name="_Toc256000000"/>
      <w:bookmarkStart w:id="3" w:name="_Toc256000031"/>
      <w:bookmarkStart w:id="4" w:name="_Toc256000093"/>
      <w:r>
        <w:rPr>
          <w:rFonts w:ascii="黑体" w:hAnsi="黑体" w:eastAsia="黑体" w:cs="黑体"/>
          <w:b/>
          <w:spacing w:val="0"/>
          <w:sz w:val="56"/>
          <w:szCs w:val="56"/>
        </w:rPr>
        <w:t>第一部分</w:t>
      </w:r>
      <w:bookmarkEnd w:id="1"/>
      <w:bookmarkEnd w:id="2"/>
      <w:bookmarkEnd w:id="3"/>
      <w:bookmarkEnd w:id="4"/>
    </w:p>
    <w:p>
      <w:pPr>
        <w:pStyle w:val="3"/>
        <w:keepNext w:val="0"/>
        <w:keepLines w:val="0"/>
        <w:spacing w:before="100" w:after="100" w:line="240" w:lineRule="auto"/>
        <w:ind w:left="0" w:right="0" w:firstLine="0" w:firstLineChars="0"/>
        <w:jc w:val="center"/>
        <w:rPr>
          <w:rFonts w:ascii="Times New Roman" w:hAnsi="Times New Roman" w:eastAsia="Times New Roman" w:cs="Times New Roman"/>
          <w:b/>
          <w:bCs/>
          <w:kern w:val="0"/>
          <w:sz w:val="36"/>
          <w:szCs w:val="36"/>
        </w:rPr>
      </w:pPr>
      <w:bookmarkStart w:id="5" w:name="_Toc256000063"/>
      <w:bookmarkStart w:id="6" w:name="_Toc256000094"/>
      <w:bookmarkStart w:id="7" w:name="_Toc256000001"/>
      <w:bookmarkStart w:id="8" w:name="_Toc256000032"/>
      <w:r>
        <w:rPr>
          <w:rFonts w:ascii="黑体" w:hAnsi="黑体" w:eastAsia="黑体" w:cs="黑体"/>
          <w:b/>
          <w:spacing w:val="0"/>
          <w:sz w:val="56"/>
          <w:szCs w:val="56"/>
        </w:rPr>
        <w:t>单位概况</w:t>
      </w:r>
      <w:bookmarkEnd w:id="5"/>
      <w:bookmarkEnd w:id="6"/>
      <w:bookmarkEnd w:id="7"/>
      <w:bookmarkEnd w:id="8"/>
    </w:p>
    <w:p>
      <w:pPr>
        <w:pStyle w:val="29"/>
        <w:widowControl/>
        <w:spacing w:before="100" w:after="100"/>
        <w:ind w:left="0" w:right="0" w:firstLine="0"/>
        <w:jc w:val="center"/>
        <w:rPr>
          <w:rFonts w:ascii="Times New Roman" w:hAnsi="Times New Roman" w:eastAsia="Times New Roman" w:cs="Times New Roman"/>
          <w:kern w:val="0"/>
          <w:sz w:val="24"/>
        </w:rPr>
      </w:pPr>
    </w:p>
    <w:p>
      <w:pPr>
        <w:sectPr>
          <w:footerReference r:id="rId5" w:type="default"/>
          <w:pgSz w:w="11906" w:h="16838"/>
          <w:pgMar w:top="1440" w:right="720" w:bottom="1440" w:left="720" w:header="720" w:footer="720" w:gutter="0"/>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widowControl/>
        <w:spacing w:before="240" w:after="240"/>
        <w:jc w:val="left"/>
        <w:rPr>
          <w:rFonts w:ascii="Times New Roman" w:hAnsi="Times New Roman" w:eastAsia="Times New Roman" w:cs="Times New Roman"/>
          <w:kern w:val="0"/>
          <w:sz w:val="24"/>
        </w:rPr>
      </w:pPr>
    </w:p>
    <w:p>
      <w:pPr>
        <w:pStyle w:val="5"/>
        <w:keepNext w:val="0"/>
        <w:keepLines w:val="0"/>
        <w:spacing w:before="100" w:after="100" w:line="240" w:lineRule="auto"/>
        <w:ind w:left="0" w:right="0" w:firstLine="0" w:firstLineChars="0"/>
        <w:rPr>
          <w:rFonts w:ascii="Times New Roman" w:hAnsi="Times New Roman" w:eastAsia="Times New Roman" w:cs="Times New Roman"/>
          <w:b/>
          <w:bCs/>
          <w:kern w:val="0"/>
          <w:sz w:val="28"/>
          <w:szCs w:val="28"/>
        </w:rPr>
      </w:pPr>
      <w:r>
        <w:rPr>
          <w:rFonts w:ascii="Calibri" w:hAnsi="Calibri" w:eastAsia="Calibri" w:cs="Calibri"/>
          <w:b/>
          <w:spacing w:val="0"/>
        </w:rPr>
        <w:t> </w:t>
      </w:r>
      <w:r>
        <w:rPr>
          <w:rFonts w:ascii="黑体" w:hAnsi="黑体" w:eastAsia="黑体" w:cs="黑体"/>
          <w:b/>
          <w:spacing w:val="0"/>
        </w:rPr>
        <w:t xml:space="preserve"> </w:t>
      </w:r>
      <w:r>
        <w:rPr>
          <w:rFonts w:ascii="Calibri" w:hAnsi="Calibri" w:eastAsia="Calibri" w:cs="Calibri"/>
          <w:b/>
          <w:spacing w:val="0"/>
        </w:rPr>
        <w:t> </w:t>
      </w:r>
      <w:r>
        <w:rPr>
          <w:rFonts w:ascii="黑体" w:hAnsi="黑体" w:eastAsia="黑体" w:cs="黑体"/>
          <w:b/>
          <w:spacing w:val="0"/>
        </w:rPr>
        <w:t xml:space="preserve"> </w:t>
      </w:r>
      <w:bookmarkStart w:id="9" w:name="_Toc256000095"/>
      <w:bookmarkStart w:id="10" w:name="_Toc256000033"/>
      <w:bookmarkStart w:id="11" w:name="_Toc256000002"/>
      <w:bookmarkStart w:id="12" w:name="_Toc256000064"/>
      <w:r>
        <w:rPr>
          <w:rFonts w:ascii="黑体" w:hAnsi="黑体" w:eastAsia="黑体" w:cs="黑体"/>
          <w:b/>
          <w:spacing w:val="0"/>
        </w:rPr>
        <w:t>一、单位主要职责</w:t>
      </w:r>
      <w:bookmarkEnd w:id="9"/>
      <w:bookmarkEnd w:id="10"/>
      <w:bookmarkEnd w:id="11"/>
      <w:bookmarkEnd w:id="12"/>
    </w:p>
    <w:p>
      <w:pPr>
        <w:pStyle w:val="28"/>
        <w:widowControl/>
        <w:spacing w:before="100" w:after="100" w:line="600" w:lineRule="atLeast"/>
        <w:ind w:left="0" w:right="0" w:firstLine="640"/>
        <w:jc w:val="left"/>
        <w:rPr>
          <w:rFonts w:ascii="仿宋" w:hAnsi="仿宋" w:eastAsia="仿宋" w:cs="仿宋"/>
          <w:spacing w:val="0"/>
          <w:kern w:val="0"/>
          <w:sz w:val="32"/>
          <w:szCs w:val="32"/>
        </w:rPr>
      </w:pPr>
      <w:r>
        <w:rPr>
          <w:rFonts w:ascii="仿宋" w:hAnsi="仿宋" w:eastAsia="仿宋" w:cs="仿宋"/>
          <w:spacing w:val="0"/>
          <w:kern w:val="0"/>
          <w:sz w:val="32"/>
          <w:szCs w:val="32"/>
        </w:rPr>
        <w:t>厦门市湖里创新实验学校单位的主要职责是：</w:t>
      </w:r>
    </w:p>
    <w:p>
      <w:pPr>
        <w:widowControl/>
        <w:spacing w:before="240" w:after="240" w:line="360" w:lineRule="auto"/>
        <w:jc w:val="left"/>
        <w:rPr>
          <w:rFonts w:hint="default"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 xml:space="preserve">    </w:t>
      </w:r>
      <w:r>
        <w:rPr>
          <w:rFonts w:hint="eastAsia" w:ascii="仿宋" w:hAnsi="仿宋" w:eastAsia="仿宋" w:cs="仿宋"/>
          <w:b w:val="0"/>
          <w:bCs w:val="0"/>
          <w:kern w:val="0"/>
          <w:sz w:val="32"/>
          <w:szCs w:val="32"/>
        </w:rPr>
        <w:t>在新时代的征程上，我校以</w:t>
      </w:r>
      <w:r>
        <w:rPr>
          <w:rFonts w:hint="eastAsia" w:ascii="仿宋" w:hAnsi="仿宋" w:eastAsia="仿宋" w:cs="仿宋"/>
          <w:b w:val="0"/>
          <w:bCs w:val="0"/>
          <w:kern w:val="0"/>
          <w:sz w:val="32"/>
          <w:szCs w:val="32"/>
          <w:lang w:eastAsia="zh-CN"/>
        </w:rPr>
        <w:t>党的</w:t>
      </w:r>
      <w:bookmarkStart w:id="117" w:name="_GoBack"/>
      <w:bookmarkEnd w:id="117"/>
      <w:r>
        <w:rPr>
          <w:rFonts w:hint="eastAsia" w:ascii="仿宋" w:hAnsi="仿宋" w:eastAsia="仿宋" w:cs="仿宋"/>
          <w:b w:val="0"/>
          <w:bCs w:val="0"/>
          <w:kern w:val="0"/>
          <w:sz w:val="32"/>
          <w:szCs w:val="32"/>
        </w:rPr>
        <w:t>二十大精神为灯塔，积极响应第二十届三中全会的教育精神，以“立德树人”为根本任务，坚持“五育并举”，创新教育理念，优化教育环境，致力于培养德智体美劳全面发展的社会主义建设者和接班人。学校将坚定“自燃教育”文化品牌初心，在“只争光芒”校训的引领下，深化教育教学改革，加强师资队</w:t>
      </w:r>
      <w:r>
        <w:rPr>
          <w:rFonts w:hint="eastAsia" w:ascii="仿宋" w:hAnsi="仿宋" w:eastAsia="仿宋" w:cs="仿宋"/>
          <w:kern w:val="0"/>
          <w:sz w:val="32"/>
          <w:szCs w:val="32"/>
        </w:rPr>
        <w:t>伍建设，提升教育教学质量，推动学校高质量发展，努力培养“独立自主有创意”的学生，为实现教育现代化贡献力量。</w:t>
      </w:r>
    </w:p>
    <w:p>
      <w:pPr>
        <w:pStyle w:val="5"/>
        <w:keepNext w:val="0"/>
        <w:keepLines w:val="0"/>
        <w:spacing w:before="100" w:after="100" w:line="600" w:lineRule="atLeast"/>
        <w:ind w:left="0" w:right="0" w:firstLine="640" w:firstLineChars="0"/>
        <w:rPr>
          <w:rFonts w:ascii="Times New Roman" w:hAnsi="Times New Roman" w:eastAsia="Times New Roman" w:cs="Times New Roman"/>
          <w:b/>
          <w:bCs/>
          <w:kern w:val="0"/>
          <w:sz w:val="28"/>
          <w:szCs w:val="28"/>
        </w:rPr>
      </w:pPr>
      <w:bookmarkStart w:id="13" w:name="_Toc256000065"/>
      <w:bookmarkStart w:id="14" w:name="_Toc256000096"/>
      <w:bookmarkStart w:id="15" w:name="_Toc256000034"/>
      <w:bookmarkStart w:id="16" w:name="_Toc256000003"/>
      <w:r>
        <w:rPr>
          <w:rFonts w:ascii="黑体" w:hAnsi="黑体" w:eastAsia="黑体" w:cs="黑体"/>
          <w:b/>
          <w:spacing w:val="0"/>
        </w:rPr>
        <w:t>二、单位基本情况</w:t>
      </w:r>
      <w:bookmarkEnd w:id="13"/>
      <w:bookmarkEnd w:id="14"/>
      <w:bookmarkEnd w:id="15"/>
      <w:bookmarkEnd w:id="16"/>
    </w:p>
    <w:p>
      <w:pPr>
        <w:pStyle w:val="28"/>
        <w:widowControl/>
        <w:spacing w:before="100" w:after="100" w:line="360" w:lineRule="auto"/>
        <w:ind w:left="0" w:right="0" w:firstLine="640"/>
        <w:jc w:val="left"/>
        <w:rPr>
          <w:rFonts w:ascii="Times New Roman" w:hAnsi="Times New Roman" w:eastAsia="Times New Roman" w:cs="Times New Roman"/>
          <w:kern w:val="0"/>
          <w:sz w:val="32"/>
          <w:szCs w:val="32"/>
        </w:rPr>
      </w:pPr>
      <w:r>
        <w:rPr>
          <w:rFonts w:ascii="仿宋" w:hAnsi="仿宋" w:eastAsia="仿宋" w:cs="仿宋"/>
          <w:spacing w:val="0"/>
          <w:kern w:val="0"/>
          <w:sz w:val="32"/>
          <w:szCs w:val="32"/>
        </w:rPr>
        <w:t>从决算单位构成看，本单位包括</w:t>
      </w:r>
      <w:r>
        <w:rPr>
          <w:rFonts w:hint="eastAsia" w:ascii="仿宋" w:hAnsi="仿宋" w:eastAsia="仿宋" w:cs="仿宋"/>
          <w:spacing w:val="0"/>
          <w:kern w:val="0"/>
          <w:sz w:val="32"/>
          <w:szCs w:val="32"/>
          <w:lang w:val="en-US" w:eastAsia="zh-CN"/>
        </w:rPr>
        <w:t>6</w:t>
      </w:r>
      <w:r>
        <w:rPr>
          <w:rFonts w:ascii="仿宋" w:hAnsi="仿宋" w:eastAsia="仿宋" w:cs="仿宋"/>
          <w:spacing w:val="0"/>
          <w:kern w:val="0"/>
          <w:sz w:val="32"/>
          <w:szCs w:val="32"/>
        </w:rPr>
        <w:t>个内设机构</w:t>
      </w:r>
      <w:r>
        <w:rPr>
          <w:rFonts w:hint="eastAsia" w:ascii="仿宋" w:hAnsi="仿宋" w:eastAsia="仿宋" w:cs="仿宋"/>
          <w:spacing w:val="0"/>
          <w:kern w:val="0"/>
          <w:sz w:val="32"/>
          <w:szCs w:val="32"/>
          <w:lang w:val="en-US" w:eastAsia="zh-CN"/>
        </w:rPr>
        <w:t>。</w:t>
      </w:r>
      <w:r>
        <w:rPr>
          <w:rFonts w:ascii="仿宋" w:hAnsi="仿宋" w:eastAsia="仿宋" w:cs="仿宋"/>
          <w:spacing w:val="0"/>
          <w:kern w:val="0"/>
          <w:sz w:val="32"/>
          <w:szCs w:val="32"/>
        </w:rPr>
        <w:t>其中：列入2024年决算编制范围的单位详细情况见下表:</w:t>
      </w:r>
    </w:p>
    <w:tbl>
      <w:tblPr>
        <w:tblStyle w:val="22"/>
        <w:tblW w:w="9790" w:type="dxa"/>
        <w:tblInd w:w="30" w:type="dxa"/>
        <w:tblBorders>
          <w:top w:val="outset" w:color="808080" w:sz="6" w:space="0"/>
          <w:left w:val="outset" w:color="808080" w:sz="6" w:space="0"/>
          <w:bottom w:val="outset" w:color="808080" w:sz="6" w:space="0"/>
          <w:right w:val="outset" w:color="808080" w:sz="6" w:space="0"/>
          <w:insideH w:val="single" w:color="auto" w:sz="4" w:space="0"/>
          <w:insideV w:val="single" w:color="auto" w:sz="4" w:space="0"/>
        </w:tblBorders>
        <w:tblLayout w:type="fixed"/>
        <w:tblCellMar>
          <w:top w:w="15" w:type="dxa"/>
          <w:left w:w="15" w:type="dxa"/>
          <w:bottom w:w="15" w:type="dxa"/>
          <w:right w:w="15" w:type="dxa"/>
        </w:tblCellMar>
      </w:tblPr>
      <w:tblGrid>
        <w:gridCol w:w="3414"/>
        <w:gridCol w:w="6376"/>
      </w:tblGrid>
      <w:tr>
        <w:tblPrEx>
          <w:tblBorders>
            <w:top w:val="outset" w:color="808080" w:sz="6" w:space="0"/>
            <w:left w:val="outset" w:color="808080" w:sz="6" w:space="0"/>
            <w:bottom w:val="outset" w:color="808080" w:sz="6" w:space="0"/>
            <w:right w:val="outset" w:color="808080" w:sz="6" w:space="0"/>
            <w:insideH w:val="single" w:color="auto" w:sz="4" w:space="0"/>
            <w:insideV w:val="single" w:color="auto" w:sz="4" w:space="0"/>
          </w:tblBorders>
          <w:tblLayout w:type="fixed"/>
          <w:tblCellMar>
            <w:top w:w="15" w:type="dxa"/>
            <w:left w:w="15" w:type="dxa"/>
            <w:bottom w:w="15" w:type="dxa"/>
            <w:right w:w="15" w:type="dxa"/>
          </w:tblCellMar>
        </w:tblPrEx>
        <w:trPr>
          <w:tblHeader/>
        </w:trPr>
        <w:tc>
          <w:tcPr>
            <w:tcW w:w="3414" w:type="dxa"/>
            <w:noWrap w:val="0"/>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spacing w:line="360" w:lineRule="auto"/>
              <w:ind w:firstLine="641"/>
              <w:jc w:val="center"/>
              <w:textAlignment w:val="auto"/>
              <w:rPr>
                <w:rFonts w:ascii="仿宋" w:hAnsi="仿宋" w:eastAsia="仿宋" w:cs="仿宋"/>
                <w:b/>
                <w:bCs/>
                <w:i w:val="0"/>
                <w:iCs w:val="0"/>
                <w:smallCaps w:val="0"/>
                <w:color w:val="000000"/>
                <w:spacing w:val="0"/>
                <w:kern w:val="0"/>
                <w:sz w:val="32"/>
                <w:szCs w:val="32"/>
              </w:rPr>
            </w:pPr>
            <w:r>
              <w:rPr>
                <w:rFonts w:ascii="仿宋" w:hAnsi="仿宋" w:eastAsia="仿宋" w:cs="仿宋"/>
                <w:b/>
                <w:bCs/>
                <w:i w:val="0"/>
                <w:iCs w:val="0"/>
                <w:smallCaps w:val="0"/>
                <w:color w:val="000000"/>
                <w:spacing w:val="0"/>
                <w:kern w:val="0"/>
                <w:sz w:val="32"/>
                <w:szCs w:val="32"/>
              </w:rPr>
              <w:t>序号</w:t>
            </w:r>
          </w:p>
        </w:tc>
        <w:tc>
          <w:tcPr>
            <w:tcW w:w="6376" w:type="dxa"/>
            <w:noWrap w:val="0"/>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spacing w:line="360" w:lineRule="auto"/>
              <w:ind w:firstLine="641"/>
              <w:jc w:val="center"/>
              <w:textAlignment w:val="auto"/>
              <w:rPr>
                <w:rFonts w:ascii="仿宋" w:hAnsi="仿宋" w:eastAsia="仿宋" w:cs="仿宋"/>
                <w:b/>
                <w:bCs/>
                <w:i w:val="0"/>
                <w:iCs w:val="0"/>
                <w:smallCaps w:val="0"/>
                <w:color w:val="000000"/>
                <w:spacing w:val="0"/>
                <w:kern w:val="0"/>
                <w:sz w:val="32"/>
                <w:szCs w:val="32"/>
              </w:rPr>
            </w:pPr>
            <w:r>
              <w:rPr>
                <w:rFonts w:ascii="仿宋" w:hAnsi="仿宋" w:eastAsia="仿宋" w:cs="仿宋"/>
                <w:b/>
                <w:bCs/>
                <w:i w:val="0"/>
                <w:iCs w:val="0"/>
                <w:smallCaps w:val="0"/>
                <w:color w:val="000000"/>
                <w:spacing w:val="0"/>
                <w:kern w:val="0"/>
                <w:sz w:val="32"/>
                <w:szCs w:val="32"/>
              </w:rPr>
              <w:t>单位名称</w:t>
            </w:r>
          </w:p>
        </w:tc>
      </w:tr>
      <w:tr>
        <w:tblPrEx>
          <w:tblBorders>
            <w:top w:val="outset" w:color="808080" w:sz="6" w:space="0"/>
            <w:left w:val="outset" w:color="808080" w:sz="6" w:space="0"/>
            <w:bottom w:val="outset" w:color="808080" w:sz="6" w:space="0"/>
            <w:right w:val="outset" w:color="808080" w:sz="6" w:space="0"/>
            <w:insideH w:val="single" w:color="auto" w:sz="4" w:space="0"/>
            <w:insideV w:val="single" w:color="auto" w:sz="4" w:space="0"/>
          </w:tblBorders>
          <w:tblLayout w:type="fixed"/>
          <w:tblCellMar>
            <w:top w:w="15" w:type="dxa"/>
            <w:left w:w="15" w:type="dxa"/>
            <w:bottom w:w="15" w:type="dxa"/>
            <w:right w:w="15" w:type="dxa"/>
          </w:tblCellMar>
        </w:tblPrEx>
        <w:trPr>
          <w:tblHeader/>
        </w:trPr>
        <w:tc>
          <w:tcPr>
            <w:tcW w:w="3414" w:type="dxa"/>
            <w:noWrap w:val="0"/>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spacing w:line="360" w:lineRule="auto"/>
              <w:ind w:firstLine="641"/>
              <w:jc w:val="center"/>
              <w:textAlignment w:val="auto"/>
              <w:rPr>
                <w:rFonts w:hint="eastAsia" w:ascii="仿宋" w:hAnsi="仿宋" w:eastAsia="仿宋" w:cs="仿宋"/>
                <w:b/>
                <w:bCs/>
                <w:i w:val="0"/>
                <w:iCs w:val="0"/>
                <w:smallCaps w:val="0"/>
                <w:color w:val="000000"/>
                <w:spacing w:val="0"/>
                <w:kern w:val="0"/>
                <w:sz w:val="32"/>
                <w:szCs w:val="32"/>
                <w:lang w:val="en-US" w:eastAsia="zh-CN"/>
              </w:rPr>
            </w:pPr>
            <w:bookmarkStart w:id="17" w:name="_Toc256000035"/>
            <w:bookmarkStart w:id="18" w:name="_Toc256000097"/>
            <w:bookmarkStart w:id="19" w:name="_Toc256000066"/>
            <w:bookmarkStart w:id="20" w:name="_Toc256000004"/>
            <w:r>
              <w:rPr>
                <w:rFonts w:hint="eastAsia" w:ascii="仿宋" w:hAnsi="仿宋" w:eastAsia="仿宋" w:cs="仿宋"/>
                <w:b/>
                <w:bCs/>
                <w:i w:val="0"/>
                <w:iCs w:val="0"/>
                <w:smallCaps w:val="0"/>
                <w:color w:val="000000"/>
                <w:spacing w:val="0"/>
                <w:kern w:val="0"/>
                <w:sz w:val="32"/>
                <w:szCs w:val="32"/>
                <w:lang w:val="en-US" w:eastAsia="zh-CN"/>
              </w:rPr>
              <w:t>1</w:t>
            </w:r>
          </w:p>
        </w:tc>
        <w:tc>
          <w:tcPr>
            <w:tcW w:w="6376" w:type="dxa"/>
            <w:noWrap w:val="0"/>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spacing w:line="360" w:lineRule="auto"/>
              <w:ind w:firstLine="641"/>
              <w:jc w:val="center"/>
              <w:textAlignment w:val="auto"/>
              <w:rPr>
                <w:rFonts w:hint="default" w:ascii="仿宋" w:hAnsi="仿宋" w:eastAsia="仿宋" w:cs="仿宋"/>
                <w:b/>
                <w:bCs/>
                <w:i w:val="0"/>
                <w:iCs w:val="0"/>
                <w:smallCaps w:val="0"/>
                <w:color w:val="000000"/>
                <w:spacing w:val="0"/>
                <w:kern w:val="0"/>
                <w:sz w:val="32"/>
                <w:szCs w:val="32"/>
                <w:lang w:val="en-US" w:eastAsia="zh-CN"/>
              </w:rPr>
            </w:pPr>
            <w:r>
              <w:rPr>
                <w:rFonts w:hint="eastAsia" w:ascii="仿宋" w:hAnsi="仿宋" w:eastAsia="仿宋" w:cs="仿宋"/>
                <w:b/>
                <w:bCs/>
                <w:i w:val="0"/>
                <w:iCs w:val="0"/>
                <w:smallCaps w:val="0"/>
                <w:color w:val="000000"/>
                <w:spacing w:val="0"/>
                <w:kern w:val="0"/>
                <w:sz w:val="32"/>
                <w:szCs w:val="32"/>
                <w:lang w:val="en-US" w:eastAsia="zh-CN"/>
              </w:rPr>
              <w:t>厦门市湖里创新实验学校</w:t>
            </w:r>
          </w:p>
        </w:tc>
      </w:tr>
    </w:tbl>
    <w:p>
      <w:pPr>
        <w:pStyle w:val="5"/>
        <w:keepNext w:val="0"/>
        <w:keepLines w:val="0"/>
        <w:spacing w:before="100" w:after="100" w:line="600" w:lineRule="atLeast"/>
        <w:ind w:left="0" w:right="0" w:firstLine="640" w:firstLineChars="0"/>
        <w:rPr>
          <w:rFonts w:ascii="黑体" w:hAnsi="黑体" w:eastAsia="黑体" w:cs="黑体"/>
          <w:b/>
          <w:spacing w:val="0"/>
        </w:rPr>
      </w:pPr>
    </w:p>
    <w:p>
      <w:pPr>
        <w:pStyle w:val="5"/>
        <w:keepNext w:val="0"/>
        <w:keepLines w:val="0"/>
        <w:spacing w:before="100" w:after="100" w:line="600" w:lineRule="atLeast"/>
        <w:ind w:left="0" w:right="0" w:firstLine="640" w:firstLineChars="0"/>
        <w:rPr>
          <w:rFonts w:ascii="Times New Roman" w:hAnsi="Times New Roman" w:eastAsia="Times New Roman" w:cs="Times New Roman"/>
          <w:b/>
          <w:bCs/>
          <w:kern w:val="0"/>
          <w:sz w:val="28"/>
          <w:szCs w:val="28"/>
        </w:rPr>
      </w:pPr>
      <w:r>
        <w:rPr>
          <w:rFonts w:ascii="黑体" w:hAnsi="黑体" w:eastAsia="黑体" w:cs="黑体"/>
          <w:b/>
          <w:spacing w:val="0"/>
        </w:rPr>
        <w:t>三、单位主要工作总结</w:t>
      </w:r>
      <w:bookmarkEnd w:id="17"/>
      <w:bookmarkEnd w:id="18"/>
      <w:bookmarkEnd w:id="19"/>
      <w:bookmarkEnd w:id="20"/>
    </w:p>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2024</w:t>
      </w:r>
      <w:r>
        <w:rPr>
          <w:rFonts w:hint="eastAsia" w:ascii="仿宋" w:hAnsi="仿宋" w:eastAsia="仿宋" w:cs="仿宋"/>
          <w:sz w:val="32"/>
          <w:szCs w:val="32"/>
        </w:rPr>
        <w:t>年，厦门市湖里创新实验学校</w:t>
      </w:r>
      <w:r>
        <w:rPr>
          <w:rFonts w:hint="eastAsia" w:ascii="仿宋" w:hAnsi="仿宋" w:eastAsia="仿宋" w:cs="仿宋"/>
          <w:sz w:val="32"/>
          <w:szCs w:val="32"/>
          <w:lang w:val="en-US" w:eastAsia="zh-CN"/>
        </w:rPr>
        <w:t>主要任务是：</w:t>
      </w:r>
      <w:r>
        <w:rPr>
          <w:rFonts w:hint="eastAsia" w:ascii="仿宋" w:hAnsi="仿宋" w:eastAsia="仿宋" w:cs="仿宋"/>
          <w:sz w:val="32"/>
          <w:szCs w:val="32"/>
        </w:rPr>
        <w:t>以培养新时代人才为核心，全面推进教育教学工作。通过深化教学改革、强化德育与师资建设、完善后勤保障、丰富校园文化活动以及筑牢安全防线，全方位提升教育质量，促进学生全面发展 。</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围绕上述任务，重点抓好以下工作:</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1.教学提质，创新驱动:深化教育教学改革，提升教学质量，以创新驱动发展，打造特色品牌课程，培养具有创新精神和实践能力的新时代人才。加强课程研发团队发展，深入实施教师素质提升工程，促进教师的专业成长，建设高素质的教师队伍。</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2.德育为先，立德树人:坚持德育为先，注重学生品德修养和社会主义核心价值观的培育，实现全员育人、全程育人、全方位育人。立足“全面发展”，强化学生思想政治教育，丰富诚信德育体系；立足“点位管理”，以班级为抓手，全面加强学生行为习惯的养成教育。</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3.师资建设，专业发展：加强教师队伍建设，提升教师专业素养和教学能力。通过开设班主任系列培训课程、加强学科教师德育渗透的意识和能力、设立红领巾监督岗和文明督导岗等方式，全方位提升教师队伍的整体素质。</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4.后勤保障，精细服务：完善后勤保障体系，提供精细化、人性化的服务，确保校园安全和谐；做好学校教育设施、体育设施、公共设施、生活设施的保养和维修工作，加强学校资产、财产的管理，做到物、账清楚到位，提升服务质量与效率，为学校教育教学活动的顺</w:t>
      </w:r>
    </w:p>
    <w:p>
      <w:pPr>
        <w:spacing w:line="360" w:lineRule="auto"/>
        <w:rPr>
          <w:rFonts w:hint="eastAsia" w:ascii="仿宋" w:hAnsi="仿宋" w:eastAsia="仿宋" w:cs="仿宋"/>
          <w:sz w:val="32"/>
          <w:szCs w:val="32"/>
        </w:rPr>
      </w:pPr>
      <w:r>
        <w:rPr>
          <w:rFonts w:hint="eastAsia" w:ascii="仿宋" w:hAnsi="仿宋" w:eastAsia="仿宋" w:cs="仿宋"/>
          <w:sz w:val="32"/>
          <w:szCs w:val="32"/>
        </w:rPr>
        <w:t>利开展及师生的学习生活环境质量提供坚实保障。</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5.校园文化，多样活动：通过丰富多彩的校园活动，营造积极向上的校园文化氛围，促进学生的全面发展和个性成长。通过组织丰富多彩的文体活动、科技活动、艺术活动和社会实践活动，增强学生的社会实践能力，提高学生的综合素质。</w:t>
      </w:r>
    </w:p>
    <w:p>
      <w:pPr>
        <w:spacing w:line="360" w:lineRule="auto"/>
        <w:ind w:firstLine="640" w:firstLineChars="200"/>
        <w:rPr>
          <w:rFonts w:hint="eastAsia" w:asciiTheme="minorEastAsia" w:hAnsiTheme="minorEastAsia" w:eastAsiaTheme="minorEastAsia" w:cstheme="minorEastAsia"/>
          <w:sz w:val="30"/>
          <w:szCs w:val="30"/>
        </w:rPr>
      </w:pPr>
      <w:r>
        <w:rPr>
          <w:rFonts w:hint="eastAsia" w:ascii="仿宋" w:hAnsi="仿宋" w:eastAsia="仿宋" w:cs="仿宋"/>
          <w:sz w:val="32"/>
          <w:szCs w:val="32"/>
        </w:rPr>
        <w:t>6.安全工作，保障先行：建立健全安全管理机制，提升师生安全意识，强化安全教育与培训,保障教学设施安全无隐患，确保校园安全无事故。</w:t>
      </w:r>
    </w:p>
    <w:p>
      <w:pPr>
        <w:sectPr>
          <w:footerReference r:id="rId6" w:type="default"/>
          <w:pgSz w:w="11906" w:h="16838"/>
          <w:pgMar w:top="1440" w:right="1080" w:bottom="1440" w:left="1080" w:header="720" w:footer="720" w:gutter="0"/>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widowControl/>
        <w:spacing w:before="240" w:after="24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29"/>
        <w:widowControl/>
        <w:spacing w:before="100" w:after="100"/>
        <w:ind w:left="0" w:right="0" w:firstLine="0"/>
        <w:jc w:val="left"/>
        <w:rPr>
          <w:rFonts w:ascii="Times New Roman" w:hAnsi="Times New Roman" w:eastAsia="Times New Roman" w:cs="Times New Roman"/>
          <w:kern w:val="0"/>
          <w:sz w:val="24"/>
        </w:rPr>
      </w:pPr>
    </w:p>
    <w:p>
      <w:pPr>
        <w:pStyle w:val="3"/>
        <w:keepNext w:val="0"/>
        <w:keepLines w:val="0"/>
        <w:spacing w:before="100" w:after="100" w:line="240" w:lineRule="auto"/>
        <w:ind w:left="0" w:right="0" w:firstLine="0" w:firstLineChars="0"/>
        <w:jc w:val="center"/>
        <w:rPr>
          <w:rFonts w:ascii="Times New Roman" w:hAnsi="Times New Roman" w:eastAsia="Times New Roman" w:cs="Times New Roman"/>
          <w:b/>
          <w:bCs/>
          <w:kern w:val="0"/>
          <w:sz w:val="36"/>
          <w:szCs w:val="36"/>
        </w:rPr>
      </w:pPr>
      <w:bookmarkStart w:id="21" w:name="_Toc256000005"/>
      <w:bookmarkStart w:id="22" w:name="_Toc256000036"/>
      <w:bookmarkStart w:id="23" w:name="_Toc256000067"/>
      <w:bookmarkStart w:id="24" w:name="_Toc256000098"/>
      <w:r>
        <w:rPr>
          <w:rFonts w:ascii="黑体" w:hAnsi="黑体" w:eastAsia="黑体" w:cs="黑体"/>
          <w:b/>
          <w:spacing w:val="0"/>
          <w:sz w:val="56"/>
          <w:szCs w:val="56"/>
        </w:rPr>
        <w:t>第二部分</w:t>
      </w:r>
      <w:bookmarkEnd w:id="21"/>
      <w:bookmarkEnd w:id="22"/>
      <w:bookmarkEnd w:id="23"/>
      <w:bookmarkEnd w:id="24"/>
    </w:p>
    <w:p>
      <w:pPr>
        <w:pStyle w:val="3"/>
        <w:keepNext w:val="0"/>
        <w:keepLines w:val="0"/>
        <w:spacing w:before="100" w:after="100" w:line="240" w:lineRule="auto"/>
        <w:ind w:left="0" w:right="0" w:firstLine="0" w:firstLineChars="0"/>
        <w:jc w:val="center"/>
        <w:rPr>
          <w:rFonts w:ascii="Times New Roman" w:hAnsi="Times New Roman" w:eastAsia="Times New Roman" w:cs="Times New Roman"/>
          <w:b/>
          <w:bCs/>
          <w:kern w:val="0"/>
          <w:sz w:val="36"/>
          <w:szCs w:val="36"/>
        </w:rPr>
      </w:pPr>
      <w:bookmarkStart w:id="25" w:name="_Toc256000068"/>
      <w:bookmarkStart w:id="26" w:name="_Toc256000037"/>
      <w:bookmarkStart w:id="27" w:name="_Toc256000099"/>
      <w:bookmarkStart w:id="28" w:name="_Toc256000006"/>
      <w:r>
        <w:rPr>
          <w:rFonts w:ascii="黑体" w:hAnsi="黑体" w:eastAsia="黑体" w:cs="黑体"/>
          <w:b/>
          <w:spacing w:val="0"/>
          <w:sz w:val="56"/>
          <w:szCs w:val="56"/>
        </w:rPr>
        <w:t>2024年度决算表</w:t>
      </w:r>
      <w:bookmarkEnd w:id="25"/>
      <w:bookmarkEnd w:id="26"/>
      <w:bookmarkEnd w:id="27"/>
      <w:bookmarkEnd w:id="28"/>
    </w:p>
    <w:p>
      <w:pPr>
        <w:pStyle w:val="29"/>
        <w:widowControl/>
        <w:spacing w:before="100" w:after="100"/>
        <w:ind w:left="0" w:right="0" w:firstLine="0"/>
        <w:jc w:val="center"/>
        <w:rPr>
          <w:rFonts w:ascii="Times New Roman" w:hAnsi="Times New Roman" w:eastAsia="Times New Roman" w:cs="Times New Roman"/>
          <w:kern w:val="0"/>
          <w:sz w:val="24"/>
        </w:rPr>
      </w:pPr>
    </w:p>
    <w:p>
      <w:pPr>
        <w:sectPr>
          <w:footerReference r:id="rId7" w:type="default"/>
          <w:pgSz w:w="11906" w:h="16838"/>
          <w:pgMar w:top="1440" w:right="720" w:bottom="1440" w:left="720" w:header="720" w:footer="720" w:gutter="0"/>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2"/>
        <w:tblpPr w:leftFromText="180" w:rightFromText="180" w:vertAnchor="text" w:horzAnchor="page" w:tblpX="1446" w:tblpY="873"/>
        <w:tblOverlap w:val="never"/>
        <w:tblW w:w="9086" w:type="dxa"/>
        <w:tblInd w:w="0" w:type="dxa"/>
        <w:tblLayout w:type="fixed"/>
        <w:tblCellMar>
          <w:top w:w="15" w:type="dxa"/>
          <w:left w:w="15" w:type="dxa"/>
          <w:bottom w:w="15" w:type="dxa"/>
          <w:right w:w="15" w:type="dxa"/>
        </w:tblCellMar>
      </w:tblPr>
      <w:tblGrid>
        <w:gridCol w:w="3096"/>
        <w:gridCol w:w="471"/>
        <w:gridCol w:w="629"/>
        <w:gridCol w:w="2874"/>
        <w:gridCol w:w="471"/>
        <w:gridCol w:w="1545"/>
      </w:tblGrid>
      <w:tr>
        <w:tblPrEx>
          <w:tblLayout w:type="fixed"/>
          <w:tblCellMar>
            <w:top w:w="15" w:type="dxa"/>
            <w:left w:w="15" w:type="dxa"/>
            <w:bottom w:w="15" w:type="dxa"/>
            <w:right w:w="15" w:type="dxa"/>
          </w:tblCellMar>
        </w:tblPrEx>
        <w:trPr>
          <w:tblHeader/>
        </w:trPr>
        <w:tc>
          <w:tcPr>
            <w:tcW w:w="9086" w:type="dxa"/>
            <w:gridSpan w:val="6"/>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收入支出决算总表</w:t>
            </w:r>
          </w:p>
        </w:tc>
      </w:tr>
      <w:tr>
        <w:tblPrEx>
          <w:tblLayout w:type="fixed"/>
          <w:tblCellMar>
            <w:top w:w="15" w:type="dxa"/>
            <w:left w:w="15" w:type="dxa"/>
            <w:bottom w:w="15" w:type="dxa"/>
            <w:right w:w="15" w:type="dxa"/>
          </w:tblCellMar>
        </w:tblPrEx>
        <w:trPr>
          <w:tblHeader/>
        </w:trPr>
        <w:tc>
          <w:tcPr>
            <w:tcW w:w="3567"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62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87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47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54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309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单位：厦门市湖里创新实验学校</w:t>
            </w:r>
          </w:p>
        </w:tc>
        <w:tc>
          <w:tcPr>
            <w:tcW w:w="47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62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87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47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54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c>
          <w:tcPr>
            <w:tcW w:w="4196"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收入</w:t>
            </w:r>
          </w:p>
        </w:tc>
        <w:tc>
          <w:tcPr>
            <w:tcW w:w="4890"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支出</w:t>
            </w:r>
          </w:p>
        </w:tc>
      </w:tr>
      <w:tr>
        <w:tblPrEx>
          <w:tblLayout w:type="fixed"/>
          <w:tblCellMar>
            <w:top w:w="15" w:type="dxa"/>
            <w:left w:w="15" w:type="dxa"/>
            <w:bottom w:w="15" w:type="dxa"/>
            <w:right w:w="15" w:type="dxa"/>
          </w:tblCellMar>
        </w:tblPrEx>
        <w:tc>
          <w:tcPr>
            <w:tcW w:w="30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项目</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行次</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金额</w:t>
            </w:r>
          </w:p>
        </w:tc>
        <w:tc>
          <w:tcPr>
            <w:tcW w:w="28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项目</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行次</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金额</w:t>
            </w:r>
          </w:p>
        </w:tc>
      </w:tr>
      <w:tr>
        <w:tblPrEx>
          <w:tblLayout w:type="fixed"/>
          <w:tblCellMar>
            <w:top w:w="15" w:type="dxa"/>
            <w:left w:w="15" w:type="dxa"/>
            <w:bottom w:w="15" w:type="dxa"/>
            <w:right w:w="15" w:type="dxa"/>
          </w:tblCellMar>
        </w:tblPrEx>
        <w:tc>
          <w:tcPr>
            <w:tcW w:w="30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栏次</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1</w:t>
            </w:r>
          </w:p>
        </w:tc>
        <w:tc>
          <w:tcPr>
            <w:tcW w:w="28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栏次</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w:t>
            </w:r>
          </w:p>
        </w:tc>
      </w:tr>
      <w:tr>
        <w:tblPrEx>
          <w:tblLayout w:type="fixed"/>
          <w:tblCellMar>
            <w:top w:w="15" w:type="dxa"/>
            <w:left w:w="15" w:type="dxa"/>
            <w:bottom w:w="15" w:type="dxa"/>
            <w:right w:w="15" w:type="dxa"/>
          </w:tblCellMar>
        </w:tblPrEx>
        <w:tc>
          <w:tcPr>
            <w:tcW w:w="30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一、一般公共预算财政拨款收入</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1</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435.2</w:t>
            </w:r>
          </w:p>
        </w:tc>
        <w:tc>
          <w:tcPr>
            <w:tcW w:w="28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一、一般公共服务支出</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32</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c>
          <w:tcPr>
            <w:tcW w:w="30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二、政府性基金预算财政拨款收入</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8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二、外交支出</w:t>
            </w:r>
            <w:r>
              <w:rPr>
                <w:rFonts w:ascii="Times New Roman" w:hAnsi="Times New Roman" w:eastAsia="Times New Roman" w:cs="Times New Roman"/>
                <w:b w:val="0"/>
                <w:bCs w:val="0"/>
                <w:i w:val="0"/>
                <w:iCs w:val="0"/>
                <w:smallCaps w:val="0"/>
                <w:color w:val="000000"/>
                <w:kern w:val="0"/>
                <w:sz w:val="16"/>
                <w:szCs w:val="16"/>
              </w:rPr>
              <w:t xml:space="preserve"> </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33</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c>
          <w:tcPr>
            <w:tcW w:w="30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三、国有资本经营预算财政拨款收入</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8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三、国防支出</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34</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c>
          <w:tcPr>
            <w:tcW w:w="30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四、上级补助收入</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4</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8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四、公共安全支出</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35</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c>
          <w:tcPr>
            <w:tcW w:w="30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五、事业收入</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5</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8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五、教育支出</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36</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396.93</w:t>
            </w:r>
          </w:p>
        </w:tc>
      </w:tr>
      <w:tr>
        <w:tblPrEx>
          <w:tblLayout w:type="fixed"/>
          <w:tblCellMar>
            <w:top w:w="15" w:type="dxa"/>
            <w:left w:w="15" w:type="dxa"/>
            <w:bottom w:w="15" w:type="dxa"/>
            <w:right w:w="15" w:type="dxa"/>
          </w:tblCellMar>
        </w:tblPrEx>
        <w:tc>
          <w:tcPr>
            <w:tcW w:w="30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六、经营收入</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6</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8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六、科学技术支出</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37</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c>
          <w:tcPr>
            <w:tcW w:w="30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七、附属单位上缴收入</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7</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8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七、文化旅游体育与传媒支出</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38</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c>
          <w:tcPr>
            <w:tcW w:w="30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八、其他收入</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8</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8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八、社会保障和就业支出</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39</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26.74</w:t>
            </w:r>
          </w:p>
        </w:tc>
      </w:tr>
      <w:tr>
        <w:tblPrEx>
          <w:tblLayout w:type="fixed"/>
          <w:tblCellMar>
            <w:top w:w="15" w:type="dxa"/>
            <w:left w:w="15" w:type="dxa"/>
            <w:bottom w:w="15" w:type="dxa"/>
            <w:right w:w="15" w:type="dxa"/>
          </w:tblCellMar>
        </w:tblPrEx>
        <w:tc>
          <w:tcPr>
            <w:tcW w:w="30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9</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8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九、卫生健康支出</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40</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11.53</w:t>
            </w:r>
          </w:p>
        </w:tc>
      </w:tr>
      <w:tr>
        <w:tblPrEx>
          <w:tblLayout w:type="fixed"/>
          <w:tblCellMar>
            <w:top w:w="15" w:type="dxa"/>
            <w:left w:w="15" w:type="dxa"/>
            <w:bottom w:w="15" w:type="dxa"/>
            <w:right w:w="15" w:type="dxa"/>
          </w:tblCellMar>
        </w:tblPrEx>
        <w:tc>
          <w:tcPr>
            <w:tcW w:w="30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十、节能环保支出</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0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十一、城乡社区支出</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0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十二、农林水支出</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0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十三、交通运输支出</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0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十四、资源勘探工业信息等支出</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0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十五、商业服务业等支出</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0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十六、金融支出</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47</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0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十七、援助其他地区支出</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0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十八、自然资源海洋气象等支出</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0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十九、住房保障支出</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50</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0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二十、粮油物资储备支出</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0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二十一、国有资本经营预算支出</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0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二十二、灾害防治及应急管理支出</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53</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0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二十三、其他支出</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54</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0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二十四、债务还本支出</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55</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0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二十五、债务付息支出</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56</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0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二十六、抗疫特别国债安排的支出</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0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本年收入合计</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27</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435.2</w:t>
            </w:r>
          </w:p>
        </w:tc>
        <w:tc>
          <w:tcPr>
            <w:tcW w:w="28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本年支出合计</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58</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435.2</w:t>
            </w:r>
          </w:p>
        </w:tc>
      </w:tr>
      <w:tr>
        <w:tblPrEx>
          <w:tblLayout w:type="fixed"/>
          <w:tblCellMar>
            <w:top w:w="15" w:type="dxa"/>
            <w:left w:w="15" w:type="dxa"/>
            <w:bottom w:w="15" w:type="dxa"/>
            <w:right w:w="15" w:type="dxa"/>
          </w:tblCellMar>
        </w:tblPrEx>
        <w:tc>
          <w:tcPr>
            <w:tcW w:w="30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使用非财政拨款结余（含专用结余）</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28</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8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结余分配</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59</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c>
          <w:tcPr>
            <w:tcW w:w="30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年初结转和结余</w:t>
            </w:r>
            <w:r>
              <w:rPr>
                <w:rFonts w:ascii="Times New Roman" w:hAnsi="Times New Roman" w:eastAsia="Times New Roman" w:cs="Times New Roman"/>
                <w:b w:val="0"/>
                <w:bCs w:val="0"/>
                <w:i w:val="0"/>
                <w:iCs w:val="0"/>
                <w:smallCaps w:val="0"/>
                <w:color w:val="000000"/>
                <w:kern w:val="0"/>
                <w:sz w:val="16"/>
                <w:szCs w:val="16"/>
              </w:rPr>
              <w:t xml:space="preserve"> </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29</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8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年末结转和结余</w:t>
            </w:r>
            <w:r>
              <w:rPr>
                <w:rFonts w:ascii="Times New Roman" w:hAnsi="Times New Roman" w:eastAsia="Times New Roman" w:cs="Times New Roman"/>
                <w:b w:val="0"/>
                <w:bCs w:val="0"/>
                <w:i w:val="0"/>
                <w:iCs w:val="0"/>
                <w:smallCaps w:val="0"/>
                <w:color w:val="000000"/>
                <w:kern w:val="0"/>
                <w:sz w:val="16"/>
                <w:szCs w:val="16"/>
              </w:rPr>
              <w:t xml:space="preserve"> </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60</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c>
          <w:tcPr>
            <w:tcW w:w="30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30</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8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61</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c>
          <w:tcPr>
            <w:tcW w:w="309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总计</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31</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435.2</w:t>
            </w:r>
          </w:p>
        </w:tc>
        <w:tc>
          <w:tcPr>
            <w:tcW w:w="28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总计</w:t>
            </w:r>
          </w:p>
        </w:tc>
        <w:tc>
          <w:tcPr>
            <w:tcW w:w="47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62</w:t>
            </w:r>
          </w:p>
        </w:tc>
        <w:tc>
          <w:tcPr>
            <w:tcW w:w="154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435.2</w:t>
            </w:r>
          </w:p>
        </w:tc>
      </w:tr>
      <w:tr>
        <w:tblPrEx>
          <w:tblLayout w:type="fixed"/>
          <w:tblCellMar>
            <w:top w:w="15" w:type="dxa"/>
            <w:left w:w="15" w:type="dxa"/>
            <w:bottom w:w="15" w:type="dxa"/>
            <w:right w:w="15" w:type="dxa"/>
          </w:tblCellMar>
        </w:tblPrEx>
        <w:tc>
          <w:tcPr>
            <w:tcW w:w="9086" w:type="dxa"/>
            <w:gridSpan w:val="6"/>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注：</w:t>
            </w:r>
            <w:r>
              <w:rPr>
                <w:rFonts w:ascii="Times New Roman" w:hAnsi="Times New Roman" w:eastAsia="Times New Roman" w:cs="Times New Roman"/>
                <w:b w:val="0"/>
                <w:bCs w:val="0"/>
                <w:i w:val="0"/>
                <w:iCs w:val="0"/>
                <w:smallCaps w:val="0"/>
                <w:color w:val="000000"/>
                <w:kern w:val="0"/>
                <w:sz w:val="16"/>
                <w:szCs w:val="16"/>
              </w:rPr>
              <w:t>1.</w:t>
            </w:r>
            <w:r>
              <w:rPr>
                <w:rFonts w:ascii="宋体" w:hAnsi="宋体" w:eastAsia="宋体" w:cs="宋体"/>
                <w:b w:val="0"/>
                <w:bCs w:val="0"/>
                <w:i w:val="0"/>
                <w:iCs w:val="0"/>
                <w:smallCaps w:val="0"/>
                <w:color w:val="000000"/>
                <w:kern w:val="0"/>
                <w:sz w:val="16"/>
                <w:szCs w:val="16"/>
              </w:rPr>
              <w:t>本表反映部门本年度的总收支和年末结转结余情况。</w:t>
            </w:r>
          </w:p>
        </w:tc>
      </w:tr>
      <w:tr>
        <w:tblPrEx>
          <w:tblLayout w:type="fixed"/>
          <w:tblCellMar>
            <w:top w:w="15" w:type="dxa"/>
            <w:left w:w="15" w:type="dxa"/>
            <w:bottom w:w="15" w:type="dxa"/>
            <w:right w:w="15" w:type="dxa"/>
          </w:tblCellMar>
        </w:tblPrEx>
        <w:tc>
          <w:tcPr>
            <w:tcW w:w="9086" w:type="dxa"/>
            <w:gridSpan w:val="6"/>
            <w:noWrap w:val="0"/>
            <w:tcMar>
              <w:top w:w="20" w:type="dxa"/>
              <w:left w:w="485"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w:t>
            </w:r>
            <w:r>
              <w:rPr>
                <w:rFonts w:ascii="宋体" w:hAnsi="宋体" w:eastAsia="宋体" w:cs="宋体"/>
                <w:b w:val="0"/>
                <w:bCs w:val="0"/>
                <w:i w:val="0"/>
                <w:iCs w:val="0"/>
                <w:smallCaps w:val="0"/>
                <w:color w:val="000000"/>
                <w:kern w:val="0"/>
                <w:sz w:val="16"/>
                <w:szCs w:val="16"/>
              </w:rPr>
              <w:t>本套报表金额单位转换时可能存在尾数误差。</w:t>
            </w:r>
          </w:p>
        </w:tc>
      </w:tr>
    </w:tbl>
    <w:p>
      <w:pPr>
        <w:pStyle w:val="5"/>
        <w:keepNext w:val="0"/>
        <w:keepLines w:val="0"/>
        <w:spacing w:before="100" w:after="100" w:line="240" w:lineRule="auto"/>
        <w:ind w:left="720" w:right="0" w:hanging="720" w:firstLineChars="0"/>
        <w:rPr>
          <w:rFonts w:ascii="Times New Roman" w:hAnsi="Times New Roman" w:eastAsia="Times New Roman" w:cs="Times New Roman"/>
          <w:b/>
          <w:bCs/>
          <w:kern w:val="0"/>
          <w:sz w:val="28"/>
          <w:szCs w:val="28"/>
        </w:rPr>
      </w:pPr>
      <w:r>
        <w:rPr>
          <w:rFonts w:ascii="Times New Roman" w:hAnsi="Times New Roman" w:eastAsia="Times New Roman" w:cs="Times New Roman"/>
          <w:kern w:val="0"/>
          <w:sz w:val="24"/>
        </w:rPr>
        <w:t> </w:t>
      </w:r>
      <w:bookmarkStart w:id="29" w:name="_Toc256000101"/>
      <w:bookmarkStart w:id="30" w:name="_Toc256000039"/>
      <w:bookmarkStart w:id="31" w:name="_Toc256000070"/>
      <w:bookmarkStart w:id="32" w:name="_Toc256000008"/>
      <w:r>
        <w:rPr>
          <w:rFonts w:ascii="黑体" w:hAnsi="黑体" w:eastAsia="黑体" w:cs="黑体"/>
          <w:b/>
          <w:spacing w:val="0"/>
        </w:rPr>
        <w:t>一、收入支出决算总表</w:t>
      </w:r>
    </w:p>
    <w:p>
      <w:pPr>
        <w:widowControl/>
        <w:jc w:val="left"/>
        <w:rPr>
          <w:rFonts w:ascii="Times New Roman" w:hAnsi="Times New Roman" w:eastAsia="Times New Roman" w:cs="Times New Roman"/>
          <w:kern w:val="0"/>
          <w:sz w:val="24"/>
        </w:rPr>
      </w:pPr>
    </w:p>
    <w:p>
      <w:pPr>
        <w:widowControl/>
        <w:jc w:val="left"/>
        <w:rPr>
          <w:rFonts w:ascii="Times New Roman" w:hAnsi="Times New Roman" w:eastAsia="Times New Roman" w:cs="Times New Roman"/>
          <w:kern w:val="0"/>
          <w:sz w:val="24"/>
        </w:rPr>
      </w:pPr>
    </w:p>
    <w:p>
      <w:pPr>
        <w:widowControl/>
        <w:jc w:val="left"/>
        <w:rPr>
          <w:rFonts w:ascii="Times New Roman" w:hAnsi="Times New Roman" w:eastAsia="Times New Roman" w:cs="Times New Roman"/>
          <w:kern w:val="0"/>
          <w:sz w:val="24"/>
        </w:rPr>
      </w:pPr>
    </w:p>
    <w:p>
      <w:pPr>
        <w:widowControl/>
        <w:jc w:val="left"/>
        <w:rPr>
          <w:rFonts w:ascii="Times New Roman" w:hAnsi="Times New Roman" w:eastAsia="Times New Roman" w:cs="Times New Roman"/>
          <w:kern w:val="0"/>
          <w:sz w:val="24"/>
        </w:rPr>
      </w:pPr>
    </w:p>
    <w:p>
      <w:pPr>
        <w:widowControl/>
        <w:jc w:val="left"/>
        <w:rPr>
          <w:rFonts w:ascii="Times New Roman" w:hAnsi="Times New Roman" w:eastAsia="Times New Roman" w:cs="Times New Roman"/>
          <w:kern w:val="0"/>
          <w:sz w:val="24"/>
        </w:rPr>
      </w:pPr>
    </w:p>
    <w:tbl>
      <w:tblPr>
        <w:tblStyle w:val="22"/>
        <w:tblpPr w:leftFromText="180" w:rightFromText="180" w:vertAnchor="text" w:horzAnchor="page" w:tblpX="1527" w:tblpY="800"/>
        <w:tblOverlap w:val="never"/>
        <w:tblW w:w="9086" w:type="dxa"/>
        <w:tblInd w:w="0" w:type="dxa"/>
        <w:tblLayout w:type="fixed"/>
        <w:tblCellMar>
          <w:top w:w="15" w:type="dxa"/>
          <w:left w:w="15" w:type="dxa"/>
          <w:bottom w:w="15" w:type="dxa"/>
          <w:right w:w="15" w:type="dxa"/>
        </w:tblCellMar>
      </w:tblPr>
      <w:tblGrid>
        <w:gridCol w:w="1000"/>
        <w:gridCol w:w="1708"/>
        <w:gridCol w:w="1063"/>
        <w:gridCol w:w="1063"/>
        <w:gridCol w:w="977"/>
        <w:gridCol w:w="585"/>
        <w:gridCol w:w="585"/>
        <w:gridCol w:w="959"/>
        <w:gridCol w:w="1146"/>
      </w:tblGrid>
      <w:tr>
        <w:tblPrEx>
          <w:tblLayout w:type="fixed"/>
          <w:tblCellMar>
            <w:top w:w="15" w:type="dxa"/>
            <w:left w:w="15" w:type="dxa"/>
            <w:bottom w:w="15" w:type="dxa"/>
            <w:right w:w="15" w:type="dxa"/>
          </w:tblCellMar>
        </w:tblPrEx>
        <w:trPr>
          <w:tblHeader/>
        </w:trPr>
        <w:tc>
          <w:tcPr>
            <w:tcW w:w="9086" w:type="dxa"/>
            <w:gridSpan w:val="9"/>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收入决算表</w:t>
            </w:r>
          </w:p>
        </w:tc>
      </w:tr>
      <w:tr>
        <w:tblPrEx>
          <w:tblLayout w:type="fixed"/>
          <w:tblCellMar>
            <w:top w:w="15" w:type="dxa"/>
            <w:left w:w="15" w:type="dxa"/>
            <w:bottom w:w="15" w:type="dxa"/>
            <w:right w:w="15" w:type="dxa"/>
          </w:tblCellMar>
        </w:tblPrEx>
        <w:trPr>
          <w:tblHeader/>
        </w:trPr>
        <w:tc>
          <w:tcPr>
            <w:tcW w:w="100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7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6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06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7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58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58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5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14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c>
          <w:tcPr>
            <w:tcW w:w="4834"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部门</w:t>
            </w:r>
            <w:r>
              <w:rPr>
                <w:rFonts w:ascii="Times New Roman" w:hAnsi="Times New Roman" w:eastAsia="Times New Roman" w:cs="Times New Roman"/>
                <w:b w:val="0"/>
                <w:bCs w:val="0"/>
                <w:i w:val="0"/>
                <w:iCs w:val="0"/>
                <w:smallCaps w:val="0"/>
                <w:color w:val="000000"/>
                <w:kern w:val="0"/>
                <w:sz w:val="22"/>
                <w:szCs w:val="22"/>
              </w:rPr>
              <w:t>/</w:t>
            </w:r>
            <w:r>
              <w:rPr>
                <w:rFonts w:ascii="宋体" w:hAnsi="宋体" w:eastAsia="宋体" w:cs="宋体"/>
                <w:b w:val="0"/>
                <w:bCs w:val="0"/>
                <w:i w:val="0"/>
                <w:iCs w:val="0"/>
                <w:smallCaps w:val="0"/>
                <w:color w:val="000000"/>
                <w:kern w:val="0"/>
                <w:sz w:val="22"/>
                <w:szCs w:val="22"/>
              </w:rPr>
              <w:t>单位：厦门市湖里创新实验学校</w:t>
            </w:r>
          </w:p>
        </w:tc>
        <w:tc>
          <w:tcPr>
            <w:tcW w:w="97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2024</w:t>
            </w:r>
            <w:r>
              <w:rPr>
                <w:rFonts w:ascii="宋体" w:hAnsi="宋体" w:eastAsia="宋体" w:cs="宋体"/>
                <w:b w:val="0"/>
                <w:bCs w:val="0"/>
                <w:i w:val="0"/>
                <w:iCs w:val="0"/>
                <w:smallCaps w:val="0"/>
                <w:color w:val="000000"/>
                <w:kern w:val="0"/>
                <w:sz w:val="22"/>
                <w:szCs w:val="22"/>
              </w:rPr>
              <w:t>年度</w:t>
            </w:r>
          </w:p>
        </w:tc>
        <w:tc>
          <w:tcPr>
            <w:tcW w:w="58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58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5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14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金额单位：万元</w:t>
            </w:r>
          </w:p>
        </w:tc>
      </w:tr>
      <w:tr>
        <w:tblPrEx>
          <w:tblLayout w:type="fixed"/>
          <w:tblCellMar>
            <w:top w:w="15" w:type="dxa"/>
            <w:left w:w="15" w:type="dxa"/>
            <w:bottom w:w="15" w:type="dxa"/>
            <w:right w:w="15" w:type="dxa"/>
          </w:tblCellMar>
        </w:tblPrEx>
        <w:trPr>
          <w:tblHeader/>
        </w:trPr>
        <w:tc>
          <w:tcPr>
            <w:tcW w:w="27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项目</w:t>
            </w:r>
          </w:p>
        </w:tc>
        <w:tc>
          <w:tcPr>
            <w:tcW w:w="106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本年收入合计</w:t>
            </w:r>
          </w:p>
        </w:tc>
        <w:tc>
          <w:tcPr>
            <w:tcW w:w="106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财政拨款收入</w:t>
            </w:r>
            <w:r>
              <w:rPr>
                <w:rFonts w:ascii="Times New Roman" w:hAnsi="Times New Roman" w:eastAsia="Times New Roman" w:cs="Times New Roman"/>
                <w:b w:val="0"/>
                <w:bCs w:val="0"/>
                <w:i w:val="0"/>
                <w:iCs w:val="0"/>
                <w:smallCaps w:val="0"/>
                <w:color w:val="000000"/>
                <w:kern w:val="0"/>
                <w:sz w:val="21"/>
                <w:szCs w:val="21"/>
              </w:rPr>
              <w:t xml:space="preserve"> </w:t>
            </w:r>
          </w:p>
        </w:tc>
        <w:tc>
          <w:tcPr>
            <w:tcW w:w="97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上级补助收入</w:t>
            </w:r>
          </w:p>
        </w:tc>
        <w:tc>
          <w:tcPr>
            <w:tcW w:w="58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事业收入</w:t>
            </w:r>
          </w:p>
        </w:tc>
        <w:tc>
          <w:tcPr>
            <w:tcW w:w="58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经营收入</w:t>
            </w:r>
          </w:p>
        </w:tc>
        <w:tc>
          <w:tcPr>
            <w:tcW w:w="959"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附属单位上缴收入</w:t>
            </w:r>
          </w:p>
        </w:tc>
        <w:tc>
          <w:tcPr>
            <w:tcW w:w="114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其他收入</w:t>
            </w:r>
          </w:p>
        </w:tc>
      </w:tr>
      <w:tr>
        <w:tblPrEx>
          <w:tblLayout w:type="fixed"/>
          <w:tblCellMar>
            <w:top w:w="15" w:type="dxa"/>
            <w:left w:w="15" w:type="dxa"/>
            <w:bottom w:w="15" w:type="dxa"/>
            <w:right w:w="15" w:type="dxa"/>
          </w:tblCellMar>
        </w:tblPrEx>
        <w:trPr>
          <w:tblHeader/>
        </w:trPr>
        <w:tc>
          <w:tcPr>
            <w:tcW w:w="100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科目代码</w:t>
            </w:r>
          </w:p>
        </w:tc>
        <w:tc>
          <w:tcPr>
            <w:tcW w:w="170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科目名称</w:t>
            </w:r>
          </w:p>
        </w:tc>
        <w:tc>
          <w:tcPr>
            <w:tcW w:w="106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106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97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58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58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95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114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r>
      <w:tr>
        <w:tblPrEx>
          <w:tblLayout w:type="fixed"/>
          <w:tblCellMar>
            <w:top w:w="15" w:type="dxa"/>
            <w:left w:w="15" w:type="dxa"/>
            <w:bottom w:w="15" w:type="dxa"/>
            <w:right w:w="15" w:type="dxa"/>
          </w:tblCellMar>
        </w:tblPrEx>
        <w:trPr>
          <w:tblHeader/>
        </w:trPr>
        <w:tc>
          <w:tcPr>
            <w:tcW w:w="100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17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106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106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97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58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58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95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114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r>
      <w:tr>
        <w:tblPrEx>
          <w:tblLayout w:type="fixed"/>
          <w:tblCellMar>
            <w:top w:w="15" w:type="dxa"/>
            <w:left w:w="15" w:type="dxa"/>
            <w:bottom w:w="15" w:type="dxa"/>
            <w:right w:w="15" w:type="dxa"/>
          </w:tblCellMar>
        </w:tblPrEx>
        <w:tc>
          <w:tcPr>
            <w:tcW w:w="27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栏次</w:t>
            </w:r>
          </w:p>
        </w:tc>
        <w:tc>
          <w:tcPr>
            <w:tcW w:w="1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w:t>
            </w:r>
          </w:p>
        </w:tc>
        <w:tc>
          <w:tcPr>
            <w:tcW w:w="1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w:t>
            </w:r>
          </w:p>
        </w:tc>
        <w:tc>
          <w:tcPr>
            <w:tcW w:w="5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4</w:t>
            </w:r>
          </w:p>
        </w:tc>
        <w:tc>
          <w:tcPr>
            <w:tcW w:w="5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5</w:t>
            </w:r>
          </w:p>
        </w:tc>
        <w:tc>
          <w:tcPr>
            <w:tcW w:w="9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6</w:t>
            </w:r>
          </w:p>
        </w:tc>
        <w:tc>
          <w:tcPr>
            <w:tcW w:w="11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7</w:t>
            </w:r>
          </w:p>
        </w:tc>
      </w:tr>
      <w:tr>
        <w:tblPrEx>
          <w:tblLayout w:type="fixed"/>
          <w:tblCellMar>
            <w:top w:w="15" w:type="dxa"/>
            <w:left w:w="15" w:type="dxa"/>
            <w:bottom w:w="15" w:type="dxa"/>
            <w:right w:w="15" w:type="dxa"/>
          </w:tblCellMar>
        </w:tblPrEx>
        <w:tc>
          <w:tcPr>
            <w:tcW w:w="27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合计</w:t>
            </w:r>
          </w:p>
        </w:tc>
        <w:tc>
          <w:tcPr>
            <w:tcW w:w="1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435.2</w:t>
            </w:r>
          </w:p>
        </w:tc>
        <w:tc>
          <w:tcPr>
            <w:tcW w:w="1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435.2</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5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5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1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205</w:t>
            </w:r>
          </w:p>
        </w:tc>
        <w:tc>
          <w:tcPr>
            <w:tcW w:w="17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教育支出</w:t>
            </w:r>
          </w:p>
        </w:tc>
        <w:tc>
          <w:tcPr>
            <w:tcW w:w="1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396.93</w:t>
            </w:r>
          </w:p>
        </w:tc>
        <w:tc>
          <w:tcPr>
            <w:tcW w:w="1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396.93</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5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5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1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20502</w:t>
            </w:r>
          </w:p>
        </w:tc>
        <w:tc>
          <w:tcPr>
            <w:tcW w:w="17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普通教育</w:t>
            </w:r>
          </w:p>
        </w:tc>
        <w:tc>
          <w:tcPr>
            <w:tcW w:w="1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387.17</w:t>
            </w:r>
          </w:p>
        </w:tc>
        <w:tc>
          <w:tcPr>
            <w:tcW w:w="1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387.17</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5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5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1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2050202</w:t>
            </w:r>
          </w:p>
        </w:tc>
        <w:tc>
          <w:tcPr>
            <w:tcW w:w="17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小学教育</w:t>
            </w:r>
          </w:p>
        </w:tc>
        <w:tc>
          <w:tcPr>
            <w:tcW w:w="1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77.85</w:t>
            </w:r>
          </w:p>
        </w:tc>
        <w:tc>
          <w:tcPr>
            <w:tcW w:w="1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77.85</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5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5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1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2050203</w:t>
            </w:r>
          </w:p>
        </w:tc>
        <w:tc>
          <w:tcPr>
            <w:tcW w:w="17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初中教育</w:t>
            </w:r>
          </w:p>
        </w:tc>
        <w:tc>
          <w:tcPr>
            <w:tcW w:w="1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237.28</w:t>
            </w:r>
          </w:p>
        </w:tc>
        <w:tc>
          <w:tcPr>
            <w:tcW w:w="1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237.28</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5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5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1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2050299</w:t>
            </w:r>
          </w:p>
        </w:tc>
        <w:tc>
          <w:tcPr>
            <w:tcW w:w="17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其他普通教育支出</w:t>
            </w:r>
          </w:p>
        </w:tc>
        <w:tc>
          <w:tcPr>
            <w:tcW w:w="1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72.04</w:t>
            </w:r>
          </w:p>
        </w:tc>
        <w:tc>
          <w:tcPr>
            <w:tcW w:w="1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72.04</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5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5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1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20509</w:t>
            </w:r>
          </w:p>
        </w:tc>
        <w:tc>
          <w:tcPr>
            <w:tcW w:w="17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教育费附加安排的支出</w:t>
            </w:r>
          </w:p>
        </w:tc>
        <w:tc>
          <w:tcPr>
            <w:tcW w:w="1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9.76</w:t>
            </w:r>
          </w:p>
        </w:tc>
        <w:tc>
          <w:tcPr>
            <w:tcW w:w="1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9.76</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5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5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1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2050999</w:t>
            </w:r>
          </w:p>
        </w:tc>
        <w:tc>
          <w:tcPr>
            <w:tcW w:w="17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其他教育费附加安排的支出</w:t>
            </w:r>
          </w:p>
        </w:tc>
        <w:tc>
          <w:tcPr>
            <w:tcW w:w="1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9.76</w:t>
            </w:r>
          </w:p>
        </w:tc>
        <w:tc>
          <w:tcPr>
            <w:tcW w:w="1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9.76</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5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5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1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208</w:t>
            </w:r>
          </w:p>
        </w:tc>
        <w:tc>
          <w:tcPr>
            <w:tcW w:w="17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社会保障和就业支出</w:t>
            </w:r>
          </w:p>
        </w:tc>
        <w:tc>
          <w:tcPr>
            <w:tcW w:w="1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26.74</w:t>
            </w:r>
          </w:p>
        </w:tc>
        <w:tc>
          <w:tcPr>
            <w:tcW w:w="1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26.74</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5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5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1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20805</w:t>
            </w:r>
          </w:p>
        </w:tc>
        <w:tc>
          <w:tcPr>
            <w:tcW w:w="17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行政事业单位养老支出</w:t>
            </w:r>
          </w:p>
        </w:tc>
        <w:tc>
          <w:tcPr>
            <w:tcW w:w="1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26.74</w:t>
            </w:r>
          </w:p>
        </w:tc>
        <w:tc>
          <w:tcPr>
            <w:tcW w:w="1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26.74</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5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5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1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2080505</w:t>
            </w:r>
          </w:p>
        </w:tc>
        <w:tc>
          <w:tcPr>
            <w:tcW w:w="17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机关事业单位基本养老保险缴费支出</w:t>
            </w:r>
          </w:p>
        </w:tc>
        <w:tc>
          <w:tcPr>
            <w:tcW w:w="1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17.83</w:t>
            </w:r>
          </w:p>
        </w:tc>
        <w:tc>
          <w:tcPr>
            <w:tcW w:w="1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17.83</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5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5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1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2080506</w:t>
            </w:r>
          </w:p>
        </w:tc>
        <w:tc>
          <w:tcPr>
            <w:tcW w:w="17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机关事业单位职业年金缴费支出</w:t>
            </w:r>
          </w:p>
        </w:tc>
        <w:tc>
          <w:tcPr>
            <w:tcW w:w="1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8.91</w:t>
            </w:r>
          </w:p>
        </w:tc>
        <w:tc>
          <w:tcPr>
            <w:tcW w:w="1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8.91</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5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5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1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210</w:t>
            </w:r>
          </w:p>
        </w:tc>
        <w:tc>
          <w:tcPr>
            <w:tcW w:w="17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卫生健康支出</w:t>
            </w:r>
          </w:p>
        </w:tc>
        <w:tc>
          <w:tcPr>
            <w:tcW w:w="1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11.53</w:t>
            </w:r>
          </w:p>
        </w:tc>
        <w:tc>
          <w:tcPr>
            <w:tcW w:w="1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11.53</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5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5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1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21011</w:t>
            </w:r>
          </w:p>
        </w:tc>
        <w:tc>
          <w:tcPr>
            <w:tcW w:w="17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行政事业单位医疗</w:t>
            </w:r>
          </w:p>
        </w:tc>
        <w:tc>
          <w:tcPr>
            <w:tcW w:w="1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11.53</w:t>
            </w:r>
          </w:p>
        </w:tc>
        <w:tc>
          <w:tcPr>
            <w:tcW w:w="1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11.53</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5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5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1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2101102</w:t>
            </w:r>
          </w:p>
        </w:tc>
        <w:tc>
          <w:tcPr>
            <w:tcW w:w="17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事业单位医疗</w:t>
            </w:r>
          </w:p>
        </w:tc>
        <w:tc>
          <w:tcPr>
            <w:tcW w:w="1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7.63</w:t>
            </w:r>
          </w:p>
        </w:tc>
        <w:tc>
          <w:tcPr>
            <w:tcW w:w="1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7.63</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5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5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1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2101199</w:t>
            </w:r>
          </w:p>
        </w:tc>
        <w:tc>
          <w:tcPr>
            <w:tcW w:w="17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其他行政事业单位医疗支出</w:t>
            </w:r>
          </w:p>
        </w:tc>
        <w:tc>
          <w:tcPr>
            <w:tcW w:w="1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3.9</w:t>
            </w:r>
          </w:p>
        </w:tc>
        <w:tc>
          <w:tcPr>
            <w:tcW w:w="1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3.9</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5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5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1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9086" w:type="dxa"/>
            <w:gridSpan w:val="9"/>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注：本表反映部门本年度取得的各项收入情况。</w:t>
            </w:r>
          </w:p>
        </w:tc>
      </w:tr>
    </w:tbl>
    <w:p>
      <w:pPr>
        <w:pStyle w:val="5"/>
        <w:keepNext w:val="0"/>
        <w:keepLines w:val="0"/>
        <w:spacing w:before="100" w:after="100" w:line="240" w:lineRule="auto"/>
        <w:ind w:left="720" w:right="0" w:hanging="720" w:firstLineChars="0"/>
        <w:rPr>
          <w:rFonts w:ascii="Times New Roman" w:hAnsi="Times New Roman" w:eastAsia="Times New Roman" w:cs="Times New Roman"/>
          <w:b/>
          <w:bCs/>
          <w:kern w:val="0"/>
          <w:sz w:val="28"/>
          <w:szCs w:val="28"/>
        </w:rPr>
      </w:pPr>
      <w:r>
        <w:rPr>
          <w:rFonts w:ascii="黑体" w:hAnsi="黑体" w:eastAsia="黑体" w:cs="黑体"/>
          <w:b/>
          <w:spacing w:val="0"/>
        </w:rPr>
        <w:t>二、收入决算表</w:t>
      </w:r>
      <w:bookmarkEnd w:id="29"/>
      <w:bookmarkEnd w:id="30"/>
      <w:bookmarkEnd w:id="31"/>
      <w:bookmarkEnd w:id="32"/>
    </w:p>
    <w:p>
      <w:pPr>
        <w:sectPr>
          <w:footerReference r:id="rId8" w:type="default"/>
          <w:pgSz w:w="11906" w:h="16383"/>
          <w:pgMar w:top="720" w:right="1440" w:bottom="720" w:left="1440" w:header="720" w:footer="720" w:gutter="0"/>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p>
      <w:pPr>
        <w:widowControl/>
        <w:jc w:val="left"/>
        <w:rPr>
          <w:rFonts w:ascii="黑体" w:hAnsi="黑体" w:eastAsia="黑体" w:cs="黑体"/>
          <w:b/>
          <w:spacing w:val="0"/>
        </w:rPr>
      </w:pPr>
      <w:r>
        <w:rPr>
          <w:rFonts w:ascii="Times New Roman" w:hAnsi="Times New Roman" w:eastAsia="Times New Roman" w:cs="Times New Roman"/>
          <w:kern w:val="0"/>
          <w:sz w:val="24"/>
        </w:rPr>
        <w:t> </w:t>
      </w:r>
      <w:bookmarkStart w:id="33" w:name="_Toc256000009"/>
      <w:bookmarkStart w:id="34" w:name="_Toc256000102"/>
      <w:bookmarkStart w:id="35" w:name="_Toc256000071"/>
      <w:bookmarkStart w:id="36" w:name="_Toc256000040"/>
    </w:p>
    <w:tbl>
      <w:tblPr>
        <w:tblStyle w:val="22"/>
        <w:tblpPr w:leftFromText="180" w:rightFromText="180" w:vertAnchor="text" w:horzAnchor="page" w:tblpX="1493" w:tblpY="956"/>
        <w:tblOverlap w:val="never"/>
        <w:tblW w:w="9086" w:type="dxa"/>
        <w:tblInd w:w="0" w:type="dxa"/>
        <w:tblLayout w:type="fixed"/>
        <w:tblCellMar>
          <w:top w:w="15" w:type="dxa"/>
          <w:left w:w="15" w:type="dxa"/>
          <w:bottom w:w="15" w:type="dxa"/>
          <w:right w:w="15" w:type="dxa"/>
        </w:tblCellMar>
      </w:tblPr>
      <w:tblGrid>
        <w:gridCol w:w="337"/>
        <w:gridCol w:w="339"/>
        <w:gridCol w:w="338"/>
        <w:gridCol w:w="2097"/>
        <w:gridCol w:w="1148"/>
        <w:gridCol w:w="991"/>
        <w:gridCol w:w="838"/>
        <w:gridCol w:w="902"/>
        <w:gridCol w:w="663"/>
        <w:gridCol w:w="1433"/>
      </w:tblGrid>
      <w:tr>
        <w:tblPrEx>
          <w:tblLayout w:type="fixed"/>
          <w:tblCellMar>
            <w:top w:w="15" w:type="dxa"/>
            <w:left w:w="15" w:type="dxa"/>
            <w:bottom w:w="15" w:type="dxa"/>
            <w:right w:w="15" w:type="dxa"/>
          </w:tblCellMar>
        </w:tblPrEx>
        <w:trPr>
          <w:tblHeader/>
        </w:trPr>
        <w:tc>
          <w:tcPr>
            <w:tcW w:w="9086" w:type="dxa"/>
            <w:gridSpan w:val="10"/>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支出决算表</w:t>
            </w:r>
          </w:p>
        </w:tc>
      </w:tr>
      <w:tr>
        <w:tblPrEx>
          <w:tblLayout w:type="fixed"/>
          <w:tblCellMar>
            <w:top w:w="15" w:type="dxa"/>
            <w:left w:w="15" w:type="dxa"/>
            <w:bottom w:w="15" w:type="dxa"/>
            <w:right w:w="15" w:type="dxa"/>
          </w:tblCellMar>
        </w:tblPrEx>
        <w:trPr>
          <w:tblHeader/>
        </w:trPr>
        <w:tc>
          <w:tcPr>
            <w:tcW w:w="33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3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3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09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14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9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83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0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6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c>
          <w:tcPr>
            <w:tcW w:w="4259" w:type="dxa"/>
            <w:gridSpan w:val="5"/>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部门</w:t>
            </w:r>
            <w:r>
              <w:rPr>
                <w:rFonts w:ascii="Times New Roman" w:hAnsi="Times New Roman" w:eastAsia="Times New Roman" w:cs="Times New Roman"/>
                <w:b w:val="0"/>
                <w:bCs w:val="0"/>
                <w:i w:val="0"/>
                <w:iCs w:val="0"/>
                <w:smallCaps w:val="0"/>
                <w:color w:val="000000"/>
                <w:kern w:val="0"/>
                <w:sz w:val="22"/>
                <w:szCs w:val="22"/>
              </w:rPr>
              <w:t>/</w:t>
            </w:r>
            <w:r>
              <w:rPr>
                <w:rFonts w:ascii="宋体" w:hAnsi="宋体" w:eastAsia="宋体" w:cs="宋体"/>
                <w:b w:val="0"/>
                <w:bCs w:val="0"/>
                <w:i w:val="0"/>
                <w:iCs w:val="0"/>
                <w:smallCaps w:val="0"/>
                <w:color w:val="000000"/>
                <w:kern w:val="0"/>
                <w:sz w:val="22"/>
                <w:szCs w:val="22"/>
              </w:rPr>
              <w:t>单位：厦门市湖里创新实验学校</w:t>
            </w:r>
          </w:p>
        </w:tc>
        <w:tc>
          <w:tcPr>
            <w:tcW w:w="99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2024</w:t>
            </w:r>
            <w:r>
              <w:rPr>
                <w:rFonts w:ascii="宋体" w:hAnsi="宋体" w:eastAsia="宋体" w:cs="宋体"/>
                <w:b w:val="0"/>
                <w:bCs w:val="0"/>
                <w:i w:val="0"/>
                <w:iCs w:val="0"/>
                <w:smallCaps w:val="0"/>
                <w:color w:val="000000"/>
                <w:kern w:val="0"/>
                <w:sz w:val="22"/>
                <w:szCs w:val="22"/>
              </w:rPr>
              <w:t>年度</w:t>
            </w:r>
          </w:p>
        </w:tc>
        <w:tc>
          <w:tcPr>
            <w:tcW w:w="83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0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6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金额单位：万元</w:t>
            </w:r>
          </w:p>
        </w:tc>
      </w:tr>
      <w:tr>
        <w:tblPrEx>
          <w:tblLayout w:type="fixed"/>
          <w:tblCellMar>
            <w:top w:w="15" w:type="dxa"/>
            <w:left w:w="15" w:type="dxa"/>
            <w:bottom w:w="15" w:type="dxa"/>
            <w:right w:w="15" w:type="dxa"/>
          </w:tblCellMar>
        </w:tblPrEx>
        <w:trPr>
          <w:tblHeader/>
        </w:trPr>
        <w:tc>
          <w:tcPr>
            <w:tcW w:w="3111"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项目</w:t>
            </w:r>
          </w:p>
        </w:tc>
        <w:tc>
          <w:tcPr>
            <w:tcW w:w="114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本年支出合计</w:t>
            </w:r>
          </w:p>
        </w:tc>
        <w:tc>
          <w:tcPr>
            <w:tcW w:w="991"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基本支出</w:t>
            </w:r>
          </w:p>
        </w:tc>
        <w:tc>
          <w:tcPr>
            <w:tcW w:w="83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项目支出</w:t>
            </w:r>
          </w:p>
        </w:tc>
        <w:tc>
          <w:tcPr>
            <w:tcW w:w="90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上缴上级支出</w:t>
            </w:r>
          </w:p>
        </w:tc>
        <w:tc>
          <w:tcPr>
            <w:tcW w:w="66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经营支出</w:t>
            </w:r>
          </w:p>
        </w:tc>
        <w:tc>
          <w:tcPr>
            <w:tcW w:w="14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对附属单位补助支出</w:t>
            </w:r>
          </w:p>
        </w:tc>
      </w:tr>
      <w:tr>
        <w:tblPrEx>
          <w:tblLayout w:type="fixed"/>
          <w:tblCellMar>
            <w:top w:w="15" w:type="dxa"/>
            <w:left w:w="15" w:type="dxa"/>
            <w:bottom w:w="15" w:type="dxa"/>
            <w:right w:w="15" w:type="dxa"/>
          </w:tblCellMar>
        </w:tblPrEx>
        <w:trPr>
          <w:tblHeader/>
        </w:trPr>
        <w:tc>
          <w:tcPr>
            <w:tcW w:w="1014" w:type="dxa"/>
            <w:gridSpan w:val="3"/>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科目代码</w:t>
            </w:r>
          </w:p>
        </w:tc>
        <w:tc>
          <w:tcPr>
            <w:tcW w:w="209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科目名称</w:t>
            </w:r>
          </w:p>
        </w:tc>
        <w:tc>
          <w:tcPr>
            <w:tcW w:w="114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99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83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90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66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14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r>
      <w:tr>
        <w:tblPrEx>
          <w:tblLayout w:type="fixed"/>
          <w:tblCellMar>
            <w:top w:w="15" w:type="dxa"/>
            <w:left w:w="15" w:type="dxa"/>
            <w:bottom w:w="15" w:type="dxa"/>
            <w:right w:w="15" w:type="dxa"/>
          </w:tblCellMar>
        </w:tblPrEx>
        <w:trPr>
          <w:tblHeader/>
        </w:trPr>
        <w:tc>
          <w:tcPr>
            <w:tcW w:w="1014"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209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114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99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83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90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66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14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r>
      <w:tr>
        <w:tblPrEx>
          <w:tblLayout w:type="fixed"/>
          <w:tblCellMar>
            <w:top w:w="15" w:type="dxa"/>
            <w:left w:w="15" w:type="dxa"/>
            <w:bottom w:w="15" w:type="dxa"/>
            <w:right w:w="15" w:type="dxa"/>
          </w:tblCellMar>
        </w:tblPrEx>
        <w:tc>
          <w:tcPr>
            <w:tcW w:w="3111"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栏次</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1</w:t>
            </w:r>
          </w:p>
        </w:tc>
        <w:tc>
          <w:tcPr>
            <w:tcW w:w="9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w:t>
            </w:r>
          </w:p>
        </w:tc>
        <w:tc>
          <w:tcPr>
            <w:tcW w:w="83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3</w:t>
            </w:r>
          </w:p>
        </w:tc>
        <w:tc>
          <w:tcPr>
            <w:tcW w:w="9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4</w:t>
            </w:r>
          </w:p>
        </w:tc>
        <w:tc>
          <w:tcPr>
            <w:tcW w:w="6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5</w:t>
            </w:r>
          </w:p>
        </w:tc>
        <w:tc>
          <w:tcPr>
            <w:tcW w:w="14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6</w:t>
            </w:r>
          </w:p>
        </w:tc>
      </w:tr>
      <w:tr>
        <w:tblPrEx>
          <w:tblLayout w:type="fixed"/>
          <w:tblCellMar>
            <w:top w:w="15" w:type="dxa"/>
            <w:left w:w="15" w:type="dxa"/>
            <w:bottom w:w="15" w:type="dxa"/>
            <w:right w:w="15" w:type="dxa"/>
          </w:tblCellMar>
        </w:tblPrEx>
        <w:tc>
          <w:tcPr>
            <w:tcW w:w="3111"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合计</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435.2</w:t>
            </w:r>
          </w:p>
        </w:tc>
        <w:tc>
          <w:tcPr>
            <w:tcW w:w="9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353.4</w:t>
            </w:r>
          </w:p>
        </w:tc>
        <w:tc>
          <w:tcPr>
            <w:tcW w:w="83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81.8</w:t>
            </w:r>
          </w:p>
        </w:tc>
        <w:tc>
          <w:tcPr>
            <w:tcW w:w="9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14"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205</w:t>
            </w:r>
          </w:p>
        </w:tc>
        <w:tc>
          <w:tcPr>
            <w:tcW w:w="20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教育支出</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396.93</w:t>
            </w:r>
          </w:p>
        </w:tc>
        <w:tc>
          <w:tcPr>
            <w:tcW w:w="9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315.13</w:t>
            </w:r>
          </w:p>
        </w:tc>
        <w:tc>
          <w:tcPr>
            <w:tcW w:w="83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81.8</w:t>
            </w:r>
          </w:p>
        </w:tc>
        <w:tc>
          <w:tcPr>
            <w:tcW w:w="9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14"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20502</w:t>
            </w:r>
          </w:p>
        </w:tc>
        <w:tc>
          <w:tcPr>
            <w:tcW w:w="20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普通教育</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387.17</w:t>
            </w:r>
          </w:p>
        </w:tc>
        <w:tc>
          <w:tcPr>
            <w:tcW w:w="9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315.13</w:t>
            </w:r>
          </w:p>
        </w:tc>
        <w:tc>
          <w:tcPr>
            <w:tcW w:w="83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72.04</w:t>
            </w:r>
          </w:p>
        </w:tc>
        <w:tc>
          <w:tcPr>
            <w:tcW w:w="9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14"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2050202</w:t>
            </w:r>
          </w:p>
        </w:tc>
        <w:tc>
          <w:tcPr>
            <w:tcW w:w="20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小学教育</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77.85</w:t>
            </w:r>
          </w:p>
        </w:tc>
        <w:tc>
          <w:tcPr>
            <w:tcW w:w="9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77.85</w:t>
            </w:r>
          </w:p>
        </w:tc>
        <w:tc>
          <w:tcPr>
            <w:tcW w:w="83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14"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2050203</w:t>
            </w:r>
          </w:p>
        </w:tc>
        <w:tc>
          <w:tcPr>
            <w:tcW w:w="20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初中教育</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237.28</w:t>
            </w:r>
          </w:p>
        </w:tc>
        <w:tc>
          <w:tcPr>
            <w:tcW w:w="9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237.28</w:t>
            </w:r>
          </w:p>
        </w:tc>
        <w:tc>
          <w:tcPr>
            <w:tcW w:w="83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14"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2050299</w:t>
            </w:r>
          </w:p>
        </w:tc>
        <w:tc>
          <w:tcPr>
            <w:tcW w:w="20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其他普通教育支出</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72.04</w:t>
            </w:r>
          </w:p>
        </w:tc>
        <w:tc>
          <w:tcPr>
            <w:tcW w:w="9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83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72.04</w:t>
            </w:r>
          </w:p>
        </w:tc>
        <w:tc>
          <w:tcPr>
            <w:tcW w:w="9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14"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20509</w:t>
            </w:r>
          </w:p>
        </w:tc>
        <w:tc>
          <w:tcPr>
            <w:tcW w:w="20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教育费附加安排的支出</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9.76</w:t>
            </w:r>
          </w:p>
        </w:tc>
        <w:tc>
          <w:tcPr>
            <w:tcW w:w="9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83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9.76</w:t>
            </w:r>
          </w:p>
        </w:tc>
        <w:tc>
          <w:tcPr>
            <w:tcW w:w="9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14"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2050999</w:t>
            </w:r>
          </w:p>
        </w:tc>
        <w:tc>
          <w:tcPr>
            <w:tcW w:w="20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其他教育费附加安排的支出</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9.76</w:t>
            </w:r>
          </w:p>
        </w:tc>
        <w:tc>
          <w:tcPr>
            <w:tcW w:w="9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83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9.76</w:t>
            </w:r>
          </w:p>
        </w:tc>
        <w:tc>
          <w:tcPr>
            <w:tcW w:w="9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14"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208</w:t>
            </w:r>
          </w:p>
        </w:tc>
        <w:tc>
          <w:tcPr>
            <w:tcW w:w="20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社会保障和就业支出</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26.74</w:t>
            </w:r>
          </w:p>
        </w:tc>
        <w:tc>
          <w:tcPr>
            <w:tcW w:w="9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26.74</w:t>
            </w:r>
          </w:p>
        </w:tc>
        <w:tc>
          <w:tcPr>
            <w:tcW w:w="83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14"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20805</w:t>
            </w:r>
          </w:p>
        </w:tc>
        <w:tc>
          <w:tcPr>
            <w:tcW w:w="20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行政事业单位养老支出</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26.74</w:t>
            </w:r>
          </w:p>
        </w:tc>
        <w:tc>
          <w:tcPr>
            <w:tcW w:w="9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26.74</w:t>
            </w:r>
          </w:p>
        </w:tc>
        <w:tc>
          <w:tcPr>
            <w:tcW w:w="83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14"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2080505</w:t>
            </w:r>
          </w:p>
        </w:tc>
        <w:tc>
          <w:tcPr>
            <w:tcW w:w="20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机关事业单位基本养老保险缴费支出</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17.83</w:t>
            </w:r>
          </w:p>
        </w:tc>
        <w:tc>
          <w:tcPr>
            <w:tcW w:w="9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17.83</w:t>
            </w:r>
          </w:p>
        </w:tc>
        <w:tc>
          <w:tcPr>
            <w:tcW w:w="83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14"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2080506</w:t>
            </w:r>
          </w:p>
        </w:tc>
        <w:tc>
          <w:tcPr>
            <w:tcW w:w="20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机关事业单位职业年金缴费支出</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8.91</w:t>
            </w:r>
          </w:p>
        </w:tc>
        <w:tc>
          <w:tcPr>
            <w:tcW w:w="9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8.91</w:t>
            </w:r>
          </w:p>
        </w:tc>
        <w:tc>
          <w:tcPr>
            <w:tcW w:w="83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14"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210</w:t>
            </w:r>
          </w:p>
        </w:tc>
        <w:tc>
          <w:tcPr>
            <w:tcW w:w="20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卫生健康支出</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11.53</w:t>
            </w:r>
          </w:p>
        </w:tc>
        <w:tc>
          <w:tcPr>
            <w:tcW w:w="9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11.53</w:t>
            </w:r>
          </w:p>
        </w:tc>
        <w:tc>
          <w:tcPr>
            <w:tcW w:w="83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14"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21011</w:t>
            </w:r>
          </w:p>
        </w:tc>
        <w:tc>
          <w:tcPr>
            <w:tcW w:w="20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行政事业单位医疗</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11.53</w:t>
            </w:r>
          </w:p>
        </w:tc>
        <w:tc>
          <w:tcPr>
            <w:tcW w:w="9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11.53</w:t>
            </w:r>
          </w:p>
        </w:tc>
        <w:tc>
          <w:tcPr>
            <w:tcW w:w="83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14"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2101102</w:t>
            </w:r>
          </w:p>
        </w:tc>
        <w:tc>
          <w:tcPr>
            <w:tcW w:w="20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事业单位医疗</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7.63</w:t>
            </w:r>
          </w:p>
        </w:tc>
        <w:tc>
          <w:tcPr>
            <w:tcW w:w="9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7.63</w:t>
            </w:r>
          </w:p>
        </w:tc>
        <w:tc>
          <w:tcPr>
            <w:tcW w:w="83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14"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2101199</w:t>
            </w:r>
          </w:p>
        </w:tc>
        <w:tc>
          <w:tcPr>
            <w:tcW w:w="20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其他行政事业单位医疗支出</w:t>
            </w:r>
          </w:p>
        </w:tc>
        <w:tc>
          <w:tcPr>
            <w:tcW w:w="114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3.9</w:t>
            </w:r>
          </w:p>
        </w:tc>
        <w:tc>
          <w:tcPr>
            <w:tcW w:w="99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3.9</w:t>
            </w:r>
          </w:p>
        </w:tc>
        <w:tc>
          <w:tcPr>
            <w:tcW w:w="83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9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6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4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9086" w:type="dxa"/>
            <w:gridSpan w:val="10"/>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注：本表反映部门本年度各项支出情况。</w:t>
            </w:r>
          </w:p>
        </w:tc>
      </w:tr>
    </w:tbl>
    <w:p>
      <w:pPr>
        <w:pStyle w:val="5"/>
        <w:keepNext w:val="0"/>
        <w:keepLines w:val="0"/>
        <w:spacing w:before="100" w:after="100" w:line="240" w:lineRule="auto"/>
        <w:ind w:left="720" w:right="0" w:hanging="720" w:firstLineChars="0"/>
        <w:rPr>
          <w:rFonts w:ascii="Times New Roman" w:hAnsi="Times New Roman" w:eastAsia="Times New Roman" w:cs="Times New Roman"/>
          <w:b/>
          <w:bCs/>
          <w:kern w:val="0"/>
          <w:sz w:val="28"/>
          <w:szCs w:val="28"/>
        </w:rPr>
      </w:pPr>
      <w:r>
        <w:rPr>
          <w:rFonts w:ascii="黑体" w:hAnsi="黑体" w:eastAsia="黑体" w:cs="黑体"/>
          <w:b/>
          <w:spacing w:val="0"/>
        </w:rPr>
        <w:t>三、支出决算表</w:t>
      </w:r>
      <w:bookmarkEnd w:id="33"/>
      <w:bookmarkEnd w:id="34"/>
      <w:bookmarkEnd w:id="35"/>
      <w:bookmarkEnd w:id="36"/>
    </w:p>
    <w:p>
      <w:pPr>
        <w:sectPr>
          <w:footerReference r:id="rId9" w:type="default"/>
          <w:pgSz w:w="11906" w:h="16383"/>
          <w:pgMar w:top="720" w:right="1440" w:bottom="720" w:left="1440" w:header="720" w:footer="720" w:gutter="0"/>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r>
        <w:rPr>
          <w:rFonts w:ascii="Times New Roman" w:hAnsi="Times New Roman" w:eastAsia="Times New Roman" w:cs="Times New Roman"/>
          <w:spacing w:val="0"/>
          <w:kern w:val="0"/>
          <w:sz w:val="27"/>
          <w:szCs w:val="27"/>
        </w:rPr>
        <w:t> </w:t>
      </w:r>
    </w:p>
    <w:tbl>
      <w:tblPr>
        <w:tblStyle w:val="22"/>
        <w:tblpPr w:leftFromText="180" w:rightFromText="180" w:vertAnchor="text" w:horzAnchor="page" w:tblpX="1458" w:tblpY="782"/>
        <w:tblOverlap w:val="never"/>
        <w:tblW w:w="9086" w:type="dxa"/>
        <w:tblInd w:w="0" w:type="dxa"/>
        <w:tblLayout w:type="fixed"/>
        <w:tblCellMar>
          <w:top w:w="15" w:type="dxa"/>
          <w:left w:w="15" w:type="dxa"/>
          <w:bottom w:w="15" w:type="dxa"/>
          <w:right w:w="15" w:type="dxa"/>
        </w:tblCellMar>
      </w:tblPr>
      <w:tblGrid>
        <w:gridCol w:w="1599"/>
        <w:gridCol w:w="388"/>
        <w:gridCol w:w="629"/>
        <w:gridCol w:w="1511"/>
        <w:gridCol w:w="774"/>
        <w:gridCol w:w="759"/>
        <w:gridCol w:w="1203"/>
        <w:gridCol w:w="916"/>
        <w:gridCol w:w="1307"/>
      </w:tblGrid>
      <w:tr>
        <w:tblPrEx>
          <w:tblLayout w:type="fixed"/>
          <w:tblCellMar>
            <w:top w:w="15" w:type="dxa"/>
            <w:left w:w="15" w:type="dxa"/>
            <w:bottom w:w="15" w:type="dxa"/>
            <w:right w:w="15" w:type="dxa"/>
          </w:tblCellMar>
        </w:tblPrEx>
        <w:trPr>
          <w:tblHeader/>
        </w:trPr>
        <w:tc>
          <w:tcPr>
            <w:tcW w:w="9086" w:type="dxa"/>
            <w:gridSpan w:val="9"/>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1"/>
                <w:szCs w:val="11"/>
              </w:rPr>
            </w:pPr>
            <w:bookmarkStart w:id="37" w:name="_Toc256000010"/>
            <w:bookmarkStart w:id="38" w:name="_Toc256000041"/>
            <w:bookmarkStart w:id="39" w:name="_Toc256000072"/>
            <w:bookmarkStart w:id="40" w:name="_Toc256000103"/>
            <w:r>
              <w:rPr>
                <w:rFonts w:ascii="宋体" w:hAnsi="宋体" w:eastAsia="宋体" w:cs="宋体"/>
                <w:b w:val="0"/>
                <w:bCs w:val="0"/>
                <w:i w:val="0"/>
                <w:iCs w:val="0"/>
                <w:smallCaps w:val="0"/>
                <w:color w:val="000000"/>
                <w:kern w:val="0"/>
                <w:sz w:val="11"/>
                <w:szCs w:val="11"/>
              </w:rPr>
              <w:t>财政拨款收入支出决算总表</w:t>
            </w:r>
          </w:p>
        </w:tc>
      </w:tr>
      <w:tr>
        <w:tblPrEx>
          <w:tblLayout w:type="fixed"/>
          <w:tblCellMar>
            <w:top w:w="15" w:type="dxa"/>
            <w:left w:w="15" w:type="dxa"/>
            <w:bottom w:w="15" w:type="dxa"/>
            <w:right w:w="15" w:type="dxa"/>
          </w:tblCellMar>
        </w:tblPrEx>
        <w:trPr>
          <w:tblHeader/>
        </w:trPr>
        <w:tc>
          <w:tcPr>
            <w:tcW w:w="1987"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62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51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77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75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20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91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3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rPr>
          <w:tblHeader/>
        </w:trPr>
        <w:tc>
          <w:tcPr>
            <w:tcW w:w="159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宋体" w:hAnsi="宋体" w:eastAsia="宋体" w:cs="宋体"/>
                <w:b w:val="0"/>
                <w:bCs w:val="0"/>
                <w:i w:val="0"/>
                <w:iCs w:val="0"/>
                <w:smallCaps w:val="0"/>
                <w:color w:val="000000"/>
                <w:kern w:val="0"/>
                <w:sz w:val="13"/>
                <w:szCs w:val="13"/>
              </w:rPr>
              <w:t>部门</w:t>
            </w:r>
            <w:r>
              <w:rPr>
                <w:rFonts w:ascii="Times New Roman" w:hAnsi="Times New Roman" w:eastAsia="Times New Roman" w:cs="Times New Roman"/>
                <w:b w:val="0"/>
                <w:bCs w:val="0"/>
                <w:i w:val="0"/>
                <w:iCs w:val="0"/>
                <w:smallCaps w:val="0"/>
                <w:color w:val="000000"/>
                <w:kern w:val="0"/>
                <w:sz w:val="13"/>
                <w:szCs w:val="13"/>
              </w:rPr>
              <w:t>/</w:t>
            </w:r>
            <w:r>
              <w:rPr>
                <w:rFonts w:ascii="宋体" w:hAnsi="宋体" w:eastAsia="宋体" w:cs="宋体"/>
                <w:b w:val="0"/>
                <w:bCs w:val="0"/>
                <w:i w:val="0"/>
                <w:iCs w:val="0"/>
                <w:smallCaps w:val="0"/>
                <w:color w:val="000000"/>
                <w:kern w:val="0"/>
                <w:sz w:val="13"/>
                <w:szCs w:val="13"/>
              </w:rPr>
              <w:t>单位：厦门市湖里创新实验学校</w:t>
            </w:r>
          </w:p>
        </w:tc>
        <w:tc>
          <w:tcPr>
            <w:tcW w:w="38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62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51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77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2024</w:t>
            </w:r>
            <w:r>
              <w:rPr>
                <w:rFonts w:ascii="宋体" w:hAnsi="宋体" w:eastAsia="宋体" w:cs="宋体"/>
                <w:b w:val="0"/>
                <w:bCs w:val="0"/>
                <w:i w:val="0"/>
                <w:iCs w:val="0"/>
                <w:smallCaps w:val="0"/>
                <w:color w:val="000000"/>
                <w:kern w:val="0"/>
                <w:sz w:val="13"/>
                <w:szCs w:val="13"/>
              </w:rPr>
              <w:t>年度</w:t>
            </w:r>
          </w:p>
        </w:tc>
        <w:tc>
          <w:tcPr>
            <w:tcW w:w="75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20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91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3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宋体" w:hAnsi="宋体" w:eastAsia="宋体" w:cs="宋体"/>
                <w:b w:val="0"/>
                <w:bCs w:val="0"/>
                <w:i w:val="0"/>
                <w:iCs w:val="0"/>
                <w:smallCaps w:val="0"/>
                <w:color w:val="000000"/>
                <w:kern w:val="0"/>
                <w:sz w:val="13"/>
                <w:szCs w:val="13"/>
              </w:rPr>
              <w:t>金额单位：万元</w:t>
            </w:r>
          </w:p>
        </w:tc>
      </w:tr>
      <w:tr>
        <w:tblPrEx>
          <w:tblLayout w:type="fixed"/>
          <w:tblCellMar>
            <w:top w:w="15" w:type="dxa"/>
            <w:left w:w="15" w:type="dxa"/>
            <w:bottom w:w="15" w:type="dxa"/>
            <w:right w:w="15" w:type="dxa"/>
          </w:tblCellMar>
        </w:tblPrEx>
        <w:tc>
          <w:tcPr>
            <w:tcW w:w="2616"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收入</w:t>
            </w:r>
          </w:p>
        </w:tc>
        <w:tc>
          <w:tcPr>
            <w:tcW w:w="6470" w:type="dxa"/>
            <w:gridSpan w:val="6"/>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支出</w:t>
            </w:r>
          </w:p>
        </w:tc>
      </w:tr>
      <w:tr>
        <w:tblPrEx>
          <w:tblLayout w:type="fixed"/>
          <w:tblCellMar>
            <w:top w:w="15" w:type="dxa"/>
            <w:left w:w="15" w:type="dxa"/>
            <w:bottom w:w="15" w:type="dxa"/>
            <w:right w:w="15" w:type="dxa"/>
          </w:tblCellMar>
        </w:tblPrEx>
        <w:tc>
          <w:tcPr>
            <w:tcW w:w="15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项目</w:t>
            </w:r>
            <w:r>
              <w:rPr>
                <w:rFonts w:ascii="Times New Roman" w:hAnsi="Times New Roman" w:eastAsia="Times New Roman" w:cs="Times New Roman"/>
                <w:b w:val="0"/>
                <w:bCs w:val="0"/>
                <w:i w:val="0"/>
                <w:iCs w:val="0"/>
                <w:smallCaps w:val="0"/>
                <w:color w:val="000000"/>
                <w:kern w:val="0"/>
                <w:sz w:val="11"/>
                <w:szCs w:val="11"/>
              </w:rPr>
              <w:t xml:space="preserve"> </w:t>
            </w:r>
          </w:p>
        </w:tc>
        <w:tc>
          <w:tcPr>
            <w:tcW w:w="3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行次</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金额</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项目</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行次</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合计</w:t>
            </w:r>
          </w:p>
        </w:tc>
        <w:tc>
          <w:tcPr>
            <w:tcW w:w="12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一般公共预算财政拨款</w:t>
            </w:r>
          </w:p>
        </w:tc>
        <w:tc>
          <w:tcPr>
            <w:tcW w:w="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政府性基金预算财政拨款</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宋体" w:hAnsi="宋体" w:eastAsia="宋体" w:cs="宋体"/>
                <w:b w:val="0"/>
                <w:bCs w:val="0"/>
                <w:i w:val="0"/>
                <w:iCs w:val="0"/>
                <w:smallCaps w:val="0"/>
                <w:color w:val="000000"/>
                <w:kern w:val="0"/>
                <w:sz w:val="13"/>
                <w:szCs w:val="13"/>
              </w:rPr>
              <w:t>国有资本经营预算财政拨款</w:t>
            </w:r>
          </w:p>
        </w:tc>
      </w:tr>
      <w:tr>
        <w:tblPrEx>
          <w:tblLayout w:type="fixed"/>
          <w:tblCellMar>
            <w:top w:w="15" w:type="dxa"/>
            <w:left w:w="15" w:type="dxa"/>
            <w:bottom w:w="15" w:type="dxa"/>
            <w:right w:w="15" w:type="dxa"/>
          </w:tblCellMar>
        </w:tblPrEx>
        <w:tc>
          <w:tcPr>
            <w:tcW w:w="15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栏次</w:t>
            </w:r>
          </w:p>
        </w:tc>
        <w:tc>
          <w:tcPr>
            <w:tcW w:w="3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1</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栏次</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2</w:t>
            </w:r>
          </w:p>
        </w:tc>
        <w:tc>
          <w:tcPr>
            <w:tcW w:w="12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3</w:t>
            </w:r>
          </w:p>
        </w:tc>
        <w:tc>
          <w:tcPr>
            <w:tcW w:w="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4</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5</w:t>
            </w:r>
          </w:p>
        </w:tc>
      </w:tr>
      <w:tr>
        <w:tblPrEx>
          <w:tblLayout w:type="fixed"/>
          <w:tblCellMar>
            <w:top w:w="15" w:type="dxa"/>
            <w:left w:w="15" w:type="dxa"/>
            <w:bottom w:w="15" w:type="dxa"/>
            <w:right w:w="15" w:type="dxa"/>
          </w:tblCellMar>
        </w:tblPrEx>
        <w:tc>
          <w:tcPr>
            <w:tcW w:w="15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一、一般公共预算财政拨款</w:t>
            </w:r>
            <w:r>
              <w:rPr>
                <w:rFonts w:ascii="Times New Roman" w:hAnsi="Times New Roman" w:eastAsia="Times New Roman" w:cs="Times New Roman"/>
                <w:b w:val="0"/>
                <w:bCs w:val="0"/>
                <w:i w:val="0"/>
                <w:iCs w:val="0"/>
                <w:smallCaps w:val="0"/>
                <w:color w:val="000000"/>
                <w:kern w:val="0"/>
                <w:sz w:val="11"/>
                <w:szCs w:val="11"/>
              </w:rPr>
              <w:t xml:space="preserve"> </w:t>
            </w:r>
          </w:p>
        </w:tc>
        <w:tc>
          <w:tcPr>
            <w:tcW w:w="3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1</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435.2</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一、一般公共服务支出</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33</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2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c>
          <w:tcPr>
            <w:tcW w:w="15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二、政府性基金预算财政拨款</w:t>
            </w:r>
          </w:p>
        </w:tc>
        <w:tc>
          <w:tcPr>
            <w:tcW w:w="3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2</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二、外交支出</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34</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2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c>
          <w:tcPr>
            <w:tcW w:w="15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三、国有资本经营预算财政拨款</w:t>
            </w:r>
          </w:p>
        </w:tc>
        <w:tc>
          <w:tcPr>
            <w:tcW w:w="3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3</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三、国防支出</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35</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2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c>
          <w:tcPr>
            <w:tcW w:w="15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3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4</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四、公共安全支出</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36</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2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c>
          <w:tcPr>
            <w:tcW w:w="15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3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5</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五、教育支出</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37</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396.93</w:t>
            </w:r>
          </w:p>
        </w:tc>
        <w:tc>
          <w:tcPr>
            <w:tcW w:w="12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396.93</w:t>
            </w:r>
          </w:p>
        </w:tc>
        <w:tc>
          <w:tcPr>
            <w:tcW w:w="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c>
          <w:tcPr>
            <w:tcW w:w="15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3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6</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六、科学技术支出</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38</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2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c>
          <w:tcPr>
            <w:tcW w:w="15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3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7</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七、文化旅游体育与传媒支出</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39</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2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c>
          <w:tcPr>
            <w:tcW w:w="15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3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8</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八、社会保障和就业支出</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40</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26.74</w:t>
            </w:r>
          </w:p>
        </w:tc>
        <w:tc>
          <w:tcPr>
            <w:tcW w:w="12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26.74</w:t>
            </w:r>
          </w:p>
        </w:tc>
        <w:tc>
          <w:tcPr>
            <w:tcW w:w="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c>
          <w:tcPr>
            <w:tcW w:w="15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3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9</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九、卫生健康支出</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41</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11.53</w:t>
            </w:r>
          </w:p>
        </w:tc>
        <w:tc>
          <w:tcPr>
            <w:tcW w:w="12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11.53</w:t>
            </w:r>
          </w:p>
        </w:tc>
        <w:tc>
          <w:tcPr>
            <w:tcW w:w="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c>
          <w:tcPr>
            <w:tcW w:w="15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3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10</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宋体" w:hAnsi="宋体" w:eastAsia="宋体" w:cs="宋体"/>
                <w:b w:val="0"/>
                <w:bCs w:val="0"/>
                <w:i w:val="0"/>
                <w:iCs w:val="0"/>
                <w:smallCaps w:val="0"/>
                <w:color w:val="000000"/>
                <w:kern w:val="0"/>
                <w:sz w:val="13"/>
                <w:szCs w:val="13"/>
              </w:rPr>
              <w:t>十、节能环保支出</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42</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c>
          <w:tcPr>
            <w:tcW w:w="15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3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11</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宋体" w:hAnsi="宋体" w:eastAsia="宋体" w:cs="宋体"/>
                <w:b w:val="0"/>
                <w:bCs w:val="0"/>
                <w:i w:val="0"/>
                <w:iCs w:val="0"/>
                <w:smallCaps w:val="0"/>
                <w:color w:val="000000"/>
                <w:kern w:val="0"/>
                <w:sz w:val="13"/>
                <w:szCs w:val="13"/>
              </w:rPr>
              <w:t>十一、城乡社区支出</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43</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c>
          <w:tcPr>
            <w:tcW w:w="15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3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12</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宋体" w:hAnsi="宋体" w:eastAsia="宋体" w:cs="宋体"/>
                <w:b w:val="0"/>
                <w:bCs w:val="0"/>
                <w:i w:val="0"/>
                <w:iCs w:val="0"/>
                <w:smallCaps w:val="0"/>
                <w:color w:val="000000"/>
                <w:kern w:val="0"/>
                <w:sz w:val="13"/>
                <w:szCs w:val="13"/>
              </w:rPr>
              <w:t>十二、农林水支出</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44</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c>
          <w:tcPr>
            <w:tcW w:w="15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3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13</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宋体" w:hAnsi="宋体" w:eastAsia="宋体" w:cs="宋体"/>
                <w:b w:val="0"/>
                <w:bCs w:val="0"/>
                <w:i w:val="0"/>
                <w:iCs w:val="0"/>
                <w:smallCaps w:val="0"/>
                <w:color w:val="000000"/>
                <w:kern w:val="0"/>
                <w:sz w:val="13"/>
                <w:szCs w:val="13"/>
              </w:rPr>
              <w:t>十三、交通运输支出</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45</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c>
          <w:tcPr>
            <w:tcW w:w="15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3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14</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宋体" w:hAnsi="宋体" w:eastAsia="宋体" w:cs="宋体"/>
                <w:b w:val="0"/>
                <w:bCs w:val="0"/>
                <w:i w:val="0"/>
                <w:iCs w:val="0"/>
                <w:smallCaps w:val="0"/>
                <w:color w:val="000000"/>
                <w:kern w:val="0"/>
                <w:sz w:val="13"/>
                <w:szCs w:val="13"/>
              </w:rPr>
              <w:t>十四、资源勘探工业信息等支出</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46</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c>
          <w:tcPr>
            <w:tcW w:w="15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3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15</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宋体" w:hAnsi="宋体" w:eastAsia="宋体" w:cs="宋体"/>
                <w:b w:val="0"/>
                <w:bCs w:val="0"/>
                <w:i w:val="0"/>
                <w:iCs w:val="0"/>
                <w:smallCaps w:val="0"/>
                <w:color w:val="000000"/>
                <w:kern w:val="0"/>
                <w:sz w:val="13"/>
                <w:szCs w:val="13"/>
              </w:rPr>
              <w:t>十五、商业服务业等支出</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47</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c>
          <w:tcPr>
            <w:tcW w:w="15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3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16</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宋体" w:hAnsi="宋体" w:eastAsia="宋体" w:cs="宋体"/>
                <w:b w:val="0"/>
                <w:bCs w:val="0"/>
                <w:i w:val="0"/>
                <w:iCs w:val="0"/>
                <w:smallCaps w:val="0"/>
                <w:color w:val="000000"/>
                <w:kern w:val="0"/>
                <w:sz w:val="13"/>
                <w:szCs w:val="13"/>
              </w:rPr>
              <w:t>十六、金融支出</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48</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c>
          <w:tcPr>
            <w:tcW w:w="15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3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17</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宋体" w:hAnsi="宋体" w:eastAsia="宋体" w:cs="宋体"/>
                <w:b w:val="0"/>
                <w:bCs w:val="0"/>
                <w:i w:val="0"/>
                <w:iCs w:val="0"/>
                <w:smallCaps w:val="0"/>
                <w:color w:val="000000"/>
                <w:kern w:val="0"/>
                <w:sz w:val="13"/>
                <w:szCs w:val="13"/>
              </w:rPr>
              <w:t>十七、援助其他地区支出</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49</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c>
          <w:tcPr>
            <w:tcW w:w="15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3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18</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宋体" w:hAnsi="宋体" w:eastAsia="宋体" w:cs="宋体"/>
                <w:b w:val="0"/>
                <w:bCs w:val="0"/>
                <w:i w:val="0"/>
                <w:iCs w:val="0"/>
                <w:smallCaps w:val="0"/>
                <w:color w:val="000000"/>
                <w:kern w:val="0"/>
                <w:sz w:val="13"/>
                <w:szCs w:val="13"/>
              </w:rPr>
              <w:t>十八、自然资源海洋气象等支出</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50</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c>
          <w:tcPr>
            <w:tcW w:w="15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3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19</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宋体" w:hAnsi="宋体" w:eastAsia="宋体" w:cs="宋体"/>
                <w:b w:val="0"/>
                <w:bCs w:val="0"/>
                <w:i w:val="0"/>
                <w:iCs w:val="0"/>
                <w:smallCaps w:val="0"/>
                <w:color w:val="000000"/>
                <w:kern w:val="0"/>
                <w:sz w:val="13"/>
                <w:szCs w:val="13"/>
              </w:rPr>
              <w:t>十九、住房保障支出</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51</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c>
          <w:tcPr>
            <w:tcW w:w="15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3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20</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宋体" w:hAnsi="宋体" w:eastAsia="宋体" w:cs="宋体"/>
                <w:b w:val="0"/>
                <w:bCs w:val="0"/>
                <w:i w:val="0"/>
                <w:iCs w:val="0"/>
                <w:smallCaps w:val="0"/>
                <w:color w:val="000000"/>
                <w:kern w:val="0"/>
                <w:sz w:val="13"/>
                <w:szCs w:val="13"/>
              </w:rPr>
              <w:t>二十、粮油物资储备支出</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52</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c>
          <w:tcPr>
            <w:tcW w:w="15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3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21</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宋体" w:hAnsi="宋体" w:eastAsia="宋体" w:cs="宋体"/>
                <w:b w:val="0"/>
                <w:bCs w:val="0"/>
                <w:i w:val="0"/>
                <w:iCs w:val="0"/>
                <w:smallCaps w:val="0"/>
                <w:color w:val="000000"/>
                <w:kern w:val="0"/>
                <w:sz w:val="13"/>
                <w:szCs w:val="13"/>
              </w:rPr>
              <w:t>二十一、国有资本经营预算支出</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53</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c>
          <w:tcPr>
            <w:tcW w:w="15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3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22</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宋体" w:hAnsi="宋体" w:eastAsia="宋体" w:cs="宋体"/>
                <w:b w:val="0"/>
                <w:bCs w:val="0"/>
                <w:i w:val="0"/>
                <w:iCs w:val="0"/>
                <w:smallCaps w:val="0"/>
                <w:color w:val="000000"/>
                <w:kern w:val="0"/>
                <w:sz w:val="13"/>
                <w:szCs w:val="13"/>
              </w:rPr>
              <w:t>二十二、灾害防治及应急管理支出</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54</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c>
          <w:tcPr>
            <w:tcW w:w="15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3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23</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宋体" w:hAnsi="宋体" w:eastAsia="宋体" w:cs="宋体"/>
                <w:b w:val="0"/>
                <w:bCs w:val="0"/>
                <w:i w:val="0"/>
                <w:iCs w:val="0"/>
                <w:smallCaps w:val="0"/>
                <w:color w:val="000000"/>
                <w:kern w:val="0"/>
                <w:sz w:val="13"/>
                <w:szCs w:val="13"/>
              </w:rPr>
              <w:t>二十三、其他支出</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55</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c>
          <w:tcPr>
            <w:tcW w:w="15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3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24</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宋体" w:hAnsi="宋体" w:eastAsia="宋体" w:cs="宋体"/>
                <w:b w:val="0"/>
                <w:bCs w:val="0"/>
                <w:i w:val="0"/>
                <w:iCs w:val="0"/>
                <w:smallCaps w:val="0"/>
                <w:color w:val="000000"/>
                <w:kern w:val="0"/>
                <w:sz w:val="13"/>
                <w:szCs w:val="13"/>
              </w:rPr>
              <w:t>二十四、债务还本支出</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56</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c>
          <w:tcPr>
            <w:tcW w:w="15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3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25</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宋体" w:hAnsi="宋体" w:eastAsia="宋体" w:cs="宋体"/>
                <w:b w:val="0"/>
                <w:bCs w:val="0"/>
                <w:i w:val="0"/>
                <w:iCs w:val="0"/>
                <w:smallCaps w:val="0"/>
                <w:color w:val="000000"/>
                <w:kern w:val="0"/>
                <w:sz w:val="13"/>
                <w:szCs w:val="13"/>
              </w:rPr>
              <w:t>二十五、债务付息支出</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57</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c>
          <w:tcPr>
            <w:tcW w:w="15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3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26</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宋体" w:hAnsi="宋体" w:eastAsia="宋体" w:cs="宋体"/>
                <w:b w:val="0"/>
                <w:bCs w:val="0"/>
                <w:i w:val="0"/>
                <w:iCs w:val="0"/>
                <w:smallCaps w:val="0"/>
                <w:color w:val="000000"/>
                <w:kern w:val="0"/>
                <w:sz w:val="13"/>
                <w:szCs w:val="13"/>
              </w:rPr>
              <w:t>二十六、抗疫特别国债安排的支出</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58</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c>
          <w:tcPr>
            <w:tcW w:w="15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本年收入合计</w:t>
            </w:r>
          </w:p>
        </w:tc>
        <w:tc>
          <w:tcPr>
            <w:tcW w:w="3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27</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435.2</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本年支出合计</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59</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435.2</w:t>
            </w:r>
          </w:p>
        </w:tc>
        <w:tc>
          <w:tcPr>
            <w:tcW w:w="12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435.2</w:t>
            </w:r>
          </w:p>
        </w:tc>
        <w:tc>
          <w:tcPr>
            <w:tcW w:w="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c>
          <w:tcPr>
            <w:tcW w:w="15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年初财政拨款结转和结余</w:t>
            </w:r>
            <w:r>
              <w:rPr>
                <w:rFonts w:ascii="Times New Roman" w:hAnsi="Times New Roman" w:eastAsia="Times New Roman" w:cs="Times New Roman"/>
                <w:b w:val="0"/>
                <w:bCs w:val="0"/>
                <w:i w:val="0"/>
                <w:iCs w:val="0"/>
                <w:smallCaps w:val="0"/>
                <w:color w:val="000000"/>
                <w:kern w:val="0"/>
                <w:sz w:val="11"/>
                <w:szCs w:val="11"/>
              </w:rPr>
              <w:t xml:space="preserve"> </w:t>
            </w:r>
          </w:p>
        </w:tc>
        <w:tc>
          <w:tcPr>
            <w:tcW w:w="3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28</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年末财政拨款结转和结余</w:t>
            </w:r>
            <w:r>
              <w:rPr>
                <w:rFonts w:ascii="Times New Roman" w:hAnsi="Times New Roman" w:eastAsia="Times New Roman" w:cs="Times New Roman"/>
                <w:b w:val="0"/>
                <w:bCs w:val="0"/>
                <w:i w:val="0"/>
                <w:iCs w:val="0"/>
                <w:smallCaps w:val="0"/>
                <w:color w:val="000000"/>
                <w:kern w:val="0"/>
                <w:sz w:val="11"/>
                <w:szCs w:val="11"/>
              </w:rPr>
              <w:t xml:space="preserve"> </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60</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2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c>
          <w:tcPr>
            <w:tcW w:w="15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一、一般公共预算财政拨款</w:t>
            </w:r>
          </w:p>
        </w:tc>
        <w:tc>
          <w:tcPr>
            <w:tcW w:w="3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29</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61</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2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c>
          <w:tcPr>
            <w:tcW w:w="15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二、政府性基金预算财政拨款</w:t>
            </w:r>
          </w:p>
        </w:tc>
        <w:tc>
          <w:tcPr>
            <w:tcW w:w="3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30</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62</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2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c>
          <w:tcPr>
            <w:tcW w:w="15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宋体" w:hAnsi="宋体" w:eastAsia="宋体" w:cs="宋体"/>
                <w:b w:val="0"/>
                <w:bCs w:val="0"/>
                <w:i w:val="0"/>
                <w:iCs w:val="0"/>
                <w:smallCaps w:val="0"/>
                <w:color w:val="000000"/>
                <w:kern w:val="0"/>
                <w:sz w:val="13"/>
                <w:szCs w:val="13"/>
              </w:rPr>
              <w:t>三、国有资本经营预算财政拨款</w:t>
            </w:r>
          </w:p>
        </w:tc>
        <w:tc>
          <w:tcPr>
            <w:tcW w:w="3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31</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63</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2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c>
          <w:tcPr>
            <w:tcW w:w="159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总计</w:t>
            </w:r>
            <w:r>
              <w:rPr>
                <w:rFonts w:ascii="Times New Roman" w:hAnsi="Times New Roman" w:eastAsia="Times New Roman" w:cs="Times New Roman"/>
                <w:b w:val="0"/>
                <w:bCs w:val="0"/>
                <w:i w:val="0"/>
                <w:iCs w:val="0"/>
                <w:smallCaps w:val="0"/>
                <w:color w:val="000000"/>
                <w:kern w:val="0"/>
                <w:sz w:val="11"/>
                <w:szCs w:val="11"/>
              </w:rPr>
              <w:t xml:space="preserve"> </w:t>
            </w:r>
          </w:p>
        </w:tc>
        <w:tc>
          <w:tcPr>
            <w:tcW w:w="38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32</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435.2</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总计</w:t>
            </w:r>
            <w:r>
              <w:rPr>
                <w:rFonts w:ascii="Times New Roman" w:hAnsi="Times New Roman" w:eastAsia="Times New Roman" w:cs="Times New Roman"/>
                <w:b w:val="0"/>
                <w:bCs w:val="0"/>
                <w:i w:val="0"/>
                <w:iCs w:val="0"/>
                <w:smallCaps w:val="0"/>
                <w:color w:val="000000"/>
                <w:kern w:val="0"/>
                <w:sz w:val="11"/>
                <w:szCs w:val="11"/>
              </w:rPr>
              <w:t xml:space="preserve"> </w:t>
            </w:r>
          </w:p>
        </w:tc>
        <w:tc>
          <w:tcPr>
            <w:tcW w:w="77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64</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435.2</w:t>
            </w:r>
          </w:p>
        </w:tc>
        <w:tc>
          <w:tcPr>
            <w:tcW w:w="120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435.2</w:t>
            </w:r>
          </w:p>
        </w:tc>
        <w:tc>
          <w:tcPr>
            <w:tcW w:w="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1"/>
                <w:szCs w:val="11"/>
              </w:rPr>
            </w:pPr>
            <w:r>
              <w:rPr>
                <w:rFonts w:ascii="Times New Roman" w:hAnsi="Times New Roman" w:eastAsia="Times New Roman" w:cs="Times New Roman"/>
                <w:b w:val="0"/>
                <w:bCs w:val="0"/>
                <w:i w:val="0"/>
                <w:iCs w:val="0"/>
                <w:smallCaps w:val="0"/>
                <w:color w:val="000000"/>
                <w:kern w:val="0"/>
                <w:sz w:val="11"/>
                <w:szCs w:val="11"/>
              </w:rPr>
              <w:t> </w:t>
            </w:r>
          </w:p>
        </w:tc>
        <w:tc>
          <w:tcPr>
            <w:tcW w:w="13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3"/>
                <w:szCs w:val="13"/>
              </w:rPr>
            </w:pPr>
            <w:r>
              <w:rPr>
                <w:rFonts w:ascii="Times New Roman" w:hAnsi="Times New Roman" w:eastAsia="Times New Roman" w:cs="Times New Roman"/>
                <w:b w:val="0"/>
                <w:bCs w:val="0"/>
                <w:i w:val="0"/>
                <w:iCs w:val="0"/>
                <w:smallCaps w:val="0"/>
                <w:color w:val="000000"/>
                <w:kern w:val="0"/>
                <w:sz w:val="13"/>
                <w:szCs w:val="13"/>
              </w:rPr>
              <w:t> </w:t>
            </w:r>
          </w:p>
        </w:tc>
      </w:tr>
      <w:tr>
        <w:tblPrEx>
          <w:tblLayout w:type="fixed"/>
          <w:tblCellMar>
            <w:top w:w="15" w:type="dxa"/>
            <w:left w:w="15" w:type="dxa"/>
            <w:bottom w:w="15" w:type="dxa"/>
            <w:right w:w="15" w:type="dxa"/>
          </w:tblCellMar>
        </w:tblPrEx>
        <w:tc>
          <w:tcPr>
            <w:tcW w:w="9086" w:type="dxa"/>
            <w:gridSpan w:val="9"/>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1"/>
                <w:szCs w:val="11"/>
              </w:rPr>
            </w:pPr>
            <w:r>
              <w:rPr>
                <w:rFonts w:ascii="宋体" w:hAnsi="宋体" w:eastAsia="宋体" w:cs="宋体"/>
                <w:b w:val="0"/>
                <w:bCs w:val="0"/>
                <w:i w:val="0"/>
                <w:iCs w:val="0"/>
                <w:smallCaps w:val="0"/>
                <w:color w:val="000000"/>
                <w:kern w:val="0"/>
                <w:sz w:val="11"/>
                <w:szCs w:val="11"/>
              </w:rPr>
              <w:t>注：本表反映部门本年度一般公共预算财政拨款、政府性基金预算财政拨款和国有资本经营预算财政拨款的总收支和年末结转结余情况。</w:t>
            </w:r>
          </w:p>
        </w:tc>
      </w:tr>
    </w:tbl>
    <w:p>
      <w:pPr>
        <w:pStyle w:val="5"/>
        <w:keepNext w:val="0"/>
        <w:keepLines w:val="0"/>
        <w:spacing w:before="100" w:after="100" w:line="240" w:lineRule="auto"/>
        <w:ind w:left="720" w:right="0" w:hanging="720" w:firstLineChars="0"/>
        <w:rPr>
          <w:rFonts w:ascii="Times New Roman" w:hAnsi="Times New Roman" w:eastAsia="Times New Roman" w:cs="Times New Roman"/>
          <w:b/>
          <w:bCs/>
          <w:kern w:val="0"/>
          <w:sz w:val="28"/>
          <w:szCs w:val="28"/>
        </w:rPr>
      </w:pPr>
      <w:r>
        <w:rPr>
          <w:rFonts w:ascii="黑体" w:hAnsi="黑体" w:eastAsia="黑体" w:cs="黑体"/>
          <w:b/>
          <w:spacing w:val="0"/>
        </w:rPr>
        <w:t>四、财政拨款收入支出决算总表</w:t>
      </w:r>
      <w:bookmarkEnd w:id="37"/>
      <w:bookmarkEnd w:id="38"/>
      <w:bookmarkEnd w:id="39"/>
      <w:bookmarkEnd w:id="40"/>
    </w:p>
    <w:p>
      <w:pPr>
        <w:sectPr>
          <w:footerReference r:id="rId10" w:type="default"/>
          <w:pgSz w:w="11906" w:h="16383"/>
          <w:pgMar w:top="720" w:right="1440" w:bottom="720" w:left="1440" w:header="720" w:footer="720" w:gutter="0"/>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pStyle w:val="29"/>
        <w:widowControl/>
        <w:spacing w:before="100" w:after="100"/>
        <w:ind w:left="0" w:right="0" w:firstLine="0"/>
        <w:jc w:val="left"/>
        <w:rPr>
          <w:rFonts w:ascii="黑体" w:hAnsi="黑体" w:eastAsia="黑体" w:cs="黑体"/>
          <w:b/>
          <w:spacing w:val="0"/>
        </w:rPr>
      </w:pPr>
      <w:r>
        <w:rPr>
          <w:rFonts w:ascii="Times New Roman" w:hAnsi="Times New Roman" w:eastAsia="Times New Roman" w:cs="Times New Roman"/>
          <w:spacing w:val="0"/>
          <w:kern w:val="0"/>
          <w:sz w:val="27"/>
          <w:szCs w:val="27"/>
        </w:rPr>
        <w:t> </w:t>
      </w:r>
      <w:bookmarkStart w:id="41" w:name="_Toc256000104"/>
      <w:bookmarkStart w:id="42" w:name="_Toc256000073"/>
      <w:bookmarkStart w:id="43" w:name="_Toc256000011"/>
      <w:bookmarkStart w:id="44" w:name="_Toc256000042"/>
    </w:p>
    <w:p>
      <w:pPr>
        <w:pStyle w:val="5"/>
        <w:keepNext w:val="0"/>
        <w:keepLines w:val="0"/>
        <w:numPr>
          <w:ilvl w:val="0"/>
          <w:numId w:val="1"/>
        </w:numPr>
        <w:spacing w:before="100" w:after="100" w:line="240" w:lineRule="auto"/>
        <w:ind w:left="720" w:right="0" w:hanging="720" w:firstLineChars="0"/>
        <w:rPr>
          <w:rFonts w:ascii="黑体" w:hAnsi="黑体" w:eastAsia="黑体" w:cs="黑体"/>
          <w:b/>
          <w:spacing w:val="0"/>
        </w:rPr>
      </w:pPr>
      <w:r>
        <w:rPr>
          <w:rFonts w:ascii="黑体" w:hAnsi="黑体" w:eastAsia="黑体" w:cs="黑体"/>
          <w:b/>
          <w:spacing w:val="0"/>
        </w:rPr>
        <w:t>一般公共预算财政拨款支出决算表</w:t>
      </w:r>
      <w:bookmarkEnd w:id="41"/>
      <w:bookmarkEnd w:id="42"/>
      <w:bookmarkEnd w:id="43"/>
      <w:bookmarkEnd w:id="44"/>
    </w:p>
    <w:p>
      <w:pPr>
        <w:bidi w:val="0"/>
        <w:rPr>
          <w:lang w:val="en-US" w:eastAsia="zh-CN"/>
        </w:rPr>
      </w:pPr>
    </w:p>
    <w:tbl>
      <w:tblPr>
        <w:tblStyle w:val="22"/>
        <w:tblpPr w:leftFromText="180" w:rightFromText="180" w:vertAnchor="text" w:horzAnchor="page" w:tblpX="1493" w:tblpY="12"/>
        <w:tblOverlap w:val="never"/>
        <w:tblW w:w="9086" w:type="dxa"/>
        <w:tblInd w:w="0" w:type="dxa"/>
        <w:tblLayout w:type="fixed"/>
        <w:tblCellMar>
          <w:top w:w="15" w:type="dxa"/>
          <w:left w:w="15" w:type="dxa"/>
          <w:bottom w:w="15" w:type="dxa"/>
          <w:right w:w="15" w:type="dxa"/>
        </w:tblCellMar>
      </w:tblPr>
      <w:tblGrid>
        <w:gridCol w:w="358"/>
        <w:gridCol w:w="360"/>
        <w:gridCol w:w="359"/>
        <w:gridCol w:w="4010"/>
        <w:gridCol w:w="759"/>
        <w:gridCol w:w="1238"/>
        <w:gridCol w:w="2002"/>
      </w:tblGrid>
      <w:tr>
        <w:tblPrEx>
          <w:tblLayout w:type="fixed"/>
          <w:tblCellMar>
            <w:top w:w="15" w:type="dxa"/>
            <w:left w:w="15" w:type="dxa"/>
            <w:bottom w:w="15" w:type="dxa"/>
            <w:right w:w="15" w:type="dxa"/>
          </w:tblCellMar>
        </w:tblPrEx>
        <w:trPr>
          <w:tblHeader/>
        </w:trPr>
        <w:tc>
          <w:tcPr>
            <w:tcW w:w="9086" w:type="dxa"/>
            <w:gridSpan w:val="7"/>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一般公共预算财政拨款支出决算表</w:t>
            </w:r>
          </w:p>
        </w:tc>
      </w:tr>
      <w:tr>
        <w:tblPrEx>
          <w:tblLayout w:type="fixed"/>
          <w:tblCellMar>
            <w:top w:w="15" w:type="dxa"/>
            <w:left w:w="15" w:type="dxa"/>
            <w:bottom w:w="15" w:type="dxa"/>
            <w:right w:w="15" w:type="dxa"/>
          </w:tblCellMar>
        </w:tblPrEx>
        <w:trPr>
          <w:tblHeader/>
        </w:trPr>
        <w:tc>
          <w:tcPr>
            <w:tcW w:w="35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6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35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401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75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123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00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 </w:t>
            </w:r>
          </w:p>
        </w:tc>
      </w:tr>
      <w:tr>
        <w:tblPrEx>
          <w:tblLayout w:type="fixed"/>
          <w:tblCellMar>
            <w:top w:w="15" w:type="dxa"/>
            <w:left w:w="15" w:type="dxa"/>
            <w:bottom w:w="15" w:type="dxa"/>
            <w:right w:w="15" w:type="dxa"/>
          </w:tblCellMar>
        </w:tblPrEx>
        <w:tc>
          <w:tcPr>
            <w:tcW w:w="5846" w:type="dxa"/>
            <w:gridSpan w:val="5"/>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部门</w:t>
            </w:r>
            <w:r>
              <w:rPr>
                <w:rFonts w:ascii="Times New Roman" w:hAnsi="Times New Roman" w:eastAsia="Times New Roman" w:cs="Times New Roman"/>
                <w:b w:val="0"/>
                <w:bCs w:val="0"/>
                <w:i w:val="0"/>
                <w:iCs w:val="0"/>
                <w:smallCaps w:val="0"/>
                <w:color w:val="000000"/>
                <w:kern w:val="0"/>
                <w:sz w:val="22"/>
                <w:szCs w:val="22"/>
              </w:rPr>
              <w:t>/</w:t>
            </w:r>
            <w:r>
              <w:rPr>
                <w:rFonts w:ascii="宋体" w:hAnsi="宋体" w:eastAsia="宋体" w:cs="宋体"/>
                <w:b w:val="0"/>
                <w:bCs w:val="0"/>
                <w:i w:val="0"/>
                <w:iCs w:val="0"/>
                <w:smallCaps w:val="0"/>
                <w:color w:val="000000"/>
                <w:kern w:val="0"/>
                <w:sz w:val="22"/>
                <w:szCs w:val="22"/>
              </w:rPr>
              <w:t>单位：厦门市湖里创新实验学校</w:t>
            </w:r>
          </w:p>
        </w:tc>
        <w:tc>
          <w:tcPr>
            <w:tcW w:w="123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2"/>
                <w:szCs w:val="22"/>
              </w:rPr>
            </w:pPr>
            <w:r>
              <w:rPr>
                <w:rFonts w:ascii="Times New Roman" w:hAnsi="Times New Roman" w:eastAsia="Times New Roman" w:cs="Times New Roman"/>
                <w:b w:val="0"/>
                <w:bCs w:val="0"/>
                <w:i w:val="0"/>
                <w:iCs w:val="0"/>
                <w:smallCaps w:val="0"/>
                <w:color w:val="000000"/>
                <w:kern w:val="0"/>
                <w:sz w:val="22"/>
                <w:szCs w:val="22"/>
              </w:rPr>
              <w:t>2024</w:t>
            </w:r>
            <w:r>
              <w:rPr>
                <w:rFonts w:ascii="宋体" w:hAnsi="宋体" w:eastAsia="宋体" w:cs="宋体"/>
                <w:b w:val="0"/>
                <w:bCs w:val="0"/>
                <w:i w:val="0"/>
                <w:iCs w:val="0"/>
                <w:smallCaps w:val="0"/>
                <w:color w:val="000000"/>
                <w:kern w:val="0"/>
                <w:sz w:val="22"/>
                <w:szCs w:val="22"/>
              </w:rPr>
              <w:t>年度</w:t>
            </w:r>
          </w:p>
        </w:tc>
        <w:tc>
          <w:tcPr>
            <w:tcW w:w="200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2"/>
                <w:szCs w:val="22"/>
              </w:rPr>
            </w:pPr>
            <w:r>
              <w:rPr>
                <w:rFonts w:ascii="宋体" w:hAnsi="宋体" w:eastAsia="宋体" w:cs="宋体"/>
                <w:b w:val="0"/>
                <w:bCs w:val="0"/>
                <w:i w:val="0"/>
                <w:iCs w:val="0"/>
                <w:smallCaps w:val="0"/>
                <w:color w:val="000000"/>
                <w:kern w:val="0"/>
                <w:sz w:val="22"/>
                <w:szCs w:val="22"/>
              </w:rPr>
              <w:t>金额单位：万元</w:t>
            </w:r>
          </w:p>
        </w:tc>
      </w:tr>
      <w:tr>
        <w:tblPrEx>
          <w:tblLayout w:type="fixed"/>
          <w:tblCellMar>
            <w:top w:w="15" w:type="dxa"/>
            <w:left w:w="15" w:type="dxa"/>
            <w:bottom w:w="15" w:type="dxa"/>
            <w:right w:w="15" w:type="dxa"/>
          </w:tblCellMar>
        </w:tblPrEx>
        <w:tc>
          <w:tcPr>
            <w:tcW w:w="5087"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项目</w:t>
            </w:r>
          </w:p>
        </w:tc>
        <w:tc>
          <w:tcPr>
            <w:tcW w:w="3999"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本年支出</w:t>
            </w:r>
          </w:p>
        </w:tc>
      </w:tr>
      <w:tr>
        <w:tblPrEx>
          <w:tblLayout w:type="fixed"/>
          <w:tblCellMar>
            <w:top w:w="15" w:type="dxa"/>
            <w:left w:w="15" w:type="dxa"/>
            <w:bottom w:w="15" w:type="dxa"/>
            <w:right w:w="15" w:type="dxa"/>
          </w:tblCellMar>
        </w:tblPrEx>
        <w:trPr>
          <w:tblHeader/>
        </w:trPr>
        <w:tc>
          <w:tcPr>
            <w:tcW w:w="1077" w:type="dxa"/>
            <w:gridSpan w:val="3"/>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科目代码</w:t>
            </w:r>
          </w:p>
        </w:tc>
        <w:tc>
          <w:tcPr>
            <w:tcW w:w="401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科目名称</w:t>
            </w:r>
          </w:p>
        </w:tc>
        <w:tc>
          <w:tcPr>
            <w:tcW w:w="759"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小计</w:t>
            </w:r>
          </w:p>
        </w:tc>
        <w:tc>
          <w:tcPr>
            <w:tcW w:w="123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基本支出</w:t>
            </w:r>
          </w:p>
        </w:tc>
        <w:tc>
          <w:tcPr>
            <w:tcW w:w="200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项目支出</w:t>
            </w:r>
          </w:p>
        </w:tc>
      </w:tr>
      <w:tr>
        <w:tblPrEx>
          <w:tblLayout w:type="fixed"/>
          <w:tblCellMar>
            <w:top w:w="15" w:type="dxa"/>
            <w:left w:w="15" w:type="dxa"/>
            <w:bottom w:w="15" w:type="dxa"/>
            <w:right w:w="15" w:type="dxa"/>
          </w:tblCellMar>
        </w:tblPrEx>
        <w:trPr>
          <w:tblHeader/>
        </w:trPr>
        <w:tc>
          <w:tcPr>
            <w:tcW w:w="1077"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401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75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123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200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r>
      <w:tr>
        <w:tblPrEx>
          <w:tblLayout w:type="fixed"/>
          <w:tblCellMar>
            <w:top w:w="15" w:type="dxa"/>
            <w:left w:w="15" w:type="dxa"/>
            <w:bottom w:w="15" w:type="dxa"/>
            <w:right w:w="15" w:type="dxa"/>
          </w:tblCellMar>
        </w:tblPrEx>
        <w:trPr>
          <w:tblHeader/>
        </w:trPr>
        <w:tc>
          <w:tcPr>
            <w:tcW w:w="1077"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401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1"/>
                <w:szCs w:val="21"/>
              </w:rPr>
            </w:pP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w:t>
            </w:r>
          </w:p>
        </w:tc>
        <w:tc>
          <w:tcPr>
            <w:tcW w:w="123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w:t>
            </w:r>
          </w:p>
        </w:tc>
        <w:tc>
          <w:tcPr>
            <w:tcW w:w="20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w:t>
            </w:r>
          </w:p>
        </w:tc>
      </w:tr>
      <w:tr>
        <w:tblPrEx>
          <w:tblLayout w:type="fixed"/>
          <w:tblCellMar>
            <w:top w:w="15" w:type="dxa"/>
            <w:left w:w="15" w:type="dxa"/>
            <w:bottom w:w="15" w:type="dxa"/>
            <w:right w:w="15" w:type="dxa"/>
          </w:tblCellMar>
        </w:tblPrEx>
        <w:tc>
          <w:tcPr>
            <w:tcW w:w="5087"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合计</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435.2</w:t>
            </w:r>
          </w:p>
        </w:tc>
        <w:tc>
          <w:tcPr>
            <w:tcW w:w="123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353.4</w:t>
            </w:r>
          </w:p>
        </w:tc>
        <w:tc>
          <w:tcPr>
            <w:tcW w:w="20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81.8</w:t>
            </w:r>
          </w:p>
        </w:tc>
      </w:tr>
      <w:tr>
        <w:tblPrEx>
          <w:tblLayout w:type="fixed"/>
          <w:tblCellMar>
            <w:top w:w="15" w:type="dxa"/>
            <w:left w:w="15" w:type="dxa"/>
            <w:bottom w:w="15" w:type="dxa"/>
            <w:right w:w="15" w:type="dxa"/>
          </w:tblCellMar>
        </w:tblPrEx>
        <w:tc>
          <w:tcPr>
            <w:tcW w:w="107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205</w:t>
            </w:r>
          </w:p>
        </w:tc>
        <w:tc>
          <w:tcPr>
            <w:tcW w:w="40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教育支出</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396.93</w:t>
            </w:r>
          </w:p>
        </w:tc>
        <w:tc>
          <w:tcPr>
            <w:tcW w:w="123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315.13</w:t>
            </w:r>
          </w:p>
        </w:tc>
        <w:tc>
          <w:tcPr>
            <w:tcW w:w="20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81.8</w:t>
            </w:r>
          </w:p>
        </w:tc>
      </w:tr>
      <w:tr>
        <w:tblPrEx>
          <w:tblLayout w:type="fixed"/>
          <w:tblCellMar>
            <w:top w:w="15" w:type="dxa"/>
            <w:left w:w="15" w:type="dxa"/>
            <w:bottom w:w="15" w:type="dxa"/>
            <w:right w:w="15" w:type="dxa"/>
          </w:tblCellMar>
        </w:tblPrEx>
        <w:tc>
          <w:tcPr>
            <w:tcW w:w="107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20502</w:t>
            </w:r>
          </w:p>
        </w:tc>
        <w:tc>
          <w:tcPr>
            <w:tcW w:w="40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普通教育</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387.17</w:t>
            </w:r>
          </w:p>
        </w:tc>
        <w:tc>
          <w:tcPr>
            <w:tcW w:w="123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315.13</w:t>
            </w:r>
          </w:p>
        </w:tc>
        <w:tc>
          <w:tcPr>
            <w:tcW w:w="20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72.04</w:t>
            </w:r>
          </w:p>
        </w:tc>
      </w:tr>
      <w:tr>
        <w:tblPrEx>
          <w:tblLayout w:type="fixed"/>
          <w:tblCellMar>
            <w:top w:w="15" w:type="dxa"/>
            <w:left w:w="15" w:type="dxa"/>
            <w:bottom w:w="15" w:type="dxa"/>
            <w:right w:w="15" w:type="dxa"/>
          </w:tblCellMar>
        </w:tblPrEx>
        <w:tc>
          <w:tcPr>
            <w:tcW w:w="107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2050202</w:t>
            </w:r>
          </w:p>
        </w:tc>
        <w:tc>
          <w:tcPr>
            <w:tcW w:w="40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小学教育</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77.85</w:t>
            </w:r>
          </w:p>
        </w:tc>
        <w:tc>
          <w:tcPr>
            <w:tcW w:w="123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77.85</w:t>
            </w:r>
          </w:p>
        </w:tc>
        <w:tc>
          <w:tcPr>
            <w:tcW w:w="20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7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2050203</w:t>
            </w:r>
          </w:p>
        </w:tc>
        <w:tc>
          <w:tcPr>
            <w:tcW w:w="40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初中教育</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237.28</w:t>
            </w:r>
          </w:p>
        </w:tc>
        <w:tc>
          <w:tcPr>
            <w:tcW w:w="123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237.28</w:t>
            </w:r>
          </w:p>
        </w:tc>
        <w:tc>
          <w:tcPr>
            <w:tcW w:w="20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7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2050299</w:t>
            </w:r>
          </w:p>
        </w:tc>
        <w:tc>
          <w:tcPr>
            <w:tcW w:w="40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其他普通教育支出</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72.04</w:t>
            </w:r>
          </w:p>
        </w:tc>
        <w:tc>
          <w:tcPr>
            <w:tcW w:w="123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0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72.04</w:t>
            </w:r>
          </w:p>
        </w:tc>
      </w:tr>
      <w:tr>
        <w:tblPrEx>
          <w:tblLayout w:type="fixed"/>
          <w:tblCellMar>
            <w:top w:w="15" w:type="dxa"/>
            <w:left w:w="15" w:type="dxa"/>
            <w:bottom w:w="15" w:type="dxa"/>
            <w:right w:w="15" w:type="dxa"/>
          </w:tblCellMar>
        </w:tblPrEx>
        <w:tc>
          <w:tcPr>
            <w:tcW w:w="107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20509</w:t>
            </w:r>
          </w:p>
        </w:tc>
        <w:tc>
          <w:tcPr>
            <w:tcW w:w="40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教育费附加安排的支出</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9.76</w:t>
            </w:r>
          </w:p>
        </w:tc>
        <w:tc>
          <w:tcPr>
            <w:tcW w:w="123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0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9.76</w:t>
            </w:r>
          </w:p>
        </w:tc>
      </w:tr>
      <w:tr>
        <w:tblPrEx>
          <w:tblLayout w:type="fixed"/>
          <w:tblCellMar>
            <w:top w:w="15" w:type="dxa"/>
            <w:left w:w="15" w:type="dxa"/>
            <w:bottom w:w="15" w:type="dxa"/>
            <w:right w:w="15" w:type="dxa"/>
          </w:tblCellMar>
        </w:tblPrEx>
        <w:tc>
          <w:tcPr>
            <w:tcW w:w="107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2050999</w:t>
            </w:r>
          </w:p>
        </w:tc>
        <w:tc>
          <w:tcPr>
            <w:tcW w:w="40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其他教育费附加安排的支出</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9.76</w:t>
            </w:r>
          </w:p>
        </w:tc>
        <w:tc>
          <w:tcPr>
            <w:tcW w:w="123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c>
          <w:tcPr>
            <w:tcW w:w="20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9.76</w:t>
            </w:r>
          </w:p>
        </w:tc>
      </w:tr>
      <w:tr>
        <w:tblPrEx>
          <w:tblLayout w:type="fixed"/>
          <w:tblCellMar>
            <w:top w:w="15" w:type="dxa"/>
            <w:left w:w="15" w:type="dxa"/>
            <w:bottom w:w="15" w:type="dxa"/>
            <w:right w:w="15" w:type="dxa"/>
          </w:tblCellMar>
        </w:tblPrEx>
        <w:tc>
          <w:tcPr>
            <w:tcW w:w="107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208</w:t>
            </w:r>
          </w:p>
        </w:tc>
        <w:tc>
          <w:tcPr>
            <w:tcW w:w="40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社会保障和就业支出</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26.74</w:t>
            </w:r>
          </w:p>
        </w:tc>
        <w:tc>
          <w:tcPr>
            <w:tcW w:w="123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26.74</w:t>
            </w:r>
          </w:p>
        </w:tc>
        <w:tc>
          <w:tcPr>
            <w:tcW w:w="20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7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20805</w:t>
            </w:r>
          </w:p>
        </w:tc>
        <w:tc>
          <w:tcPr>
            <w:tcW w:w="40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行政事业单位养老支出</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26.74</w:t>
            </w:r>
          </w:p>
        </w:tc>
        <w:tc>
          <w:tcPr>
            <w:tcW w:w="123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26.74</w:t>
            </w:r>
          </w:p>
        </w:tc>
        <w:tc>
          <w:tcPr>
            <w:tcW w:w="20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7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2080505</w:t>
            </w:r>
          </w:p>
        </w:tc>
        <w:tc>
          <w:tcPr>
            <w:tcW w:w="40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机关事业单位基本养老保险缴费支出</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17.83</w:t>
            </w:r>
          </w:p>
        </w:tc>
        <w:tc>
          <w:tcPr>
            <w:tcW w:w="123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17.83</w:t>
            </w:r>
          </w:p>
        </w:tc>
        <w:tc>
          <w:tcPr>
            <w:tcW w:w="20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7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2080506</w:t>
            </w:r>
          </w:p>
        </w:tc>
        <w:tc>
          <w:tcPr>
            <w:tcW w:w="40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机关事业单位职业年金缴费支出</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8.91</w:t>
            </w:r>
          </w:p>
        </w:tc>
        <w:tc>
          <w:tcPr>
            <w:tcW w:w="123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8.91</w:t>
            </w:r>
          </w:p>
        </w:tc>
        <w:tc>
          <w:tcPr>
            <w:tcW w:w="20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7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210</w:t>
            </w:r>
          </w:p>
        </w:tc>
        <w:tc>
          <w:tcPr>
            <w:tcW w:w="40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卫生健康支出</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11.53</w:t>
            </w:r>
          </w:p>
        </w:tc>
        <w:tc>
          <w:tcPr>
            <w:tcW w:w="123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11.53</w:t>
            </w:r>
          </w:p>
        </w:tc>
        <w:tc>
          <w:tcPr>
            <w:tcW w:w="20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7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21011</w:t>
            </w:r>
          </w:p>
        </w:tc>
        <w:tc>
          <w:tcPr>
            <w:tcW w:w="40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行政事业单位医疗</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11.53</w:t>
            </w:r>
          </w:p>
        </w:tc>
        <w:tc>
          <w:tcPr>
            <w:tcW w:w="123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11.53</w:t>
            </w:r>
          </w:p>
        </w:tc>
        <w:tc>
          <w:tcPr>
            <w:tcW w:w="20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7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2101102</w:t>
            </w:r>
          </w:p>
        </w:tc>
        <w:tc>
          <w:tcPr>
            <w:tcW w:w="40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事业单位医疗</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7.63</w:t>
            </w:r>
          </w:p>
        </w:tc>
        <w:tc>
          <w:tcPr>
            <w:tcW w:w="123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7.63</w:t>
            </w:r>
          </w:p>
        </w:tc>
        <w:tc>
          <w:tcPr>
            <w:tcW w:w="20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107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2101199</w:t>
            </w:r>
          </w:p>
        </w:tc>
        <w:tc>
          <w:tcPr>
            <w:tcW w:w="40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其他行政事业单位医疗支出</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3.9</w:t>
            </w:r>
          </w:p>
        </w:tc>
        <w:tc>
          <w:tcPr>
            <w:tcW w:w="123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3.9</w:t>
            </w:r>
          </w:p>
        </w:tc>
        <w:tc>
          <w:tcPr>
            <w:tcW w:w="200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1"/>
                <w:szCs w:val="21"/>
              </w:rPr>
            </w:pPr>
            <w:r>
              <w:rPr>
                <w:rFonts w:ascii="Times New Roman" w:hAnsi="Times New Roman" w:eastAsia="Times New Roman" w:cs="Times New Roman"/>
                <w:b w:val="0"/>
                <w:bCs w:val="0"/>
                <w:i w:val="0"/>
                <w:iCs w:val="0"/>
                <w:smallCaps w:val="0"/>
                <w:color w:val="000000"/>
                <w:kern w:val="0"/>
                <w:sz w:val="21"/>
                <w:szCs w:val="21"/>
              </w:rPr>
              <w:t> </w:t>
            </w:r>
          </w:p>
        </w:tc>
      </w:tr>
      <w:tr>
        <w:tblPrEx>
          <w:tblLayout w:type="fixed"/>
          <w:tblCellMar>
            <w:top w:w="15" w:type="dxa"/>
            <w:left w:w="15" w:type="dxa"/>
            <w:bottom w:w="15" w:type="dxa"/>
            <w:right w:w="15" w:type="dxa"/>
          </w:tblCellMar>
        </w:tblPrEx>
        <w:tc>
          <w:tcPr>
            <w:tcW w:w="9086" w:type="dxa"/>
            <w:gridSpan w:val="7"/>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21"/>
                <w:szCs w:val="21"/>
              </w:rPr>
            </w:pPr>
            <w:r>
              <w:rPr>
                <w:rFonts w:ascii="宋体" w:hAnsi="宋体" w:eastAsia="宋体" w:cs="宋体"/>
                <w:b w:val="0"/>
                <w:bCs w:val="0"/>
                <w:i w:val="0"/>
                <w:iCs w:val="0"/>
                <w:smallCaps w:val="0"/>
                <w:color w:val="000000"/>
                <w:kern w:val="0"/>
                <w:sz w:val="21"/>
                <w:szCs w:val="21"/>
              </w:rPr>
              <w:t>注：本表反映部门本年度一般公共预算财政拨款支出情况。</w:t>
            </w:r>
          </w:p>
        </w:tc>
      </w:tr>
    </w:tbl>
    <w:p>
      <w:pPr>
        <w:bidi w:val="0"/>
        <w:rPr>
          <w:lang w:val="en-US" w:eastAsia="zh-CN"/>
        </w:rPr>
      </w:pPr>
    </w:p>
    <w:p>
      <w:pPr>
        <w:bidi w:val="0"/>
        <w:rPr>
          <w:lang w:val="en-US" w:eastAsia="zh-CN"/>
        </w:rPr>
      </w:pPr>
    </w:p>
    <w:p>
      <w:pPr>
        <w:bidi w:val="0"/>
        <w:rPr>
          <w:lang w:val="en-US" w:eastAsia="zh-CN"/>
        </w:rPr>
      </w:pPr>
    </w:p>
    <w:p>
      <w:pPr>
        <w:widowControl/>
        <w:jc w:val="left"/>
        <w:rPr>
          <w:rFonts w:ascii="黑体" w:hAnsi="黑体" w:eastAsia="黑体" w:cs="黑体"/>
          <w:b/>
          <w:spacing w:val="0"/>
        </w:rPr>
      </w:pPr>
      <w:bookmarkStart w:id="45" w:name="_Toc256000105"/>
      <w:bookmarkStart w:id="46" w:name="_Toc256000043"/>
      <w:bookmarkStart w:id="47" w:name="_Toc256000074"/>
      <w:bookmarkStart w:id="48" w:name="_Toc256000012"/>
    </w:p>
    <w:p>
      <w:pPr>
        <w:widowControl/>
        <w:jc w:val="left"/>
        <w:rPr>
          <w:rFonts w:ascii="黑体" w:hAnsi="黑体" w:eastAsia="黑体" w:cs="黑体"/>
          <w:b/>
          <w:spacing w:val="0"/>
        </w:rPr>
      </w:pPr>
    </w:p>
    <w:p>
      <w:pPr>
        <w:widowControl/>
        <w:jc w:val="left"/>
        <w:rPr>
          <w:rFonts w:ascii="黑体" w:hAnsi="黑体" w:eastAsia="黑体" w:cs="黑体"/>
          <w:b/>
          <w:spacing w:val="0"/>
        </w:rPr>
      </w:pPr>
    </w:p>
    <w:p>
      <w:pPr>
        <w:widowControl/>
        <w:jc w:val="left"/>
        <w:rPr>
          <w:rFonts w:ascii="黑体" w:hAnsi="黑体" w:eastAsia="黑体" w:cs="黑体"/>
          <w:b/>
          <w:spacing w:val="0"/>
        </w:rPr>
      </w:pPr>
    </w:p>
    <w:p>
      <w:pPr>
        <w:widowControl/>
        <w:jc w:val="left"/>
        <w:rPr>
          <w:rFonts w:ascii="黑体" w:hAnsi="黑体" w:eastAsia="黑体" w:cs="黑体"/>
          <w:b/>
          <w:spacing w:val="0"/>
        </w:rPr>
      </w:pPr>
    </w:p>
    <w:p>
      <w:pPr>
        <w:widowControl/>
        <w:jc w:val="left"/>
        <w:rPr>
          <w:rFonts w:ascii="黑体" w:hAnsi="黑体" w:eastAsia="黑体" w:cs="黑体"/>
          <w:b/>
          <w:spacing w:val="0"/>
        </w:rPr>
      </w:pPr>
    </w:p>
    <w:p>
      <w:pPr>
        <w:widowControl/>
        <w:jc w:val="left"/>
        <w:rPr>
          <w:rFonts w:ascii="黑体" w:hAnsi="黑体" w:eastAsia="黑体" w:cs="黑体"/>
          <w:b/>
          <w:spacing w:val="0"/>
        </w:rPr>
      </w:pPr>
    </w:p>
    <w:p>
      <w:pPr>
        <w:widowControl/>
        <w:jc w:val="left"/>
        <w:rPr>
          <w:rFonts w:ascii="黑体" w:hAnsi="黑体" w:eastAsia="黑体" w:cs="黑体"/>
          <w:b/>
          <w:spacing w:val="0"/>
        </w:rPr>
      </w:pPr>
    </w:p>
    <w:p>
      <w:pPr>
        <w:widowControl/>
        <w:jc w:val="left"/>
        <w:rPr>
          <w:rFonts w:ascii="黑体" w:hAnsi="黑体" w:eastAsia="黑体" w:cs="黑体"/>
          <w:b/>
          <w:spacing w:val="0"/>
        </w:rPr>
      </w:pPr>
    </w:p>
    <w:p>
      <w:pPr>
        <w:widowControl/>
        <w:jc w:val="left"/>
        <w:rPr>
          <w:rFonts w:ascii="黑体" w:hAnsi="黑体" w:eastAsia="黑体" w:cs="黑体"/>
          <w:b/>
          <w:spacing w:val="0"/>
        </w:rPr>
      </w:pPr>
    </w:p>
    <w:p>
      <w:pPr>
        <w:widowControl/>
        <w:jc w:val="left"/>
        <w:rPr>
          <w:rFonts w:ascii="黑体" w:hAnsi="黑体" w:eastAsia="黑体" w:cs="黑体"/>
          <w:b/>
          <w:spacing w:val="0"/>
        </w:rPr>
      </w:pPr>
    </w:p>
    <w:p>
      <w:pPr>
        <w:widowControl/>
        <w:jc w:val="left"/>
        <w:rPr>
          <w:rFonts w:ascii="黑体" w:hAnsi="黑体" w:eastAsia="黑体" w:cs="黑体"/>
          <w:b/>
          <w:spacing w:val="0"/>
        </w:rPr>
      </w:pPr>
    </w:p>
    <w:p>
      <w:pPr>
        <w:widowControl/>
        <w:jc w:val="left"/>
        <w:rPr>
          <w:rFonts w:ascii="黑体" w:hAnsi="黑体" w:eastAsia="黑体" w:cs="黑体"/>
          <w:b/>
          <w:spacing w:val="0"/>
        </w:rPr>
      </w:pPr>
    </w:p>
    <w:p>
      <w:pPr>
        <w:widowControl/>
        <w:jc w:val="left"/>
        <w:rPr>
          <w:rFonts w:ascii="黑体" w:hAnsi="黑体" w:eastAsia="黑体" w:cs="黑体"/>
          <w:b/>
          <w:spacing w:val="0"/>
        </w:rPr>
      </w:pPr>
    </w:p>
    <w:tbl>
      <w:tblPr>
        <w:tblStyle w:val="22"/>
        <w:tblpPr w:leftFromText="180" w:rightFromText="180" w:vertAnchor="text" w:horzAnchor="page" w:tblpX="1493" w:tblpY="732"/>
        <w:tblOverlap w:val="never"/>
        <w:tblW w:w="9086" w:type="dxa"/>
        <w:tblInd w:w="0" w:type="dxa"/>
        <w:tblLayout w:type="fixed"/>
        <w:tblCellMar>
          <w:top w:w="15" w:type="dxa"/>
          <w:left w:w="15" w:type="dxa"/>
          <w:bottom w:w="15" w:type="dxa"/>
          <w:right w:w="15" w:type="dxa"/>
        </w:tblCellMar>
      </w:tblPr>
      <w:tblGrid>
        <w:gridCol w:w="992"/>
        <w:gridCol w:w="1420"/>
        <w:gridCol w:w="759"/>
        <w:gridCol w:w="992"/>
        <w:gridCol w:w="1149"/>
        <w:gridCol w:w="629"/>
        <w:gridCol w:w="992"/>
        <w:gridCol w:w="1226"/>
        <w:gridCol w:w="927"/>
      </w:tblGrid>
      <w:tr>
        <w:tblPrEx>
          <w:tblLayout w:type="fixed"/>
          <w:tblCellMar>
            <w:top w:w="15" w:type="dxa"/>
            <w:left w:w="15" w:type="dxa"/>
            <w:bottom w:w="15" w:type="dxa"/>
            <w:right w:w="15" w:type="dxa"/>
          </w:tblCellMar>
        </w:tblPrEx>
        <w:trPr>
          <w:tblHeader/>
        </w:trPr>
        <w:tc>
          <w:tcPr>
            <w:tcW w:w="9086" w:type="dxa"/>
            <w:gridSpan w:val="9"/>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一般公共预算财政拨款基本支出决算表</w:t>
            </w:r>
          </w:p>
        </w:tc>
      </w:tr>
      <w:tr>
        <w:tblPrEx>
          <w:tblLayout w:type="fixed"/>
          <w:tblCellMar>
            <w:top w:w="15" w:type="dxa"/>
            <w:left w:w="15" w:type="dxa"/>
            <w:bottom w:w="15" w:type="dxa"/>
            <w:right w:w="15" w:type="dxa"/>
          </w:tblCellMar>
        </w:tblPrEx>
        <w:trPr>
          <w:tblHeader/>
        </w:trPr>
        <w:tc>
          <w:tcPr>
            <w:tcW w:w="99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142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75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9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114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62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9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122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2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c>
          <w:tcPr>
            <w:tcW w:w="4163"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部门</w:t>
            </w:r>
            <w:r>
              <w:rPr>
                <w:rFonts w:ascii="Times New Roman" w:hAnsi="Times New Roman" w:eastAsia="Times New Roman" w:cs="Times New Roman"/>
                <w:b w:val="0"/>
                <w:bCs w:val="0"/>
                <w:i w:val="0"/>
                <w:iCs w:val="0"/>
                <w:smallCaps w:val="0"/>
                <w:color w:val="000000"/>
                <w:kern w:val="0"/>
                <w:sz w:val="16"/>
                <w:szCs w:val="16"/>
              </w:rPr>
              <w:t>/</w:t>
            </w:r>
            <w:r>
              <w:rPr>
                <w:rFonts w:ascii="宋体" w:hAnsi="宋体" w:eastAsia="宋体" w:cs="宋体"/>
                <w:b w:val="0"/>
                <w:bCs w:val="0"/>
                <w:i w:val="0"/>
                <w:iCs w:val="0"/>
                <w:smallCaps w:val="0"/>
                <w:color w:val="000000"/>
                <w:kern w:val="0"/>
                <w:sz w:val="16"/>
                <w:szCs w:val="16"/>
              </w:rPr>
              <w:t>单位：厦门市湖里创新实验学校</w:t>
            </w:r>
          </w:p>
        </w:tc>
        <w:tc>
          <w:tcPr>
            <w:tcW w:w="114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2024</w:t>
            </w:r>
            <w:r>
              <w:rPr>
                <w:rFonts w:ascii="宋体" w:hAnsi="宋体" w:eastAsia="宋体" w:cs="宋体"/>
                <w:b w:val="0"/>
                <w:bCs w:val="0"/>
                <w:i w:val="0"/>
                <w:iCs w:val="0"/>
                <w:smallCaps w:val="0"/>
                <w:color w:val="000000"/>
                <w:kern w:val="0"/>
                <w:sz w:val="16"/>
                <w:szCs w:val="16"/>
              </w:rPr>
              <w:t>年度</w:t>
            </w:r>
          </w:p>
        </w:tc>
        <w:tc>
          <w:tcPr>
            <w:tcW w:w="62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9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122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2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金额单位：万元</w:t>
            </w:r>
          </w:p>
        </w:tc>
      </w:tr>
      <w:tr>
        <w:tblPrEx>
          <w:tblLayout w:type="fixed"/>
          <w:tblCellMar>
            <w:top w:w="15" w:type="dxa"/>
            <w:left w:w="15" w:type="dxa"/>
            <w:bottom w:w="15" w:type="dxa"/>
            <w:right w:w="15" w:type="dxa"/>
          </w:tblCellMar>
        </w:tblPrEx>
        <w:trPr>
          <w:tblHeader/>
        </w:trPr>
        <w:tc>
          <w:tcPr>
            <w:tcW w:w="99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经济分类科目编码</w:t>
            </w:r>
          </w:p>
        </w:tc>
        <w:tc>
          <w:tcPr>
            <w:tcW w:w="142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科目名称</w:t>
            </w:r>
          </w:p>
        </w:tc>
        <w:tc>
          <w:tcPr>
            <w:tcW w:w="759"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金额</w:t>
            </w:r>
          </w:p>
        </w:tc>
        <w:tc>
          <w:tcPr>
            <w:tcW w:w="99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经济分类科目编码</w:t>
            </w:r>
          </w:p>
        </w:tc>
        <w:tc>
          <w:tcPr>
            <w:tcW w:w="1149"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科目名称</w:t>
            </w:r>
          </w:p>
        </w:tc>
        <w:tc>
          <w:tcPr>
            <w:tcW w:w="629"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金额</w:t>
            </w:r>
          </w:p>
        </w:tc>
        <w:tc>
          <w:tcPr>
            <w:tcW w:w="99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经济分类科目编码</w:t>
            </w:r>
          </w:p>
        </w:tc>
        <w:tc>
          <w:tcPr>
            <w:tcW w:w="122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科目名称</w:t>
            </w:r>
          </w:p>
        </w:tc>
        <w:tc>
          <w:tcPr>
            <w:tcW w:w="92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金额</w:t>
            </w:r>
          </w:p>
        </w:tc>
      </w:tr>
      <w:tr>
        <w:tblPrEx>
          <w:tblLayout w:type="fixed"/>
          <w:tblCellMar>
            <w:top w:w="15" w:type="dxa"/>
            <w:left w:w="15" w:type="dxa"/>
            <w:bottom w:w="15" w:type="dxa"/>
            <w:right w:w="15" w:type="dxa"/>
          </w:tblCellMar>
        </w:tblPrEx>
        <w:trPr>
          <w:tblHeader/>
        </w:trPr>
        <w:tc>
          <w:tcPr>
            <w:tcW w:w="99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5"/>
                <w:szCs w:val="15"/>
              </w:rPr>
            </w:pPr>
          </w:p>
        </w:tc>
        <w:tc>
          <w:tcPr>
            <w:tcW w:w="142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5"/>
                <w:szCs w:val="15"/>
              </w:rPr>
            </w:pPr>
          </w:p>
        </w:tc>
        <w:tc>
          <w:tcPr>
            <w:tcW w:w="75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5"/>
                <w:szCs w:val="15"/>
              </w:rPr>
            </w:pPr>
          </w:p>
        </w:tc>
        <w:tc>
          <w:tcPr>
            <w:tcW w:w="99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5"/>
                <w:szCs w:val="15"/>
              </w:rPr>
            </w:pPr>
          </w:p>
        </w:tc>
        <w:tc>
          <w:tcPr>
            <w:tcW w:w="114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5"/>
                <w:szCs w:val="15"/>
              </w:rPr>
            </w:pPr>
          </w:p>
        </w:tc>
        <w:tc>
          <w:tcPr>
            <w:tcW w:w="62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5"/>
                <w:szCs w:val="15"/>
              </w:rPr>
            </w:pPr>
          </w:p>
        </w:tc>
        <w:tc>
          <w:tcPr>
            <w:tcW w:w="99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5"/>
                <w:szCs w:val="15"/>
              </w:rPr>
            </w:pPr>
          </w:p>
        </w:tc>
        <w:tc>
          <w:tcPr>
            <w:tcW w:w="122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5"/>
                <w:szCs w:val="15"/>
              </w:rPr>
            </w:pPr>
          </w:p>
        </w:tc>
        <w:tc>
          <w:tcPr>
            <w:tcW w:w="92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5"/>
                <w:szCs w:val="15"/>
              </w:rPr>
            </w:pP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301</w:t>
            </w:r>
          </w:p>
        </w:tc>
        <w:tc>
          <w:tcPr>
            <w:tcW w:w="1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工资福利支出</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311.05</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w:t>
            </w:r>
          </w:p>
        </w:tc>
        <w:tc>
          <w:tcPr>
            <w:tcW w:w="11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商品和服务支出</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39.18</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30703</w:t>
            </w:r>
          </w:p>
        </w:tc>
        <w:tc>
          <w:tcPr>
            <w:tcW w:w="12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国内债务发行费用</w:t>
            </w:r>
          </w:p>
        </w:tc>
        <w:tc>
          <w:tcPr>
            <w:tcW w:w="9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30101</w:t>
            </w:r>
          </w:p>
        </w:tc>
        <w:tc>
          <w:tcPr>
            <w:tcW w:w="1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基本工资</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23.9</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30201</w:t>
            </w:r>
          </w:p>
        </w:tc>
        <w:tc>
          <w:tcPr>
            <w:tcW w:w="11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办公费</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13.57</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30704</w:t>
            </w:r>
          </w:p>
        </w:tc>
        <w:tc>
          <w:tcPr>
            <w:tcW w:w="12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国外债务发行费用</w:t>
            </w:r>
          </w:p>
        </w:tc>
        <w:tc>
          <w:tcPr>
            <w:tcW w:w="9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30102</w:t>
            </w:r>
          </w:p>
        </w:tc>
        <w:tc>
          <w:tcPr>
            <w:tcW w:w="1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津贴补贴</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41.22</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30202</w:t>
            </w:r>
          </w:p>
        </w:tc>
        <w:tc>
          <w:tcPr>
            <w:tcW w:w="11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印刷费</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310</w:t>
            </w:r>
          </w:p>
        </w:tc>
        <w:tc>
          <w:tcPr>
            <w:tcW w:w="12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资本性支出</w:t>
            </w:r>
          </w:p>
        </w:tc>
        <w:tc>
          <w:tcPr>
            <w:tcW w:w="9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0.83</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30103</w:t>
            </w:r>
          </w:p>
        </w:tc>
        <w:tc>
          <w:tcPr>
            <w:tcW w:w="1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奖金</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51.98</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30203</w:t>
            </w:r>
          </w:p>
        </w:tc>
        <w:tc>
          <w:tcPr>
            <w:tcW w:w="11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咨询费</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31001</w:t>
            </w:r>
          </w:p>
        </w:tc>
        <w:tc>
          <w:tcPr>
            <w:tcW w:w="12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房屋建筑物购建</w:t>
            </w:r>
          </w:p>
        </w:tc>
        <w:tc>
          <w:tcPr>
            <w:tcW w:w="9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30106</w:t>
            </w:r>
          </w:p>
        </w:tc>
        <w:tc>
          <w:tcPr>
            <w:tcW w:w="1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伙食补助费</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30204</w:t>
            </w:r>
          </w:p>
        </w:tc>
        <w:tc>
          <w:tcPr>
            <w:tcW w:w="11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手续费</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31002</w:t>
            </w:r>
          </w:p>
        </w:tc>
        <w:tc>
          <w:tcPr>
            <w:tcW w:w="12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办公设备购置</w:t>
            </w:r>
          </w:p>
        </w:tc>
        <w:tc>
          <w:tcPr>
            <w:tcW w:w="9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0.83</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30107</w:t>
            </w:r>
          </w:p>
        </w:tc>
        <w:tc>
          <w:tcPr>
            <w:tcW w:w="1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绩效工资</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12.61</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30205</w:t>
            </w:r>
          </w:p>
        </w:tc>
        <w:tc>
          <w:tcPr>
            <w:tcW w:w="11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水费</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31003</w:t>
            </w:r>
          </w:p>
        </w:tc>
        <w:tc>
          <w:tcPr>
            <w:tcW w:w="12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专用设备购置</w:t>
            </w:r>
          </w:p>
        </w:tc>
        <w:tc>
          <w:tcPr>
            <w:tcW w:w="9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30108</w:t>
            </w:r>
          </w:p>
        </w:tc>
        <w:tc>
          <w:tcPr>
            <w:tcW w:w="1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机关事业单位基本养老保险缴费</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17.83</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30206</w:t>
            </w:r>
          </w:p>
        </w:tc>
        <w:tc>
          <w:tcPr>
            <w:tcW w:w="11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电费</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2.76</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31005</w:t>
            </w:r>
          </w:p>
        </w:tc>
        <w:tc>
          <w:tcPr>
            <w:tcW w:w="12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基础设施建设</w:t>
            </w:r>
          </w:p>
        </w:tc>
        <w:tc>
          <w:tcPr>
            <w:tcW w:w="9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30109</w:t>
            </w:r>
          </w:p>
        </w:tc>
        <w:tc>
          <w:tcPr>
            <w:tcW w:w="1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职业年金缴费</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8.91</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30207</w:t>
            </w:r>
          </w:p>
        </w:tc>
        <w:tc>
          <w:tcPr>
            <w:tcW w:w="11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邮电费</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0.19</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31006</w:t>
            </w:r>
          </w:p>
        </w:tc>
        <w:tc>
          <w:tcPr>
            <w:tcW w:w="12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大型修缮</w:t>
            </w:r>
          </w:p>
        </w:tc>
        <w:tc>
          <w:tcPr>
            <w:tcW w:w="9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30110</w:t>
            </w:r>
          </w:p>
        </w:tc>
        <w:tc>
          <w:tcPr>
            <w:tcW w:w="1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职工基本医疗保险缴费</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7.63</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30208</w:t>
            </w:r>
          </w:p>
        </w:tc>
        <w:tc>
          <w:tcPr>
            <w:tcW w:w="11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取暖费</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31007</w:t>
            </w:r>
          </w:p>
        </w:tc>
        <w:tc>
          <w:tcPr>
            <w:tcW w:w="12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信息网络及软件购置更新</w:t>
            </w:r>
          </w:p>
        </w:tc>
        <w:tc>
          <w:tcPr>
            <w:tcW w:w="9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30111</w:t>
            </w:r>
          </w:p>
        </w:tc>
        <w:tc>
          <w:tcPr>
            <w:tcW w:w="1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公务员医疗补助缴费</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30209</w:t>
            </w:r>
          </w:p>
        </w:tc>
        <w:tc>
          <w:tcPr>
            <w:tcW w:w="11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物业管理费</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31008</w:t>
            </w:r>
          </w:p>
        </w:tc>
        <w:tc>
          <w:tcPr>
            <w:tcW w:w="12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物资储备</w:t>
            </w:r>
          </w:p>
        </w:tc>
        <w:tc>
          <w:tcPr>
            <w:tcW w:w="9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30112</w:t>
            </w:r>
          </w:p>
        </w:tc>
        <w:tc>
          <w:tcPr>
            <w:tcW w:w="1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其他社会保障缴费</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4.68</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30211</w:t>
            </w:r>
          </w:p>
        </w:tc>
        <w:tc>
          <w:tcPr>
            <w:tcW w:w="11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差旅费</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1.64</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31009</w:t>
            </w:r>
          </w:p>
        </w:tc>
        <w:tc>
          <w:tcPr>
            <w:tcW w:w="12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土地补偿</w:t>
            </w:r>
          </w:p>
        </w:tc>
        <w:tc>
          <w:tcPr>
            <w:tcW w:w="9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30113</w:t>
            </w:r>
          </w:p>
        </w:tc>
        <w:tc>
          <w:tcPr>
            <w:tcW w:w="1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住房公积金</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15.43</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30212</w:t>
            </w:r>
          </w:p>
        </w:tc>
        <w:tc>
          <w:tcPr>
            <w:tcW w:w="11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因公出国（境）费用</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31010</w:t>
            </w:r>
          </w:p>
        </w:tc>
        <w:tc>
          <w:tcPr>
            <w:tcW w:w="12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安置补助</w:t>
            </w:r>
          </w:p>
        </w:tc>
        <w:tc>
          <w:tcPr>
            <w:tcW w:w="9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30114</w:t>
            </w:r>
          </w:p>
        </w:tc>
        <w:tc>
          <w:tcPr>
            <w:tcW w:w="1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医疗费</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30213</w:t>
            </w:r>
          </w:p>
        </w:tc>
        <w:tc>
          <w:tcPr>
            <w:tcW w:w="11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维修（护）费</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4.3</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31011</w:t>
            </w:r>
          </w:p>
        </w:tc>
        <w:tc>
          <w:tcPr>
            <w:tcW w:w="12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地上附着物和青苗补偿</w:t>
            </w:r>
          </w:p>
        </w:tc>
        <w:tc>
          <w:tcPr>
            <w:tcW w:w="9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30199</w:t>
            </w:r>
          </w:p>
        </w:tc>
        <w:tc>
          <w:tcPr>
            <w:tcW w:w="1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其他工资福利支出</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126.86</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30214</w:t>
            </w:r>
          </w:p>
        </w:tc>
        <w:tc>
          <w:tcPr>
            <w:tcW w:w="11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租赁费</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31012</w:t>
            </w:r>
          </w:p>
        </w:tc>
        <w:tc>
          <w:tcPr>
            <w:tcW w:w="12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拆迁补偿</w:t>
            </w:r>
          </w:p>
        </w:tc>
        <w:tc>
          <w:tcPr>
            <w:tcW w:w="9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303</w:t>
            </w:r>
          </w:p>
        </w:tc>
        <w:tc>
          <w:tcPr>
            <w:tcW w:w="1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对个人和家庭的补助</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2.34</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30215</w:t>
            </w:r>
          </w:p>
        </w:tc>
        <w:tc>
          <w:tcPr>
            <w:tcW w:w="11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会议费</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31013</w:t>
            </w:r>
          </w:p>
        </w:tc>
        <w:tc>
          <w:tcPr>
            <w:tcW w:w="12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公务用车购置</w:t>
            </w:r>
          </w:p>
        </w:tc>
        <w:tc>
          <w:tcPr>
            <w:tcW w:w="9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30301</w:t>
            </w:r>
          </w:p>
        </w:tc>
        <w:tc>
          <w:tcPr>
            <w:tcW w:w="1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离休费</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30216</w:t>
            </w:r>
          </w:p>
        </w:tc>
        <w:tc>
          <w:tcPr>
            <w:tcW w:w="11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培训费</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1.47</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31019</w:t>
            </w:r>
          </w:p>
        </w:tc>
        <w:tc>
          <w:tcPr>
            <w:tcW w:w="12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其他交通工具购置</w:t>
            </w:r>
          </w:p>
        </w:tc>
        <w:tc>
          <w:tcPr>
            <w:tcW w:w="9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30302</w:t>
            </w:r>
          </w:p>
        </w:tc>
        <w:tc>
          <w:tcPr>
            <w:tcW w:w="1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退休费</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30217</w:t>
            </w:r>
          </w:p>
        </w:tc>
        <w:tc>
          <w:tcPr>
            <w:tcW w:w="11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公务接待费</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31021</w:t>
            </w:r>
          </w:p>
        </w:tc>
        <w:tc>
          <w:tcPr>
            <w:tcW w:w="12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文物和陈列品购置</w:t>
            </w:r>
          </w:p>
        </w:tc>
        <w:tc>
          <w:tcPr>
            <w:tcW w:w="9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30303</w:t>
            </w:r>
          </w:p>
        </w:tc>
        <w:tc>
          <w:tcPr>
            <w:tcW w:w="1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退职（役）费</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30218</w:t>
            </w:r>
          </w:p>
        </w:tc>
        <w:tc>
          <w:tcPr>
            <w:tcW w:w="11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专用材料费</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6.28</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31022</w:t>
            </w:r>
          </w:p>
        </w:tc>
        <w:tc>
          <w:tcPr>
            <w:tcW w:w="12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无形资产购置</w:t>
            </w:r>
          </w:p>
        </w:tc>
        <w:tc>
          <w:tcPr>
            <w:tcW w:w="9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30304</w:t>
            </w:r>
          </w:p>
        </w:tc>
        <w:tc>
          <w:tcPr>
            <w:tcW w:w="1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抚恤金</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30224</w:t>
            </w:r>
          </w:p>
        </w:tc>
        <w:tc>
          <w:tcPr>
            <w:tcW w:w="11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被装购置费</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31099</w:t>
            </w:r>
          </w:p>
        </w:tc>
        <w:tc>
          <w:tcPr>
            <w:tcW w:w="12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其他资本性支出</w:t>
            </w:r>
          </w:p>
        </w:tc>
        <w:tc>
          <w:tcPr>
            <w:tcW w:w="9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30305</w:t>
            </w:r>
          </w:p>
        </w:tc>
        <w:tc>
          <w:tcPr>
            <w:tcW w:w="1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生活补助</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30225</w:t>
            </w:r>
          </w:p>
        </w:tc>
        <w:tc>
          <w:tcPr>
            <w:tcW w:w="11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专用燃料费</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312</w:t>
            </w:r>
          </w:p>
        </w:tc>
        <w:tc>
          <w:tcPr>
            <w:tcW w:w="12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对企业补助</w:t>
            </w:r>
          </w:p>
        </w:tc>
        <w:tc>
          <w:tcPr>
            <w:tcW w:w="9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30306</w:t>
            </w:r>
          </w:p>
        </w:tc>
        <w:tc>
          <w:tcPr>
            <w:tcW w:w="1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救济费</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30226</w:t>
            </w:r>
          </w:p>
        </w:tc>
        <w:tc>
          <w:tcPr>
            <w:tcW w:w="11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劳务费</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31201</w:t>
            </w:r>
          </w:p>
        </w:tc>
        <w:tc>
          <w:tcPr>
            <w:tcW w:w="12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资本金注入</w:t>
            </w:r>
          </w:p>
        </w:tc>
        <w:tc>
          <w:tcPr>
            <w:tcW w:w="9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30307</w:t>
            </w:r>
          </w:p>
        </w:tc>
        <w:tc>
          <w:tcPr>
            <w:tcW w:w="1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医疗费补助</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30227</w:t>
            </w:r>
          </w:p>
        </w:tc>
        <w:tc>
          <w:tcPr>
            <w:tcW w:w="11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委托业务费</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31203</w:t>
            </w:r>
          </w:p>
        </w:tc>
        <w:tc>
          <w:tcPr>
            <w:tcW w:w="12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政府投资基金股权投资</w:t>
            </w:r>
          </w:p>
        </w:tc>
        <w:tc>
          <w:tcPr>
            <w:tcW w:w="9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30308</w:t>
            </w:r>
          </w:p>
        </w:tc>
        <w:tc>
          <w:tcPr>
            <w:tcW w:w="1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助学金</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30228</w:t>
            </w:r>
          </w:p>
        </w:tc>
        <w:tc>
          <w:tcPr>
            <w:tcW w:w="11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工会经费</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4.11</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31204</w:t>
            </w:r>
          </w:p>
        </w:tc>
        <w:tc>
          <w:tcPr>
            <w:tcW w:w="12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费用补贴</w:t>
            </w:r>
          </w:p>
        </w:tc>
        <w:tc>
          <w:tcPr>
            <w:tcW w:w="9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30309</w:t>
            </w:r>
          </w:p>
        </w:tc>
        <w:tc>
          <w:tcPr>
            <w:tcW w:w="1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奖励金</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2.34</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30229</w:t>
            </w:r>
          </w:p>
        </w:tc>
        <w:tc>
          <w:tcPr>
            <w:tcW w:w="11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福利费</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2.1</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31205</w:t>
            </w:r>
          </w:p>
        </w:tc>
        <w:tc>
          <w:tcPr>
            <w:tcW w:w="12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利息补贴</w:t>
            </w:r>
          </w:p>
        </w:tc>
        <w:tc>
          <w:tcPr>
            <w:tcW w:w="9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30310</w:t>
            </w:r>
          </w:p>
        </w:tc>
        <w:tc>
          <w:tcPr>
            <w:tcW w:w="1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个人农业生产补贴</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30231</w:t>
            </w:r>
          </w:p>
        </w:tc>
        <w:tc>
          <w:tcPr>
            <w:tcW w:w="11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公务用车运行维护费</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31206</w:t>
            </w:r>
          </w:p>
        </w:tc>
        <w:tc>
          <w:tcPr>
            <w:tcW w:w="12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其他资本性补助</w:t>
            </w:r>
          </w:p>
        </w:tc>
        <w:tc>
          <w:tcPr>
            <w:tcW w:w="9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30311</w:t>
            </w:r>
          </w:p>
        </w:tc>
        <w:tc>
          <w:tcPr>
            <w:tcW w:w="1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代缴社会保险费</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30239</w:t>
            </w:r>
          </w:p>
        </w:tc>
        <w:tc>
          <w:tcPr>
            <w:tcW w:w="11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其他交通费用</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31299</w:t>
            </w:r>
          </w:p>
        </w:tc>
        <w:tc>
          <w:tcPr>
            <w:tcW w:w="12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其他对企业补助</w:t>
            </w:r>
          </w:p>
        </w:tc>
        <w:tc>
          <w:tcPr>
            <w:tcW w:w="9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30399</w:t>
            </w:r>
          </w:p>
        </w:tc>
        <w:tc>
          <w:tcPr>
            <w:tcW w:w="1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其他对个人和家庭的补助</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30240</w:t>
            </w:r>
          </w:p>
        </w:tc>
        <w:tc>
          <w:tcPr>
            <w:tcW w:w="11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税金及附加费用</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399</w:t>
            </w:r>
          </w:p>
        </w:tc>
        <w:tc>
          <w:tcPr>
            <w:tcW w:w="12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其他支出</w:t>
            </w:r>
          </w:p>
        </w:tc>
        <w:tc>
          <w:tcPr>
            <w:tcW w:w="9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1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30299</w:t>
            </w:r>
          </w:p>
        </w:tc>
        <w:tc>
          <w:tcPr>
            <w:tcW w:w="11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其他商品和服务支出</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2.76</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39907</w:t>
            </w:r>
          </w:p>
        </w:tc>
        <w:tc>
          <w:tcPr>
            <w:tcW w:w="12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国家赔偿费用支出</w:t>
            </w:r>
          </w:p>
        </w:tc>
        <w:tc>
          <w:tcPr>
            <w:tcW w:w="9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1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307</w:t>
            </w:r>
          </w:p>
        </w:tc>
        <w:tc>
          <w:tcPr>
            <w:tcW w:w="11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债务利息及费用支出</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39908</w:t>
            </w:r>
          </w:p>
        </w:tc>
        <w:tc>
          <w:tcPr>
            <w:tcW w:w="12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对民间非营利组织和群众性自治组织补贴</w:t>
            </w:r>
          </w:p>
        </w:tc>
        <w:tc>
          <w:tcPr>
            <w:tcW w:w="9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1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30701</w:t>
            </w:r>
          </w:p>
        </w:tc>
        <w:tc>
          <w:tcPr>
            <w:tcW w:w="11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国内债务付息</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39909</w:t>
            </w:r>
          </w:p>
        </w:tc>
        <w:tc>
          <w:tcPr>
            <w:tcW w:w="12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经常性赠与</w:t>
            </w:r>
          </w:p>
        </w:tc>
        <w:tc>
          <w:tcPr>
            <w:tcW w:w="9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1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30702</w:t>
            </w:r>
          </w:p>
        </w:tc>
        <w:tc>
          <w:tcPr>
            <w:tcW w:w="11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国外债务付息</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39910</w:t>
            </w:r>
          </w:p>
        </w:tc>
        <w:tc>
          <w:tcPr>
            <w:tcW w:w="12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资本性赠与</w:t>
            </w:r>
          </w:p>
        </w:tc>
        <w:tc>
          <w:tcPr>
            <w:tcW w:w="9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1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11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6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c>
          <w:tcPr>
            <w:tcW w:w="9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39999</w:t>
            </w:r>
          </w:p>
        </w:tc>
        <w:tc>
          <w:tcPr>
            <w:tcW w:w="122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其他支出</w:t>
            </w:r>
          </w:p>
        </w:tc>
        <w:tc>
          <w:tcPr>
            <w:tcW w:w="9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 </w:t>
            </w:r>
          </w:p>
        </w:tc>
      </w:tr>
      <w:tr>
        <w:tblPrEx>
          <w:tblLayout w:type="fixed"/>
          <w:tblCellMar>
            <w:top w:w="15" w:type="dxa"/>
            <w:left w:w="15" w:type="dxa"/>
            <w:bottom w:w="15" w:type="dxa"/>
            <w:right w:w="15" w:type="dxa"/>
          </w:tblCellMar>
        </w:tblPrEx>
        <w:tc>
          <w:tcPr>
            <w:tcW w:w="2412"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人员经费合计</w:t>
            </w:r>
            <w:r>
              <w:rPr>
                <w:rFonts w:ascii="Times New Roman" w:hAnsi="Times New Roman" w:eastAsia="Times New Roman" w:cs="Times New Roman"/>
                <w:b w:val="0"/>
                <w:bCs w:val="0"/>
                <w:i w:val="0"/>
                <w:iCs w:val="0"/>
                <w:smallCaps w:val="0"/>
                <w:color w:val="000000"/>
                <w:kern w:val="0"/>
                <w:sz w:val="15"/>
                <w:szCs w:val="15"/>
              </w:rPr>
              <w:t xml:space="preserve"> </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313.39</w:t>
            </w:r>
          </w:p>
        </w:tc>
        <w:tc>
          <w:tcPr>
            <w:tcW w:w="4988" w:type="dxa"/>
            <w:gridSpan w:val="5"/>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公用经费合计</w:t>
            </w:r>
          </w:p>
        </w:tc>
        <w:tc>
          <w:tcPr>
            <w:tcW w:w="92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5"/>
                <w:szCs w:val="15"/>
              </w:rPr>
            </w:pPr>
            <w:r>
              <w:rPr>
                <w:rFonts w:ascii="Times New Roman" w:hAnsi="Times New Roman" w:eastAsia="Times New Roman" w:cs="Times New Roman"/>
                <w:b w:val="0"/>
                <w:bCs w:val="0"/>
                <w:i w:val="0"/>
                <w:iCs w:val="0"/>
                <w:smallCaps w:val="0"/>
                <w:color w:val="000000"/>
                <w:kern w:val="0"/>
                <w:sz w:val="15"/>
                <w:szCs w:val="15"/>
              </w:rPr>
              <w:t>40</w:t>
            </w:r>
          </w:p>
        </w:tc>
      </w:tr>
      <w:tr>
        <w:tblPrEx>
          <w:tblLayout w:type="fixed"/>
          <w:tblCellMar>
            <w:top w:w="15" w:type="dxa"/>
            <w:left w:w="15" w:type="dxa"/>
            <w:bottom w:w="15" w:type="dxa"/>
            <w:right w:w="15" w:type="dxa"/>
          </w:tblCellMar>
        </w:tblPrEx>
        <w:tc>
          <w:tcPr>
            <w:tcW w:w="9086" w:type="dxa"/>
            <w:gridSpan w:val="9"/>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5"/>
                <w:szCs w:val="15"/>
              </w:rPr>
            </w:pPr>
            <w:r>
              <w:rPr>
                <w:rFonts w:ascii="宋体" w:hAnsi="宋体" w:eastAsia="宋体" w:cs="宋体"/>
                <w:b w:val="0"/>
                <w:bCs w:val="0"/>
                <w:i w:val="0"/>
                <w:iCs w:val="0"/>
                <w:smallCaps w:val="0"/>
                <w:color w:val="000000"/>
                <w:kern w:val="0"/>
                <w:sz w:val="15"/>
                <w:szCs w:val="15"/>
              </w:rPr>
              <w:t>注：本表反映部门本年度一般公共预算财政拨款基本支出明细情况。</w:t>
            </w:r>
          </w:p>
        </w:tc>
      </w:tr>
    </w:tbl>
    <w:p>
      <w:pPr>
        <w:pStyle w:val="5"/>
        <w:keepNext w:val="0"/>
        <w:keepLines w:val="0"/>
        <w:spacing w:before="100" w:after="100" w:line="240" w:lineRule="auto"/>
        <w:ind w:left="720" w:right="0" w:hanging="720" w:firstLineChars="0"/>
        <w:rPr>
          <w:rFonts w:ascii="Times New Roman" w:hAnsi="Times New Roman" w:eastAsia="Times New Roman" w:cs="Times New Roman"/>
          <w:b/>
          <w:bCs/>
          <w:kern w:val="0"/>
          <w:sz w:val="28"/>
          <w:szCs w:val="28"/>
        </w:rPr>
      </w:pPr>
      <w:r>
        <w:rPr>
          <w:rFonts w:ascii="黑体" w:hAnsi="黑体" w:eastAsia="黑体" w:cs="黑体"/>
          <w:b/>
          <w:spacing w:val="0"/>
        </w:rPr>
        <w:t>六、一般公共预算财政拨款基本支出决算表</w:t>
      </w:r>
      <w:bookmarkEnd w:id="45"/>
      <w:bookmarkEnd w:id="46"/>
      <w:bookmarkEnd w:id="47"/>
      <w:bookmarkEnd w:id="48"/>
    </w:p>
    <w:p>
      <w:pPr>
        <w:sectPr>
          <w:footerReference r:id="rId11" w:type="default"/>
          <w:pgSz w:w="11906" w:h="16383"/>
          <w:pgMar w:top="720" w:right="1440" w:bottom="720" w:left="1440" w:header="720" w:footer="720" w:gutter="0"/>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2"/>
        <w:tblpPr w:leftFromText="180" w:rightFromText="180" w:vertAnchor="text" w:horzAnchor="page" w:tblpX="1412" w:tblpY="802"/>
        <w:tblOverlap w:val="never"/>
        <w:tblW w:w="9086" w:type="dxa"/>
        <w:tblInd w:w="0" w:type="dxa"/>
        <w:tblLayout w:type="fixed"/>
        <w:tblCellMar>
          <w:top w:w="15" w:type="dxa"/>
          <w:left w:w="15" w:type="dxa"/>
          <w:bottom w:w="15" w:type="dxa"/>
          <w:right w:w="15" w:type="dxa"/>
        </w:tblCellMar>
      </w:tblPr>
      <w:tblGrid>
        <w:gridCol w:w="382"/>
        <w:gridCol w:w="1206"/>
        <w:gridCol w:w="384"/>
        <w:gridCol w:w="712"/>
        <w:gridCol w:w="844"/>
        <w:gridCol w:w="581"/>
        <w:gridCol w:w="813"/>
        <w:gridCol w:w="1206"/>
        <w:gridCol w:w="383"/>
        <w:gridCol w:w="712"/>
        <w:gridCol w:w="844"/>
        <w:gridCol w:w="1019"/>
      </w:tblGrid>
      <w:tr>
        <w:tblPrEx>
          <w:tblLayout w:type="fixed"/>
          <w:tblCellMar>
            <w:top w:w="15" w:type="dxa"/>
            <w:left w:w="15" w:type="dxa"/>
            <w:bottom w:w="15" w:type="dxa"/>
            <w:right w:w="15" w:type="dxa"/>
          </w:tblCellMar>
        </w:tblPrEx>
        <w:trPr>
          <w:tblHeader/>
        </w:trPr>
        <w:tc>
          <w:tcPr>
            <w:tcW w:w="9086" w:type="dxa"/>
            <w:gridSpan w:val="12"/>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7"/>
                <w:szCs w:val="27"/>
              </w:rPr>
            </w:pPr>
            <w:r>
              <w:rPr>
                <w:rFonts w:ascii="宋体" w:hAnsi="宋体" w:eastAsia="宋体" w:cs="宋体"/>
                <w:b w:val="0"/>
                <w:bCs w:val="0"/>
                <w:i w:val="0"/>
                <w:iCs w:val="0"/>
                <w:smallCaps w:val="0"/>
                <w:color w:val="000000"/>
                <w:kern w:val="0"/>
                <w:sz w:val="27"/>
                <w:szCs w:val="27"/>
              </w:rPr>
              <w:t>一般公共预算财政拨款</w:t>
            </w:r>
            <w:r>
              <w:rPr>
                <w:rFonts w:ascii="Times New Roman" w:hAnsi="Times New Roman" w:eastAsia="Times New Roman" w:cs="Times New Roman"/>
                <w:b w:val="0"/>
                <w:bCs w:val="0"/>
                <w:i w:val="0"/>
                <w:iCs w:val="0"/>
                <w:smallCaps w:val="0"/>
                <w:color w:val="000000"/>
                <w:kern w:val="0"/>
                <w:sz w:val="27"/>
                <w:szCs w:val="27"/>
              </w:rPr>
              <w:t>“</w:t>
            </w:r>
            <w:r>
              <w:rPr>
                <w:rFonts w:ascii="宋体" w:hAnsi="宋体" w:eastAsia="宋体" w:cs="宋体"/>
                <w:b w:val="0"/>
                <w:bCs w:val="0"/>
                <w:i w:val="0"/>
                <w:iCs w:val="0"/>
                <w:smallCaps w:val="0"/>
                <w:color w:val="000000"/>
                <w:kern w:val="0"/>
                <w:sz w:val="27"/>
                <w:szCs w:val="27"/>
              </w:rPr>
              <w:t>三公</w:t>
            </w:r>
            <w:r>
              <w:rPr>
                <w:rFonts w:ascii="Times New Roman" w:hAnsi="Times New Roman" w:eastAsia="Times New Roman" w:cs="Times New Roman"/>
                <w:b w:val="0"/>
                <w:bCs w:val="0"/>
                <w:i w:val="0"/>
                <w:iCs w:val="0"/>
                <w:smallCaps w:val="0"/>
                <w:color w:val="000000"/>
                <w:kern w:val="0"/>
                <w:sz w:val="27"/>
                <w:szCs w:val="27"/>
              </w:rPr>
              <w:t>”</w:t>
            </w:r>
            <w:r>
              <w:rPr>
                <w:rFonts w:ascii="宋体" w:hAnsi="宋体" w:eastAsia="宋体" w:cs="宋体"/>
                <w:b w:val="0"/>
                <w:bCs w:val="0"/>
                <w:i w:val="0"/>
                <w:iCs w:val="0"/>
                <w:smallCaps w:val="0"/>
                <w:color w:val="000000"/>
                <w:kern w:val="0"/>
                <w:sz w:val="27"/>
                <w:szCs w:val="27"/>
              </w:rPr>
              <w:t>经费支出决算</w:t>
            </w:r>
          </w:p>
        </w:tc>
      </w:tr>
      <w:tr>
        <w:tblPrEx>
          <w:tblLayout w:type="fixed"/>
          <w:tblCellMar>
            <w:top w:w="15" w:type="dxa"/>
            <w:left w:w="15" w:type="dxa"/>
            <w:bottom w:w="15" w:type="dxa"/>
            <w:right w:w="15" w:type="dxa"/>
          </w:tblCellMar>
        </w:tblPrEx>
        <w:trPr>
          <w:tblHeader/>
        </w:trPr>
        <w:tc>
          <w:tcPr>
            <w:tcW w:w="38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20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38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71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84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58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81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20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38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71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84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1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4109" w:type="dxa"/>
            <w:gridSpan w:val="6"/>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部门</w:t>
            </w:r>
            <w:r>
              <w:rPr>
                <w:rFonts w:ascii="Times New Roman" w:hAnsi="Times New Roman" w:eastAsia="Times New Roman" w:cs="Times New Roman"/>
                <w:b w:val="0"/>
                <w:bCs w:val="0"/>
                <w:i w:val="0"/>
                <w:iCs w:val="0"/>
                <w:smallCaps w:val="0"/>
                <w:color w:val="000000"/>
                <w:kern w:val="0"/>
                <w:sz w:val="29"/>
                <w:szCs w:val="29"/>
              </w:rPr>
              <w:t>/</w:t>
            </w:r>
            <w:r>
              <w:rPr>
                <w:rFonts w:ascii="宋体" w:hAnsi="宋体" w:eastAsia="宋体" w:cs="宋体"/>
                <w:b w:val="0"/>
                <w:bCs w:val="0"/>
                <w:i w:val="0"/>
                <w:iCs w:val="0"/>
                <w:smallCaps w:val="0"/>
                <w:color w:val="000000"/>
                <w:kern w:val="0"/>
                <w:sz w:val="29"/>
                <w:szCs w:val="29"/>
              </w:rPr>
              <w:t>单位：厦门市湖里创新实验学校</w:t>
            </w:r>
          </w:p>
        </w:tc>
        <w:tc>
          <w:tcPr>
            <w:tcW w:w="81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2024</w:t>
            </w:r>
            <w:r>
              <w:rPr>
                <w:rFonts w:ascii="宋体" w:hAnsi="宋体" w:eastAsia="宋体" w:cs="宋体"/>
                <w:b w:val="0"/>
                <w:bCs w:val="0"/>
                <w:i w:val="0"/>
                <w:iCs w:val="0"/>
                <w:smallCaps w:val="0"/>
                <w:color w:val="000000"/>
                <w:kern w:val="0"/>
                <w:sz w:val="29"/>
                <w:szCs w:val="29"/>
              </w:rPr>
              <w:t>年度</w:t>
            </w:r>
          </w:p>
        </w:tc>
        <w:tc>
          <w:tcPr>
            <w:tcW w:w="120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38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71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84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1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金额单位：万元</w:t>
            </w:r>
          </w:p>
        </w:tc>
      </w:tr>
      <w:tr>
        <w:tblPrEx>
          <w:tblLayout w:type="fixed"/>
          <w:tblCellMar>
            <w:top w:w="15" w:type="dxa"/>
            <w:left w:w="15" w:type="dxa"/>
            <w:bottom w:w="15" w:type="dxa"/>
            <w:right w:w="15" w:type="dxa"/>
          </w:tblCellMar>
        </w:tblPrEx>
        <w:tc>
          <w:tcPr>
            <w:tcW w:w="4109" w:type="dxa"/>
            <w:gridSpan w:val="6"/>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预算数</w:t>
            </w:r>
          </w:p>
        </w:tc>
        <w:tc>
          <w:tcPr>
            <w:tcW w:w="4977" w:type="dxa"/>
            <w:gridSpan w:val="6"/>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决算数</w:t>
            </w:r>
          </w:p>
        </w:tc>
      </w:tr>
      <w:tr>
        <w:tblPrEx>
          <w:tblLayout w:type="fixed"/>
          <w:tblCellMar>
            <w:top w:w="15" w:type="dxa"/>
            <w:left w:w="15" w:type="dxa"/>
            <w:bottom w:w="15" w:type="dxa"/>
            <w:right w:w="15" w:type="dxa"/>
          </w:tblCellMar>
        </w:tblPrEx>
        <w:trPr>
          <w:tblHeader/>
        </w:trPr>
        <w:tc>
          <w:tcPr>
            <w:tcW w:w="38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合计</w:t>
            </w:r>
          </w:p>
        </w:tc>
        <w:tc>
          <w:tcPr>
            <w:tcW w:w="120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因公出国</w:t>
            </w:r>
            <w:r>
              <w:rPr>
                <w:rFonts w:ascii="Times New Roman" w:hAnsi="Times New Roman" w:eastAsia="Times New Roman" w:cs="Times New Roman"/>
                <w:b w:val="0"/>
                <w:bCs w:val="0"/>
                <w:i w:val="0"/>
                <w:iCs w:val="0"/>
                <w:smallCaps w:val="0"/>
                <w:color w:val="000000"/>
                <w:kern w:val="0"/>
                <w:sz w:val="26"/>
                <w:szCs w:val="26"/>
              </w:rPr>
              <w:t xml:space="preserve"> </w:t>
            </w:r>
            <w:r>
              <w:rPr>
                <w:rFonts w:ascii="宋体" w:hAnsi="宋体" w:eastAsia="宋体" w:cs="宋体"/>
                <w:b w:val="0"/>
                <w:bCs w:val="0"/>
                <w:i w:val="0"/>
                <w:iCs w:val="0"/>
                <w:smallCaps w:val="0"/>
                <w:color w:val="000000"/>
                <w:kern w:val="0"/>
                <w:sz w:val="26"/>
                <w:szCs w:val="26"/>
              </w:rPr>
              <w:t>（境）费</w:t>
            </w:r>
          </w:p>
        </w:tc>
        <w:tc>
          <w:tcPr>
            <w:tcW w:w="1940"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公务用车购置及运行维护费</w:t>
            </w:r>
          </w:p>
        </w:tc>
        <w:tc>
          <w:tcPr>
            <w:tcW w:w="581"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公务接待费</w:t>
            </w:r>
          </w:p>
        </w:tc>
        <w:tc>
          <w:tcPr>
            <w:tcW w:w="81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合计</w:t>
            </w:r>
          </w:p>
        </w:tc>
        <w:tc>
          <w:tcPr>
            <w:tcW w:w="120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因公出国</w:t>
            </w:r>
            <w:r>
              <w:rPr>
                <w:rFonts w:ascii="Times New Roman" w:hAnsi="Times New Roman" w:eastAsia="Times New Roman" w:cs="Times New Roman"/>
                <w:b w:val="0"/>
                <w:bCs w:val="0"/>
                <w:i w:val="0"/>
                <w:iCs w:val="0"/>
                <w:smallCaps w:val="0"/>
                <w:color w:val="000000"/>
                <w:kern w:val="0"/>
                <w:sz w:val="26"/>
                <w:szCs w:val="26"/>
              </w:rPr>
              <w:t xml:space="preserve"> </w:t>
            </w:r>
            <w:r>
              <w:rPr>
                <w:rFonts w:ascii="宋体" w:hAnsi="宋体" w:eastAsia="宋体" w:cs="宋体"/>
                <w:b w:val="0"/>
                <w:bCs w:val="0"/>
                <w:i w:val="0"/>
                <w:iCs w:val="0"/>
                <w:smallCaps w:val="0"/>
                <w:color w:val="000000"/>
                <w:kern w:val="0"/>
                <w:sz w:val="26"/>
                <w:szCs w:val="26"/>
              </w:rPr>
              <w:t>（境）费</w:t>
            </w:r>
          </w:p>
        </w:tc>
        <w:tc>
          <w:tcPr>
            <w:tcW w:w="1939"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公务用车购置及运行维护费</w:t>
            </w:r>
          </w:p>
        </w:tc>
        <w:tc>
          <w:tcPr>
            <w:tcW w:w="1019"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公务接待费</w:t>
            </w:r>
          </w:p>
        </w:tc>
      </w:tr>
      <w:tr>
        <w:tblPrEx>
          <w:tblLayout w:type="fixed"/>
          <w:tblCellMar>
            <w:top w:w="15" w:type="dxa"/>
            <w:left w:w="15" w:type="dxa"/>
            <w:bottom w:w="15" w:type="dxa"/>
            <w:right w:w="15" w:type="dxa"/>
          </w:tblCellMar>
        </w:tblPrEx>
        <w:trPr>
          <w:tblHeader/>
        </w:trPr>
        <w:tc>
          <w:tcPr>
            <w:tcW w:w="38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20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38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小计</w:t>
            </w:r>
            <w:r>
              <w:rPr>
                <w:rFonts w:ascii="Times New Roman" w:hAnsi="Times New Roman" w:eastAsia="Times New Roman" w:cs="Times New Roman"/>
                <w:b w:val="0"/>
                <w:bCs w:val="0"/>
                <w:i w:val="0"/>
                <w:iCs w:val="0"/>
                <w:smallCaps w:val="0"/>
                <w:color w:val="000000"/>
                <w:kern w:val="0"/>
                <w:sz w:val="26"/>
                <w:szCs w:val="26"/>
              </w:rPr>
              <w:t xml:space="preserve"> </w:t>
            </w:r>
          </w:p>
        </w:tc>
        <w:tc>
          <w:tcPr>
            <w:tcW w:w="71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公务用车购置费</w:t>
            </w:r>
          </w:p>
        </w:tc>
        <w:tc>
          <w:tcPr>
            <w:tcW w:w="84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公务用车运行维护费</w:t>
            </w:r>
          </w:p>
        </w:tc>
        <w:tc>
          <w:tcPr>
            <w:tcW w:w="58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20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38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小计</w:t>
            </w:r>
            <w:r>
              <w:rPr>
                <w:rFonts w:ascii="Times New Roman" w:hAnsi="Times New Roman" w:eastAsia="Times New Roman" w:cs="Times New Roman"/>
                <w:b w:val="0"/>
                <w:bCs w:val="0"/>
                <w:i w:val="0"/>
                <w:iCs w:val="0"/>
                <w:smallCaps w:val="0"/>
                <w:color w:val="000000"/>
                <w:kern w:val="0"/>
                <w:sz w:val="26"/>
                <w:szCs w:val="26"/>
              </w:rPr>
              <w:t xml:space="preserve"> </w:t>
            </w:r>
          </w:p>
        </w:tc>
        <w:tc>
          <w:tcPr>
            <w:tcW w:w="71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公务用车购置费</w:t>
            </w:r>
          </w:p>
        </w:tc>
        <w:tc>
          <w:tcPr>
            <w:tcW w:w="84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公务用车运行维护费</w:t>
            </w:r>
          </w:p>
        </w:tc>
        <w:tc>
          <w:tcPr>
            <w:tcW w:w="101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r>
      <w:tr>
        <w:tblPrEx>
          <w:tblLayout w:type="fixed"/>
          <w:tblCellMar>
            <w:top w:w="15" w:type="dxa"/>
            <w:left w:w="15" w:type="dxa"/>
            <w:bottom w:w="15" w:type="dxa"/>
            <w:right w:w="15" w:type="dxa"/>
          </w:tblCellMar>
        </w:tblPrEx>
        <w:trPr>
          <w:tblHeader/>
        </w:trPr>
        <w:tc>
          <w:tcPr>
            <w:tcW w:w="38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20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38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71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84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58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20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38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71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84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01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r>
      <w:tr>
        <w:tblPrEx>
          <w:tblLayout w:type="fixed"/>
          <w:tblCellMar>
            <w:top w:w="15" w:type="dxa"/>
            <w:left w:w="15" w:type="dxa"/>
            <w:bottom w:w="15" w:type="dxa"/>
            <w:right w:w="15" w:type="dxa"/>
          </w:tblCellMar>
        </w:tblPrEx>
        <w:tc>
          <w:tcPr>
            <w:tcW w:w="3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w:t>
            </w:r>
          </w:p>
        </w:tc>
        <w:tc>
          <w:tcPr>
            <w:tcW w:w="12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w:t>
            </w:r>
          </w:p>
        </w:tc>
        <w:tc>
          <w:tcPr>
            <w:tcW w:w="3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w:t>
            </w:r>
          </w:p>
        </w:tc>
        <w:tc>
          <w:tcPr>
            <w:tcW w:w="7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4</w:t>
            </w:r>
          </w:p>
        </w:tc>
        <w:tc>
          <w:tcPr>
            <w:tcW w:w="8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5</w:t>
            </w:r>
          </w:p>
        </w:tc>
        <w:tc>
          <w:tcPr>
            <w:tcW w:w="5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6</w:t>
            </w:r>
          </w:p>
        </w:tc>
        <w:tc>
          <w:tcPr>
            <w:tcW w:w="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7</w:t>
            </w:r>
          </w:p>
        </w:tc>
        <w:tc>
          <w:tcPr>
            <w:tcW w:w="12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8</w:t>
            </w:r>
          </w:p>
        </w:tc>
        <w:tc>
          <w:tcPr>
            <w:tcW w:w="3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9</w:t>
            </w:r>
          </w:p>
        </w:tc>
        <w:tc>
          <w:tcPr>
            <w:tcW w:w="7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10</w:t>
            </w:r>
          </w:p>
        </w:tc>
        <w:tc>
          <w:tcPr>
            <w:tcW w:w="8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11</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12</w:t>
            </w:r>
          </w:p>
        </w:tc>
      </w:tr>
      <w:tr>
        <w:tblPrEx>
          <w:tblLayout w:type="fixed"/>
          <w:tblCellMar>
            <w:top w:w="15" w:type="dxa"/>
            <w:left w:w="15" w:type="dxa"/>
            <w:bottom w:w="15" w:type="dxa"/>
            <w:right w:w="15" w:type="dxa"/>
          </w:tblCellMar>
        </w:tblPrEx>
        <w:tc>
          <w:tcPr>
            <w:tcW w:w="38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hint="eastAsia" w:eastAsia="宋体" w:cs="Times New Roman"/>
                <w:b w:val="0"/>
                <w:bCs w:val="0"/>
                <w:i w:val="0"/>
                <w:iCs w:val="0"/>
                <w:smallCaps w:val="0"/>
                <w:color w:val="000000"/>
                <w:kern w:val="0"/>
                <w:sz w:val="26"/>
                <w:szCs w:val="26"/>
                <w:lang w:val="en-US" w:eastAsia="zh-CN"/>
              </w:rPr>
              <w:t>0</w:t>
            </w:r>
            <w:r>
              <w:rPr>
                <w:rFonts w:ascii="Times New Roman" w:hAnsi="Times New Roman" w:eastAsia="Times New Roman" w:cs="Times New Roman"/>
                <w:b w:val="0"/>
                <w:bCs w:val="0"/>
                <w:i w:val="0"/>
                <w:iCs w:val="0"/>
                <w:smallCaps w:val="0"/>
                <w:color w:val="000000"/>
                <w:kern w:val="0"/>
                <w:sz w:val="26"/>
                <w:szCs w:val="26"/>
              </w:rPr>
              <w:t> </w:t>
            </w:r>
          </w:p>
        </w:tc>
        <w:tc>
          <w:tcPr>
            <w:tcW w:w="12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hint="eastAsia" w:eastAsia="宋体" w:cs="Times New Roman"/>
                <w:b w:val="0"/>
                <w:bCs w:val="0"/>
                <w:i w:val="0"/>
                <w:iCs w:val="0"/>
                <w:smallCaps w:val="0"/>
                <w:color w:val="000000"/>
                <w:kern w:val="0"/>
                <w:sz w:val="26"/>
                <w:szCs w:val="26"/>
                <w:lang w:val="en-US" w:eastAsia="zh-CN"/>
              </w:rPr>
              <w:t>0</w:t>
            </w:r>
          </w:p>
        </w:tc>
        <w:tc>
          <w:tcPr>
            <w:tcW w:w="3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hint="eastAsia" w:eastAsia="宋体" w:cs="Times New Roman"/>
                <w:b w:val="0"/>
                <w:bCs w:val="0"/>
                <w:i w:val="0"/>
                <w:iCs w:val="0"/>
                <w:smallCaps w:val="0"/>
                <w:color w:val="000000"/>
                <w:kern w:val="0"/>
                <w:sz w:val="26"/>
                <w:szCs w:val="26"/>
                <w:lang w:val="en-US" w:eastAsia="zh-CN"/>
              </w:rPr>
              <w:t>0</w:t>
            </w:r>
          </w:p>
        </w:tc>
        <w:tc>
          <w:tcPr>
            <w:tcW w:w="7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hint="eastAsia" w:eastAsia="宋体" w:cs="Times New Roman"/>
                <w:b w:val="0"/>
                <w:bCs w:val="0"/>
                <w:i w:val="0"/>
                <w:iCs w:val="0"/>
                <w:smallCaps w:val="0"/>
                <w:color w:val="000000"/>
                <w:kern w:val="0"/>
                <w:sz w:val="26"/>
                <w:szCs w:val="26"/>
                <w:lang w:val="en-US" w:eastAsia="zh-CN"/>
              </w:rPr>
              <w:t>0</w:t>
            </w:r>
          </w:p>
        </w:tc>
        <w:tc>
          <w:tcPr>
            <w:tcW w:w="8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hint="eastAsia" w:eastAsia="宋体" w:cs="Times New Roman"/>
                <w:b w:val="0"/>
                <w:bCs w:val="0"/>
                <w:i w:val="0"/>
                <w:iCs w:val="0"/>
                <w:smallCaps w:val="0"/>
                <w:color w:val="000000"/>
                <w:kern w:val="0"/>
                <w:sz w:val="26"/>
                <w:szCs w:val="26"/>
                <w:lang w:val="en-US" w:eastAsia="zh-CN"/>
              </w:rPr>
              <w:t>0</w:t>
            </w:r>
          </w:p>
        </w:tc>
        <w:tc>
          <w:tcPr>
            <w:tcW w:w="5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hint="eastAsia" w:eastAsia="宋体" w:cs="Times New Roman"/>
                <w:b w:val="0"/>
                <w:bCs w:val="0"/>
                <w:i w:val="0"/>
                <w:iCs w:val="0"/>
                <w:smallCaps w:val="0"/>
                <w:color w:val="000000"/>
                <w:kern w:val="0"/>
                <w:sz w:val="26"/>
                <w:szCs w:val="26"/>
                <w:lang w:val="en-US" w:eastAsia="zh-CN"/>
              </w:rPr>
              <w:t>0</w:t>
            </w:r>
          </w:p>
        </w:tc>
        <w:tc>
          <w:tcPr>
            <w:tcW w:w="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hint="eastAsia" w:eastAsia="宋体" w:cs="Times New Roman"/>
                <w:b w:val="0"/>
                <w:bCs w:val="0"/>
                <w:i w:val="0"/>
                <w:iCs w:val="0"/>
                <w:smallCaps w:val="0"/>
                <w:color w:val="000000"/>
                <w:kern w:val="0"/>
                <w:sz w:val="26"/>
                <w:szCs w:val="26"/>
                <w:lang w:val="en-US" w:eastAsia="zh-CN"/>
              </w:rPr>
              <w:t>0</w:t>
            </w:r>
          </w:p>
        </w:tc>
        <w:tc>
          <w:tcPr>
            <w:tcW w:w="120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hint="eastAsia" w:eastAsia="宋体" w:cs="Times New Roman"/>
                <w:b w:val="0"/>
                <w:bCs w:val="0"/>
                <w:i w:val="0"/>
                <w:iCs w:val="0"/>
                <w:smallCaps w:val="0"/>
                <w:color w:val="000000"/>
                <w:kern w:val="0"/>
                <w:sz w:val="26"/>
                <w:szCs w:val="26"/>
                <w:lang w:val="en-US" w:eastAsia="zh-CN"/>
              </w:rPr>
              <w:t>0</w:t>
            </w:r>
          </w:p>
        </w:tc>
        <w:tc>
          <w:tcPr>
            <w:tcW w:w="38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hint="eastAsia" w:eastAsia="宋体" w:cs="Times New Roman"/>
                <w:b w:val="0"/>
                <w:bCs w:val="0"/>
                <w:i w:val="0"/>
                <w:iCs w:val="0"/>
                <w:smallCaps w:val="0"/>
                <w:color w:val="000000"/>
                <w:kern w:val="0"/>
                <w:sz w:val="26"/>
                <w:szCs w:val="26"/>
                <w:lang w:val="en-US" w:eastAsia="zh-CN"/>
              </w:rPr>
              <w:t>0</w:t>
            </w:r>
          </w:p>
        </w:tc>
        <w:tc>
          <w:tcPr>
            <w:tcW w:w="7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hint="eastAsia" w:eastAsia="宋体" w:cs="Times New Roman"/>
                <w:b w:val="0"/>
                <w:bCs w:val="0"/>
                <w:i w:val="0"/>
                <w:iCs w:val="0"/>
                <w:smallCaps w:val="0"/>
                <w:color w:val="000000"/>
                <w:kern w:val="0"/>
                <w:sz w:val="26"/>
                <w:szCs w:val="26"/>
                <w:lang w:val="en-US" w:eastAsia="zh-CN"/>
              </w:rPr>
              <w:t>0</w:t>
            </w:r>
          </w:p>
        </w:tc>
        <w:tc>
          <w:tcPr>
            <w:tcW w:w="84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hint="eastAsia" w:eastAsia="宋体" w:cs="Times New Roman"/>
                <w:b w:val="0"/>
                <w:bCs w:val="0"/>
                <w:i w:val="0"/>
                <w:iCs w:val="0"/>
                <w:smallCaps w:val="0"/>
                <w:color w:val="000000"/>
                <w:kern w:val="0"/>
                <w:sz w:val="26"/>
                <w:szCs w:val="26"/>
                <w:lang w:val="en-US" w:eastAsia="zh-CN"/>
              </w:rPr>
              <w:t>0</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hint="eastAsia" w:eastAsia="宋体" w:cs="Times New Roman"/>
                <w:b w:val="0"/>
                <w:bCs w:val="0"/>
                <w:i w:val="0"/>
                <w:iCs w:val="0"/>
                <w:smallCaps w:val="0"/>
                <w:color w:val="000000"/>
                <w:kern w:val="0"/>
                <w:sz w:val="26"/>
                <w:szCs w:val="26"/>
                <w:lang w:val="en-US" w:eastAsia="zh-CN"/>
              </w:rPr>
              <w:t>0</w:t>
            </w:r>
          </w:p>
        </w:tc>
      </w:tr>
      <w:tr>
        <w:tblPrEx>
          <w:tblLayout w:type="fixed"/>
          <w:tblCellMar>
            <w:top w:w="15" w:type="dxa"/>
            <w:left w:w="15" w:type="dxa"/>
            <w:bottom w:w="15" w:type="dxa"/>
            <w:right w:w="15" w:type="dxa"/>
          </w:tblCellMar>
        </w:tblPrEx>
        <w:tc>
          <w:tcPr>
            <w:tcW w:w="9086" w:type="dxa"/>
            <w:gridSpan w:val="12"/>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注：本表反映部门本年度财政拨款</w:t>
            </w:r>
            <w:r>
              <w:rPr>
                <w:rFonts w:ascii="Times New Roman" w:hAnsi="Times New Roman" w:eastAsia="Times New Roman" w:cs="Times New Roman"/>
                <w:b w:val="0"/>
                <w:bCs w:val="0"/>
                <w:i w:val="0"/>
                <w:iCs w:val="0"/>
                <w:smallCaps w:val="0"/>
                <w:color w:val="000000"/>
                <w:kern w:val="0"/>
                <w:sz w:val="26"/>
                <w:szCs w:val="26"/>
              </w:rPr>
              <w:t>“</w:t>
            </w:r>
            <w:r>
              <w:rPr>
                <w:rFonts w:ascii="宋体" w:hAnsi="宋体" w:eastAsia="宋体" w:cs="宋体"/>
                <w:b w:val="0"/>
                <w:bCs w:val="0"/>
                <w:i w:val="0"/>
                <w:iCs w:val="0"/>
                <w:smallCaps w:val="0"/>
                <w:color w:val="000000"/>
                <w:kern w:val="0"/>
                <w:sz w:val="26"/>
                <w:szCs w:val="26"/>
              </w:rPr>
              <w:t>三公</w:t>
            </w:r>
            <w:r>
              <w:rPr>
                <w:rFonts w:ascii="Times New Roman" w:hAnsi="Times New Roman" w:eastAsia="Times New Roman" w:cs="Times New Roman"/>
                <w:b w:val="0"/>
                <w:bCs w:val="0"/>
                <w:i w:val="0"/>
                <w:iCs w:val="0"/>
                <w:smallCaps w:val="0"/>
                <w:color w:val="000000"/>
                <w:kern w:val="0"/>
                <w:sz w:val="26"/>
                <w:szCs w:val="26"/>
              </w:rPr>
              <w:t>”</w:t>
            </w:r>
            <w:r>
              <w:rPr>
                <w:rFonts w:ascii="宋体" w:hAnsi="宋体" w:eastAsia="宋体" w:cs="宋体"/>
                <w:b w:val="0"/>
                <w:bCs w:val="0"/>
                <w:i w:val="0"/>
                <w:iCs w:val="0"/>
                <w:smallCaps w:val="0"/>
                <w:color w:val="000000"/>
                <w:kern w:val="0"/>
                <w:sz w:val="26"/>
                <w:szCs w:val="26"/>
              </w:rPr>
              <w:t>经费支出预决算情况。其中，预算数为</w:t>
            </w:r>
            <w:r>
              <w:rPr>
                <w:rFonts w:ascii="Times New Roman" w:hAnsi="Times New Roman" w:eastAsia="Times New Roman" w:cs="Times New Roman"/>
                <w:b w:val="0"/>
                <w:bCs w:val="0"/>
                <w:i w:val="0"/>
                <w:iCs w:val="0"/>
                <w:smallCaps w:val="0"/>
                <w:color w:val="000000"/>
                <w:kern w:val="0"/>
                <w:sz w:val="26"/>
                <w:szCs w:val="26"/>
              </w:rPr>
              <w:t>“</w:t>
            </w:r>
            <w:r>
              <w:rPr>
                <w:rFonts w:ascii="宋体" w:hAnsi="宋体" w:eastAsia="宋体" w:cs="宋体"/>
                <w:b w:val="0"/>
                <w:bCs w:val="0"/>
                <w:i w:val="0"/>
                <w:iCs w:val="0"/>
                <w:smallCaps w:val="0"/>
                <w:color w:val="000000"/>
                <w:kern w:val="0"/>
                <w:sz w:val="26"/>
                <w:szCs w:val="26"/>
              </w:rPr>
              <w:t>三公</w:t>
            </w:r>
            <w:r>
              <w:rPr>
                <w:rFonts w:ascii="Times New Roman" w:hAnsi="Times New Roman" w:eastAsia="Times New Roman" w:cs="Times New Roman"/>
                <w:b w:val="0"/>
                <w:bCs w:val="0"/>
                <w:i w:val="0"/>
                <w:iCs w:val="0"/>
                <w:smallCaps w:val="0"/>
                <w:color w:val="000000"/>
                <w:kern w:val="0"/>
                <w:sz w:val="26"/>
                <w:szCs w:val="26"/>
              </w:rPr>
              <w:t>”</w:t>
            </w:r>
            <w:r>
              <w:rPr>
                <w:rFonts w:ascii="宋体" w:hAnsi="宋体" w:eastAsia="宋体" w:cs="宋体"/>
                <w:b w:val="0"/>
                <w:bCs w:val="0"/>
                <w:i w:val="0"/>
                <w:iCs w:val="0"/>
                <w:smallCaps w:val="0"/>
                <w:color w:val="000000"/>
                <w:kern w:val="0"/>
                <w:sz w:val="26"/>
                <w:szCs w:val="26"/>
              </w:rPr>
              <w:t>经费全年预算数，反映按规定程序调整后的预算数；决算数是包括当年财政拨款和以前年度结转资金安排的实际支出。</w:t>
            </w:r>
          </w:p>
        </w:tc>
      </w:tr>
    </w:tbl>
    <w:p>
      <w:pPr>
        <w:widowControl/>
        <w:jc w:val="left"/>
        <w:rPr>
          <w:rFonts w:hint="eastAsia" w:ascii="黑体" w:hAnsi="黑体" w:eastAsia="黑体" w:cs="黑体"/>
          <w:b/>
          <w:bCs/>
          <w:kern w:val="0"/>
          <w:sz w:val="32"/>
          <w:szCs w:val="32"/>
        </w:rPr>
      </w:pPr>
      <w:r>
        <w:rPr>
          <w:rFonts w:hint="eastAsia" w:ascii="黑体" w:hAnsi="黑体" w:eastAsia="黑体" w:cs="黑体"/>
          <w:kern w:val="0"/>
          <w:sz w:val="24"/>
        </w:rPr>
        <w:t> </w:t>
      </w:r>
      <w:bookmarkStart w:id="49" w:name="_Toc256000044"/>
      <w:bookmarkStart w:id="50" w:name="_Toc256000075"/>
      <w:bookmarkStart w:id="51" w:name="_Toc256000013"/>
      <w:bookmarkStart w:id="52" w:name="_Toc256000106"/>
      <w:r>
        <w:rPr>
          <w:rFonts w:hint="eastAsia" w:ascii="黑体" w:hAnsi="黑体" w:eastAsia="黑体" w:cs="黑体"/>
          <w:b/>
          <w:spacing w:val="0"/>
          <w:sz w:val="32"/>
          <w:szCs w:val="32"/>
        </w:rPr>
        <w:t>七、一般公共预算财政拨款“三公”经费支出决算表</w:t>
      </w:r>
      <w:bookmarkEnd w:id="49"/>
      <w:bookmarkEnd w:id="50"/>
      <w:bookmarkEnd w:id="51"/>
      <w:bookmarkEnd w:id="52"/>
    </w:p>
    <w:p>
      <w:pPr>
        <w:widowControl/>
        <w:jc w:val="left"/>
        <w:rPr>
          <w:rFonts w:ascii="Times New Roman" w:hAnsi="Times New Roman" w:eastAsia="Times New Roman" w:cs="Times New Roman"/>
          <w:kern w:val="0"/>
          <w:sz w:val="24"/>
        </w:rPr>
      </w:pPr>
    </w:p>
    <w:p>
      <w:pPr>
        <w:pStyle w:val="28"/>
        <w:widowControl/>
        <w:spacing w:before="100" w:after="100"/>
        <w:ind w:left="0" w:right="0" w:firstLine="640" w:firstLineChars="200"/>
        <w:jc w:val="left"/>
        <w:rPr>
          <w:rFonts w:ascii="Times New Roman" w:hAnsi="Times New Roman" w:eastAsia="Times New Roman" w:cs="Times New Roman"/>
          <w:kern w:val="0"/>
          <w:sz w:val="24"/>
        </w:rPr>
      </w:pPr>
      <w:r>
        <w:rPr>
          <w:rFonts w:hint="eastAsia" w:ascii="仿宋" w:hAnsi="仿宋" w:eastAsia="仿宋" w:cs="仿宋"/>
          <w:spacing w:val="0"/>
          <w:kern w:val="0"/>
          <w:sz w:val="32"/>
          <w:szCs w:val="32"/>
        </w:rPr>
        <w:t>本单位 2024 年度没有使用一般公共预算财政拨款安排的“三公”经费支出。</w:t>
      </w:r>
    </w:p>
    <w:p>
      <w:pPr>
        <w:pStyle w:val="5"/>
        <w:keepNext w:val="0"/>
        <w:keepLines w:val="0"/>
        <w:spacing w:before="100" w:after="100" w:line="240" w:lineRule="auto"/>
        <w:ind w:left="0" w:right="0" w:firstLine="0" w:firstLineChars="0"/>
        <w:rPr>
          <w:rFonts w:ascii="黑体" w:hAnsi="黑体" w:eastAsia="黑体" w:cs="黑体"/>
          <w:b/>
          <w:spacing w:val="0"/>
        </w:rPr>
      </w:pPr>
      <w:bookmarkStart w:id="53" w:name="_Toc256000076"/>
      <w:bookmarkStart w:id="54" w:name="_Toc256000107"/>
      <w:bookmarkStart w:id="55" w:name="_Toc256000045"/>
      <w:bookmarkStart w:id="56" w:name="_Toc256000014"/>
    </w:p>
    <w:p>
      <w:pPr>
        <w:pStyle w:val="5"/>
        <w:keepNext w:val="0"/>
        <w:keepLines w:val="0"/>
        <w:spacing w:before="100" w:after="100" w:line="240" w:lineRule="auto"/>
        <w:ind w:left="0" w:right="0" w:firstLine="0" w:firstLineChars="0"/>
        <w:rPr>
          <w:rFonts w:ascii="黑体" w:hAnsi="黑体" w:eastAsia="黑体" w:cs="黑体"/>
          <w:b/>
          <w:spacing w:val="0"/>
        </w:rPr>
      </w:pPr>
    </w:p>
    <w:p>
      <w:pPr>
        <w:pStyle w:val="5"/>
        <w:keepNext w:val="0"/>
        <w:keepLines w:val="0"/>
        <w:spacing w:before="100" w:after="100" w:line="240" w:lineRule="auto"/>
        <w:ind w:left="0" w:right="0" w:firstLine="0" w:firstLineChars="0"/>
        <w:rPr>
          <w:rFonts w:ascii="黑体" w:hAnsi="黑体" w:eastAsia="黑体" w:cs="黑体"/>
          <w:b/>
          <w:spacing w:val="0"/>
        </w:rPr>
      </w:pPr>
    </w:p>
    <w:p>
      <w:pPr>
        <w:pStyle w:val="5"/>
        <w:keepNext w:val="0"/>
        <w:keepLines w:val="0"/>
        <w:spacing w:before="100" w:after="100" w:line="240" w:lineRule="auto"/>
        <w:ind w:left="0" w:right="0" w:firstLine="0" w:firstLineChars="0"/>
        <w:rPr>
          <w:rFonts w:ascii="黑体" w:hAnsi="黑体" w:eastAsia="黑体" w:cs="黑体"/>
          <w:b/>
          <w:spacing w:val="0"/>
        </w:rPr>
      </w:pPr>
    </w:p>
    <w:p>
      <w:pPr>
        <w:pStyle w:val="5"/>
        <w:keepNext w:val="0"/>
        <w:keepLines w:val="0"/>
        <w:spacing w:before="100" w:after="100" w:line="240" w:lineRule="auto"/>
        <w:ind w:left="0" w:right="0" w:firstLine="0" w:firstLineChars="0"/>
        <w:rPr>
          <w:rFonts w:ascii="黑体" w:hAnsi="黑体" w:eastAsia="黑体" w:cs="黑体"/>
          <w:b/>
          <w:spacing w:val="0"/>
        </w:rPr>
      </w:pPr>
    </w:p>
    <w:p>
      <w:pPr>
        <w:pStyle w:val="4"/>
        <w:rPr>
          <w:rFonts w:ascii="黑体" w:hAnsi="黑体" w:eastAsia="黑体" w:cs="黑体"/>
          <w:b/>
          <w:spacing w:val="0"/>
        </w:rPr>
      </w:pPr>
    </w:p>
    <w:p>
      <w:pPr>
        <w:pStyle w:val="4"/>
        <w:rPr>
          <w:rFonts w:ascii="黑体" w:hAnsi="黑体" w:eastAsia="黑体" w:cs="黑体"/>
          <w:b/>
          <w:spacing w:val="0"/>
        </w:rPr>
      </w:pPr>
    </w:p>
    <w:p>
      <w:pPr>
        <w:pStyle w:val="4"/>
        <w:rPr>
          <w:rFonts w:ascii="黑体" w:hAnsi="黑体" w:eastAsia="黑体" w:cs="黑体"/>
          <w:b/>
          <w:spacing w:val="0"/>
        </w:rPr>
      </w:pPr>
    </w:p>
    <w:p>
      <w:pPr>
        <w:pStyle w:val="4"/>
        <w:rPr>
          <w:rFonts w:ascii="黑体" w:hAnsi="黑体" w:eastAsia="黑体" w:cs="黑体"/>
          <w:b/>
          <w:spacing w:val="0"/>
        </w:rPr>
      </w:pPr>
    </w:p>
    <w:p>
      <w:pPr>
        <w:pStyle w:val="4"/>
        <w:rPr>
          <w:rFonts w:ascii="黑体" w:hAnsi="黑体" w:eastAsia="黑体" w:cs="黑体"/>
          <w:b/>
          <w:spacing w:val="0"/>
        </w:rPr>
      </w:pPr>
    </w:p>
    <w:p>
      <w:pPr>
        <w:pStyle w:val="4"/>
        <w:rPr>
          <w:rFonts w:ascii="黑体" w:hAnsi="黑体" w:eastAsia="黑体" w:cs="黑体"/>
          <w:b/>
          <w:spacing w:val="0"/>
        </w:rPr>
      </w:pPr>
    </w:p>
    <w:p>
      <w:pPr>
        <w:pStyle w:val="4"/>
        <w:rPr>
          <w:rFonts w:ascii="黑体" w:hAnsi="黑体" w:eastAsia="黑体" w:cs="黑体"/>
          <w:b/>
          <w:spacing w:val="0"/>
        </w:rPr>
      </w:pPr>
    </w:p>
    <w:p>
      <w:pPr>
        <w:pStyle w:val="4"/>
        <w:rPr>
          <w:rFonts w:ascii="黑体" w:hAnsi="黑体" w:eastAsia="黑体" w:cs="黑体"/>
          <w:b/>
          <w:spacing w:val="0"/>
        </w:rPr>
      </w:pPr>
    </w:p>
    <w:tbl>
      <w:tblPr>
        <w:tblStyle w:val="22"/>
        <w:tblpPr w:leftFromText="180" w:rightFromText="180" w:vertAnchor="text" w:horzAnchor="page" w:tblpX="1458" w:tblpY="950"/>
        <w:tblOverlap w:val="never"/>
        <w:tblW w:w="9086" w:type="dxa"/>
        <w:tblInd w:w="0" w:type="dxa"/>
        <w:tblLayout w:type="fixed"/>
        <w:tblCellMar>
          <w:top w:w="15" w:type="dxa"/>
          <w:left w:w="15" w:type="dxa"/>
          <w:bottom w:w="15" w:type="dxa"/>
          <w:right w:w="15" w:type="dxa"/>
        </w:tblCellMar>
      </w:tblPr>
      <w:tblGrid>
        <w:gridCol w:w="1849"/>
        <w:gridCol w:w="819"/>
        <w:gridCol w:w="1334"/>
        <w:gridCol w:w="819"/>
        <w:gridCol w:w="1046"/>
        <w:gridCol w:w="819"/>
        <w:gridCol w:w="819"/>
        <w:gridCol w:w="1581"/>
      </w:tblGrid>
      <w:tr>
        <w:tblPrEx>
          <w:tblLayout w:type="fixed"/>
          <w:tblCellMar>
            <w:top w:w="15" w:type="dxa"/>
            <w:left w:w="15" w:type="dxa"/>
            <w:bottom w:w="15" w:type="dxa"/>
            <w:right w:w="15" w:type="dxa"/>
          </w:tblCellMar>
        </w:tblPrEx>
        <w:trPr>
          <w:tblHeader/>
        </w:trPr>
        <w:tc>
          <w:tcPr>
            <w:tcW w:w="9086" w:type="dxa"/>
            <w:gridSpan w:val="8"/>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7"/>
                <w:szCs w:val="27"/>
              </w:rPr>
            </w:pPr>
            <w:r>
              <w:rPr>
                <w:rFonts w:ascii="宋体" w:hAnsi="宋体" w:eastAsia="宋体" w:cs="宋体"/>
                <w:b w:val="0"/>
                <w:bCs w:val="0"/>
                <w:i w:val="0"/>
                <w:iCs w:val="0"/>
                <w:smallCaps w:val="0"/>
                <w:color w:val="000000"/>
                <w:kern w:val="0"/>
                <w:sz w:val="27"/>
                <w:szCs w:val="27"/>
              </w:rPr>
              <w:t>政府性基金预算财政拨款收入支出决算表</w:t>
            </w:r>
          </w:p>
        </w:tc>
      </w:tr>
      <w:tr>
        <w:tblPrEx>
          <w:tblLayout w:type="fixed"/>
          <w:tblCellMar>
            <w:top w:w="15" w:type="dxa"/>
            <w:left w:w="15" w:type="dxa"/>
            <w:bottom w:w="15" w:type="dxa"/>
            <w:right w:w="15" w:type="dxa"/>
          </w:tblCellMar>
        </w:tblPrEx>
        <w:trPr>
          <w:tblHeader/>
        </w:trPr>
        <w:tc>
          <w:tcPr>
            <w:tcW w:w="184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81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33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81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4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81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81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58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4821"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部门</w:t>
            </w:r>
            <w:r>
              <w:rPr>
                <w:rFonts w:ascii="Times New Roman" w:hAnsi="Times New Roman" w:eastAsia="Times New Roman" w:cs="Times New Roman"/>
                <w:b w:val="0"/>
                <w:bCs w:val="0"/>
                <w:i w:val="0"/>
                <w:iCs w:val="0"/>
                <w:smallCaps w:val="0"/>
                <w:color w:val="000000"/>
                <w:kern w:val="0"/>
                <w:sz w:val="29"/>
                <w:szCs w:val="29"/>
              </w:rPr>
              <w:t>/</w:t>
            </w:r>
            <w:r>
              <w:rPr>
                <w:rFonts w:ascii="宋体" w:hAnsi="宋体" w:eastAsia="宋体" w:cs="宋体"/>
                <w:b w:val="0"/>
                <w:bCs w:val="0"/>
                <w:i w:val="0"/>
                <w:iCs w:val="0"/>
                <w:smallCaps w:val="0"/>
                <w:color w:val="000000"/>
                <w:kern w:val="0"/>
                <w:sz w:val="29"/>
                <w:szCs w:val="29"/>
              </w:rPr>
              <w:t>单位：厦门市湖里创新实验学校</w:t>
            </w:r>
          </w:p>
        </w:tc>
        <w:tc>
          <w:tcPr>
            <w:tcW w:w="104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2024</w:t>
            </w:r>
            <w:r>
              <w:rPr>
                <w:rFonts w:ascii="宋体" w:hAnsi="宋体" w:eastAsia="宋体" w:cs="宋体"/>
                <w:b w:val="0"/>
                <w:bCs w:val="0"/>
                <w:i w:val="0"/>
                <w:iCs w:val="0"/>
                <w:smallCaps w:val="0"/>
                <w:color w:val="000000"/>
                <w:kern w:val="0"/>
                <w:sz w:val="29"/>
                <w:szCs w:val="29"/>
              </w:rPr>
              <w:t>年度</w:t>
            </w:r>
          </w:p>
        </w:tc>
        <w:tc>
          <w:tcPr>
            <w:tcW w:w="81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81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58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金额单位：万元</w:t>
            </w:r>
          </w:p>
        </w:tc>
      </w:tr>
      <w:tr>
        <w:tblPrEx>
          <w:tblLayout w:type="fixed"/>
          <w:tblCellMar>
            <w:top w:w="15" w:type="dxa"/>
            <w:left w:w="15" w:type="dxa"/>
            <w:bottom w:w="15" w:type="dxa"/>
            <w:right w:w="15" w:type="dxa"/>
          </w:tblCellMar>
        </w:tblPrEx>
        <w:trPr>
          <w:tblHeader/>
        </w:trPr>
        <w:tc>
          <w:tcPr>
            <w:tcW w:w="266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项目</w:t>
            </w:r>
          </w:p>
        </w:tc>
        <w:tc>
          <w:tcPr>
            <w:tcW w:w="133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年初结转和结余</w:t>
            </w:r>
            <w:r>
              <w:rPr>
                <w:rFonts w:ascii="Times New Roman" w:hAnsi="Times New Roman" w:eastAsia="Times New Roman" w:cs="Times New Roman"/>
                <w:b w:val="0"/>
                <w:bCs w:val="0"/>
                <w:i w:val="0"/>
                <w:iCs w:val="0"/>
                <w:smallCaps w:val="0"/>
                <w:color w:val="000000"/>
                <w:kern w:val="0"/>
                <w:sz w:val="26"/>
                <w:szCs w:val="26"/>
              </w:rPr>
              <w:t xml:space="preserve"> </w:t>
            </w:r>
          </w:p>
        </w:tc>
        <w:tc>
          <w:tcPr>
            <w:tcW w:w="819"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本年收入</w:t>
            </w:r>
          </w:p>
        </w:tc>
        <w:tc>
          <w:tcPr>
            <w:tcW w:w="2684"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本年支出</w:t>
            </w:r>
          </w:p>
        </w:tc>
        <w:tc>
          <w:tcPr>
            <w:tcW w:w="1581"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年末结转和结余</w:t>
            </w:r>
          </w:p>
        </w:tc>
      </w:tr>
      <w:tr>
        <w:tblPrEx>
          <w:tblLayout w:type="fixed"/>
          <w:tblCellMar>
            <w:top w:w="15" w:type="dxa"/>
            <w:left w:w="15" w:type="dxa"/>
            <w:bottom w:w="15" w:type="dxa"/>
            <w:right w:w="15" w:type="dxa"/>
          </w:tblCellMar>
        </w:tblPrEx>
        <w:trPr>
          <w:tblHeader/>
        </w:trPr>
        <w:tc>
          <w:tcPr>
            <w:tcW w:w="1849"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支出功能分类科目编码</w:t>
            </w:r>
          </w:p>
        </w:tc>
        <w:tc>
          <w:tcPr>
            <w:tcW w:w="819"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科目名称</w:t>
            </w:r>
          </w:p>
        </w:tc>
        <w:tc>
          <w:tcPr>
            <w:tcW w:w="133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81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04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小计</w:t>
            </w:r>
          </w:p>
        </w:tc>
        <w:tc>
          <w:tcPr>
            <w:tcW w:w="819"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基本支出</w:t>
            </w:r>
            <w:r>
              <w:rPr>
                <w:rFonts w:ascii="Times New Roman" w:hAnsi="Times New Roman" w:eastAsia="Times New Roman" w:cs="Times New Roman"/>
                <w:b w:val="0"/>
                <w:bCs w:val="0"/>
                <w:i w:val="0"/>
                <w:iCs w:val="0"/>
                <w:smallCaps w:val="0"/>
                <w:color w:val="000000"/>
                <w:kern w:val="0"/>
                <w:sz w:val="26"/>
                <w:szCs w:val="26"/>
              </w:rPr>
              <w:t xml:space="preserve"> </w:t>
            </w:r>
          </w:p>
        </w:tc>
        <w:tc>
          <w:tcPr>
            <w:tcW w:w="819"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项目支出</w:t>
            </w:r>
          </w:p>
        </w:tc>
        <w:tc>
          <w:tcPr>
            <w:tcW w:w="158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r>
      <w:tr>
        <w:tblPrEx>
          <w:tblLayout w:type="fixed"/>
          <w:tblCellMar>
            <w:top w:w="15" w:type="dxa"/>
            <w:left w:w="15" w:type="dxa"/>
            <w:bottom w:w="15" w:type="dxa"/>
            <w:right w:w="15" w:type="dxa"/>
          </w:tblCellMar>
        </w:tblPrEx>
        <w:trPr>
          <w:tblHeader/>
        </w:trPr>
        <w:tc>
          <w:tcPr>
            <w:tcW w:w="184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81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33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81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04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81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81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c>
          <w:tcPr>
            <w:tcW w:w="1581"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6"/>
                <w:szCs w:val="26"/>
              </w:rPr>
            </w:pPr>
          </w:p>
        </w:tc>
      </w:tr>
      <w:tr>
        <w:tblPrEx>
          <w:tblLayout w:type="fixed"/>
          <w:tblCellMar>
            <w:top w:w="15" w:type="dxa"/>
            <w:left w:w="15" w:type="dxa"/>
            <w:bottom w:w="15" w:type="dxa"/>
            <w:right w:w="15" w:type="dxa"/>
          </w:tblCellMar>
        </w:tblPrEx>
        <w:tc>
          <w:tcPr>
            <w:tcW w:w="266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栏次</w:t>
            </w:r>
          </w:p>
        </w:tc>
        <w:tc>
          <w:tcPr>
            <w:tcW w:w="13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1</w:t>
            </w:r>
          </w:p>
        </w:tc>
        <w:tc>
          <w:tcPr>
            <w:tcW w:w="8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2</w:t>
            </w:r>
          </w:p>
        </w:tc>
        <w:tc>
          <w:tcPr>
            <w:tcW w:w="10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3</w:t>
            </w:r>
          </w:p>
        </w:tc>
        <w:tc>
          <w:tcPr>
            <w:tcW w:w="8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4</w:t>
            </w:r>
          </w:p>
        </w:tc>
        <w:tc>
          <w:tcPr>
            <w:tcW w:w="8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5</w:t>
            </w:r>
          </w:p>
        </w:tc>
        <w:tc>
          <w:tcPr>
            <w:tcW w:w="15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6</w:t>
            </w:r>
          </w:p>
        </w:tc>
      </w:tr>
      <w:tr>
        <w:tblPrEx>
          <w:tblLayout w:type="fixed"/>
          <w:tblCellMar>
            <w:top w:w="15" w:type="dxa"/>
            <w:left w:w="15" w:type="dxa"/>
            <w:bottom w:w="15" w:type="dxa"/>
            <w:right w:w="15" w:type="dxa"/>
          </w:tblCellMar>
        </w:tblPrEx>
        <w:tc>
          <w:tcPr>
            <w:tcW w:w="266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合计</w:t>
            </w:r>
          </w:p>
        </w:tc>
        <w:tc>
          <w:tcPr>
            <w:tcW w:w="13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8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8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8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5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184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8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3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8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0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8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8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58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r>
      <w:tr>
        <w:tblPrEx>
          <w:tblLayout w:type="fixed"/>
          <w:tblCellMar>
            <w:top w:w="15" w:type="dxa"/>
            <w:left w:w="15" w:type="dxa"/>
            <w:bottom w:w="15" w:type="dxa"/>
            <w:right w:w="15" w:type="dxa"/>
          </w:tblCellMar>
        </w:tblPrEx>
        <w:tc>
          <w:tcPr>
            <w:tcW w:w="9086" w:type="dxa"/>
            <w:gridSpan w:val="8"/>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注：本表反映部门本年度政府性基金预算财政拨款收入、支出及结转和结余情况。</w:t>
            </w:r>
          </w:p>
        </w:tc>
      </w:tr>
    </w:tbl>
    <w:p>
      <w:pPr>
        <w:pStyle w:val="5"/>
        <w:keepNext w:val="0"/>
        <w:keepLines w:val="0"/>
        <w:spacing w:before="100" w:after="100" w:line="240" w:lineRule="auto"/>
        <w:ind w:left="0" w:right="0" w:firstLine="0" w:firstLineChars="0"/>
        <w:rPr>
          <w:rFonts w:ascii="Times New Roman" w:hAnsi="Times New Roman" w:eastAsia="Times New Roman" w:cs="Times New Roman"/>
          <w:b/>
          <w:bCs/>
          <w:kern w:val="0"/>
          <w:sz w:val="28"/>
          <w:szCs w:val="28"/>
        </w:rPr>
      </w:pPr>
      <w:r>
        <w:rPr>
          <w:rFonts w:ascii="黑体" w:hAnsi="黑体" w:eastAsia="黑体" w:cs="黑体"/>
          <w:b/>
          <w:spacing w:val="0"/>
        </w:rPr>
        <w:t>八、政府性基金预算财政拨款收入支出决算表</w:t>
      </w:r>
      <w:bookmarkEnd w:id="53"/>
      <w:bookmarkEnd w:id="54"/>
      <w:bookmarkEnd w:id="55"/>
      <w:bookmarkEnd w:id="56"/>
    </w:p>
    <w:p>
      <w:pPr>
        <w:widowControl/>
        <w:jc w:val="left"/>
        <w:rPr>
          <w:rFonts w:ascii="Times New Roman" w:hAnsi="Times New Roman" w:eastAsia="Times New Roman" w:cs="Times New Roman"/>
          <w:kern w:val="0"/>
          <w:sz w:val="24"/>
        </w:rPr>
      </w:pPr>
    </w:p>
    <w:p>
      <w:pPr>
        <w:pStyle w:val="5"/>
        <w:keepNext w:val="0"/>
        <w:keepLines w:val="0"/>
        <w:spacing w:before="100" w:after="100" w:line="240" w:lineRule="auto"/>
        <w:ind w:left="0" w:right="0" w:firstLine="640" w:firstLineChars="200"/>
        <w:rPr>
          <w:rFonts w:hint="default" w:ascii="黑体" w:hAnsi="黑体" w:eastAsia="仿宋" w:cs="黑体"/>
          <w:b/>
          <w:spacing w:val="0"/>
          <w:lang w:val="en-US" w:eastAsia="zh-CN"/>
        </w:rPr>
      </w:pPr>
      <w:bookmarkStart w:id="57" w:name="_Toc256000046"/>
      <w:bookmarkStart w:id="58" w:name="_Toc256000077"/>
      <w:bookmarkStart w:id="59" w:name="_Toc256000015"/>
      <w:bookmarkStart w:id="60" w:name="_Toc256000108"/>
      <w:r>
        <w:rPr>
          <w:rFonts w:hint="eastAsia" w:ascii="仿宋" w:hAnsi="仿宋" w:eastAsia="仿宋" w:cs="仿宋"/>
          <w:spacing w:val="0"/>
          <w:kern w:val="0"/>
          <w:sz w:val="32"/>
          <w:szCs w:val="32"/>
        </w:rPr>
        <w:t>本单位 2024 年度没有</w:t>
      </w:r>
      <w:r>
        <w:rPr>
          <w:rFonts w:hint="eastAsia" w:ascii="仿宋" w:hAnsi="仿宋" w:cs="仿宋"/>
          <w:spacing w:val="0"/>
          <w:kern w:val="0"/>
          <w:sz w:val="32"/>
          <w:szCs w:val="32"/>
          <w:lang w:val="en-US" w:eastAsia="zh-CN"/>
        </w:rPr>
        <w:t>政府性基金财政拨款收入支出。</w:t>
      </w:r>
    </w:p>
    <w:p>
      <w:pPr>
        <w:pStyle w:val="5"/>
        <w:keepNext w:val="0"/>
        <w:keepLines w:val="0"/>
        <w:spacing w:before="100" w:after="100" w:line="240" w:lineRule="auto"/>
        <w:ind w:left="0" w:right="0" w:firstLine="0" w:firstLineChars="0"/>
        <w:rPr>
          <w:rFonts w:ascii="黑体" w:hAnsi="黑体" w:eastAsia="黑体" w:cs="黑体"/>
          <w:b/>
          <w:spacing w:val="0"/>
        </w:rPr>
      </w:pPr>
    </w:p>
    <w:p>
      <w:pPr>
        <w:pStyle w:val="5"/>
        <w:keepNext w:val="0"/>
        <w:keepLines w:val="0"/>
        <w:spacing w:before="100" w:after="100" w:line="240" w:lineRule="auto"/>
        <w:ind w:left="0" w:right="0" w:firstLine="0" w:firstLineChars="0"/>
        <w:rPr>
          <w:rFonts w:ascii="黑体" w:hAnsi="黑体" w:eastAsia="黑体" w:cs="黑体"/>
          <w:b/>
          <w:spacing w:val="0"/>
        </w:rPr>
      </w:pPr>
    </w:p>
    <w:p>
      <w:pPr>
        <w:pStyle w:val="5"/>
        <w:keepNext w:val="0"/>
        <w:keepLines w:val="0"/>
        <w:spacing w:before="100" w:after="100" w:line="240" w:lineRule="auto"/>
        <w:ind w:left="0" w:right="0" w:firstLine="0" w:firstLineChars="0"/>
        <w:rPr>
          <w:rFonts w:ascii="黑体" w:hAnsi="黑体" w:eastAsia="黑体" w:cs="黑体"/>
          <w:b/>
          <w:spacing w:val="0"/>
        </w:rPr>
      </w:pPr>
    </w:p>
    <w:p>
      <w:pPr>
        <w:pStyle w:val="4"/>
        <w:rPr>
          <w:rFonts w:ascii="黑体" w:hAnsi="黑体" w:eastAsia="黑体" w:cs="黑体"/>
          <w:b/>
          <w:spacing w:val="0"/>
        </w:rPr>
      </w:pPr>
    </w:p>
    <w:p>
      <w:pPr>
        <w:pStyle w:val="4"/>
        <w:rPr>
          <w:rFonts w:ascii="黑体" w:hAnsi="黑体" w:eastAsia="黑体" w:cs="黑体"/>
          <w:b/>
          <w:spacing w:val="0"/>
        </w:rPr>
      </w:pPr>
    </w:p>
    <w:p>
      <w:pPr>
        <w:pStyle w:val="4"/>
        <w:rPr>
          <w:rFonts w:ascii="黑体" w:hAnsi="黑体" w:eastAsia="黑体" w:cs="黑体"/>
          <w:b/>
          <w:spacing w:val="0"/>
        </w:rPr>
      </w:pPr>
    </w:p>
    <w:p>
      <w:pPr>
        <w:pStyle w:val="4"/>
        <w:rPr>
          <w:rFonts w:ascii="黑体" w:hAnsi="黑体" w:eastAsia="黑体" w:cs="黑体"/>
          <w:b/>
          <w:spacing w:val="0"/>
        </w:rPr>
      </w:pPr>
    </w:p>
    <w:p>
      <w:pPr>
        <w:pStyle w:val="4"/>
        <w:rPr>
          <w:rFonts w:ascii="黑体" w:hAnsi="黑体" w:eastAsia="黑体" w:cs="黑体"/>
          <w:b/>
          <w:spacing w:val="0"/>
        </w:rPr>
      </w:pPr>
    </w:p>
    <w:p>
      <w:pPr>
        <w:pStyle w:val="5"/>
        <w:keepNext w:val="0"/>
        <w:keepLines w:val="0"/>
        <w:spacing w:before="100" w:after="100" w:line="240" w:lineRule="auto"/>
        <w:ind w:left="0" w:right="0" w:firstLine="0" w:firstLineChars="0"/>
        <w:rPr>
          <w:rFonts w:ascii="黑体" w:hAnsi="黑体" w:eastAsia="黑体" w:cs="黑体"/>
          <w:b/>
          <w:spacing w:val="0"/>
        </w:rPr>
      </w:pPr>
    </w:p>
    <w:p>
      <w:pPr>
        <w:pStyle w:val="5"/>
        <w:keepNext w:val="0"/>
        <w:keepLines w:val="0"/>
        <w:spacing w:before="100" w:after="100" w:line="240" w:lineRule="auto"/>
        <w:ind w:left="0" w:right="0" w:firstLine="0" w:firstLineChars="0"/>
        <w:rPr>
          <w:rFonts w:ascii="黑体" w:hAnsi="黑体" w:eastAsia="黑体" w:cs="黑体"/>
          <w:b/>
          <w:spacing w:val="0"/>
        </w:rPr>
      </w:pPr>
    </w:p>
    <w:tbl>
      <w:tblPr>
        <w:tblStyle w:val="22"/>
        <w:tblpPr w:leftFromText="180" w:rightFromText="180" w:vertAnchor="text" w:horzAnchor="page" w:tblpX="1504" w:tblpY="1003"/>
        <w:tblOverlap w:val="never"/>
        <w:tblW w:w="9086" w:type="dxa"/>
        <w:tblInd w:w="0" w:type="dxa"/>
        <w:tblLayout w:type="fixed"/>
        <w:tblCellMar>
          <w:top w:w="15" w:type="dxa"/>
          <w:left w:w="15" w:type="dxa"/>
          <w:bottom w:w="15" w:type="dxa"/>
          <w:right w:w="15" w:type="dxa"/>
        </w:tblCellMar>
      </w:tblPr>
      <w:tblGrid>
        <w:gridCol w:w="2319"/>
        <w:gridCol w:w="2318"/>
        <w:gridCol w:w="1243"/>
        <w:gridCol w:w="1177"/>
        <w:gridCol w:w="2029"/>
      </w:tblGrid>
      <w:tr>
        <w:tblPrEx>
          <w:tblLayout w:type="fixed"/>
          <w:tblCellMar>
            <w:top w:w="15" w:type="dxa"/>
            <w:left w:w="15" w:type="dxa"/>
            <w:bottom w:w="15" w:type="dxa"/>
            <w:right w:w="15" w:type="dxa"/>
          </w:tblCellMar>
        </w:tblPrEx>
        <w:trPr>
          <w:tblHeader/>
        </w:trPr>
        <w:tc>
          <w:tcPr>
            <w:tcW w:w="9086" w:type="dxa"/>
            <w:gridSpan w:val="5"/>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7"/>
                <w:szCs w:val="27"/>
              </w:rPr>
            </w:pPr>
            <w:r>
              <w:rPr>
                <w:rFonts w:ascii="宋体" w:hAnsi="宋体" w:eastAsia="宋体" w:cs="宋体"/>
                <w:b w:val="0"/>
                <w:bCs w:val="0"/>
                <w:i w:val="0"/>
                <w:iCs w:val="0"/>
                <w:smallCaps w:val="0"/>
                <w:color w:val="000000"/>
                <w:kern w:val="0"/>
                <w:sz w:val="27"/>
                <w:szCs w:val="27"/>
              </w:rPr>
              <w:t>国有资本经营预算财政拨款支出决算表</w:t>
            </w:r>
          </w:p>
        </w:tc>
      </w:tr>
      <w:tr>
        <w:tblPrEx>
          <w:tblLayout w:type="fixed"/>
          <w:tblCellMar>
            <w:top w:w="15" w:type="dxa"/>
            <w:left w:w="15" w:type="dxa"/>
            <w:bottom w:w="15" w:type="dxa"/>
            <w:right w:w="15" w:type="dxa"/>
          </w:tblCellMar>
        </w:tblPrEx>
        <w:trPr>
          <w:tblHeader/>
        </w:trPr>
        <w:tc>
          <w:tcPr>
            <w:tcW w:w="231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231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24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17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202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4637"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部门</w:t>
            </w:r>
            <w:r>
              <w:rPr>
                <w:rFonts w:ascii="Times New Roman" w:hAnsi="Times New Roman" w:eastAsia="Times New Roman" w:cs="Times New Roman"/>
                <w:b w:val="0"/>
                <w:bCs w:val="0"/>
                <w:i w:val="0"/>
                <w:iCs w:val="0"/>
                <w:smallCaps w:val="0"/>
                <w:color w:val="000000"/>
                <w:kern w:val="0"/>
                <w:sz w:val="29"/>
                <w:szCs w:val="29"/>
              </w:rPr>
              <w:t>/</w:t>
            </w:r>
            <w:r>
              <w:rPr>
                <w:rFonts w:ascii="宋体" w:hAnsi="宋体" w:eastAsia="宋体" w:cs="宋体"/>
                <w:b w:val="0"/>
                <w:bCs w:val="0"/>
                <w:i w:val="0"/>
                <w:iCs w:val="0"/>
                <w:smallCaps w:val="0"/>
                <w:color w:val="000000"/>
                <w:kern w:val="0"/>
                <w:sz w:val="29"/>
                <w:szCs w:val="29"/>
              </w:rPr>
              <w:t>单位：厦门市湖里创新实验学校</w:t>
            </w:r>
          </w:p>
        </w:tc>
        <w:tc>
          <w:tcPr>
            <w:tcW w:w="124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2024</w:t>
            </w:r>
            <w:r>
              <w:rPr>
                <w:rFonts w:ascii="宋体" w:hAnsi="宋体" w:eastAsia="宋体" w:cs="宋体"/>
                <w:b w:val="0"/>
                <w:bCs w:val="0"/>
                <w:i w:val="0"/>
                <w:iCs w:val="0"/>
                <w:smallCaps w:val="0"/>
                <w:color w:val="000000"/>
                <w:kern w:val="0"/>
                <w:sz w:val="29"/>
                <w:szCs w:val="29"/>
              </w:rPr>
              <w:t>年度</w:t>
            </w:r>
          </w:p>
        </w:tc>
        <w:tc>
          <w:tcPr>
            <w:tcW w:w="117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202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金额单位：万元</w:t>
            </w:r>
          </w:p>
        </w:tc>
      </w:tr>
      <w:tr>
        <w:tblPrEx>
          <w:tblLayout w:type="fixed"/>
          <w:tblCellMar>
            <w:top w:w="15" w:type="dxa"/>
            <w:left w:w="15" w:type="dxa"/>
            <w:bottom w:w="15" w:type="dxa"/>
            <w:right w:w="15" w:type="dxa"/>
          </w:tblCellMar>
        </w:tblPrEx>
        <w:tc>
          <w:tcPr>
            <w:tcW w:w="4637"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项目</w:t>
            </w:r>
          </w:p>
        </w:tc>
        <w:tc>
          <w:tcPr>
            <w:tcW w:w="4449"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本年支出</w:t>
            </w:r>
          </w:p>
        </w:tc>
      </w:tr>
      <w:tr>
        <w:tblPrEx>
          <w:tblLayout w:type="fixed"/>
          <w:tblCellMar>
            <w:top w:w="15" w:type="dxa"/>
            <w:left w:w="15" w:type="dxa"/>
            <w:bottom w:w="15" w:type="dxa"/>
            <w:right w:w="15" w:type="dxa"/>
          </w:tblCellMar>
        </w:tblPrEx>
        <w:trPr>
          <w:tblHeader/>
        </w:trPr>
        <w:tc>
          <w:tcPr>
            <w:tcW w:w="2319"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科目代码</w:t>
            </w:r>
          </w:p>
        </w:tc>
        <w:tc>
          <w:tcPr>
            <w:tcW w:w="231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科目名称</w:t>
            </w:r>
          </w:p>
        </w:tc>
        <w:tc>
          <w:tcPr>
            <w:tcW w:w="124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合计</w:t>
            </w:r>
          </w:p>
        </w:tc>
        <w:tc>
          <w:tcPr>
            <w:tcW w:w="117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基本支出</w:t>
            </w:r>
          </w:p>
        </w:tc>
        <w:tc>
          <w:tcPr>
            <w:tcW w:w="2029"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项目支出</w:t>
            </w:r>
          </w:p>
        </w:tc>
      </w:tr>
      <w:tr>
        <w:tblPrEx>
          <w:tblLayout w:type="fixed"/>
          <w:tblCellMar>
            <w:top w:w="15" w:type="dxa"/>
            <w:left w:w="15" w:type="dxa"/>
            <w:bottom w:w="15" w:type="dxa"/>
            <w:right w:w="15" w:type="dxa"/>
          </w:tblCellMar>
        </w:tblPrEx>
        <w:trPr>
          <w:tblHeader/>
        </w:trPr>
        <w:tc>
          <w:tcPr>
            <w:tcW w:w="231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9"/>
                <w:szCs w:val="29"/>
              </w:rPr>
            </w:pPr>
          </w:p>
        </w:tc>
        <w:tc>
          <w:tcPr>
            <w:tcW w:w="231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9"/>
                <w:szCs w:val="29"/>
              </w:rPr>
            </w:pPr>
          </w:p>
        </w:tc>
        <w:tc>
          <w:tcPr>
            <w:tcW w:w="124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9"/>
                <w:szCs w:val="29"/>
              </w:rPr>
            </w:pPr>
          </w:p>
        </w:tc>
        <w:tc>
          <w:tcPr>
            <w:tcW w:w="117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9"/>
                <w:szCs w:val="29"/>
              </w:rPr>
            </w:pPr>
          </w:p>
        </w:tc>
        <w:tc>
          <w:tcPr>
            <w:tcW w:w="202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9"/>
                <w:szCs w:val="29"/>
              </w:rPr>
            </w:pPr>
          </w:p>
        </w:tc>
      </w:tr>
      <w:tr>
        <w:tblPrEx>
          <w:tblLayout w:type="fixed"/>
          <w:tblCellMar>
            <w:top w:w="15" w:type="dxa"/>
            <w:left w:w="15" w:type="dxa"/>
            <w:bottom w:w="15" w:type="dxa"/>
            <w:right w:w="15" w:type="dxa"/>
          </w:tblCellMar>
        </w:tblPrEx>
        <w:trPr>
          <w:tblHeader/>
        </w:trPr>
        <w:tc>
          <w:tcPr>
            <w:tcW w:w="231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9"/>
                <w:szCs w:val="29"/>
              </w:rPr>
            </w:pPr>
          </w:p>
        </w:tc>
        <w:tc>
          <w:tcPr>
            <w:tcW w:w="231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9"/>
                <w:szCs w:val="29"/>
              </w:rPr>
            </w:pPr>
          </w:p>
        </w:tc>
        <w:tc>
          <w:tcPr>
            <w:tcW w:w="124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9"/>
                <w:szCs w:val="29"/>
              </w:rPr>
            </w:pPr>
          </w:p>
        </w:tc>
        <w:tc>
          <w:tcPr>
            <w:tcW w:w="117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9"/>
                <w:szCs w:val="29"/>
              </w:rPr>
            </w:pPr>
          </w:p>
        </w:tc>
        <w:tc>
          <w:tcPr>
            <w:tcW w:w="2029"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29"/>
                <w:szCs w:val="29"/>
              </w:rPr>
            </w:pPr>
          </w:p>
        </w:tc>
      </w:tr>
      <w:tr>
        <w:tblPrEx>
          <w:tblLayout w:type="fixed"/>
          <w:tblCellMar>
            <w:top w:w="15" w:type="dxa"/>
            <w:left w:w="15" w:type="dxa"/>
            <w:bottom w:w="15" w:type="dxa"/>
            <w:right w:w="15" w:type="dxa"/>
          </w:tblCellMar>
        </w:tblPrEx>
        <w:tc>
          <w:tcPr>
            <w:tcW w:w="4637"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栏次</w:t>
            </w:r>
          </w:p>
        </w:tc>
        <w:tc>
          <w:tcPr>
            <w:tcW w:w="12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1</w:t>
            </w:r>
          </w:p>
        </w:tc>
        <w:tc>
          <w:tcPr>
            <w:tcW w:w="11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2</w:t>
            </w:r>
          </w:p>
        </w:tc>
        <w:tc>
          <w:tcPr>
            <w:tcW w:w="20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3</w:t>
            </w:r>
          </w:p>
        </w:tc>
      </w:tr>
      <w:tr>
        <w:tblPrEx>
          <w:tblLayout w:type="fixed"/>
          <w:tblCellMar>
            <w:top w:w="15" w:type="dxa"/>
            <w:left w:w="15" w:type="dxa"/>
            <w:bottom w:w="15" w:type="dxa"/>
            <w:right w:w="15" w:type="dxa"/>
          </w:tblCellMar>
        </w:tblPrEx>
        <w:tc>
          <w:tcPr>
            <w:tcW w:w="4637"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29"/>
                <w:szCs w:val="29"/>
              </w:rPr>
            </w:pPr>
            <w:r>
              <w:rPr>
                <w:rFonts w:ascii="宋体" w:hAnsi="宋体" w:eastAsia="宋体" w:cs="宋体"/>
                <w:b w:val="0"/>
                <w:bCs w:val="0"/>
                <w:i w:val="0"/>
                <w:iCs w:val="0"/>
                <w:smallCaps w:val="0"/>
                <w:color w:val="000000"/>
                <w:kern w:val="0"/>
                <w:sz w:val="29"/>
                <w:szCs w:val="29"/>
              </w:rPr>
              <w:t>合计</w:t>
            </w:r>
          </w:p>
        </w:tc>
        <w:tc>
          <w:tcPr>
            <w:tcW w:w="12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20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23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231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2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11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c>
          <w:tcPr>
            <w:tcW w:w="20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c>
          <w:tcPr>
            <w:tcW w:w="9086" w:type="dxa"/>
            <w:gridSpan w:val="5"/>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26"/>
                <w:szCs w:val="26"/>
              </w:rPr>
            </w:pPr>
            <w:r>
              <w:rPr>
                <w:rFonts w:ascii="宋体" w:hAnsi="宋体" w:eastAsia="宋体" w:cs="宋体"/>
                <w:b w:val="0"/>
                <w:bCs w:val="0"/>
                <w:i w:val="0"/>
                <w:iCs w:val="0"/>
                <w:smallCaps w:val="0"/>
                <w:color w:val="000000"/>
                <w:kern w:val="0"/>
                <w:sz w:val="26"/>
                <w:szCs w:val="26"/>
              </w:rPr>
              <w:t>注：本表反映部门本年度国有资本经营预算财政拨款支出情况。</w:t>
            </w:r>
          </w:p>
        </w:tc>
      </w:tr>
    </w:tbl>
    <w:p>
      <w:pPr>
        <w:pStyle w:val="5"/>
        <w:keepNext w:val="0"/>
        <w:keepLines w:val="0"/>
        <w:spacing w:before="100" w:after="100" w:line="240" w:lineRule="auto"/>
        <w:ind w:left="0" w:right="0" w:firstLine="0" w:firstLineChars="0"/>
        <w:rPr>
          <w:rFonts w:ascii="Times New Roman" w:hAnsi="Times New Roman" w:eastAsia="Times New Roman" w:cs="Times New Roman"/>
          <w:b/>
          <w:bCs/>
          <w:kern w:val="0"/>
          <w:sz w:val="28"/>
          <w:szCs w:val="28"/>
        </w:rPr>
      </w:pPr>
      <w:r>
        <w:rPr>
          <w:rFonts w:ascii="黑体" w:hAnsi="黑体" w:eastAsia="黑体" w:cs="黑体"/>
          <w:b/>
          <w:spacing w:val="0"/>
        </w:rPr>
        <w:t>九、国有资本经营预算财政拨款支出决算表</w:t>
      </w:r>
      <w:bookmarkEnd w:id="57"/>
      <w:bookmarkEnd w:id="58"/>
      <w:bookmarkEnd w:id="59"/>
      <w:bookmarkEnd w:id="60"/>
    </w:p>
    <w:p/>
    <w:p>
      <w:pPr>
        <w:bidi w:val="0"/>
        <w:rPr>
          <w:rFonts w:ascii="Times New Roman" w:hAnsi="Times New Roman" w:eastAsia="宋体" w:cs="Times New Roman"/>
          <w:kern w:val="2"/>
          <w:sz w:val="21"/>
          <w:szCs w:val="24"/>
          <w:lang w:val="en-US" w:eastAsia="zh-CN" w:bidi="ar-SA"/>
        </w:rPr>
      </w:pPr>
    </w:p>
    <w:p>
      <w:pPr>
        <w:bidi w:val="0"/>
        <w:rPr>
          <w:lang w:val="en-US" w:eastAsia="zh-CN"/>
        </w:rPr>
      </w:pPr>
    </w:p>
    <w:p>
      <w:pPr>
        <w:bidi w:val="0"/>
        <w:rPr>
          <w:lang w:val="en-US" w:eastAsia="zh-CN"/>
        </w:rPr>
      </w:pPr>
    </w:p>
    <w:p>
      <w:pPr>
        <w:tabs>
          <w:tab w:val="left" w:pos="493"/>
        </w:tabs>
        <w:bidi w:val="0"/>
        <w:jc w:val="left"/>
        <w:rPr>
          <w:rFonts w:hint="default" w:ascii="Times New Roman" w:hAnsi="Times New Roman" w:eastAsia="Times New Roman" w:cs="Times New Roman"/>
          <w:kern w:val="0"/>
          <w:sz w:val="24"/>
          <w:lang w:val="en-US"/>
        </w:rPr>
        <w:sectPr>
          <w:footerReference r:id="rId12" w:type="default"/>
          <w:pgSz w:w="11906" w:h="16383"/>
          <w:pgMar w:top="1800" w:right="1440" w:bottom="1800" w:left="1440" w:header="720" w:footer="720" w:gutter="0"/>
          <w:cols w:space="720" w:num="1"/>
        </w:sectPr>
      </w:pPr>
      <w:r>
        <w:rPr>
          <w:rFonts w:hint="eastAsia"/>
          <w:lang w:val="en-US" w:eastAsia="zh-CN"/>
        </w:rPr>
        <w:tab/>
      </w:r>
      <w:r>
        <w:rPr>
          <w:rFonts w:hint="eastAsia" w:ascii="仿宋" w:hAnsi="仿宋" w:eastAsia="仿宋" w:cs="仿宋"/>
          <w:spacing w:val="0"/>
          <w:kern w:val="0"/>
          <w:sz w:val="32"/>
          <w:szCs w:val="32"/>
        </w:rPr>
        <w:t>本单位 2024 年度没有</w:t>
      </w:r>
      <w:r>
        <w:rPr>
          <w:rFonts w:hint="eastAsia" w:ascii="仿宋" w:hAnsi="仿宋" w:eastAsia="仿宋" w:cs="仿宋"/>
          <w:spacing w:val="0"/>
          <w:kern w:val="0"/>
          <w:sz w:val="32"/>
          <w:szCs w:val="32"/>
          <w:lang w:val="en-US" w:eastAsia="zh-CN"/>
        </w:rPr>
        <w:t>国有资本经营预算财政拨款支出。</w:t>
      </w:r>
    </w:p>
    <w:p>
      <w:pPr>
        <w:pStyle w:val="28"/>
        <w:widowControl/>
        <w:spacing w:before="240" w:after="240"/>
        <w:jc w:val="left"/>
        <w:rPr>
          <w:rFonts w:ascii="Times New Roman" w:hAnsi="Times New Roman" w:eastAsia="Times New Roman" w:cs="Times New Roman"/>
          <w:kern w:val="0"/>
          <w:sz w:val="24"/>
        </w:rPr>
      </w:pPr>
    </w:p>
    <w:p>
      <w:pPr>
        <w:pStyle w:val="28"/>
        <w:widowControl/>
        <w:spacing w:before="240" w:after="240"/>
        <w:jc w:val="left"/>
        <w:rPr>
          <w:rFonts w:ascii="Times New Roman" w:hAnsi="Times New Roman" w:eastAsia="Times New Roman" w:cs="Times New Roman"/>
          <w:kern w:val="0"/>
          <w:sz w:val="24"/>
        </w:rPr>
      </w:pPr>
    </w:p>
    <w:p>
      <w:pPr>
        <w:pStyle w:val="28"/>
        <w:widowControl/>
        <w:spacing w:before="240" w:after="240"/>
        <w:jc w:val="left"/>
        <w:rPr>
          <w:rFonts w:ascii="Times New Roman" w:hAnsi="Times New Roman" w:eastAsia="Times New Roman" w:cs="Times New Roman"/>
          <w:kern w:val="0"/>
          <w:sz w:val="24"/>
        </w:rPr>
      </w:pPr>
    </w:p>
    <w:p>
      <w:pPr>
        <w:pStyle w:val="28"/>
        <w:widowControl/>
        <w:spacing w:before="240" w:after="240"/>
        <w:jc w:val="left"/>
        <w:rPr>
          <w:rFonts w:ascii="Times New Roman" w:hAnsi="Times New Roman" w:eastAsia="Times New Roman" w:cs="Times New Roman"/>
          <w:kern w:val="0"/>
          <w:sz w:val="24"/>
        </w:rPr>
      </w:pPr>
    </w:p>
    <w:p>
      <w:pPr>
        <w:pStyle w:val="28"/>
        <w:widowControl/>
        <w:spacing w:before="240" w:after="240"/>
        <w:jc w:val="left"/>
        <w:rPr>
          <w:rFonts w:ascii="Times New Roman" w:hAnsi="Times New Roman" w:eastAsia="Times New Roman" w:cs="Times New Roman"/>
          <w:kern w:val="0"/>
          <w:sz w:val="24"/>
        </w:rPr>
      </w:pPr>
    </w:p>
    <w:p>
      <w:pPr>
        <w:pStyle w:val="28"/>
        <w:widowControl/>
        <w:spacing w:before="240" w:after="240"/>
        <w:jc w:val="left"/>
        <w:rPr>
          <w:rFonts w:ascii="Times New Roman" w:hAnsi="Times New Roman" w:eastAsia="Times New Roman" w:cs="Times New Roman"/>
          <w:kern w:val="0"/>
          <w:sz w:val="24"/>
        </w:rPr>
      </w:pPr>
    </w:p>
    <w:p>
      <w:pPr>
        <w:pStyle w:val="28"/>
        <w:widowControl/>
        <w:spacing w:before="240" w:after="240"/>
        <w:jc w:val="left"/>
        <w:rPr>
          <w:rFonts w:ascii="Times New Roman" w:hAnsi="Times New Roman" w:eastAsia="Times New Roman" w:cs="Times New Roman"/>
          <w:kern w:val="0"/>
          <w:sz w:val="24"/>
        </w:rPr>
      </w:pPr>
    </w:p>
    <w:p>
      <w:pPr>
        <w:pStyle w:val="28"/>
        <w:widowControl/>
        <w:spacing w:before="240" w:after="240"/>
        <w:jc w:val="left"/>
        <w:rPr>
          <w:rFonts w:ascii="Times New Roman" w:hAnsi="Times New Roman" w:eastAsia="Times New Roman" w:cs="Times New Roman"/>
          <w:kern w:val="0"/>
          <w:sz w:val="24"/>
        </w:rPr>
      </w:pPr>
    </w:p>
    <w:p>
      <w:pPr>
        <w:pStyle w:val="3"/>
        <w:keepNext w:val="0"/>
        <w:keepLines w:val="0"/>
        <w:spacing w:before="100" w:after="100" w:line="240" w:lineRule="auto"/>
        <w:ind w:left="0" w:right="0" w:firstLine="0" w:firstLineChars="0"/>
        <w:jc w:val="center"/>
        <w:rPr>
          <w:rFonts w:ascii="Times New Roman" w:hAnsi="Times New Roman" w:eastAsia="Times New Roman" w:cs="Times New Roman"/>
          <w:b/>
          <w:bCs/>
          <w:kern w:val="0"/>
          <w:sz w:val="36"/>
          <w:szCs w:val="36"/>
        </w:rPr>
      </w:pPr>
      <w:bookmarkStart w:id="61" w:name="_Toc256000109"/>
      <w:bookmarkStart w:id="62" w:name="_Toc256000016"/>
      <w:bookmarkStart w:id="63" w:name="_Toc256000047"/>
      <w:bookmarkStart w:id="64" w:name="_Toc256000078"/>
      <w:r>
        <w:rPr>
          <w:rFonts w:ascii="黑体" w:hAnsi="黑体" w:eastAsia="黑体" w:cs="黑体"/>
          <w:b/>
          <w:spacing w:val="0"/>
          <w:sz w:val="56"/>
          <w:szCs w:val="56"/>
        </w:rPr>
        <w:t>第三部分</w:t>
      </w:r>
      <w:bookmarkEnd w:id="61"/>
      <w:bookmarkEnd w:id="62"/>
      <w:bookmarkEnd w:id="63"/>
      <w:bookmarkEnd w:id="64"/>
    </w:p>
    <w:p>
      <w:pPr>
        <w:pStyle w:val="3"/>
        <w:keepNext w:val="0"/>
        <w:keepLines w:val="0"/>
        <w:spacing w:before="100" w:after="100" w:line="600" w:lineRule="atLeast"/>
        <w:ind w:left="0" w:right="0" w:firstLine="0" w:firstLineChars="0"/>
        <w:jc w:val="center"/>
        <w:rPr>
          <w:rFonts w:ascii="Times New Roman" w:hAnsi="Times New Roman" w:eastAsia="Times New Roman" w:cs="Times New Roman"/>
          <w:b/>
          <w:bCs/>
          <w:kern w:val="0"/>
          <w:sz w:val="36"/>
          <w:szCs w:val="36"/>
        </w:rPr>
      </w:pPr>
      <w:bookmarkStart w:id="65" w:name="_Toc256000017"/>
      <w:bookmarkStart w:id="66" w:name="_Toc256000110"/>
      <w:bookmarkStart w:id="67" w:name="_Toc256000079"/>
      <w:bookmarkStart w:id="68" w:name="_Toc256000048"/>
      <w:r>
        <w:rPr>
          <w:rFonts w:ascii="黑体" w:hAnsi="黑体" w:eastAsia="黑体" w:cs="黑体"/>
          <w:b/>
          <w:spacing w:val="0"/>
          <w:sz w:val="56"/>
          <w:szCs w:val="56"/>
        </w:rPr>
        <w:t>2024年度决算情况说明</w:t>
      </w:r>
      <w:bookmarkEnd w:id="65"/>
      <w:bookmarkEnd w:id="66"/>
      <w:bookmarkEnd w:id="67"/>
      <w:bookmarkEnd w:id="68"/>
    </w:p>
    <w:p>
      <w:pPr>
        <w:pStyle w:val="28"/>
        <w:widowControl/>
        <w:spacing w:before="100" w:after="100" w:line="600" w:lineRule="atLeast"/>
        <w:ind w:left="0" w:right="0" w:firstLine="0"/>
        <w:jc w:val="center"/>
        <w:rPr>
          <w:rFonts w:ascii="Times New Roman" w:hAnsi="Times New Roman" w:eastAsia="Times New Roman" w:cs="Times New Roman"/>
          <w:kern w:val="0"/>
          <w:sz w:val="24"/>
        </w:rPr>
      </w:pPr>
    </w:p>
    <w:p>
      <w:pPr>
        <w:sectPr>
          <w:footerReference r:id="rId13" w:type="default"/>
          <w:pgSz w:w="11906" w:h="16838"/>
          <w:pgMar w:top="1440" w:right="720" w:bottom="1440" w:left="720" w:header="720" w:footer="720" w:gutter="0"/>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widowControl/>
        <w:spacing w:before="240" w:after="240"/>
        <w:jc w:val="left"/>
        <w:rPr>
          <w:rFonts w:ascii="Times New Roman" w:hAnsi="Times New Roman" w:eastAsia="Times New Roman" w:cs="Times New Roman"/>
          <w:kern w:val="0"/>
          <w:sz w:val="24"/>
        </w:rPr>
      </w:pPr>
    </w:p>
    <w:p>
      <w:pPr>
        <w:pStyle w:val="5"/>
        <w:keepNext w:val="0"/>
        <w:keepLines w:val="0"/>
        <w:spacing w:before="100" w:after="100" w:line="600" w:lineRule="atLeast"/>
        <w:ind w:left="0" w:right="0" w:firstLine="640" w:firstLineChars="0"/>
        <w:rPr>
          <w:rFonts w:ascii="Times New Roman" w:hAnsi="Times New Roman" w:eastAsia="Times New Roman" w:cs="Times New Roman"/>
          <w:b/>
          <w:bCs/>
          <w:kern w:val="0"/>
          <w:sz w:val="28"/>
          <w:szCs w:val="28"/>
        </w:rPr>
      </w:pPr>
      <w:bookmarkStart w:id="69" w:name="_Toc256000111"/>
      <w:bookmarkStart w:id="70" w:name="_Toc256000049"/>
      <w:bookmarkStart w:id="71" w:name="_Toc256000080"/>
      <w:bookmarkStart w:id="72" w:name="_Toc256000018"/>
      <w:r>
        <w:rPr>
          <w:rFonts w:ascii="黑体" w:hAnsi="黑体" w:eastAsia="黑体" w:cs="黑体"/>
          <w:b/>
          <w:spacing w:val="0"/>
        </w:rPr>
        <w:t>一、收入支出决算总体情况说明</w:t>
      </w:r>
      <w:bookmarkEnd w:id="69"/>
      <w:bookmarkEnd w:id="70"/>
      <w:bookmarkEnd w:id="71"/>
      <w:bookmarkEnd w:id="72"/>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ascii="楷体_GB2312" w:hAnsi="楷体_GB2312" w:eastAsia="楷体_GB2312" w:cs="楷体_GB2312"/>
          <w:spacing w:val="0"/>
          <w:kern w:val="0"/>
          <w:sz w:val="32"/>
          <w:szCs w:val="32"/>
        </w:rPr>
        <w:t>（一）收入支出决算总体情况说明</w:t>
      </w:r>
    </w:p>
    <w:p>
      <w:pPr>
        <w:pStyle w:val="28"/>
        <w:widowControl/>
        <w:spacing w:before="100" w:after="100" w:line="600" w:lineRule="atLeast"/>
        <w:ind w:left="0" w:right="0" w:firstLine="640"/>
        <w:jc w:val="left"/>
        <w:rPr>
          <w:rFonts w:hint="default" w:ascii="Times New Roman" w:hAnsi="Times New Roman" w:eastAsia="仿宋" w:cs="Times New Roman"/>
          <w:kern w:val="0"/>
          <w:sz w:val="24"/>
          <w:lang w:val="en-US" w:eastAsia="zh-CN"/>
        </w:rPr>
      </w:pPr>
      <w:r>
        <w:rPr>
          <w:rFonts w:ascii="仿宋" w:hAnsi="仿宋" w:eastAsia="仿宋" w:cs="仿宋"/>
          <w:spacing w:val="0"/>
          <w:kern w:val="0"/>
          <w:sz w:val="32"/>
          <w:szCs w:val="32"/>
        </w:rPr>
        <w:t>2024年度本单位收入总计435.20万元，支出总计435.20万元，与上年决算数相比，各增加435.20万元，各增长</w:t>
      </w:r>
      <w:r>
        <w:rPr>
          <w:rFonts w:hint="eastAsia" w:ascii="仿宋" w:hAnsi="仿宋" w:eastAsia="仿宋" w:cs="仿宋"/>
          <w:spacing w:val="0"/>
          <w:kern w:val="0"/>
          <w:sz w:val="32"/>
          <w:szCs w:val="32"/>
          <w:lang w:val="en-US" w:eastAsia="zh-CN"/>
        </w:rPr>
        <w:t>100</w:t>
      </w:r>
      <w:r>
        <w:rPr>
          <w:rFonts w:ascii="仿宋" w:hAnsi="仿宋" w:eastAsia="仿宋" w:cs="仿宋"/>
          <w:spacing w:val="0"/>
          <w:kern w:val="0"/>
          <w:sz w:val="32"/>
          <w:szCs w:val="32"/>
        </w:rPr>
        <w:t>%。主要是</w:t>
      </w:r>
      <w:r>
        <w:rPr>
          <w:rFonts w:hint="eastAsia" w:ascii="仿宋" w:hAnsi="仿宋" w:eastAsia="仿宋" w:cs="仿宋"/>
          <w:spacing w:val="0"/>
          <w:kern w:val="0"/>
          <w:sz w:val="32"/>
          <w:szCs w:val="32"/>
          <w:lang w:val="en-US" w:eastAsia="zh-CN"/>
        </w:rPr>
        <w:t>我校为2024年9月新开办校。</w:t>
      </w:r>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ascii="楷体_GB2312" w:hAnsi="楷体_GB2312" w:eastAsia="楷体_GB2312" w:cs="楷体_GB2312"/>
          <w:spacing w:val="0"/>
          <w:kern w:val="0"/>
          <w:sz w:val="32"/>
          <w:szCs w:val="32"/>
        </w:rPr>
        <w:t>（二）收入决算情况说明</w:t>
      </w:r>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2024年度收入435.20万元，比上年决算数</w:t>
      </w:r>
      <w:r>
        <w:rPr>
          <w:rFonts w:ascii="仿宋" w:hAnsi="仿宋" w:eastAsia="仿宋" w:cs="仿宋"/>
          <w:kern w:val="0"/>
          <w:sz w:val="32"/>
          <w:szCs w:val="32"/>
        </w:rPr>
        <w:t>增加</w:t>
      </w:r>
      <w:r>
        <w:rPr>
          <w:rFonts w:ascii="仿宋" w:hAnsi="仿宋" w:eastAsia="仿宋" w:cs="仿宋"/>
          <w:spacing w:val="0"/>
          <w:kern w:val="0"/>
          <w:sz w:val="32"/>
          <w:szCs w:val="32"/>
        </w:rPr>
        <w:t>435.20万元，</w:t>
      </w:r>
      <w:r>
        <w:rPr>
          <w:rFonts w:ascii="仿宋" w:hAnsi="仿宋" w:eastAsia="仿宋" w:cs="仿宋"/>
          <w:kern w:val="0"/>
          <w:sz w:val="32"/>
          <w:szCs w:val="32"/>
        </w:rPr>
        <w:t>增长</w:t>
      </w:r>
      <w:r>
        <w:rPr>
          <w:rFonts w:hint="eastAsia" w:ascii="仿宋" w:hAnsi="仿宋" w:eastAsia="仿宋" w:cs="仿宋"/>
          <w:kern w:val="0"/>
          <w:sz w:val="32"/>
          <w:szCs w:val="32"/>
          <w:lang w:val="en-US" w:eastAsia="zh-CN"/>
        </w:rPr>
        <w:t>100</w:t>
      </w:r>
      <w:r>
        <w:rPr>
          <w:rFonts w:ascii="仿宋" w:hAnsi="仿宋" w:eastAsia="仿宋" w:cs="仿宋"/>
          <w:spacing w:val="0"/>
          <w:kern w:val="0"/>
          <w:sz w:val="32"/>
          <w:szCs w:val="32"/>
        </w:rPr>
        <w:t>%，具体情况如下：</w:t>
      </w:r>
    </w:p>
    <w:p>
      <w:pPr>
        <w:pStyle w:val="28"/>
        <w:widowControl/>
        <w:spacing w:before="100" w:after="100" w:line="600" w:lineRule="atLeast"/>
        <w:ind w:left="160" w:right="0" w:firstLine="480"/>
        <w:jc w:val="left"/>
        <w:rPr>
          <w:rFonts w:ascii="Times New Roman" w:hAnsi="Times New Roman" w:eastAsia="Times New Roman" w:cs="Times New Roman"/>
          <w:kern w:val="0"/>
          <w:sz w:val="24"/>
        </w:rPr>
      </w:pPr>
      <w:r>
        <w:rPr>
          <w:rFonts w:ascii="仿宋" w:hAnsi="仿宋" w:eastAsia="仿宋" w:cs="仿宋"/>
          <w:spacing w:val="0"/>
          <w:kern w:val="0"/>
          <w:sz w:val="32"/>
          <w:szCs w:val="32"/>
        </w:rPr>
        <w:t>1.一般公共预算财政拨款收入435.20万元。</w:t>
      </w:r>
    </w:p>
    <w:p>
      <w:pPr>
        <w:pStyle w:val="28"/>
        <w:widowControl/>
        <w:spacing w:before="100" w:after="100" w:line="600" w:lineRule="atLeast"/>
        <w:ind w:left="160" w:right="0" w:firstLine="480"/>
        <w:jc w:val="left"/>
        <w:rPr>
          <w:rFonts w:ascii="Times New Roman" w:hAnsi="Times New Roman" w:eastAsia="Times New Roman" w:cs="Times New Roman"/>
          <w:kern w:val="0"/>
          <w:sz w:val="24"/>
        </w:rPr>
      </w:pPr>
      <w:r>
        <w:rPr>
          <w:rFonts w:ascii="仿宋" w:hAnsi="仿宋" w:eastAsia="仿宋" w:cs="仿宋"/>
          <w:spacing w:val="0"/>
          <w:kern w:val="0"/>
          <w:sz w:val="32"/>
          <w:szCs w:val="32"/>
        </w:rPr>
        <w:t>2.政府性基金预算财政拨款收入0万元。</w:t>
      </w:r>
    </w:p>
    <w:p>
      <w:pPr>
        <w:pStyle w:val="28"/>
        <w:widowControl/>
        <w:spacing w:before="100" w:after="100" w:line="600" w:lineRule="atLeast"/>
        <w:ind w:left="160" w:right="0" w:firstLine="480"/>
        <w:jc w:val="left"/>
        <w:rPr>
          <w:rFonts w:ascii="Times New Roman" w:hAnsi="Times New Roman" w:eastAsia="Times New Roman" w:cs="Times New Roman"/>
          <w:kern w:val="0"/>
          <w:sz w:val="24"/>
        </w:rPr>
      </w:pPr>
      <w:r>
        <w:rPr>
          <w:rFonts w:ascii="仿宋" w:hAnsi="仿宋" w:eastAsia="仿宋" w:cs="仿宋"/>
          <w:spacing w:val="0"/>
          <w:kern w:val="0"/>
          <w:sz w:val="32"/>
          <w:szCs w:val="32"/>
        </w:rPr>
        <w:t>3.国有资本经营预算财政拨款收入0万元。</w:t>
      </w:r>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4.上级补助收入0万元。</w:t>
      </w:r>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5.事业收入0万元。</w:t>
      </w:r>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6.经营收入0万元。</w:t>
      </w:r>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7.附属单位上缴收入0万元。</w:t>
      </w:r>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8.其他收入0万元。</w:t>
      </w:r>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ascii="楷体_GB2312" w:hAnsi="楷体_GB2312" w:eastAsia="楷体_GB2312" w:cs="楷体_GB2312"/>
          <w:spacing w:val="0"/>
          <w:kern w:val="0"/>
          <w:sz w:val="32"/>
          <w:szCs w:val="32"/>
        </w:rPr>
        <w:t>（三）支出决算情况说明</w:t>
      </w:r>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2024年度支出435.20万元，比上年决算数增加435.20万元，增长</w:t>
      </w:r>
      <w:r>
        <w:rPr>
          <w:rFonts w:hint="eastAsia" w:ascii="仿宋" w:hAnsi="仿宋" w:eastAsia="仿宋" w:cs="仿宋"/>
          <w:spacing w:val="0"/>
          <w:kern w:val="0"/>
          <w:sz w:val="32"/>
          <w:szCs w:val="32"/>
          <w:lang w:val="en-US" w:eastAsia="zh-CN"/>
        </w:rPr>
        <w:t>10</w:t>
      </w:r>
      <w:r>
        <w:rPr>
          <w:rFonts w:ascii="仿宋" w:hAnsi="仿宋" w:eastAsia="仿宋" w:cs="仿宋"/>
          <w:spacing w:val="0"/>
          <w:kern w:val="0"/>
          <w:sz w:val="32"/>
          <w:szCs w:val="32"/>
        </w:rPr>
        <w:t>0%，具体情况如下：</w:t>
      </w:r>
    </w:p>
    <w:p>
      <w:pPr>
        <w:pStyle w:val="28"/>
        <w:widowControl/>
        <w:spacing w:before="100" w:after="100" w:line="600" w:lineRule="atLeast"/>
        <w:ind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1.基本支出353.40万元。其中，人员支出313.39万元，公用支出40.00万元。</w:t>
      </w:r>
    </w:p>
    <w:p>
      <w:pPr>
        <w:pStyle w:val="28"/>
        <w:widowControl/>
        <w:spacing w:before="240" w:after="240"/>
        <w:ind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2.项目支出81.80万元。</w:t>
      </w:r>
    </w:p>
    <w:p>
      <w:pPr>
        <w:pStyle w:val="28"/>
        <w:widowControl/>
        <w:spacing w:before="100" w:after="100" w:line="600" w:lineRule="atLeast"/>
        <w:ind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3.上缴上级支出0万元。</w:t>
      </w:r>
    </w:p>
    <w:p>
      <w:pPr>
        <w:pStyle w:val="28"/>
        <w:widowControl/>
        <w:spacing w:before="100" w:after="100" w:line="600" w:lineRule="atLeast"/>
        <w:ind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4.经营支出0万元。</w:t>
      </w:r>
    </w:p>
    <w:p>
      <w:pPr>
        <w:pStyle w:val="28"/>
        <w:widowControl/>
        <w:spacing w:before="100" w:after="100" w:line="600" w:lineRule="atLeast"/>
        <w:ind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5.对附属单位补助支出0万元。</w:t>
      </w:r>
    </w:p>
    <w:p>
      <w:pPr>
        <w:pStyle w:val="5"/>
        <w:keepNext w:val="0"/>
        <w:keepLines w:val="0"/>
        <w:spacing w:before="100" w:after="100" w:line="240" w:lineRule="auto"/>
        <w:ind w:left="0" w:right="0" w:firstLine="480" w:firstLineChars="0"/>
        <w:rPr>
          <w:rFonts w:ascii="Times New Roman" w:hAnsi="Times New Roman" w:eastAsia="Times New Roman" w:cs="Times New Roman"/>
          <w:b/>
          <w:bCs/>
          <w:kern w:val="0"/>
          <w:sz w:val="28"/>
          <w:szCs w:val="28"/>
        </w:rPr>
      </w:pPr>
      <w:bookmarkStart w:id="73" w:name="_Toc256000081"/>
      <w:bookmarkStart w:id="74" w:name="_Toc256000019"/>
      <w:bookmarkStart w:id="75" w:name="_Toc256000050"/>
      <w:bookmarkStart w:id="76" w:name="_Toc256000112"/>
      <w:r>
        <w:rPr>
          <w:rFonts w:ascii="黑体" w:hAnsi="黑体" w:eastAsia="黑体" w:cs="黑体"/>
          <w:b/>
          <w:spacing w:val="0"/>
        </w:rPr>
        <w:t>二、财政拨款收入支出决算总体情况说明</w:t>
      </w:r>
      <w:bookmarkEnd w:id="73"/>
      <w:bookmarkEnd w:id="74"/>
      <w:bookmarkEnd w:id="75"/>
      <w:bookmarkEnd w:id="76"/>
    </w:p>
    <w:p>
      <w:pPr>
        <w:pStyle w:val="28"/>
        <w:widowControl/>
        <w:spacing w:before="100" w:after="100" w:line="600" w:lineRule="atLeast"/>
        <w:ind w:left="0" w:right="0" w:firstLine="640"/>
        <w:jc w:val="left"/>
        <w:rPr>
          <w:rFonts w:hint="default" w:ascii="Times New Roman" w:hAnsi="Times New Roman" w:eastAsia="仿宋" w:cs="Times New Roman"/>
          <w:kern w:val="0"/>
          <w:sz w:val="24"/>
          <w:lang w:val="en-US" w:eastAsia="zh-CN"/>
        </w:rPr>
      </w:pPr>
      <w:r>
        <w:rPr>
          <w:rFonts w:ascii="仿宋" w:hAnsi="仿宋" w:eastAsia="仿宋" w:cs="仿宋"/>
          <w:spacing w:val="0"/>
          <w:kern w:val="0"/>
          <w:sz w:val="32"/>
          <w:szCs w:val="32"/>
        </w:rPr>
        <w:t>2024年度财政拨款收入总计435.20万元，支出总计435.20万元，与上年决算数相比，各增加435.20万元，增长</w:t>
      </w:r>
      <w:r>
        <w:rPr>
          <w:rFonts w:hint="eastAsia" w:ascii="仿宋" w:hAnsi="仿宋" w:eastAsia="仿宋" w:cs="仿宋"/>
          <w:spacing w:val="0"/>
          <w:kern w:val="0"/>
          <w:sz w:val="32"/>
          <w:szCs w:val="32"/>
          <w:lang w:val="en-US" w:eastAsia="zh-CN"/>
        </w:rPr>
        <w:t>10</w:t>
      </w:r>
      <w:r>
        <w:rPr>
          <w:rFonts w:ascii="仿宋" w:hAnsi="仿宋" w:eastAsia="仿宋" w:cs="仿宋"/>
          <w:spacing w:val="0"/>
          <w:kern w:val="0"/>
          <w:sz w:val="32"/>
          <w:szCs w:val="32"/>
        </w:rPr>
        <w:t>0%，主要是：</w:t>
      </w:r>
      <w:r>
        <w:rPr>
          <w:rFonts w:hint="eastAsia" w:ascii="仿宋" w:hAnsi="仿宋" w:eastAsia="仿宋" w:cs="仿宋"/>
          <w:spacing w:val="0"/>
          <w:kern w:val="0"/>
          <w:sz w:val="32"/>
          <w:szCs w:val="32"/>
          <w:lang w:val="en-US" w:eastAsia="zh-CN"/>
        </w:rPr>
        <w:t>我校为2024年9月新开办校。</w:t>
      </w:r>
    </w:p>
    <w:p>
      <w:pPr>
        <w:pStyle w:val="5"/>
        <w:keepNext w:val="0"/>
        <w:keepLines w:val="0"/>
        <w:spacing w:before="100" w:after="100" w:line="600" w:lineRule="atLeast"/>
        <w:ind w:left="0" w:right="0" w:firstLine="640" w:firstLineChars="0"/>
        <w:rPr>
          <w:rFonts w:ascii="Times New Roman" w:hAnsi="Times New Roman" w:eastAsia="Times New Roman" w:cs="Times New Roman"/>
          <w:b/>
          <w:bCs/>
          <w:kern w:val="0"/>
          <w:sz w:val="28"/>
          <w:szCs w:val="28"/>
        </w:rPr>
      </w:pPr>
      <w:bookmarkStart w:id="77" w:name="_Toc256000051"/>
      <w:bookmarkStart w:id="78" w:name="_Toc256000113"/>
      <w:bookmarkStart w:id="79" w:name="_Toc256000082"/>
      <w:bookmarkStart w:id="80" w:name="_Toc256000020"/>
      <w:r>
        <w:rPr>
          <w:rFonts w:ascii="黑体" w:hAnsi="黑体" w:eastAsia="黑体" w:cs="黑体"/>
          <w:b/>
          <w:spacing w:val="0"/>
        </w:rPr>
        <w:t>三、一般公共预算拨款支出决算情况说明</w:t>
      </w:r>
      <w:bookmarkEnd w:id="77"/>
      <w:bookmarkEnd w:id="78"/>
      <w:bookmarkEnd w:id="79"/>
      <w:bookmarkEnd w:id="80"/>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2024年一般公共预算支出435.20万元，比上年决算数增加435.20万元，增长</w:t>
      </w:r>
      <w:r>
        <w:rPr>
          <w:rFonts w:hint="eastAsia" w:ascii="仿宋" w:hAnsi="仿宋" w:eastAsia="仿宋" w:cs="仿宋"/>
          <w:spacing w:val="0"/>
          <w:kern w:val="0"/>
          <w:sz w:val="32"/>
          <w:szCs w:val="32"/>
          <w:lang w:val="en-US" w:eastAsia="zh-CN"/>
        </w:rPr>
        <w:t>10</w:t>
      </w:r>
      <w:r>
        <w:rPr>
          <w:rFonts w:ascii="仿宋" w:hAnsi="仿宋" w:eastAsia="仿宋" w:cs="仿宋"/>
          <w:spacing w:val="0"/>
          <w:kern w:val="0"/>
          <w:sz w:val="32"/>
          <w:szCs w:val="32"/>
        </w:rPr>
        <w:t>0%，具体情况如下(按</w:t>
      </w:r>
      <w:r>
        <w:rPr>
          <w:rStyle w:val="30"/>
          <w:rFonts w:ascii="仿宋" w:hAnsi="仿宋" w:eastAsia="仿宋" w:cs="仿宋"/>
          <w:spacing w:val="0"/>
          <w:kern w:val="0"/>
          <w:sz w:val="32"/>
          <w:szCs w:val="32"/>
        </w:rPr>
        <w:t>项级科目</w:t>
      </w:r>
      <w:r>
        <w:rPr>
          <w:rFonts w:ascii="仿宋" w:hAnsi="仿宋" w:eastAsia="仿宋" w:cs="仿宋"/>
          <w:spacing w:val="0"/>
          <w:kern w:val="0"/>
          <w:sz w:val="32"/>
          <w:szCs w:val="32"/>
        </w:rPr>
        <w:t>分类统计)：</w:t>
      </w:r>
    </w:p>
    <w:p>
      <w:pPr>
        <w:pStyle w:val="28"/>
        <w:widowControl/>
        <w:spacing w:before="100" w:after="100" w:line="600" w:lineRule="atLeast"/>
        <w:ind w:right="0" w:firstLine="640" w:firstLineChars="200"/>
        <w:jc w:val="left"/>
        <w:rPr>
          <w:rFonts w:ascii="Times New Roman" w:hAnsi="Times New Roman" w:eastAsia="Times New Roman" w:cs="Times New Roman"/>
          <w:kern w:val="0"/>
          <w:sz w:val="24"/>
        </w:rPr>
      </w:pPr>
      <w:r>
        <w:rPr>
          <w:rFonts w:ascii="仿宋" w:hAnsi="仿宋" w:eastAsia="仿宋" w:cs="仿宋"/>
          <w:spacing w:val="0"/>
          <w:kern w:val="0"/>
          <w:sz w:val="32"/>
          <w:szCs w:val="32"/>
        </w:rPr>
        <w:t>（一）2050202 小学教育77.85万元，较上年决算数增加77.85万元，增长100%。主要原因是</w:t>
      </w:r>
      <w:r>
        <w:rPr>
          <w:rFonts w:hint="eastAsia" w:ascii="仿宋" w:hAnsi="仿宋" w:eastAsia="仿宋" w:cs="仿宋"/>
          <w:spacing w:val="0"/>
          <w:kern w:val="0"/>
          <w:sz w:val="32"/>
          <w:szCs w:val="32"/>
          <w:lang w:val="en-US" w:eastAsia="zh-CN"/>
        </w:rPr>
        <w:t>我校为2024年9月新开办校。</w:t>
      </w:r>
      <w:r>
        <w:rPr>
          <w:rFonts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ascii="仿宋" w:hAnsi="仿宋" w:eastAsia="仿宋" w:cs="仿宋"/>
          <w:spacing w:val="0"/>
          <w:kern w:val="0"/>
          <w:sz w:val="32"/>
          <w:szCs w:val="32"/>
        </w:rPr>
        <w:t>（二）2050203 初中教育237.28万元，较上年决算数增加237.28万元，增长100%。主要原因是</w:t>
      </w:r>
      <w:r>
        <w:rPr>
          <w:rFonts w:hint="eastAsia" w:ascii="仿宋" w:hAnsi="仿宋" w:eastAsia="仿宋" w:cs="仿宋"/>
          <w:spacing w:val="0"/>
          <w:kern w:val="0"/>
          <w:sz w:val="32"/>
          <w:szCs w:val="32"/>
          <w:lang w:val="en-US" w:eastAsia="zh-CN"/>
        </w:rPr>
        <w:t>我校为2024年9月新开办校。</w:t>
      </w:r>
      <w:r>
        <w:rPr>
          <w:rFonts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ascii="仿宋" w:hAnsi="仿宋" w:eastAsia="仿宋" w:cs="仿宋"/>
          <w:spacing w:val="0"/>
          <w:kern w:val="0"/>
          <w:sz w:val="32"/>
          <w:szCs w:val="32"/>
        </w:rPr>
        <w:t>（三）2050299 其他普通教育支出72.04万元，较上年决算数增加72.04万元，增长100%。主要原因是</w:t>
      </w:r>
      <w:r>
        <w:rPr>
          <w:rFonts w:hint="eastAsia" w:ascii="仿宋" w:hAnsi="仿宋" w:eastAsia="仿宋" w:cs="仿宋"/>
          <w:spacing w:val="0"/>
          <w:kern w:val="0"/>
          <w:sz w:val="32"/>
          <w:szCs w:val="32"/>
          <w:lang w:val="en-US" w:eastAsia="zh-CN"/>
        </w:rPr>
        <w:t>我校为2024年9月新开办校。</w:t>
      </w:r>
      <w:r>
        <w:rPr>
          <w:rFonts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ascii="仿宋" w:hAnsi="仿宋" w:eastAsia="仿宋" w:cs="仿宋"/>
          <w:spacing w:val="0"/>
          <w:kern w:val="0"/>
          <w:sz w:val="32"/>
          <w:szCs w:val="32"/>
        </w:rPr>
        <w:t>（四）2050999 其他教育费附加安排的支出9.76万元，较上年决算数增加9.76万元，增长100%。主要原因是</w:t>
      </w:r>
      <w:r>
        <w:rPr>
          <w:rFonts w:hint="eastAsia" w:ascii="仿宋" w:hAnsi="仿宋" w:eastAsia="仿宋" w:cs="仿宋"/>
          <w:spacing w:val="0"/>
          <w:kern w:val="0"/>
          <w:sz w:val="32"/>
          <w:szCs w:val="32"/>
          <w:lang w:val="en-US" w:eastAsia="zh-CN"/>
        </w:rPr>
        <w:t>我校为2024年9月新开办校。</w:t>
      </w:r>
      <w:r>
        <w:rPr>
          <w:rFonts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ascii="仿宋" w:hAnsi="仿宋" w:eastAsia="仿宋" w:cs="仿宋"/>
          <w:spacing w:val="0"/>
          <w:kern w:val="0"/>
          <w:sz w:val="32"/>
          <w:szCs w:val="32"/>
        </w:rPr>
        <w:t>（五）2080505 机关事业单位基本养老保险缴费支出17.83万元，较上年决算数增加17.83万元，增长100%。主要原因是</w:t>
      </w:r>
      <w:r>
        <w:rPr>
          <w:rFonts w:hint="eastAsia" w:ascii="仿宋" w:hAnsi="仿宋" w:eastAsia="仿宋" w:cs="仿宋"/>
          <w:spacing w:val="0"/>
          <w:kern w:val="0"/>
          <w:sz w:val="32"/>
          <w:szCs w:val="32"/>
          <w:lang w:val="en-US" w:eastAsia="zh-CN"/>
        </w:rPr>
        <w:t>我校为2024年9月新开办校。</w:t>
      </w:r>
      <w:r>
        <w:rPr>
          <w:rFonts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ascii="仿宋" w:hAnsi="仿宋" w:eastAsia="仿宋" w:cs="仿宋"/>
          <w:spacing w:val="0"/>
          <w:kern w:val="0"/>
          <w:sz w:val="32"/>
          <w:szCs w:val="32"/>
        </w:rPr>
        <w:t>（六）2080506 机关事业单位职业年金缴费支出8.91万元，较上年决算数增加8.91万元，增长100%。主要原因是</w:t>
      </w:r>
      <w:r>
        <w:rPr>
          <w:rFonts w:hint="eastAsia" w:ascii="仿宋" w:hAnsi="仿宋" w:eastAsia="仿宋" w:cs="仿宋"/>
          <w:spacing w:val="0"/>
          <w:kern w:val="0"/>
          <w:sz w:val="32"/>
          <w:szCs w:val="32"/>
          <w:lang w:val="en-US" w:eastAsia="zh-CN"/>
        </w:rPr>
        <w:t>我校为2024年9月新开办校。</w:t>
      </w:r>
      <w:r>
        <w:rPr>
          <w:rFonts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ascii="仿宋" w:hAnsi="仿宋" w:eastAsia="仿宋" w:cs="仿宋"/>
          <w:spacing w:val="0"/>
          <w:kern w:val="0"/>
          <w:sz w:val="32"/>
          <w:szCs w:val="32"/>
        </w:rPr>
        <w:t>（七）2101102 事业单位医疗7.63万元，较上年决算数增加7.63万元，增长100%。主要原因是</w:t>
      </w:r>
      <w:r>
        <w:rPr>
          <w:rFonts w:hint="eastAsia" w:ascii="仿宋" w:hAnsi="仿宋" w:eastAsia="仿宋" w:cs="仿宋"/>
          <w:spacing w:val="0"/>
          <w:kern w:val="0"/>
          <w:sz w:val="32"/>
          <w:szCs w:val="32"/>
          <w:lang w:val="en-US" w:eastAsia="zh-CN"/>
        </w:rPr>
        <w:t>我校为2024年9月新开办校。</w:t>
      </w:r>
      <w:r>
        <w:rPr>
          <w:rFonts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ascii="仿宋" w:hAnsi="仿宋" w:eastAsia="仿宋" w:cs="仿宋"/>
          <w:spacing w:val="0"/>
          <w:kern w:val="0"/>
          <w:sz w:val="32"/>
          <w:szCs w:val="32"/>
        </w:rPr>
        <w:t>（八）2101199 其他行政事业单位医疗支出3.90万元，较上年决算数增加3.90万元，增长100%。主要原因是</w:t>
      </w:r>
      <w:r>
        <w:rPr>
          <w:rFonts w:hint="eastAsia" w:ascii="仿宋" w:hAnsi="仿宋" w:eastAsia="仿宋" w:cs="仿宋"/>
          <w:spacing w:val="0"/>
          <w:kern w:val="0"/>
          <w:sz w:val="32"/>
          <w:szCs w:val="32"/>
          <w:lang w:val="en-US" w:eastAsia="zh-CN"/>
        </w:rPr>
        <w:t>我校为2024年9月新开办校。</w:t>
      </w:r>
    </w:p>
    <w:p>
      <w:pPr>
        <w:pStyle w:val="5"/>
        <w:keepNext w:val="0"/>
        <w:keepLines w:val="0"/>
        <w:spacing w:before="100" w:after="100" w:line="600" w:lineRule="atLeast"/>
        <w:ind w:left="0" w:right="0" w:firstLine="640" w:firstLineChars="0"/>
        <w:rPr>
          <w:rFonts w:ascii="Times New Roman" w:hAnsi="Times New Roman" w:eastAsia="Times New Roman" w:cs="Times New Roman"/>
          <w:b/>
          <w:bCs/>
          <w:kern w:val="0"/>
          <w:sz w:val="28"/>
          <w:szCs w:val="28"/>
        </w:rPr>
      </w:pPr>
      <w:bookmarkStart w:id="81" w:name="_Toc256000114"/>
      <w:bookmarkStart w:id="82" w:name="_Toc256000052"/>
      <w:bookmarkStart w:id="83" w:name="_Toc256000083"/>
      <w:bookmarkStart w:id="84" w:name="_Toc256000021"/>
      <w:r>
        <w:rPr>
          <w:rFonts w:ascii="黑体" w:hAnsi="黑体" w:eastAsia="黑体" w:cs="黑体"/>
          <w:b/>
          <w:spacing w:val="0"/>
        </w:rPr>
        <w:t>四、政府性基金预算财政拨款支出决算情况说明</w:t>
      </w:r>
      <w:bookmarkEnd w:id="81"/>
      <w:bookmarkEnd w:id="82"/>
      <w:bookmarkEnd w:id="83"/>
      <w:bookmarkEnd w:id="84"/>
    </w:p>
    <w:p>
      <w:pPr>
        <w:pStyle w:val="28"/>
        <w:widowControl/>
        <w:spacing w:before="100" w:after="100" w:line="600" w:lineRule="atLeast"/>
        <w:ind w:left="0" w:right="0" w:firstLine="640"/>
        <w:jc w:val="left"/>
        <w:rPr>
          <w:rFonts w:hint="default"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2024年度政府性基金支出0万元，比上年决算数增加0万元，增长0%。</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lang w:eastAsia="zh-CN"/>
        </w:rPr>
      </w:pPr>
      <w:r>
        <w:rPr>
          <w:rFonts w:hint="eastAsia" w:ascii="仿宋" w:hAnsi="仿宋" w:eastAsia="仿宋" w:cs="仿宋"/>
          <w:spacing w:val="0"/>
          <w:kern w:val="0"/>
          <w:sz w:val="32"/>
          <w:szCs w:val="32"/>
        </w:rPr>
        <w:t>本单位2024年度没有使用政府性基金预算拨款安排的支出</w:t>
      </w:r>
      <w:r>
        <w:rPr>
          <w:rFonts w:hint="eastAsia" w:ascii="仿宋" w:hAnsi="仿宋" w:eastAsia="仿宋" w:cs="仿宋"/>
          <w:spacing w:val="0"/>
          <w:kern w:val="0"/>
          <w:sz w:val="32"/>
          <w:szCs w:val="32"/>
          <w:lang w:eastAsia="zh-CN"/>
        </w:rPr>
        <w:t>。</w:t>
      </w:r>
    </w:p>
    <w:p>
      <w:pPr>
        <w:pStyle w:val="5"/>
        <w:keepNext w:val="0"/>
        <w:keepLines w:val="0"/>
        <w:spacing w:before="100" w:after="100" w:line="600" w:lineRule="atLeast"/>
        <w:ind w:left="0" w:right="0" w:firstLine="640" w:firstLineChars="0"/>
        <w:rPr>
          <w:rFonts w:ascii="Times New Roman" w:hAnsi="Times New Roman" w:eastAsia="Times New Roman" w:cs="Times New Roman"/>
          <w:b/>
          <w:bCs/>
          <w:kern w:val="0"/>
          <w:sz w:val="28"/>
          <w:szCs w:val="28"/>
        </w:rPr>
      </w:pPr>
      <w:bookmarkStart w:id="85" w:name="_Toc256000084"/>
      <w:bookmarkStart w:id="86" w:name="_Toc256000115"/>
      <w:bookmarkStart w:id="87" w:name="_Toc256000053"/>
      <w:bookmarkStart w:id="88" w:name="_Toc256000022"/>
      <w:r>
        <w:rPr>
          <w:rFonts w:ascii="黑体" w:hAnsi="黑体" w:eastAsia="黑体" w:cs="黑体"/>
          <w:b/>
          <w:spacing w:val="0"/>
        </w:rPr>
        <w:t>五、国有资本经营预算财政拨款支出决算情况说明</w:t>
      </w:r>
      <w:bookmarkEnd w:id="85"/>
      <w:bookmarkEnd w:id="86"/>
      <w:bookmarkEnd w:id="87"/>
      <w:bookmarkEnd w:id="88"/>
    </w:p>
    <w:p>
      <w:pPr>
        <w:pStyle w:val="28"/>
        <w:widowControl/>
        <w:spacing w:before="100" w:after="100" w:line="600" w:lineRule="atLeast"/>
        <w:ind w:left="0" w:right="0" w:firstLine="640"/>
        <w:jc w:val="left"/>
        <w:rPr>
          <w:rFonts w:hint="eastAsia" w:ascii="仿宋" w:hAnsi="仿宋" w:eastAsia="仿宋" w:cs="仿宋"/>
          <w:spacing w:val="0"/>
          <w:kern w:val="0"/>
          <w:sz w:val="32"/>
          <w:szCs w:val="32"/>
        </w:rPr>
      </w:pPr>
      <w:r>
        <w:rPr>
          <w:rFonts w:hint="eastAsia" w:ascii="仿宋" w:hAnsi="仿宋" w:eastAsia="仿宋" w:cs="仿宋"/>
          <w:spacing w:val="0"/>
          <w:kern w:val="0"/>
          <w:sz w:val="32"/>
          <w:szCs w:val="32"/>
          <w:lang w:val="en-US" w:eastAsia="zh-CN"/>
        </w:rPr>
        <w:t>2024年度国有资本经营预算支出0万元，比上年决算数增加0万元，增长0%。</w:t>
      </w:r>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hint="eastAsia" w:ascii="仿宋" w:hAnsi="仿宋" w:eastAsia="仿宋" w:cs="仿宋"/>
          <w:spacing w:val="0"/>
          <w:kern w:val="0"/>
          <w:sz w:val="32"/>
          <w:szCs w:val="32"/>
        </w:rPr>
        <w:t>本单位2024年度没有使用国有资本经营预算财政拨款安排的支出</w:t>
      </w:r>
      <w:r>
        <w:rPr>
          <w:rFonts w:hint="eastAsia" w:ascii="仿宋" w:hAnsi="仿宋" w:eastAsia="仿宋" w:cs="仿宋"/>
          <w:spacing w:val="0"/>
          <w:kern w:val="0"/>
          <w:sz w:val="32"/>
          <w:szCs w:val="32"/>
          <w:lang w:eastAsia="zh-CN"/>
        </w:rPr>
        <w:t>。</w:t>
      </w:r>
    </w:p>
    <w:p>
      <w:pPr>
        <w:pStyle w:val="5"/>
        <w:keepNext w:val="0"/>
        <w:keepLines w:val="0"/>
        <w:spacing w:before="100" w:after="100" w:line="600" w:lineRule="atLeast"/>
        <w:ind w:left="0" w:right="0" w:firstLine="640" w:firstLineChars="0"/>
        <w:rPr>
          <w:rFonts w:ascii="Times New Roman" w:hAnsi="Times New Roman" w:eastAsia="Times New Roman" w:cs="Times New Roman"/>
          <w:b/>
          <w:bCs/>
          <w:kern w:val="0"/>
          <w:sz w:val="28"/>
          <w:szCs w:val="28"/>
        </w:rPr>
      </w:pPr>
      <w:bookmarkStart w:id="89" w:name="_Toc256000085"/>
      <w:bookmarkStart w:id="90" w:name="_Toc256000116"/>
      <w:bookmarkStart w:id="91" w:name="_Toc256000023"/>
      <w:bookmarkStart w:id="92" w:name="_Toc256000054"/>
      <w:r>
        <w:rPr>
          <w:rFonts w:ascii="黑体" w:hAnsi="黑体" w:eastAsia="黑体" w:cs="黑体"/>
          <w:b/>
          <w:spacing w:val="0"/>
        </w:rPr>
        <w:t>六、一般公共预算财政拨款基本支出决算情况说明</w:t>
      </w:r>
      <w:bookmarkEnd w:id="89"/>
      <w:bookmarkEnd w:id="90"/>
      <w:bookmarkEnd w:id="91"/>
      <w:bookmarkEnd w:id="92"/>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2024年度一般公共预算财政拨款基本支出353.40万元，其中：</w:t>
      </w:r>
    </w:p>
    <w:p>
      <w:pPr>
        <w:pStyle w:val="28"/>
        <w:widowControl/>
        <w:spacing w:before="100" w:after="100" w:line="600" w:lineRule="atLeast"/>
        <w:ind w:right="0" w:firstLine="640" w:firstLineChars="200"/>
        <w:jc w:val="left"/>
        <w:rPr>
          <w:rFonts w:ascii="Times New Roman" w:hAnsi="Times New Roman" w:eastAsia="Times New Roman" w:cs="Times New Roman"/>
          <w:kern w:val="0"/>
          <w:sz w:val="24"/>
        </w:rPr>
      </w:pPr>
      <w:r>
        <w:rPr>
          <w:rFonts w:ascii="仿宋" w:hAnsi="仿宋" w:eastAsia="仿宋" w:cs="仿宋"/>
          <w:spacing w:val="0"/>
          <w:kern w:val="0"/>
          <w:sz w:val="32"/>
          <w:szCs w:val="32"/>
        </w:rPr>
        <w:t>（一）人员经费313.39万元，主要包括：基本工资、津贴补贴、奖金、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二）公用经费40.00万元，主要包括：办公费、印刷费、咨询费、手续费、水费、电费、邮电费、取暖费、物业管理费、差旅费、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pStyle w:val="5"/>
        <w:keepNext w:val="0"/>
        <w:keepLines w:val="0"/>
        <w:spacing w:before="100" w:after="100" w:line="600" w:lineRule="atLeast"/>
        <w:ind w:left="0" w:right="0" w:firstLine="640" w:firstLineChars="0"/>
        <w:rPr>
          <w:rFonts w:ascii="Times New Roman" w:hAnsi="Times New Roman" w:eastAsia="Times New Roman" w:cs="Times New Roman"/>
          <w:b/>
          <w:bCs/>
          <w:kern w:val="0"/>
          <w:sz w:val="28"/>
          <w:szCs w:val="28"/>
        </w:rPr>
      </w:pPr>
      <w:bookmarkStart w:id="93" w:name="_Toc256000086"/>
      <w:bookmarkStart w:id="94" w:name="_Toc256000024"/>
      <w:bookmarkStart w:id="95" w:name="_Toc256000117"/>
      <w:bookmarkStart w:id="96" w:name="_Toc256000055"/>
      <w:r>
        <w:rPr>
          <w:rFonts w:ascii="黑体" w:hAnsi="黑体" w:eastAsia="黑体" w:cs="黑体"/>
          <w:b/>
          <w:spacing w:val="0"/>
        </w:rPr>
        <w:t>七、一般公共预算拨款“三公”经费支出决算情况说明</w:t>
      </w:r>
      <w:bookmarkEnd w:id="93"/>
      <w:bookmarkEnd w:id="94"/>
      <w:bookmarkEnd w:id="95"/>
      <w:bookmarkEnd w:id="96"/>
    </w:p>
    <w:p>
      <w:pPr>
        <w:pStyle w:val="28"/>
        <w:widowControl/>
        <w:spacing w:before="100" w:after="100" w:line="600" w:lineRule="atLeast"/>
        <w:ind w:left="0" w:right="0" w:firstLine="704"/>
        <w:jc w:val="both"/>
        <w:rPr>
          <w:rFonts w:ascii="Times New Roman" w:hAnsi="Times New Roman" w:eastAsia="Times New Roman" w:cs="Times New Roman"/>
          <w:kern w:val="0"/>
          <w:sz w:val="24"/>
        </w:rPr>
      </w:pPr>
      <w:r>
        <w:rPr>
          <w:rFonts w:ascii="仿宋" w:hAnsi="仿宋" w:eastAsia="仿宋" w:cs="仿宋"/>
          <w:spacing w:val="0"/>
          <w:kern w:val="0"/>
          <w:sz w:val="32"/>
          <w:szCs w:val="32"/>
        </w:rPr>
        <w:t>2024年度一般公共预算拨款“三公”经费支出0万元，</w:t>
      </w:r>
      <w:r>
        <w:rPr>
          <w:rFonts w:hint="eastAsia" w:ascii="仿宋" w:hAnsi="仿宋" w:eastAsia="仿宋" w:cs="仿宋"/>
          <w:spacing w:val="0"/>
          <w:kern w:val="0"/>
          <w:sz w:val="32"/>
          <w:szCs w:val="32"/>
        </w:rPr>
        <w:t>与全年预算0.00万元持平。</w:t>
      </w:r>
      <w:r>
        <w:rPr>
          <w:rFonts w:ascii="仿宋" w:hAnsi="仿宋" w:eastAsia="仿宋" w:cs="仿宋"/>
          <w:spacing w:val="0"/>
          <w:kern w:val="0"/>
          <w:sz w:val="32"/>
          <w:szCs w:val="32"/>
        </w:rPr>
        <w:t>主要原因是</w:t>
      </w:r>
      <w:r>
        <w:rPr>
          <w:rFonts w:hint="eastAsia" w:ascii="仿宋" w:hAnsi="仿宋" w:eastAsia="仿宋" w:cs="仿宋"/>
          <w:spacing w:val="0"/>
          <w:kern w:val="0"/>
          <w:sz w:val="32"/>
          <w:szCs w:val="32"/>
          <w:lang w:val="en-US" w:eastAsia="zh-CN"/>
        </w:rPr>
        <w:t>本单位没有使用“三公”经费支出</w:t>
      </w:r>
      <w:r>
        <w:rPr>
          <w:rFonts w:ascii="仿宋" w:hAnsi="仿宋" w:eastAsia="仿宋" w:cs="仿宋"/>
          <w:spacing w:val="0"/>
          <w:kern w:val="0"/>
          <w:sz w:val="32"/>
          <w:szCs w:val="32"/>
        </w:rPr>
        <w:t>。具体情况如下：</w:t>
      </w:r>
    </w:p>
    <w:p>
      <w:pPr>
        <w:pStyle w:val="28"/>
        <w:widowControl/>
        <w:spacing w:before="100" w:after="100" w:line="600" w:lineRule="atLeast"/>
        <w:ind w:left="0" w:right="0" w:firstLine="704"/>
        <w:jc w:val="both"/>
        <w:rPr>
          <w:rFonts w:hint="default" w:ascii="Times New Roman" w:hAnsi="Times New Roman" w:eastAsia="仿宋" w:cs="Times New Roman"/>
          <w:kern w:val="0"/>
          <w:sz w:val="24"/>
          <w:lang w:val="en-US" w:eastAsia="zh-CN"/>
        </w:rPr>
      </w:pPr>
      <w:r>
        <w:rPr>
          <w:rFonts w:ascii="仿宋" w:hAnsi="仿宋" w:eastAsia="仿宋" w:cs="仿宋"/>
          <w:spacing w:val="0"/>
          <w:kern w:val="0"/>
          <w:sz w:val="32"/>
          <w:szCs w:val="32"/>
        </w:rPr>
        <w:t>（一）因公出国（境）费支出0万元，</w:t>
      </w:r>
      <w:r>
        <w:rPr>
          <w:rFonts w:hint="eastAsia" w:ascii="仿宋" w:hAnsi="仿宋" w:eastAsia="仿宋" w:cs="仿宋"/>
          <w:spacing w:val="0"/>
          <w:kern w:val="0"/>
          <w:sz w:val="32"/>
          <w:szCs w:val="32"/>
        </w:rPr>
        <w:t>与全年预算0.00万元持平</w:t>
      </w:r>
      <w:r>
        <w:rPr>
          <w:rFonts w:ascii="仿宋" w:hAnsi="仿宋" w:eastAsia="仿宋" w:cs="仿宋"/>
          <w:spacing w:val="0"/>
          <w:kern w:val="0"/>
          <w:sz w:val="32"/>
          <w:szCs w:val="32"/>
        </w:rPr>
        <w:t>。全年安排本单位组织的出国团组0个，参加其他单位出国团组</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个；全年因公出国（境）累计0人次。主要是</w:t>
      </w:r>
      <w:r>
        <w:rPr>
          <w:rFonts w:hint="eastAsia" w:ascii="仿宋" w:hAnsi="仿宋" w:eastAsia="仿宋" w:cs="仿宋"/>
          <w:spacing w:val="0"/>
          <w:kern w:val="0"/>
          <w:sz w:val="32"/>
          <w:szCs w:val="32"/>
          <w:lang w:val="en-US" w:eastAsia="zh-CN"/>
        </w:rPr>
        <w:t>本单位没有安排出国团组及参加其他单位出国团组。</w:t>
      </w:r>
    </w:p>
    <w:p>
      <w:pPr>
        <w:pStyle w:val="28"/>
        <w:widowControl/>
        <w:spacing w:before="100" w:after="100" w:line="600" w:lineRule="atLeast"/>
        <w:ind w:left="0" w:right="0" w:firstLine="645"/>
        <w:jc w:val="both"/>
        <w:rPr>
          <w:rFonts w:ascii="Times New Roman" w:hAnsi="Times New Roman" w:eastAsia="Times New Roman" w:cs="Times New Roman"/>
          <w:kern w:val="0"/>
          <w:sz w:val="24"/>
        </w:rPr>
      </w:pPr>
      <w:r>
        <w:rPr>
          <w:rFonts w:ascii="仿宋" w:hAnsi="仿宋" w:eastAsia="仿宋" w:cs="仿宋"/>
          <w:spacing w:val="0"/>
          <w:kern w:val="0"/>
          <w:sz w:val="32"/>
          <w:szCs w:val="32"/>
        </w:rPr>
        <w:t>（二）公务用车购置及运行费支出0万元，完成全年预算的0%；较上年增加0万元，增长0%。</w:t>
      </w:r>
      <w:r>
        <w:rPr>
          <w:rFonts w:hint="eastAsia" w:ascii="仿宋" w:hAnsi="仿宋" w:eastAsia="仿宋" w:cs="仿宋"/>
          <w:color w:val="000000" w:themeColor="text1"/>
          <w:kern w:val="0"/>
          <w:sz w:val="32"/>
          <w:szCs w:val="32"/>
          <w:highlight w:val="none"/>
          <w:shd w:val="clear" w:color="auto" w:fill="FFFFFF"/>
        </w:rPr>
        <w:t>主要是</w:t>
      </w:r>
      <w:r>
        <w:rPr>
          <w:rFonts w:hint="eastAsia" w:ascii="仿宋" w:hAnsi="仿宋" w:eastAsia="仿宋" w:cs="仿宋"/>
          <w:color w:val="000000" w:themeColor="text1"/>
          <w:kern w:val="0"/>
          <w:sz w:val="31"/>
          <w:szCs w:val="31"/>
          <w:highlight w:val="none"/>
          <w:lang w:val="en-US" w:eastAsia="zh-CN" w:bidi="ar"/>
        </w:rPr>
        <w:t>本单位没有购置</w:t>
      </w:r>
      <w:r>
        <w:rPr>
          <w:rFonts w:hint="default" w:ascii="仿宋" w:hAnsi="仿宋" w:eastAsia="仿宋" w:cs="仿宋"/>
          <w:color w:val="000000" w:themeColor="text1"/>
          <w:kern w:val="0"/>
          <w:sz w:val="31"/>
          <w:szCs w:val="31"/>
          <w:highlight w:val="none"/>
          <w:lang w:val="en-US" w:eastAsia="zh-CN" w:bidi="ar"/>
        </w:rPr>
        <w:t>公务用车及运行费支出。</w:t>
      </w:r>
      <w:r>
        <w:rPr>
          <w:rFonts w:ascii="仿宋" w:hAnsi="仿宋" w:eastAsia="仿宋" w:cs="仿宋"/>
          <w:spacing w:val="0"/>
          <w:kern w:val="0"/>
          <w:sz w:val="32"/>
          <w:szCs w:val="32"/>
        </w:rPr>
        <w:t>其中：</w:t>
      </w:r>
    </w:p>
    <w:p>
      <w:pPr>
        <w:pStyle w:val="28"/>
        <w:widowControl/>
        <w:spacing w:before="100" w:after="100" w:line="600" w:lineRule="atLeast"/>
        <w:ind w:left="0" w:right="0" w:firstLine="645"/>
        <w:jc w:val="both"/>
        <w:rPr>
          <w:rFonts w:hint="default" w:ascii="Times New Roman" w:hAnsi="Times New Roman" w:eastAsia="仿宋" w:cs="Times New Roman"/>
          <w:kern w:val="0"/>
          <w:sz w:val="24"/>
          <w:lang w:val="en-US" w:eastAsia="zh-CN"/>
        </w:rPr>
      </w:pPr>
      <w:r>
        <w:rPr>
          <w:rFonts w:ascii="仿宋" w:hAnsi="仿宋" w:eastAsia="仿宋" w:cs="仿宋"/>
          <w:spacing w:val="0"/>
          <w:kern w:val="0"/>
          <w:sz w:val="32"/>
          <w:szCs w:val="32"/>
        </w:rPr>
        <w:t>公务用车购置费支出0万元，</w:t>
      </w:r>
      <w:r>
        <w:rPr>
          <w:rFonts w:hint="eastAsia" w:ascii="仿宋" w:hAnsi="仿宋" w:eastAsia="仿宋" w:cs="仿宋"/>
          <w:spacing w:val="0"/>
          <w:kern w:val="0"/>
          <w:sz w:val="32"/>
          <w:szCs w:val="32"/>
        </w:rPr>
        <w:t>与全年预算0.00万元持平</w:t>
      </w:r>
      <w:r>
        <w:rPr>
          <w:rFonts w:ascii="仿宋" w:hAnsi="仿宋" w:eastAsia="仿宋" w:cs="仿宋"/>
          <w:spacing w:val="0"/>
          <w:kern w:val="0"/>
          <w:sz w:val="32"/>
          <w:szCs w:val="32"/>
        </w:rPr>
        <w:t>。2024年公务用车购置0辆，主要是</w:t>
      </w:r>
      <w:r>
        <w:rPr>
          <w:rFonts w:hint="eastAsia" w:ascii="仿宋" w:hAnsi="仿宋" w:eastAsia="仿宋" w:cs="仿宋"/>
          <w:spacing w:val="0"/>
          <w:kern w:val="0"/>
          <w:sz w:val="32"/>
          <w:szCs w:val="32"/>
          <w:lang w:val="en-US" w:eastAsia="zh-CN"/>
        </w:rPr>
        <w:t>本单位没有购置公务用车。</w:t>
      </w:r>
    </w:p>
    <w:p>
      <w:pPr>
        <w:pStyle w:val="28"/>
        <w:widowControl/>
        <w:spacing w:before="100" w:after="100" w:line="600" w:lineRule="atLeast"/>
        <w:ind w:left="0" w:right="0" w:firstLine="645"/>
        <w:jc w:val="both"/>
        <w:rPr>
          <w:rFonts w:ascii="Times New Roman" w:hAnsi="Times New Roman" w:eastAsia="Times New Roman" w:cs="Times New Roman"/>
          <w:kern w:val="0"/>
          <w:sz w:val="24"/>
        </w:rPr>
      </w:pPr>
      <w:r>
        <w:rPr>
          <w:rFonts w:ascii="仿宋" w:hAnsi="仿宋" w:eastAsia="仿宋" w:cs="仿宋"/>
          <w:spacing w:val="0"/>
          <w:kern w:val="0"/>
          <w:sz w:val="32"/>
          <w:szCs w:val="32"/>
        </w:rPr>
        <w:t>公务用车运行费支出0万元，</w:t>
      </w:r>
      <w:r>
        <w:rPr>
          <w:rFonts w:hint="eastAsia" w:ascii="仿宋" w:hAnsi="仿宋" w:eastAsia="仿宋" w:cs="仿宋"/>
          <w:spacing w:val="0"/>
          <w:kern w:val="0"/>
          <w:sz w:val="32"/>
          <w:szCs w:val="32"/>
        </w:rPr>
        <w:t>与全年预算0.00万元持平</w:t>
      </w:r>
      <w:r>
        <w:rPr>
          <w:rFonts w:ascii="仿宋" w:hAnsi="仿宋" w:eastAsia="仿宋" w:cs="仿宋"/>
          <w:spacing w:val="0"/>
          <w:kern w:val="0"/>
          <w:sz w:val="32"/>
          <w:szCs w:val="32"/>
        </w:rPr>
        <w:t>。截至2024年12月31日，本单位公务用车保有量为0 辆。主要是</w:t>
      </w:r>
      <w:r>
        <w:rPr>
          <w:rFonts w:hint="eastAsia" w:ascii="仿宋" w:hAnsi="仿宋" w:eastAsia="仿宋" w:cs="仿宋"/>
          <w:spacing w:val="0"/>
          <w:kern w:val="0"/>
          <w:sz w:val="32"/>
          <w:szCs w:val="32"/>
        </w:rPr>
        <w:t>本单位无公务</w:t>
      </w:r>
      <w:r>
        <w:rPr>
          <w:rFonts w:hint="eastAsia" w:ascii="仿宋" w:hAnsi="仿宋" w:eastAsia="仿宋" w:cs="仿宋"/>
          <w:spacing w:val="0"/>
          <w:kern w:val="0"/>
          <w:sz w:val="32"/>
          <w:szCs w:val="32"/>
          <w:lang w:eastAsia="zh-CN"/>
        </w:rPr>
        <w:t>用</w:t>
      </w:r>
      <w:r>
        <w:rPr>
          <w:rFonts w:hint="eastAsia" w:ascii="仿宋" w:hAnsi="仿宋" w:eastAsia="仿宋" w:cs="仿宋"/>
          <w:spacing w:val="0"/>
          <w:kern w:val="0"/>
          <w:sz w:val="32"/>
          <w:szCs w:val="32"/>
        </w:rPr>
        <w:t>车</w:t>
      </w:r>
      <w:r>
        <w:rPr>
          <w:rFonts w:hint="eastAsia" w:ascii="仿宋" w:hAnsi="仿宋" w:eastAsia="仿宋" w:cs="仿宋"/>
          <w:spacing w:val="0"/>
          <w:kern w:val="0"/>
          <w:sz w:val="32"/>
          <w:szCs w:val="32"/>
          <w:lang w:eastAsia="zh-CN"/>
        </w:rPr>
        <w:t>运行费用支出</w:t>
      </w:r>
      <w:r>
        <w:rPr>
          <w:rFonts w:ascii="仿宋" w:hAnsi="仿宋" w:eastAsia="仿宋" w:cs="仿宋"/>
          <w:spacing w:val="0"/>
          <w:kern w:val="0"/>
          <w:sz w:val="32"/>
          <w:szCs w:val="32"/>
        </w:rPr>
        <w:t>。</w:t>
      </w:r>
    </w:p>
    <w:p>
      <w:pPr>
        <w:pStyle w:val="28"/>
        <w:widowControl/>
        <w:spacing w:before="100" w:after="100" w:line="600" w:lineRule="atLeast"/>
        <w:ind w:left="0" w:right="0" w:firstLine="645"/>
        <w:jc w:val="both"/>
        <w:rPr>
          <w:rFonts w:hint="default" w:ascii="Times New Roman" w:hAnsi="Times New Roman" w:eastAsia="仿宋" w:cs="Times New Roman"/>
          <w:kern w:val="0"/>
          <w:sz w:val="24"/>
          <w:lang w:val="en-US" w:eastAsia="zh-CN"/>
        </w:rPr>
      </w:pPr>
      <w:r>
        <w:rPr>
          <w:rFonts w:ascii="仿宋" w:hAnsi="仿宋" w:eastAsia="仿宋" w:cs="仿宋"/>
          <w:spacing w:val="0"/>
          <w:kern w:val="0"/>
          <w:sz w:val="32"/>
          <w:szCs w:val="32"/>
        </w:rPr>
        <w:t>（三）公务接待费支出0万元，</w:t>
      </w:r>
      <w:r>
        <w:rPr>
          <w:rFonts w:hint="eastAsia" w:ascii="仿宋" w:hAnsi="仿宋" w:eastAsia="仿宋" w:cs="仿宋"/>
          <w:spacing w:val="0"/>
          <w:kern w:val="0"/>
          <w:sz w:val="32"/>
          <w:szCs w:val="32"/>
        </w:rPr>
        <w:t>与全年预算0.00万元持平</w:t>
      </w:r>
      <w:r>
        <w:rPr>
          <w:rFonts w:ascii="仿宋" w:hAnsi="仿宋" w:eastAsia="仿宋" w:cs="仿宋"/>
          <w:spacing w:val="0"/>
          <w:kern w:val="0"/>
          <w:sz w:val="32"/>
          <w:szCs w:val="32"/>
        </w:rPr>
        <w:t>。主要是</w:t>
      </w:r>
      <w:r>
        <w:rPr>
          <w:rFonts w:hint="eastAsia" w:ascii="仿宋" w:hAnsi="仿宋" w:eastAsia="仿宋" w:cs="仿宋"/>
          <w:spacing w:val="0"/>
          <w:kern w:val="0"/>
          <w:sz w:val="32"/>
          <w:szCs w:val="32"/>
          <w:lang w:val="en-US" w:eastAsia="zh-CN"/>
        </w:rPr>
        <w:t>本部门没有公务接待活动</w:t>
      </w:r>
      <w:r>
        <w:rPr>
          <w:rFonts w:ascii="仿宋" w:hAnsi="仿宋" w:eastAsia="仿宋" w:cs="仿宋"/>
          <w:spacing w:val="0"/>
          <w:kern w:val="0"/>
          <w:sz w:val="32"/>
          <w:szCs w:val="32"/>
        </w:rPr>
        <w:t>。累计接待0批次、0人次。主要是</w:t>
      </w:r>
      <w:r>
        <w:rPr>
          <w:rFonts w:hint="eastAsia" w:ascii="仿宋" w:hAnsi="仿宋" w:eastAsia="仿宋" w:cs="仿宋"/>
          <w:spacing w:val="0"/>
          <w:kern w:val="0"/>
          <w:sz w:val="32"/>
          <w:szCs w:val="32"/>
          <w:lang w:eastAsia="zh-CN"/>
        </w:rPr>
        <w:t>本年度无公务接待。</w:t>
      </w:r>
    </w:p>
    <w:p>
      <w:pPr>
        <w:pStyle w:val="5"/>
        <w:keepNext w:val="0"/>
        <w:keepLines w:val="0"/>
        <w:spacing w:before="100" w:after="100" w:line="600" w:lineRule="atLeast"/>
        <w:ind w:left="0" w:right="0" w:firstLine="640" w:firstLineChars="0"/>
        <w:rPr>
          <w:rFonts w:ascii="Times New Roman" w:hAnsi="Times New Roman" w:eastAsia="Times New Roman" w:cs="Times New Roman"/>
          <w:b/>
          <w:bCs/>
          <w:kern w:val="0"/>
          <w:sz w:val="28"/>
          <w:szCs w:val="28"/>
        </w:rPr>
      </w:pPr>
      <w:bookmarkStart w:id="97" w:name="_Toc256000025"/>
      <w:bookmarkStart w:id="98" w:name="_Toc256000056"/>
      <w:bookmarkStart w:id="99" w:name="_Toc256000087"/>
      <w:bookmarkStart w:id="100" w:name="_Toc256000118"/>
      <w:r>
        <w:rPr>
          <w:rFonts w:ascii="黑体" w:hAnsi="黑体" w:eastAsia="黑体" w:cs="黑体"/>
          <w:b/>
          <w:spacing w:val="0"/>
        </w:rPr>
        <w:t>八、预算绩效情况说明</w:t>
      </w:r>
      <w:bookmarkEnd w:id="97"/>
      <w:bookmarkEnd w:id="98"/>
      <w:bookmarkEnd w:id="99"/>
      <w:bookmarkEnd w:id="100"/>
    </w:p>
    <w:p>
      <w:pPr>
        <w:pStyle w:val="5"/>
        <w:keepNext w:val="0"/>
        <w:keepLines w:val="0"/>
        <w:spacing w:before="100" w:after="100" w:line="600" w:lineRule="atLeast"/>
        <w:ind w:left="0" w:right="0" w:firstLine="640" w:firstLineChars="0"/>
        <w:jc w:val="both"/>
        <w:rPr>
          <w:rFonts w:hint="default" w:ascii="仿宋" w:hAnsi="仿宋" w:eastAsia="仿宋" w:cs="仿宋"/>
          <w:b w:val="0"/>
          <w:bCs w:val="0"/>
          <w:spacing w:val="0"/>
          <w:lang w:val="en-US" w:eastAsia="zh-CN"/>
        </w:rPr>
      </w:pPr>
      <w:bookmarkStart w:id="101" w:name="_Toc256000026"/>
      <w:bookmarkStart w:id="102" w:name="_Toc256000088"/>
      <w:bookmarkStart w:id="103" w:name="_Toc256000119"/>
      <w:bookmarkStart w:id="104" w:name="_Toc256000057"/>
      <w:r>
        <w:rPr>
          <w:rFonts w:hint="eastAsia" w:ascii="仿宋" w:hAnsi="仿宋" w:cs="仿宋"/>
          <w:b w:val="0"/>
          <w:bCs w:val="0"/>
          <w:spacing w:val="0"/>
          <w:lang w:val="en-US" w:eastAsia="zh-CN"/>
        </w:rPr>
        <w:t>根据预算绩效管理要求，本单位组织对2024年度1个项目实施单位自评，具体为义务教育困难学生营养餐补助项目，涉及财政拨款资金共计1.17万元。（《项目支出绩效自评表》详见附件）</w:t>
      </w:r>
    </w:p>
    <w:p>
      <w:pPr>
        <w:pStyle w:val="5"/>
        <w:keepNext w:val="0"/>
        <w:keepLines w:val="0"/>
        <w:spacing w:before="100" w:after="100" w:line="600" w:lineRule="atLeast"/>
        <w:ind w:left="0" w:right="0" w:firstLine="640" w:firstLineChars="0"/>
        <w:rPr>
          <w:rFonts w:ascii="Times New Roman" w:hAnsi="Times New Roman" w:eastAsia="Times New Roman" w:cs="Times New Roman"/>
          <w:b/>
          <w:bCs/>
          <w:kern w:val="0"/>
          <w:sz w:val="28"/>
          <w:szCs w:val="28"/>
        </w:rPr>
      </w:pPr>
      <w:r>
        <w:rPr>
          <w:rFonts w:ascii="黑体" w:hAnsi="黑体" w:eastAsia="黑体" w:cs="黑体"/>
          <w:b/>
          <w:spacing w:val="0"/>
        </w:rPr>
        <w:t>九、其他重要事项说明</w:t>
      </w:r>
      <w:bookmarkEnd w:id="101"/>
      <w:bookmarkEnd w:id="102"/>
      <w:bookmarkEnd w:id="103"/>
      <w:bookmarkEnd w:id="104"/>
    </w:p>
    <w:p>
      <w:pPr>
        <w:pStyle w:val="28"/>
        <w:widowControl/>
        <w:spacing w:before="100" w:after="100" w:line="600" w:lineRule="atLeast"/>
        <w:ind w:left="0" w:right="0" w:firstLine="643"/>
        <w:jc w:val="both"/>
        <w:rPr>
          <w:rFonts w:ascii="Times New Roman" w:hAnsi="Times New Roman" w:eastAsia="Times New Roman" w:cs="Times New Roman"/>
          <w:kern w:val="0"/>
          <w:sz w:val="24"/>
        </w:rPr>
      </w:pPr>
      <w:r>
        <w:rPr>
          <w:rFonts w:ascii="楷体" w:hAnsi="楷体" w:eastAsia="楷体" w:cs="楷体"/>
          <w:spacing w:val="0"/>
          <w:kern w:val="0"/>
          <w:sz w:val="32"/>
          <w:szCs w:val="32"/>
        </w:rPr>
        <w:t>（一）机关运行经费</w:t>
      </w:r>
      <w:r>
        <w:rPr>
          <w:rFonts w:ascii="宋体" w:hAnsi="宋体" w:cs="宋体"/>
          <w:spacing w:val="0"/>
          <w:kern w:val="0"/>
          <w:sz w:val="32"/>
          <w:szCs w:val="32"/>
        </w:rPr>
        <w:t> </w:t>
      </w:r>
    </w:p>
    <w:p>
      <w:pPr>
        <w:pStyle w:val="28"/>
        <w:widowControl/>
        <w:spacing w:before="100" w:after="100" w:line="600" w:lineRule="atLeast"/>
        <w:ind w:left="0" w:right="0" w:firstLine="640"/>
        <w:jc w:val="both"/>
        <w:rPr>
          <w:rFonts w:hint="eastAsia" w:ascii="仿宋" w:hAnsi="仿宋" w:eastAsia="仿宋" w:cs="仿宋"/>
          <w:kern w:val="0"/>
          <w:sz w:val="32"/>
          <w:szCs w:val="32"/>
        </w:rPr>
      </w:pPr>
      <w:r>
        <w:rPr>
          <w:rFonts w:ascii="仿宋" w:hAnsi="仿宋" w:eastAsia="仿宋" w:cs="仿宋"/>
          <w:spacing w:val="0"/>
          <w:kern w:val="0"/>
          <w:sz w:val="32"/>
          <w:szCs w:val="32"/>
        </w:rPr>
        <w:t>2024年度机关运行经费支出0万元，比上年决算数增加0万元，增长0%</w:t>
      </w:r>
      <w:r>
        <w:rPr>
          <w:rFonts w:hint="eastAsia" w:ascii="仿宋" w:hAnsi="仿宋" w:eastAsia="仿宋" w:cs="仿宋"/>
          <w:spacing w:val="0"/>
          <w:kern w:val="0"/>
          <w:sz w:val="32"/>
          <w:szCs w:val="32"/>
          <w:lang w:eastAsia="zh-CN"/>
        </w:rPr>
        <w:t>。主要原因是：</w:t>
      </w:r>
      <w:r>
        <w:rPr>
          <w:rFonts w:hint="eastAsia" w:ascii="仿宋" w:hAnsi="仿宋" w:eastAsia="仿宋" w:cs="仿宋"/>
          <w:spacing w:val="0"/>
          <w:kern w:val="0"/>
          <w:sz w:val="32"/>
          <w:szCs w:val="32"/>
          <w:lang w:val="en-US" w:eastAsia="zh-CN"/>
        </w:rPr>
        <w:t>本单位为事业单位，没有机关运行经费。</w:t>
      </w:r>
    </w:p>
    <w:p>
      <w:pPr>
        <w:pStyle w:val="28"/>
        <w:widowControl/>
        <w:spacing w:before="100" w:after="100" w:line="600" w:lineRule="atLeast"/>
        <w:ind w:left="0" w:right="0" w:firstLine="643"/>
        <w:jc w:val="both"/>
        <w:rPr>
          <w:rFonts w:ascii="Times New Roman" w:hAnsi="Times New Roman" w:eastAsia="Times New Roman" w:cs="Times New Roman"/>
          <w:kern w:val="0"/>
          <w:sz w:val="24"/>
        </w:rPr>
      </w:pPr>
      <w:r>
        <w:rPr>
          <w:rStyle w:val="30"/>
          <w:rFonts w:ascii="楷体" w:hAnsi="楷体" w:eastAsia="楷体" w:cs="楷体"/>
          <w:b/>
          <w:bCs/>
          <w:spacing w:val="0"/>
          <w:kern w:val="0"/>
          <w:sz w:val="32"/>
          <w:szCs w:val="32"/>
        </w:rPr>
        <w:t>（二）政府采购情况</w:t>
      </w:r>
    </w:p>
    <w:p>
      <w:pPr>
        <w:pStyle w:val="28"/>
        <w:widowControl/>
        <w:spacing w:before="100" w:after="100" w:line="600" w:lineRule="atLeast"/>
        <w:ind w:left="0" w:right="0" w:firstLine="640"/>
        <w:jc w:val="both"/>
        <w:rPr>
          <w:rFonts w:hint="eastAsia" w:ascii="仿宋" w:hAnsi="仿宋" w:eastAsia="仿宋" w:cs="仿宋"/>
          <w:spacing w:val="0"/>
          <w:kern w:val="0"/>
          <w:sz w:val="32"/>
          <w:szCs w:val="32"/>
          <w:lang w:eastAsia="zh-CN"/>
        </w:rPr>
      </w:pPr>
      <w:r>
        <w:rPr>
          <w:rFonts w:ascii="仿宋" w:hAnsi="仿宋" w:eastAsia="仿宋" w:cs="仿宋"/>
          <w:spacing w:val="0"/>
          <w:kern w:val="0"/>
          <w:sz w:val="32"/>
          <w:szCs w:val="32"/>
        </w:rPr>
        <w:t>本单位2024年度政府采购支出总额0万元，其中：政府采购货物支出0万元、政府采购工程支出0万元、政府采购服务支出0万元。授予中小企业合同金额0万元，占政府采购支出总额的0%，其中：授予小微企业合同金额0万元，占授予中小企业合同金额的0%；货物采购授予中小企业合同金额占货物支出金额的</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%，工程采购授予中小企业合同金额占工程支出金额的</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%，服务采购授予中小企业合同金额占服务支出金额的</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w:t>
      </w:r>
      <w:r>
        <w:rPr>
          <w:rFonts w:hint="eastAsia" w:ascii="仿宋" w:hAnsi="仿宋" w:eastAsia="仿宋" w:cs="仿宋"/>
          <w:spacing w:val="0"/>
          <w:kern w:val="0"/>
          <w:sz w:val="32"/>
          <w:szCs w:val="32"/>
          <w:lang w:eastAsia="zh-CN"/>
        </w:rPr>
        <w:t>。</w:t>
      </w:r>
    </w:p>
    <w:p>
      <w:pPr>
        <w:pStyle w:val="28"/>
        <w:widowControl/>
        <w:spacing w:before="100" w:after="100" w:line="600" w:lineRule="atLeast"/>
        <w:ind w:right="0" w:firstLine="640" w:firstLineChars="200"/>
        <w:jc w:val="both"/>
        <w:rPr>
          <w:rFonts w:hint="eastAsia" w:ascii="仿宋" w:hAnsi="仿宋" w:eastAsia="仿宋" w:cs="仿宋"/>
          <w:spacing w:val="0"/>
          <w:kern w:val="0"/>
          <w:sz w:val="32"/>
          <w:szCs w:val="32"/>
          <w:lang w:eastAsia="zh-CN"/>
        </w:rPr>
      </w:pPr>
      <w:r>
        <w:rPr>
          <w:rFonts w:hint="eastAsia" w:ascii="仿宋" w:hAnsi="仿宋" w:eastAsia="仿宋" w:cs="仿宋"/>
          <w:spacing w:val="0"/>
          <w:kern w:val="0"/>
          <w:sz w:val="32"/>
          <w:szCs w:val="32"/>
        </w:rPr>
        <w:t>本单位2024年度没有政府采购支出</w:t>
      </w:r>
      <w:r>
        <w:rPr>
          <w:rFonts w:hint="eastAsia" w:ascii="仿宋" w:hAnsi="仿宋" w:eastAsia="仿宋" w:cs="仿宋"/>
          <w:spacing w:val="0"/>
          <w:kern w:val="0"/>
          <w:sz w:val="32"/>
          <w:szCs w:val="32"/>
          <w:lang w:eastAsia="zh-CN"/>
        </w:rPr>
        <w:t>。</w:t>
      </w:r>
    </w:p>
    <w:p>
      <w:pPr>
        <w:pStyle w:val="28"/>
        <w:widowControl/>
        <w:spacing w:before="100" w:after="100" w:line="600" w:lineRule="atLeast"/>
        <w:ind w:left="0" w:right="0" w:firstLine="707"/>
        <w:jc w:val="left"/>
        <w:rPr>
          <w:rFonts w:ascii="Times New Roman" w:hAnsi="Times New Roman" w:eastAsia="Times New Roman" w:cs="Times New Roman"/>
          <w:kern w:val="0"/>
          <w:sz w:val="24"/>
        </w:rPr>
      </w:pPr>
      <w:r>
        <w:rPr>
          <w:rStyle w:val="30"/>
          <w:rFonts w:ascii="楷体" w:hAnsi="楷体" w:eastAsia="楷体" w:cs="楷体"/>
          <w:b/>
          <w:bCs/>
          <w:spacing w:val="0"/>
          <w:kern w:val="0"/>
          <w:sz w:val="32"/>
          <w:szCs w:val="32"/>
        </w:rPr>
        <w:t>（三）国有资产占用使用情况</w:t>
      </w:r>
      <w:r>
        <w:rPr>
          <w:rFonts w:ascii="宋体" w:hAnsi="宋体" w:cs="宋体"/>
          <w:spacing w:val="0"/>
          <w:kern w:val="0"/>
          <w:sz w:val="32"/>
          <w:szCs w:val="32"/>
        </w:rPr>
        <w:t> </w:t>
      </w:r>
    </w:p>
    <w:p>
      <w:pPr>
        <w:widowControl/>
        <w:spacing w:before="240" w:after="240" w:line="360" w:lineRule="auto"/>
        <w:ind w:firstLine="640" w:firstLineChars="200"/>
        <w:jc w:val="both"/>
        <w:rPr>
          <w:rFonts w:ascii="Times New Roman" w:hAnsi="Times New Roman" w:eastAsia="Times New Roman" w:cs="Times New Roman"/>
          <w:vanish/>
          <w:color w:val="000000" w:themeColor="text1"/>
          <w:kern w:val="0"/>
          <w:sz w:val="24"/>
          <w:highlight w:val="none"/>
        </w:rPr>
      </w:pPr>
      <w:r>
        <w:rPr>
          <w:rFonts w:ascii="仿宋" w:hAnsi="仿宋" w:eastAsia="仿宋" w:cs="仿宋"/>
          <w:spacing w:val="0"/>
          <w:kern w:val="0"/>
          <w:sz w:val="32"/>
          <w:szCs w:val="32"/>
        </w:rPr>
        <w:t>截至2024年12月31日，本单位共有车辆0 辆，其中：副部（省）级以上领导用车0 辆、主要领导干部用车0 辆、机要通信用车0辆、应急保障用车0辆、执法执勤用车0辆、特种专业技术用车0辆、离退休干部用车0辆、其他用车0辆；</w:t>
      </w:r>
      <w:r>
        <w:rPr>
          <w:rFonts w:ascii="仿宋" w:hAnsi="仿宋" w:eastAsia="仿宋" w:cs="仿宋"/>
          <w:color w:val="000000" w:themeColor="text1"/>
          <w:spacing w:val="0"/>
          <w:kern w:val="0"/>
          <w:sz w:val="32"/>
          <w:szCs w:val="32"/>
          <w:highlight w:val="none"/>
        </w:rPr>
        <w:t>单位价值100万元以上设备（不含车辆）0台（套）</w:t>
      </w:r>
      <w:r>
        <w:rPr>
          <w:rFonts w:hint="eastAsia" w:ascii="仿宋" w:hAnsi="仿宋" w:eastAsia="仿宋" w:cs="仿宋"/>
          <w:color w:val="000000" w:themeColor="text1"/>
          <w:spacing w:val="0"/>
          <w:kern w:val="0"/>
          <w:sz w:val="32"/>
          <w:szCs w:val="32"/>
          <w:highlight w:val="none"/>
          <w:lang w:eastAsia="zh-CN"/>
        </w:rPr>
        <w:t>。</w:t>
      </w:r>
      <w:r>
        <w:rPr>
          <w:rFonts w:ascii="Times New Roman" w:hAnsi="Times New Roman" w:eastAsia="Times New Roman" w:cs="Times New Roman"/>
          <w:vanish/>
          <w:color w:val="000000" w:themeColor="text1"/>
          <w:kern w:val="0"/>
          <w:sz w:val="24"/>
          <w:highlight w:val="none"/>
        </w:rPr>
        <w:t>word page break</w:t>
      </w:r>
    </w:p>
    <w:p>
      <w:pPr>
        <w:widowControl/>
        <w:spacing w:before="240" w:after="240"/>
        <w:jc w:val="both"/>
        <w:rPr>
          <w:rFonts w:ascii="Times New Roman" w:hAnsi="Times New Roman" w:eastAsia="Times New Roman" w:cs="Times New Roman"/>
          <w:color w:val="000000" w:themeColor="text1"/>
          <w:kern w:val="0"/>
          <w:sz w:val="24"/>
          <w:highlight w:val="none"/>
        </w:rPr>
      </w:pPr>
    </w:p>
    <w:p>
      <w:pPr>
        <w:pStyle w:val="28"/>
        <w:widowControl/>
        <w:spacing w:before="100" w:after="100"/>
        <w:ind w:left="0" w:right="0" w:firstLine="0"/>
        <w:jc w:val="left"/>
        <w:rPr>
          <w:rFonts w:ascii="Times New Roman" w:hAnsi="Times New Roman" w:eastAsia="Times New Roman" w:cs="Times New Roman"/>
          <w:kern w:val="0"/>
          <w:sz w:val="24"/>
        </w:rPr>
      </w:pPr>
    </w:p>
    <w:p>
      <w:pPr>
        <w:pStyle w:val="28"/>
        <w:widowControl/>
        <w:spacing w:before="100" w:after="100"/>
        <w:ind w:left="0" w:right="0" w:firstLine="0"/>
        <w:jc w:val="left"/>
        <w:rPr>
          <w:rFonts w:ascii="Times New Roman" w:hAnsi="Times New Roman" w:eastAsia="Times New Roman" w:cs="Times New Roman"/>
          <w:kern w:val="0"/>
          <w:sz w:val="24"/>
        </w:rPr>
      </w:pPr>
    </w:p>
    <w:p>
      <w:pPr>
        <w:pStyle w:val="28"/>
        <w:widowControl/>
        <w:spacing w:before="100" w:after="100"/>
        <w:ind w:left="0" w:right="0" w:firstLine="0"/>
        <w:jc w:val="left"/>
        <w:rPr>
          <w:rFonts w:ascii="Times New Roman" w:hAnsi="Times New Roman" w:eastAsia="Times New Roman" w:cs="Times New Roman"/>
          <w:kern w:val="0"/>
          <w:sz w:val="24"/>
        </w:rPr>
      </w:pPr>
    </w:p>
    <w:p>
      <w:pPr>
        <w:pStyle w:val="28"/>
        <w:widowControl/>
        <w:spacing w:before="100" w:after="100"/>
        <w:ind w:left="0" w:right="0" w:firstLine="0"/>
        <w:jc w:val="left"/>
        <w:rPr>
          <w:rFonts w:ascii="Times New Roman" w:hAnsi="Times New Roman" w:eastAsia="Times New Roman" w:cs="Times New Roman"/>
          <w:kern w:val="0"/>
          <w:sz w:val="24"/>
        </w:rPr>
      </w:pPr>
    </w:p>
    <w:p>
      <w:pPr>
        <w:pStyle w:val="28"/>
        <w:widowControl/>
        <w:spacing w:before="100" w:after="100"/>
        <w:ind w:left="0" w:right="0" w:firstLine="0"/>
        <w:jc w:val="left"/>
        <w:rPr>
          <w:rFonts w:ascii="Times New Roman" w:hAnsi="Times New Roman" w:eastAsia="Times New Roman" w:cs="Times New Roman"/>
          <w:kern w:val="0"/>
          <w:sz w:val="24"/>
        </w:rPr>
      </w:pPr>
    </w:p>
    <w:p>
      <w:pPr>
        <w:pStyle w:val="28"/>
        <w:widowControl/>
        <w:spacing w:before="100" w:after="100"/>
        <w:ind w:left="0" w:right="0" w:firstLine="0"/>
        <w:jc w:val="left"/>
        <w:rPr>
          <w:rFonts w:ascii="Times New Roman" w:hAnsi="Times New Roman" w:eastAsia="Times New Roman" w:cs="Times New Roman"/>
          <w:kern w:val="0"/>
          <w:sz w:val="24"/>
        </w:rPr>
      </w:pPr>
    </w:p>
    <w:p>
      <w:pPr>
        <w:pStyle w:val="28"/>
        <w:widowControl/>
        <w:spacing w:before="100" w:after="100"/>
        <w:ind w:left="0" w:right="0" w:firstLine="0"/>
        <w:jc w:val="left"/>
        <w:rPr>
          <w:rFonts w:ascii="Times New Roman" w:hAnsi="Times New Roman" w:eastAsia="Times New Roman" w:cs="Times New Roman"/>
          <w:kern w:val="0"/>
          <w:sz w:val="24"/>
        </w:rPr>
      </w:pPr>
    </w:p>
    <w:p>
      <w:pPr>
        <w:pStyle w:val="28"/>
        <w:widowControl/>
        <w:spacing w:before="100" w:after="100"/>
        <w:ind w:left="0" w:right="0" w:firstLine="0"/>
        <w:jc w:val="left"/>
        <w:rPr>
          <w:rFonts w:ascii="Times New Roman" w:hAnsi="Times New Roman" w:eastAsia="Times New Roman" w:cs="Times New Roman"/>
          <w:kern w:val="0"/>
          <w:sz w:val="24"/>
        </w:rPr>
      </w:pPr>
    </w:p>
    <w:p>
      <w:pPr>
        <w:pStyle w:val="28"/>
        <w:widowControl/>
        <w:spacing w:before="100" w:after="100"/>
        <w:ind w:left="0" w:right="0" w:firstLine="0"/>
        <w:jc w:val="left"/>
        <w:rPr>
          <w:rFonts w:ascii="Times New Roman" w:hAnsi="Times New Roman" w:eastAsia="Times New Roman" w:cs="Times New Roman"/>
          <w:kern w:val="0"/>
          <w:sz w:val="24"/>
        </w:rPr>
      </w:pPr>
    </w:p>
    <w:p>
      <w:pPr>
        <w:pStyle w:val="28"/>
        <w:widowControl/>
        <w:spacing w:before="100" w:after="100"/>
        <w:ind w:left="0" w:right="0" w:firstLine="0"/>
        <w:jc w:val="left"/>
        <w:rPr>
          <w:rFonts w:ascii="Times New Roman" w:hAnsi="Times New Roman" w:eastAsia="Times New Roman" w:cs="Times New Roman"/>
          <w:kern w:val="0"/>
          <w:sz w:val="24"/>
        </w:rPr>
      </w:pPr>
    </w:p>
    <w:p>
      <w:pPr>
        <w:pStyle w:val="28"/>
        <w:widowControl/>
        <w:spacing w:before="100" w:after="100"/>
        <w:ind w:left="0" w:right="0" w:firstLine="0"/>
        <w:jc w:val="left"/>
        <w:rPr>
          <w:rFonts w:ascii="Times New Roman" w:hAnsi="Times New Roman" w:eastAsia="Times New Roman" w:cs="Times New Roman"/>
          <w:kern w:val="0"/>
          <w:sz w:val="24"/>
        </w:rPr>
      </w:pPr>
    </w:p>
    <w:p>
      <w:pPr>
        <w:pStyle w:val="28"/>
        <w:widowControl/>
        <w:spacing w:before="100" w:after="100"/>
        <w:ind w:left="0" w:right="0" w:firstLine="0"/>
        <w:jc w:val="left"/>
        <w:rPr>
          <w:rFonts w:ascii="Times New Roman" w:hAnsi="Times New Roman" w:eastAsia="Times New Roman" w:cs="Times New Roman"/>
          <w:kern w:val="0"/>
          <w:sz w:val="24"/>
        </w:rPr>
      </w:pPr>
    </w:p>
    <w:p>
      <w:pPr>
        <w:pStyle w:val="28"/>
        <w:widowControl/>
        <w:spacing w:before="100" w:after="100"/>
        <w:ind w:left="0" w:right="0" w:firstLine="0"/>
        <w:jc w:val="left"/>
        <w:rPr>
          <w:rFonts w:ascii="Times New Roman" w:hAnsi="Times New Roman" w:eastAsia="Times New Roman" w:cs="Times New Roman"/>
          <w:kern w:val="0"/>
          <w:sz w:val="24"/>
        </w:rPr>
      </w:pPr>
    </w:p>
    <w:p>
      <w:pPr>
        <w:pStyle w:val="28"/>
        <w:widowControl/>
        <w:spacing w:before="100" w:after="100"/>
        <w:ind w:left="0" w:right="0" w:firstLine="0"/>
        <w:jc w:val="left"/>
        <w:rPr>
          <w:rFonts w:ascii="Times New Roman" w:hAnsi="Times New Roman" w:eastAsia="Times New Roman" w:cs="Times New Roman"/>
          <w:kern w:val="0"/>
          <w:sz w:val="24"/>
        </w:rPr>
      </w:pPr>
    </w:p>
    <w:p>
      <w:pPr>
        <w:pStyle w:val="28"/>
        <w:widowControl/>
        <w:spacing w:before="100" w:after="100"/>
        <w:ind w:left="0" w:right="0" w:firstLine="0"/>
        <w:jc w:val="left"/>
        <w:rPr>
          <w:rFonts w:ascii="Times New Roman" w:hAnsi="Times New Roman" w:eastAsia="Times New Roman" w:cs="Times New Roman"/>
          <w:kern w:val="0"/>
          <w:sz w:val="24"/>
        </w:rPr>
      </w:pPr>
    </w:p>
    <w:p>
      <w:pPr>
        <w:pStyle w:val="28"/>
        <w:widowControl/>
        <w:spacing w:before="100" w:after="100"/>
        <w:ind w:left="0" w:right="0" w:firstLine="0"/>
        <w:jc w:val="left"/>
        <w:rPr>
          <w:rFonts w:ascii="Times New Roman" w:hAnsi="Times New Roman" w:eastAsia="Times New Roman" w:cs="Times New Roman"/>
          <w:kern w:val="0"/>
          <w:sz w:val="24"/>
        </w:rPr>
      </w:pPr>
    </w:p>
    <w:p>
      <w:pPr>
        <w:pStyle w:val="28"/>
        <w:widowControl/>
        <w:spacing w:before="100" w:after="100"/>
        <w:ind w:left="0" w:right="0" w:firstLine="0"/>
        <w:jc w:val="left"/>
        <w:rPr>
          <w:rFonts w:ascii="Times New Roman" w:hAnsi="Times New Roman" w:eastAsia="Times New Roman" w:cs="Times New Roman"/>
          <w:kern w:val="0"/>
          <w:sz w:val="24"/>
        </w:rPr>
      </w:pPr>
    </w:p>
    <w:p>
      <w:pPr>
        <w:pStyle w:val="28"/>
        <w:widowControl/>
        <w:spacing w:before="100" w:after="100"/>
        <w:ind w:left="0" w:right="0" w:firstLine="0"/>
        <w:jc w:val="left"/>
        <w:rPr>
          <w:rFonts w:ascii="Times New Roman" w:hAnsi="Times New Roman" w:eastAsia="Times New Roman" w:cs="Times New Roman"/>
          <w:kern w:val="0"/>
          <w:sz w:val="24"/>
        </w:rPr>
      </w:pPr>
    </w:p>
    <w:p>
      <w:pPr>
        <w:pStyle w:val="28"/>
        <w:widowControl/>
        <w:spacing w:before="100" w:after="100"/>
        <w:ind w:left="0" w:right="0" w:firstLine="0"/>
        <w:jc w:val="left"/>
        <w:rPr>
          <w:rFonts w:ascii="Times New Roman" w:hAnsi="Times New Roman" w:eastAsia="Times New Roman" w:cs="Times New Roman"/>
          <w:kern w:val="0"/>
          <w:sz w:val="24"/>
        </w:rPr>
      </w:pPr>
    </w:p>
    <w:p>
      <w:pPr>
        <w:pStyle w:val="28"/>
        <w:widowControl/>
        <w:spacing w:before="100" w:after="100"/>
        <w:ind w:left="0" w:right="0" w:firstLine="0"/>
        <w:jc w:val="left"/>
        <w:rPr>
          <w:rFonts w:ascii="Times New Roman" w:hAnsi="Times New Roman" w:eastAsia="Times New Roman" w:cs="Times New Roman"/>
          <w:kern w:val="0"/>
          <w:sz w:val="24"/>
        </w:rPr>
      </w:pPr>
    </w:p>
    <w:p>
      <w:pPr>
        <w:pStyle w:val="28"/>
        <w:widowControl/>
        <w:spacing w:before="100" w:after="100"/>
        <w:ind w:left="0" w:right="0" w:firstLine="0"/>
        <w:jc w:val="left"/>
        <w:rPr>
          <w:rFonts w:ascii="Times New Roman" w:hAnsi="Times New Roman" w:eastAsia="Times New Roman" w:cs="Times New Roman"/>
          <w:kern w:val="0"/>
          <w:sz w:val="24"/>
        </w:rPr>
      </w:pPr>
    </w:p>
    <w:p>
      <w:pPr>
        <w:pStyle w:val="28"/>
        <w:widowControl/>
        <w:spacing w:before="100" w:after="100"/>
        <w:ind w:left="0" w:right="0" w:firstLine="0"/>
        <w:jc w:val="left"/>
        <w:rPr>
          <w:rFonts w:ascii="Times New Roman" w:hAnsi="Times New Roman" w:eastAsia="Times New Roman" w:cs="Times New Roman"/>
          <w:kern w:val="0"/>
          <w:sz w:val="24"/>
        </w:rPr>
      </w:pPr>
    </w:p>
    <w:p>
      <w:pPr>
        <w:pStyle w:val="28"/>
        <w:widowControl/>
        <w:spacing w:before="100" w:after="100"/>
        <w:ind w:left="0" w:right="0" w:firstLine="0"/>
        <w:jc w:val="left"/>
        <w:rPr>
          <w:rFonts w:ascii="Times New Roman" w:hAnsi="Times New Roman" w:eastAsia="Times New Roman" w:cs="Times New Roman"/>
          <w:kern w:val="0"/>
          <w:sz w:val="24"/>
        </w:rPr>
      </w:pPr>
    </w:p>
    <w:p>
      <w:pPr>
        <w:pStyle w:val="28"/>
        <w:widowControl/>
        <w:spacing w:before="100" w:after="100"/>
        <w:ind w:left="0" w:right="0" w:firstLine="0"/>
        <w:jc w:val="left"/>
        <w:rPr>
          <w:rFonts w:ascii="Times New Roman" w:hAnsi="Times New Roman" w:eastAsia="Times New Roman" w:cs="Times New Roman"/>
          <w:kern w:val="0"/>
          <w:sz w:val="24"/>
        </w:rPr>
      </w:pPr>
    </w:p>
    <w:p>
      <w:pPr>
        <w:pStyle w:val="28"/>
        <w:widowControl/>
        <w:spacing w:before="100" w:after="100"/>
        <w:ind w:left="0" w:right="0" w:firstLine="0"/>
        <w:jc w:val="left"/>
        <w:rPr>
          <w:rFonts w:ascii="Times New Roman" w:hAnsi="Times New Roman" w:eastAsia="Times New Roman" w:cs="Times New Roman"/>
          <w:kern w:val="0"/>
          <w:sz w:val="24"/>
        </w:rPr>
      </w:pPr>
    </w:p>
    <w:p>
      <w:pPr>
        <w:pStyle w:val="28"/>
        <w:widowControl/>
        <w:spacing w:before="100" w:after="100"/>
        <w:ind w:left="0" w:right="0" w:firstLine="0"/>
        <w:jc w:val="left"/>
        <w:rPr>
          <w:rFonts w:ascii="Times New Roman" w:hAnsi="Times New Roman" w:eastAsia="Times New Roman" w:cs="Times New Roman"/>
          <w:kern w:val="0"/>
          <w:sz w:val="24"/>
        </w:rPr>
      </w:pPr>
    </w:p>
    <w:p>
      <w:pPr>
        <w:pStyle w:val="28"/>
        <w:widowControl/>
        <w:spacing w:before="100" w:after="100"/>
        <w:ind w:left="0" w:right="0" w:firstLine="0"/>
        <w:jc w:val="left"/>
        <w:rPr>
          <w:rFonts w:ascii="Times New Roman" w:hAnsi="Times New Roman" w:eastAsia="Times New Roman" w:cs="Times New Roman"/>
          <w:kern w:val="0"/>
          <w:sz w:val="24"/>
        </w:rPr>
      </w:pPr>
    </w:p>
    <w:p>
      <w:pPr>
        <w:pStyle w:val="28"/>
        <w:widowControl/>
        <w:spacing w:before="100" w:after="100"/>
        <w:ind w:left="0" w:right="0" w:firstLine="0"/>
        <w:jc w:val="left"/>
        <w:rPr>
          <w:rFonts w:ascii="Times New Roman" w:hAnsi="Times New Roman" w:eastAsia="Times New Roman" w:cs="Times New Roman"/>
          <w:kern w:val="0"/>
          <w:sz w:val="24"/>
        </w:rPr>
      </w:pPr>
    </w:p>
    <w:p>
      <w:pPr>
        <w:pStyle w:val="28"/>
        <w:widowControl/>
        <w:spacing w:before="100" w:after="100"/>
        <w:ind w:left="0" w:right="0" w:firstLine="0"/>
        <w:jc w:val="left"/>
        <w:rPr>
          <w:rFonts w:ascii="Times New Roman" w:hAnsi="Times New Roman" w:eastAsia="Times New Roman" w:cs="Times New Roman"/>
          <w:kern w:val="0"/>
          <w:sz w:val="24"/>
        </w:rPr>
      </w:pPr>
    </w:p>
    <w:p>
      <w:pPr>
        <w:pStyle w:val="3"/>
        <w:keepNext w:val="0"/>
        <w:keepLines w:val="0"/>
        <w:spacing w:before="100" w:after="100" w:line="240" w:lineRule="auto"/>
        <w:ind w:left="0" w:right="0" w:firstLine="0" w:firstLineChars="0"/>
        <w:jc w:val="center"/>
        <w:rPr>
          <w:rFonts w:ascii="Times New Roman" w:hAnsi="Times New Roman" w:eastAsia="Times New Roman" w:cs="Times New Roman"/>
          <w:b/>
          <w:bCs/>
          <w:kern w:val="0"/>
          <w:sz w:val="36"/>
          <w:szCs w:val="36"/>
        </w:rPr>
      </w:pPr>
      <w:bookmarkStart w:id="105" w:name="_Toc256000089"/>
      <w:bookmarkStart w:id="106" w:name="_Toc256000027"/>
      <w:bookmarkStart w:id="107" w:name="_Toc256000058"/>
      <w:bookmarkStart w:id="108" w:name="_Toc256000120"/>
      <w:r>
        <w:rPr>
          <w:rFonts w:ascii="黑体" w:hAnsi="黑体" w:eastAsia="黑体" w:cs="黑体"/>
          <w:b/>
          <w:spacing w:val="0"/>
          <w:sz w:val="56"/>
          <w:szCs w:val="56"/>
        </w:rPr>
        <w:t>第四部分</w:t>
      </w:r>
      <w:bookmarkEnd w:id="105"/>
      <w:bookmarkEnd w:id="106"/>
      <w:bookmarkEnd w:id="107"/>
      <w:bookmarkEnd w:id="108"/>
    </w:p>
    <w:p>
      <w:pPr>
        <w:pStyle w:val="3"/>
        <w:keepNext w:val="0"/>
        <w:keepLines w:val="0"/>
        <w:spacing w:before="100" w:after="100" w:line="240" w:lineRule="auto"/>
        <w:ind w:left="0" w:right="0" w:firstLine="0" w:firstLineChars="0"/>
        <w:jc w:val="center"/>
        <w:rPr>
          <w:rFonts w:ascii="Times New Roman" w:hAnsi="Times New Roman" w:eastAsia="Times New Roman" w:cs="Times New Roman"/>
          <w:b/>
          <w:bCs/>
          <w:kern w:val="0"/>
          <w:sz w:val="36"/>
          <w:szCs w:val="36"/>
        </w:rPr>
      </w:pPr>
      <w:bookmarkStart w:id="109" w:name="_Toc256000028"/>
      <w:bookmarkStart w:id="110" w:name="_Toc256000121"/>
      <w:bookmarkStart w:id="111" w:name="_Toc256000059"/>
      <w:bookmarkStart w:id="112" w:name="_Toc256000090"/>
      <w:r>
        <w:rPr>
          <w:rFonts w:ascii="黑体" w:hAnsi="黑体" w:eastAsia="黑体" w:cs="黑体"/>
          <w:b/>
          <w:spacing w:val="0"/>
          <w:sz w:val="56"/>
          <w:szCs w:val="56"/>
        </w:rPr>
        <w:t>名词解释</w:t>
      </w:r>
      <w:bookmarkEnd w:id="109"/>
      <w:bookmarkEnd w:id="110"/>
      <w:bookmarkEnd w:id="111"/>
      <w:bookmarkEnd w:id="112"/>
    </w:p>
    <w:p>
      <w:pPr>
        <w:pStyle w:val="28"/>
        <w:widowControl/>
        <w:spacing w:before="100" w:after="100"/>
        <w:ind w:left="0" w:right="0" w:firstLine="0"/>
        <w:jc w:val="center"/>
        <w:rPr>
          <w:rFonts w:ascii="Times New Roman" w:hAnsi="Times New Roman" w:eastAsia="Times New Roman" w:cs="Times New Roman"/>
          <w:kern w:val="0"/>
          <w:sz w:val="24"/>
        </w:rPr>
      </w:pPr>
    </w:p>
    <w:p>
      <w:pPr>
        <w:sectPr>
          <w:footerReference r:id="rId14" w:type="default"/>
          <w:pgSz w:w="11906" w:h="16838"/>
          <w:pgMar w:top="1440" w:right="720" w:bottom="1440" w:left="720" w:header="720" w:footer="720" w:gutter="0"/>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widowControl/>
        <w:spacing w:before="240" w:after="240"/>
        <w:jc w:val="left"/>
        <w:rPr>
          <w:rFonts w:ascii="Times New Roman" w:hAnsi="Times New Roman" w:eastAsia="Times New Roman" w:cs="Times New Roman"/>
          <w:kern w:val="0"/>
          <w:sz w:val="24"/>
        </w:rPr>
      </w:pPr>
    </w:p>
    <w:p>
      <w:pPr>
        <w:pStyle w:val="28"/>
        <w:widowControl/>
        <w:spacing w:before="100" w:after="100" w:line="600" w:lineRule="atLeast"/>
        <w:ind w:left="0" w:right="0" w:firstLine="71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一、财政拨款收入：</w:t>
      </w:r>
      <w:r>
        <w:rPr>
          <w:rFonts w:ascii="仿宋" w:hAnsi="仿宋" w:eastAsia="仿宋" w:cs="仿宋"/>
          <w:spacing w:val="0"/>
          <w:kern w:val="0"/>
          <w:sz w:val="32"/>
          <w:szCs w:val="32"/>
        </w:rPr>
        <w:t>指单位从本级财政单位取得的财政预算资金，包括一般公共预算财政拨款、政府性基金预算财政拨款和国有资本经营预算财政拨款。</w:t>
      </w:r>
    </w:p>
    <w:p>
      <w:pPr>
        <w:pStyle w:val="28"/>
        <w:widowControl/>
        <w:spacing w:before="100" w:after="100" w:line="600" w:lineRule="atLeast"/>
        <w:ind w:left="0" w:right="0" w:firstLine="71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二、事业收入：</w:t>
      </w:r>
      <w:r>
        <w:rPr>
          <w:rFonts w:ascii="仿宋" w:hAnsi="仿宋" w:eastAsia="仿宋" w:cs="仿宋"/>
          <w:spacing w:val="0"/>
          <w:kern w:val="0"/>
          <w:sz w:val="32"/>
          <w:szCs w:val="32"/>
        </w:rPr>
        <w:t>指事业单位开展专业业务活动及辅助活动所取得的收入。</w:t>
      </w:r>
    </w:p>
    <w:p>
      <w:pPr>
        <w:pStyle w:val="28"/>
        <w:widowControl/>
        <w:spacing w:before="100" w:after="100" w:line="600" w:lineRule="atLeast"/>
        <w:ind w:left="0" w:right="0" w:firstLine="71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三、经营收入：</w:t>
      </w:r>
      <w:r>
        <w:rPr>
          <w:rFonts w:ascii="仿宋" w:hAnsi="仿宋" w:eastAsia="仿宋" w:cs="仿宋"/>
          <w:spacing w:val="0"/>
          <w:kern w:val="0"/>
          <w:sz w:val="32"/>
          <w:szCs w:val="32"/>
        </w:rPr>
        <w:t>指事业单位在专业业务活动及其辅助活动之外开展非独立核算经营活动取得的收入。</w:t>
      </w:r>
    </w:p>
    <w:p>
      <w:pPr>
        <w:pStyle w:val="28"/>
        <w:widowControl/>
        <w:spacing w:before="100" w:after="100" w:line="600" w:lineRule="atLeast"/>
        <w:ind w:left="0" w:right="0" w:firstLine="71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四、其他收入：</w:t>
      </w:r>
      <w:r>
        <w:rPr>
          <w:rFonts w:ascii="仿宋" w:hAnsi="仿宋" w:eastAsia="仿宋" w:cs="仿宋"/>
          <w:spacing w:val="0"/>
          <w:kern w:val="0"/>
          <w:sz w:val="32"/>
          <w:szCs w:val="32"/>
        </w:rPr>
        <w:t>指除上述“财政拨款收入”“事业收入”</w:t>
      </w:r>
      <w:r>
        <w:rPr>
          <w:rFonts w:ascii="宋体" w:hAnsi="宋体" w:cs="宋体"/>
          <w:spacing w:val="0"/>
          <w:kern w:val="0"/>
          <w:szCs w:val="21"/>
        </w:rPr>
        <w:t> </w:t>
      </w:r>
      <w:r>
        <w:rPr>
          <w:rFonts w:ascii="仿宋" w:hAnsi="仿宋" w:eastAsia="仿宋" w:cs="仿宋"/>
          <w:spacing w:val="0"/>
          <w:kern w:val="0"/>
          <w:sz w:val="32"/>
          <w:szCs w:val="32"/>
        </w:rPr>
        <w:t>“上级补助收入”“附属单位上缴收入”“经营收入”等以外取得的各项收入。主要是事业单位固定资产出租收入等。</w:t>
      </w:r>
    </w:p>
    <w:p>
      <w:pPr>
        <w:pStyle w:val="28"/>
        <w:widowControl/>
        <w:spacing w:before="100" w:after="100" w:line="600" w:lineRule="atLeast"/>
        <w:ind w:left="0" w:right="0" w:firstLine="71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五、使用非财政拨款结余：</w:t>
      </w:r>
      <w:r>
        <w:rPr>
          <w:rFonts w:ascii="仿宋" w:hAnsi="仿宋" w:eastAsia="仿宋" w:cs="仿宋"/>
          <w:spacing w:val="0"/>
          <w:kern w:val="0"/>
          <w:sz w:val="32"/>
          <w:szCs w:val="32"/>
        </w:rPr>
        <w:t>指事业单位使用以前年度积累的非财政拨款结余弥补当年收支差额的金额。</w:t>
      </w:r>
    </w:p>
    <w:p>
      <w:pPr>
        <w:pStyle w:val="28"/>
        <w:widowControl/>
        <w:spacing w:before="100" w:after="100" w:line="600" w:lineRule="atLeast"/>
        <w:ind w:left="0" w:right="0" w:firstLine="71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六、年初结转和结余：</w:t>
      </w:r>
      <w:r>
        <w:rPr>
          <w:rFonts w:ascii="仿宋" w:hAnsi="仿宋" w:eastAsia="仿宋" w:cs="仿宋"/>
          <w:spacing w:val="0"/>
          <w:kern w:val="0"/>
          <w:sz w:val="32"/>
          <w:szCs w:val="32"/>
        </w:rPr>
        <w:t>指单位以前年度尚未完成、结转到本年仍按原规定用途继续使用的资金，或项目已完成等产生的结余资金。</w:t>
      </w:r>
    </w:p>
    <w:p>
      <w:pPr>
        <w:pStyle w:val="29"/>
        <w:widowControl/>
        <w:spacing w:before="100" w:after="100" w:line="600" w:lineRule="atLeast"/>
        <w:ind w:left="0" w:right="0" w:firstLine="64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七、结余分配：</w:t>
      </w:r>
      <w:r>
        <w:rPr>
          <w:rFonts w:ascii="仿宋" w:hAnsi="仿宋" w:eastAsia="仿宋" w:cs="仿宋"/>
          <w:spacing w:val="0"/>
          <w:kern w:val="0"/>
          <w:sz w:val="32"/>
          <w:szCs w:val="32"/>
        </w:rPr>
        <w:t>指事业单位按照会计制度规定缴纳的所得税、提取的专用结余以及转入非财政拨款结余的金额等。</w:t>
      </w:r>
    </w:p>
    <w:p>
      <w:pPr>
        <w:pStyle w:val="29"/>
        <w:widowControl/>
        <w:spacing w:before="100" w:after="100" w:line="600" w:lineRule="atLeast"/>
        <w:ind w:left="0" w:right="0" w:firstLine="64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八、年末结转和结余：</w:t>
      </w:r>
      <w:r>
        <w:rPr>
          <w:rFonts w:ascii="仿宋" w:hAnsi="仿宋" w:eastAsia="仿宋" w:cs="仿宋"/>
          <w:spacing w:val="0"/>
          <w:kern w:val="0"/>
          <w:sz w:val="32"/>
          <w:szCs w:val="32"/>
        </w:rPr>
        <w:t>指单位按有关规定结转到下年或以后年度继续使用的资金，或项目已完成等产生的结余资金。</w:t>
      </w:r>
    </w:p>
    <w:p>
      <w:pPr>
        <w:pStyle w:val="29"/>
        <w:widowControl/>
        <w:spacing w:before="100" w:after="100" w:line="600" w:lineRule="atLeast"/>
        <w:ind w:left="0" w:right="0" w:firstLine="64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九、基本支出：</w:t>
      </w:r>
      <w:r>
        <w:rPr>
          <w:rFonts w:ascii="仿宋" w:hAnsi="仿宋" w:eastAsia="仿宋" w:cs="仿宋"/>
          <w:spacing w:val="0"/>
          <w:kern w:val="0"/>
          <w:sz w:val="32"/>
          <w:szCs w:val="32"/>
        </w:rPr>
        <w:t>指为保障机构正常运转、完成日常工作任务而发生的人员支出和公用支出。</w:t>
      </w:r>
    </w:p>
    <w:p>
      <w:pPr>
        <w:pStyle w:val="29"/>
        <w:widowControl/>
        <w:spacing w:before="100" w:after="100" w:line="600" w:lineRule="atLeast"/>
        <w:ind w:left="0" w:right="0" w:firstLine="64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十、项目支出：</w:t>
      </w:r>
      <w:r>
        <w:rPr>
          <w:rFonts w:ascii="仿宋" w:hAnsi="仿宋" w:eastAsia="仿宋" w:cs="仿宋"/>
          <w:spacing w:val="0"/>
          <w:kern w:val="0"/>
          <w:sz w:val="32"/>
          <w:szCs w:val="32"/>
        </w:rPr>
        <w:t>指在基本支出之外为完成特定行政任务和事业发展目标所发生的支出。</w:t>
      </w:r>
    </w:p>
    <w:p>
      <w:pPr>
        <w:pStyle w:val="29"/>
        <w:widowControl/>
        <w:spacing w:before="100" w:after="100" w:line="600" w:lineRule="atLeast"/>
        <w:ind w:left="0" w:right="0" w:firstLine="64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十一、经营支出：</w:t>
      </w:r>
      <w:r>
        <w:rPr>
          <w:rFonts w:ascii="仿宋" w:hAnsi="仿宋" w:eastAsia="仿宋" w:cs="仿宋"/>
          <w:spacing w:val="0"/>
          <w:kern w:val="0"/>
          <w:sz w:val="32"/>
          <w:szCs w:val="32"/>
        </w:rPr>
        <w:t>指事业单位在专业业务活动及其辅助活动之外开展非独立核算经营活动发生的支出。</w:t>
      </w:r>
    </w:p>
    <w:p>
      <w:pPr>
        <w:pStyle w:val="29"/>
        <w:widowControl/>
        <w:spacing w:before="100" w:after="100" w:line="600" w:lineRule="atLeast"/>
        <w:ind w:left="0" w:right="0" w:firstLine="64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十二、“三公”经费：</w:t>
      </w:r>
      <w:r>
        <w:rPr>
          <w:rFonts w:ascii="仿宋" w:hAnsi="仿宋" w:eastAsia="仿宋" w:cs="仿宋"/>
          <w:spacing w:val="0"/>
          <w:kern w:val="0"/>
          <w:sz w:val="32"/>
          <w:szCs w:val="32"/>
        </w:rPr>
        <w:t>纳入本级财政预决算管理的“三公”经费，是指本级单位用一般公共预算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及燃料费、维修费、过桥过路费、保险费、安全奖励费用等支出；公务接待费反映单位按规定开支的各类公务接待（含外宾接待）支出。</w:t>
      </w:r>
    </w:p>
    <w:p>
      <w:pPr>
        <w:pStyle w:val="29"/>
        <w:widowControl/>
        <w:spacing w:before="100" w:after="100" w:line="600" w:lineRule="atLeast"/>
        <w:ind w:left="0" w:right="0" w:firstLine="64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十三、机关运行经费：</w:t>
      </w:r>
      <w:r>
        <w:rPr>
          <w:rFonts w:ascii="仿宋" w:hAnsi="仿宋" w:eastAsia="仿宋" w:cs="仿宋"/>
          <w:spacing w:val="0"/>
          <w:kern w:val="0"/>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8"/>
        <w:widowControl/>
        <w:spacing w:before="240" w:after="240"/>
        <w:jc w:val="left"/>
        <w:rPr>
          <w:rFonts w:ascii="Times New Roman" w:hAnsi="Times New Roman" w:eastAsia="Times New Roman" w:cs="Times New Roman"/>
          <w:kern w:val="0"/>
          <w:sz w:val="24"/>
        </w:rPr>
      </w:pPr>
    </w:p>
    <w:p>
      <w:pPr>
        <w:sectPr>
          <w:footerReference r:id="rId15" w:type="default"/>
          <w:pgSz w:w="11906" w:h="16838"/>
          <w:pgMar w:top="1440" w:right="720" w:bottom="1440" w:left="720" w:header="720" w:footer="720" w:gutter="0"/>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widowControl/>
        <w:spacing w:before="240" w:after="240"/>
        <w:jc w:val="left"/>
        <w:rPr>
          <w:rFonts w:ascii="Times New Roman" w:hAnsi="Times New Roman" w:eastAsia="Times New Roman" w:cs="Times New Roman"/>
          <w:kern w:val="0"/>
          <w:sz w:val="24"/>
        </w:rPr>
      </w:pPr>
    </w:p>
    <w:p>
      <w:pPr>
        <w:pStyle w:val="28"/>
        <w:widowControl/>
        <w:spacing w:before="240" w:after="240"/>
        <w:jc w:val="left"/>
        <w:rPr>
          <w:rFonts w:ascii="Times New Roman" w:hAnsi="Times New Roman" w:eastAsia="Times New Roman" w:cs="Times New Roman"/>
          <w:kern w:val="0"/>
          <w:sz w:val="24"/>
        </w:rPr>
      </w:pPr>
    </w:p>
    <w:p>
      <w:pPr>
        <w:pStyle w:val="28"/>
        <w:widowControl/>
        <w:spacing w:before="240" w:after="240"/>
        <w:jc w:val="left"/>
        <w:rPr>
          <w:rFonts w:ascii="Times New Roman" w:hAnsi="Times New Roman" w:eastAsia="Times New Roman" w:cs="Times New Roman"/>
          <w:kern w:val="0"/>
          <w:sz w:val="24"/>
        </w:rPr>
      </w:pPr>
    </w:p>
    <w:p>
      <w:pPr>
        <w:pStyle w:val="28"/>
        <w:widowControl/>
        <w:spacing w:before="240" w:after="240"/>
        <w:jc w:val="left"/>
        <w:rPr>
          <w:rFonts w:ascii="Times New Roman" w:hAnsi="Times New Roman" w:eastAsia="Times New Roman" w:cs="Times New Roman"/>
          <w:kern w:val="0"/>
          <w:sz w:val="24"/>
        </w:rPr>
      </w:pPr>
    </w:p>
    <w:p>
      <w:pPr>
        <w:pStyle w:val="28"/>
        <w:widowControl/>
        <w:spacing w:before="240" w:after="240"/>
        <w:jc w:val="left"/>
        <w:rPr>
          <w:rFonts w:ascii="Times New Roman" w:hAnsi="Times New Roman" w:eastAsia="Times New Roman" w:cs="Times New Roman"/>
          <w:kern w:val="0"/>
          <w:sz w:val="24"/>
        </w:rPr>
      </w:pPr>
    </w:p>
    <w:p>
      <w:pPr>
        <w:pStyle w:val="28"/>
        <w:widowControl/>
        <w:spacing w:before="240" w:after="240"/>
        <w:jc w:val="left"/>
        <w:rPr>
          <w:rFonts w:ascii="Times New Roman" w:hAnsi="Times New Roman" w:eastAsia="Times New Roman" w:cs="Times New Roman"/>
          <w:kern w:val="0"/>
          <w:sz w:val="24"/>
        </w:rPr>
      </w:pPr>
    </w:p>
    <w:p>
      <w:pPr>
        <w:pStyle w:val="28"/>
        <w:widowControl/>
        <w:spacing w:before="240" w:after="240"/>
        <w:jc w:val="left"/>
        <w:rPr>
          <w:rFonts w:ascii="Times New Roman" w:hAnsi="Times New Roman" w:eastAsia="Times New Roman" w:cs="Times New Roman"/>
          <w:kern w:val="0"/>
          <w:sz w:val="24"/>
        </w:rPr>
      </w:pPr>
    </w:p>
    <w:p>
      <w:pPr>
        <w:pStyle w:val="28"/>
        <w:widowControl/>
        <w:spacing w:before="240" w:after="240"/>
        <w:jc w:val="left"/>
        <w:rPr>
          <w:rFonts w:ascii="Times New Roman" w:hAnsi="Times New Roman" w:eastAsia="Times New Roman" w:cs="Times New Roman"/>
          <w:kern w:val="0"/>
          <w:sz w:val="24"/>
        </w:rPr>
      </w:pPr>
    </w:p>
    <w:p>
      <w:pPr>
        <w:pStyle w:val="28"/>
        <w:widowControl/>
        <w:spacing w:before="240" w:after="240"/>
        <w:jc w:val="left"/>
        <w:rPr>
          <w:rFonts w:ascii="Times New Roman" w:hAnsi="Times New Roman" w:eastAsia="Times New Roman" w:cs="Times New Roman"/>
          <w:kern w:val="0"/>
          <w:sz w:val="24"/>
        </w:rPr>
      </w:pPr>
    </w:p>
    <w:p>
      <w:pPr>
        <w:pStyle w:val="28"/>
        <w:widowControl/>
        <w:spacing w:before="240" w:after="240"/>
        <w:jc w:val="left"/>
        <w:rPr>
          <w:rFonts w:ascii="Times New Roman" w:hAnsi="Times New Roman" w:eastAsia="Times New Roman" w:cs="Times New Roman"/>
          <w:kern w:val="0"/>
          <w:sz w:val="24"/>
        </w:rPr>
      </w:pPr>
    </w:p>
    <w:p>
      <w:pPr>
        <w:pStyle w:val="3"/>
        <w:keepNext w:val="0"/>
        <w:keepLines w:val="0"/>
        <w:spacing w:before="299" w:after="299" w:line="240" w:lineRule="auto"/>
        <w:ind w:firstLine="0" w:firstLineChars="0"/>
        <w:jc w:val="center"/>
        <w:rPr>
          <w:rFonts w:ascii="Times New Roman" w:hAnsi="Times New Roman" w:eastAsia="Times New Roman" w:cs="Times New Roman"/>
          <w:b/>
          <w:bCs/>
          <w:kern w:val="0"/>
          <w:sz w:val="36"/>
          <w:szCs w:val="36"/>
        </w:rPr>
      </w:pPr>
      <w:bookmarkStart w:id="113" w:name="_Toc256000029"/>
      <w:bookmarkStart w:id="114" w:name="_Toc256000060"/>
      <w:bookmarkStart w:id="115" w:name="_Toc256000091"/>
      <w:bookmarkStart w:id="116" w:name="_Toc256000122"/>
      <w:r>
        <w:rPr>
          <w:rFonts w:ascii="黑体" w:hAnsi="黑体" w:eastAsia="黑体" w:cs="黑体"/>
          <w:b/>
          <w:sz w:val="56"/>
          <w:szCs w:val="56"/>
        </w:rPr>
        <w:t>第五部分</w:t>
      </w:r>
      <w:bookmarkEnd w:id="113"/>
      <w:bookmarkEnd w:id="114"/>
      <w:bookmarkEnd w:id="115"/>
      <w:bookmarkEnd w:id="116"/>
    </w:p>
    <w:p>
      <w:pPr>
        <w:pStyle w:val="3"/>
        <w:keepNext w:val="0"/>
        <w:keepLines w:val="0"/>
        <w:spacing w:before="299" w:after="299" w:line="240" w:lineRule="auto"/>
        <w:ind w:firstLine="0" w:firstLineChars="0"/>
        <w:jc w:val="center"/>
        <w:rPr>
          <w:rFonts w:hint="eastAsia" w:ascii="黑体" w:hAnsi="黑体" w:eastAsia="黑体" w:cs="黑体"/>
          <w:b/>
          <w:sz w:val="56"/>
          <w:szCs w:val="56"/>
          <w:lang w:val="en-US" w:eastAsia="zh-CN"/>
        </w:rPr>
      </w:pPr>
      <w:r>
        <w:rPr>
          <w:rFonts w:hint="eastAsia" w:ascii="黑体" w:hAnsi="黑体" w:eastAsia="黑体" w:cs="黑体"/>
          <w:b/>
          <w:sz w:val="56"/>
          <w:szCs w:val="56"/>
          <w:lang w:val="en-US" w:eastAsia="zh-CN"/>
        </w:rPr>
        <w:t>附件</w:t>
      </w:r>
    </w:p>
    <w:p>
      <w:pPr>
        <w:pStyle w:val="3"/>
        <w:keepNext w:val="0"/>
        <w:keepLines w:val="0"/>
        <w:spacing w:before="299" w:after="299" w:line="240" w:lineRule="auto"/>
        <w:ind w:firstLine="0" w:firstLineChars="0"/>
        <w:jc w:val="center"/>
        <w:rPr>
          <w:rFonts w:hint="eastAsia" w:ascii="Times New Roman" w:hAnsi="Times New Roman" w:eastAsia="宋体" w:cs="Times New Roman"/>
          <w:b/>
          <w:bCs/>
          <w:kern w:val="0"/>
          <w:sz w:val="36"/>
          <w:szCs w:val="36"/>
          <w:lang w:val="en-US" w:eastAsia="zh-CN"/>
        </w:rPr>
        <w:sectPr>
          <w:footerReference r:id="rId16" w:type="default"/>
          <w:pgSz w:w="11906" w:h="16838"/>
          <w:pgMar w:top="1984" w:right="1083" w:bottom="1984" w:left="1083" w:header="0" w:footer="720" w:gutter="0"/>
          <w:cols w:space="0" w:num="1"/>
          <w:rtlGutter w:val="0"/>
          <w:docGrid w:type="lines" w:linePitch="317" w:charSpace="0"/>
        </w:sectPr>
      </w:pPr>
    </w:p>
    <w:tbl>
      <w:tblPr>
        <w:tblStyle w:val="22"/>
        <w:tblW w:w="9770" w:type="dxa"/>
        <w:tblInd w:w="0" w:type="dxa"/>
        <w:shd w:val="clear" w:color="auto" w:fill="auto"/>
        <w:tblLayout w:type="fixed"/>
        <w:tblCellMar>
          <w:top w:w="0" w:type="dxa"/>
          <w:left w:w="0" w:type="dxa"/>
          <w:bottom w:w="0" w:type="dxa"/>
          <w:right w:w="0" w:type="dxa"/>
        </w:tblCellMar>
      </w:tblPr>
      <w:tblGrid>
        <w:gridCol w:w="942"/>
        <w:gridCol w:w="474"/>
        <w:gridCol w:w="2129"/>
        <w:gridCol w:w="1798"/>
        <w:gridCol w:w="474"/>
        <w:gridCol w:w="696"/>
        <w:gridCol w:w="584"/>
        <w:gridCol w:w="586"/>
        <w:gridCol w:w="474"/>
        <w:gridCol w:w="252"/>
        <w:gridCol w:w="1361"/>
      </w:tblGrid>
      <w:tr>
        <w:tblPrEx>
          <w:shd w:val="clear" w:color="auto" w:fill="auto"/>
          <w:tblLayout w:type="fixed"/>
          <w:tblCellMar>
            <w:top w:w="0" w:type="dxa"/>
            <w:left w:w="0" w:type="dxa"/>
            <w:bottom w:w="0" w:type="dxa"/>
            <w:right w:w="0" w:type="dxa"/>
          </w:tblCellMar>
        </w:tblPrEx>
        <w:trPr>
          <w:trHeight w:val="375" w:hRule="atLeast"/>
        </w:trPr>
        <w:tc>
          <w:tcPr>
            <w:tcW w:w="9770" w:type="dxa"/>
            <w:gridSpan w:val="11"/>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部门（单位）项目支出绩效自评表</w:t>
            </w:r>
          </w:p>
        </w:tc>
      </w:tr>
      <w:tr>
        <w:tblPrEx>
          <w:shd w:val="clear" w:color="auto" w:fill="auto"/>
          <w:tblLayout w:type="fixed"/>
          <w:tblCellMar>
            <w:top w:w="0" w:type="dxa"/>
            <w:left w:w="0" w:type="dxa"/>
            <w:bottom w:w="0" w:type="dxa"/>
            <w:right w:w="0" w:type="dxa"/>
          </w:tblCellMar>
        </w:tblPrEx>
        <w:trPr>
          <w:trHeight w:val="360" w:hRule="atLeast"/>
        </w:trPr>
        <w:tc>
          <w:tcPr>
            <w:tcW w:w="9770" w:type="dxa"/>
            <w:gridSpan w:val="11"/>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（2024年度）</w:t>
            </w:r>
          </w:p>
        </w:tc>
      </w:tr>
      <w:tr>
        <w:tblPrEx>
          <w:shd w:val="clear" w:color="auto" w:fill="auto"/>
          <w:tblLayout w:type="fixed"/>
          <w:tblCellMar>
            <w:top w:w="0" w:type="dxa"/>
            <w:left w:w="0" w:type="dxa"/>
            <w:bottom w:w="0" w:type="dxa"/>
            <w:right w:w="0" w:type="dxa"/>
          </w:tblCellMar>
        </w:tblPrEx>
        <w:trPr>
          <w:trHeight w:val="390" w:hRule="atLeast"/>
        </w:trPr>
        <w:tc>
          <w:tcPr>
            <w:tcW w:w="942" w:type="dxa"/>
            <w:tcBorders>
              <w:top w:val="nil"/>
              <w:left w:val="nil"/>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预算单位（盖章）：                                                                                                  </w:t>
            </w:r>
          </w:p>
        </w:tc>
        <w:tc>
          <w:tcPr>
            <w:tcW w:w="474"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5"/>
                <w:szCs w:val="15"/>
                <w:u w:val="none"/>
              </w:rPr>
            </w:pPr>
          </w:p>
        </w:tc>
        <w:tc>
          <w:tcPr>
            <w:tcW w:w="2129" w:type="dxa"/>
            <w:tcBorders>
              <w:top w:val="nil"/>
              <w:left w:val="nil"/>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厦门市湖里创新实验学校</w:t>
            </w:r>
          </w:p>
        </w:tc>
        <w:tc>
          <w:tcPr>
            <w:tcW w:w="1798"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5"/>
                <w:szCs w:val="15"/>
                <w:u w:val="none"/>
              </w:rPr>
            </w:pPr>
          </w:p>
        </w:tc>
        <w:tc>
          <w:tcPr>
            <w:tcW w:w="474"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5"/>
                <w:szCs w:val="15"/>
                <w:u w:val="none"/>
              </w:rPr>
            </w:pPr>
          </w:p>
        </w:tc>
        <w:tc>
          <w:tcPr>
            <w:tcW w:w="696" w:type="dxa"/>
            <w:tcBorders>
              <w:top w:val="nil"/>
              <w:left w:val="nil"/>
              <w:bottom w:val="single" w:color="000000" w:sz="4" w:space="0"/>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5"/>
                <w:szCs w:val="15"/>
                <w:u w:val="none"/>
              </w:rPr>
            </w:pPr>
          </w:p>
        </w:tc>
        <w:tc>
          <w:tcPr>
            <w:tcW w:w="584"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5"/>
                <w:szCs w:val="15"/>
                <w:u w:val="none"/>
              </w:rPr>
            </w:pPr>
          </w:p>
        </w:tc>
        <w:tc>
          <w:tcPr>
            <w:tcW w:w="586"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5"/>
                <w:szCs w:val="15"/>
                <w:u w:val="none"/>
              </w:rPr>
            </w:pPr>
          </w:p>
        </w:tc>
        <w:tc>
          <w:tcPr>
            <w:tcW w:w="474"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5"/>
                <w:szCs w:val="15"/>
                <w:u w:val="none"/>
              </w:rPr>
            </w:pPr>
          </w:p>
        </w:tc>
        <w:tc>
          <w:tcPr>
            <w:tcW w:w="252"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5"/>
                <w:szCs w:val="15"/>
                <w:u w:val="none"/>
              </w:rPr>
            </w:pPr>
          </w:p>
        </w:tc>
        <w:tc>
          <w:tcPr>
            <w:tcW w:w="1361" w:type="dxa"/>
            <w:tcBorders>
              <w:top w:val="nil"/>
              <w:left w:val="nil"/>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单位：万元</w:t>
            </w:r>
          </w:p>
        </w:tc>
      </w:tr>
      <w:tr>
        <w:tblPrEx>
          <w:shd w:val="clear" w:color="auto" w:fill="auto"/>
          <w:tblLayout w:type="fixed"/>
          <w:tblCellMar>
            <w:top w:w="0" w:type="dxa"/>
            <w:left w:w="0" w:type="dxa"/>
            <w:bottom w:w="0" w:type="dxa"/>
            <w:right w:w="0" w:type="dxa"/>
          </w:tblCellMar>
        </w:tblPrEx>
        <w:trPr>
          <w:trHeight w:val="360" w:hRule="atLeast"/>
        </w:trPr>
        <w:tc>
          <w:tcPr>
            <w:tcW w:w="1416" w:type="dxa"/>
            <w:gridSpan w:val="2"/>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项目名称</w:t>
            </w:r>
          </w:p>
        </w:tc>
        <w:tc>
          <w:tcPr>
            <w:tcW w:w="2129"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义务教育阶段家庭经济困难学生营养餐补助</w:t>
            </w:r>
          </w:p>
        </w:tc>
        <w:tc>
          <w:tcPr>
            <w:tcW w:w="1798" w:type="dxa"/>
            <w:tcBorders>
              <w:top w:val="single" w:color="000000" w:sz="4" w:space="0"/>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6"/>
                <w:szCs w:val="16"/>
                <w:u w:val="none"/>
              </w:rPr>
            </w:pPr>
          </w:p>
        </w:tc>
        <w:tc>
          <w:tcPr>
            <w:tcW w:w="474" w:type="dxa"/>
            <w:tcBorders>
              <w:top w:val="single" w:color="000000" w:sz="4" w:space="0"/>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6"/>
                <w:szCs w:val="16"/>
                <w:u w:val="none"/>
              </w:rPr>
            </w:pPr>
          </w:p>
        </w:tc>
        <w:tc>
          <w:tcPr>
            <w:tcW w:w="696" w:type="dxa"/>
            <w:tcBorders>
              <w:top w:val="single" w:color="000000" w:sz="4" w:space="0"/>
              <w:left w:val="nil"/>
              <w:bottom w:val="single" w:color="000000" w:sz="4" w:space="0"/>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自评年度</w:t>
            </w:r>
          </w:p>
        </w:tc>
        <w:tc>
          <w:tcPr>
            <w:tcW w:w="2673"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2024年1月1日-2024年12月31日</w:t>
            </w:r>
          </w:p>
        </w:tc>
      </w:tr>
      <w:tr>
        <w:tblPrEx>
          <w:shd w:val="clear" w:color="auto" w:fill="auto"/>
          <w:tblLayout w:type="fixed"/>
          <w:tblCellMar>
            <w:top w:w="0" w:type="dxa"/>
            <w:left w:w="0" w:type="dxa"/>
            <w:bottom w:w="0" w:type="dxa"/>
            <w:right w:w="0" w:type="dxa"/>
          </w:tblCellMar>
        </w:tblPrEx>
        <w:trPr>
          <w:trHeight w:val="360" w:hRule="atLeast"/>
        </w:trPr>
        <w:tc>
          <w:tcPr>
            <w:tcW w:w="141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主管部门</w:t>
            </w:r>
          </w:p>
        </w:tc>
        <w:tc>
          <w:tcPr>
            <w:tcW w:w="5097"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湖里区教育局</w:t>
            </w:r>
          </w:p>
        </w:tc>
        <w:tc>
          <w:tcPr>
            <w:tcW w:w="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实施单位</w:t>
            </w:r>
          </w:p>
        </w:tc>
        <w:tc>
          <w:tcPr>
            <w:tcW w:w="1312" w:type="dxa"/>
            <w:gridSpan w:val="3"/>
            <w:tcBorders>
              <w:top w:val="single" w:color="000000" w:sz="4" w:space="0"/>
              <w:left w:val="single" w:color="000000" w:sz="4" w:space="0"/>
              <w:bottom w:val="single" w:color="000000" w:sz="4" w:space="0"/>
              <w:right w:val="single" w:color="000000" w:sz="4" w:space="0"/>
            </w:tcBorders>
            <w:shd w:val="clear" w:color="auto" w:fill="E6B8B7"/>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厦门市湖里创新实验学校</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6"/>
                <w:szCs w:val="16"/>
                <w:u w:val="none"/>
              </w:rPr>
            </w:pPr>
          </w:p>
        </w:tc>
      </w:tr>
      <w:tr>
        <w:tblPrEx>
          <w:shd w:val="clear" w:color="auto" w:fill="auto"/>
          <w:tblLayout w:type="fixed"/>
          <w:tblCellMar>
            <w:top w:w="0" w:type="dxa"/>
            <w:left w:w="0" w:type="dxa"/>
            <w:bottom w:w="0" w:type="dxa"/>
            <w:right w:w="0" w:type="dxa"/>
          </w:tblCellMar>
        </w:tblPrEx>
        <w:trPr>
          <w:trHeight w:val="660" w:hRule="atLeast"/>
        </w:trPr>
        <w:tc>
          <w:tcPr>
            <w:tcW w:w="14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年度预算执行情况</w:t>
            </w:r>
          </w:p>
        </w:tc>
        <w:tc>
          <w:tcPr>
            <w:tcW w:w="21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6"/>
                <w:szCs w:val="16"/>
                <w:u w:val="none"/>
              </w:rPr>
            </w:pP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年初预算数</w:t>
            </w:r>
          </w:p>
        </w:tc>
        <w:tc>
          <w:tcPr>
            <w:tcW w:w="47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已调整数</w:t>
            </w: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调整后预算数</w:t>
            </w:r>
          </w:p>
        </w:tc>
        <w:tc>
          <w:tcPr>
            <w:tcW w:w="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全年执行数</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执行率</w:t>
            </w:r>
          </w:p>
        </w:tc>
        <w:tc>
          <w:tcPr>
            <w:tcW w:w="474"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设置分值</w:t>
            </w:r>
          </w:p>
        </w:tc>
        <w:tc>
          <w:tcPr>
            <w:tcW w:w="2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得分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存在问题及原因</w:t>
            </w:r>
          </w:p>
        </w:tc>
      </w:tr>
      <w:tr>
        <w:tblPrEx>
          <w:shd w:val="clear" w:color="auto" w:fill="auto"/>
          <w:tblLayout w:type="fixed"/>
          <w:tblCellMar>
            <w:top w:w="0" w:type="dxa"/>
            <w:left w:w="0" w:type="dxa"/>
            <w:bottom w:w="0" w:type="dxa"/>
            <w:right w:w="0" w:type="dxa"/>
          </w:tblCellMar>
        </w:tblPrEx>
        <w:trPr>
          <w:trHeight w:val="330" w:hRule="atLeast"/>
        </w:trPr>
        <w:tc>
          <w:tcPr>
            <w:tcW w:w="14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6"/>
                <w:szCs w:val="16"/>
                <w:u w:val="none"/>
              </w:rPr>
            </w:pPr>
          </w:p>
        </w:tc>
        <w:tc>
          <w:tcPr>
            <w:tcW w:w="21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年度资金总额</w:t>
            </w:r>
          </w:p>
        </w:tc>
        <w:tc>
          <w:tcPr>
            <w:tcW w:w="1798" w:type="dxa"/>
            <w:tcBorders>
              <w:top w:val="single" w:color="000000" w:sz="4" w:space="0"/>
              <w:left w:val="single" w:color="000000" w:sz="4" w:space="0"/>
              <w:bottom w:val="single" w:color="000000" w:sz="4" w:space="0"/>
              <w:right w:val="single" w:color="000000" w:sz="4" w:space="0"/>
            </w:tcBorders>
            <w:shd w:val="clear" w:color="auto" w:fill="E6B8B7"/>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474" w:type="dxa"/>
            <w:tcBorders>
              <w:top w:val="single" w:color="000000" w:sz="4" w:space="0"/>
              <w:left w:val="single" w:color="000000" w:sz="4" w:space="0"/>
              <w:bottom w:val="single" w:color="000000" w:sz="4" w:space="0"/>
              <w:right w:val="single" w:color="000000" w:sz="4" w:space="0"/>
            </w:tcBorders>
            <w:shd w:val="clear" w:color="auto" w:fill="E6B8B7"/>
            <w:noWrap/>
            <w:tcMar>
              <w:top w:w="15" w:type="dxa"/>
              <w:left w:w="15" w:type="dxa"/>
              <w:right w:w="15" w:type="dxa"/>
            </w:tcMar>
            <w:vAlign w:val="center"/>
          </w:tcPr>
          <w:p>
            <w:pPr>
              <w:rPr>
                <w:rFonts w:hint="eastAsia" w:ascii="宋体" w:hAnsi="宋体" w:eastAsia="宋体" w:cs="宋体"/>
                <w:i w:val="0"/>
                <w:color w:val="000000"/>
                <w:sz w:val="16"/>
                <w:szCs w:val="16"/>
                <w:u w:val="none"/>
              </w:rPr>
            </w:pPr>
          </w:p>
        </w:tc>
        <w:tc>
          <w:tcPr>
            <w:tcW w:w="696" w:type="dxa"/>
            <w:tcBorders>
              <w:top w:val="single" w:color="000000" w:sz="4" w:space="0"/>
              <w:left w:val="single" w:color="000000" w:sz="4" w:space="0"/>
              <w:bottom w:val="single" w:color="000000" w:sz="4" w:space="0"/>
              <w:right w:val="single" w:color="000000" w:sz="4" w:space="0"/>
            </w:tcBorders>
            <w:shd w:val="clear" w:color="auto" w:fill="E6B8B7"/>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1.17</w:t>
            </w:r>
          </w:p>
        </w:tc>
        <w:tc>
          <w:tcPr>
            <w:tcW w:w="584" w:type="dxa"/>
            <w:tcBorders>
              <w:top w:val="single" w:color="000000" w:sz="4" w:space="0"/>
              <w:left w:val="single" w:color="000000" w:sz="4" w:space="0"/>
              <w:bottom w:val="single" w:color="000000" w:sz="4" w:space="0"/>
              <w:right w:val="single" w:color="000000" w:sz="4" w:space="0"/>
            </w:tcBorders>
            <w:shd w:val="clear" w:color="auto" w:fill="E6B8B7"/>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0.5034</w:t>
            </w:r>
          </w:p>
        </w:tc>
        <w:tc>
          <w:tcPr>
            <w:tcW w:w="586" w:type="dxa"/>
            <w:tcBorders>
              <w:top w:val="single" w:color="000000" w:sz="4" w:space="0"/>
              <w:left w:val="single" w:color="000000" w:sz="4" w:space="0"/>
              <w:bottom w:val="single" w:color="000000" w:sz="4" w:space="0"/>
              <w:right w:val="single" w:color="000000" w:sz="4" w:space="0"/>
            </w:tcBorders>
            <w:shd w:val="clear" w:color="auto" w:fill="E6B8B7"/>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43.03%</w:t>
            </w:r>
          </w:p>
        </w:tc>
        <w:tc>
          <w:tcPr>
            <w:tcW w:w="474"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252" w:type="dxa"/>
            <w:tcBorders>
              <w:top w:val="single" w:color="000000" w:sz="4" w:space="0"/>
              <w:left w:val="single" w:color="000000" w:sz="4" w:space="0"/>
              <w:bottom w:val="single" w:color="000000" w:sz="4" w:space="0"/>
              <w:right w:val="single" w:color="000000" w:sz="4" w:space="0"/>
            </w:tcBorders>
            <w:shd w:val="clear" w:color="auto" w:fill="E6B8B7"/>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无（24年秋季新办校）</w:t>
            </w:r>
          </w:p>
        </w:tc>
      </w:tr>
      <w:tr>
        <w:tblPrEx>
          <w:shd w:val="clear" w:color="auto" w:fill="auto"/>
          <w:tblLayout w:type="fixed"/>
          <w:tblCellMar>
            <w:top w:w="0" w:type="dxa"/>
            <w:left w:w="0" w:type="dxa"/>
            <w:bottom w:w="0" w:type="dxa"/>
            <w:right w:w="0" w:type="dxa"/>
          </w:tblCellMar>
        </w:tblPrEx>
        <w:trPr>
          <w:trHeight w:val="330" w:hRule="atLeast"/>
        </w:trPr>
        <w:tc>
          <w:tcPr>
            <w:tcW w:w="14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6"/>
                <w:szCs w:val="16"/>
                <w:u w:val="none"/>
              </w:rPr>
            </w:pPr>
          </w:p>
        </w:tc>
        <w:tc>
          <w:tcPr>
            <w:tcW w:w="21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其中：当年财政拨款</w:t>
            </w:r>
          </w:p>
        </w:tc>
        <w:tc>
          <w:tcPr>
            <w:tcW w:w="1798" w:type="dxa"/>
            <w:tcBorders>
              <w:top w:val="single" w:color="000000" w:sz="4" w:space="0"/>
              <w:left w:val="single" w:color="000000" w:sz="4" w:space="0"/>
              <w:bottom w:val="single" w:color="000000" w:sz="4" w:space="0"/>
              <w:right w:val="single" w:color="000000" w:sz="4" w:space="0"/>
            </w:tcBorders>
            <w:shd w:val="clear" w:color="auto" w:fill="E6B8B7"/>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474" w:type="dxa"/>
            <w:tcBorders>
              <w:top w:val="single" w:color="000000" w:sz="4" w:space="0"/>
              <w:left w:val="single" w:color="000000" w:sz="4" w:space="0"/>
              <w:bottom w:val="single" w:color="000000" w:sz="4" w:space="0"/>
              <w:right w:val="single" w:color="000000" w:sz="4" w:space="0"/>
            </w:tcBorders>
            <w:shd w:val="clear" w:color="auto" w:fill="E6B8B7"/>
            <w:noWrap/>
            <w:tcMar>
              <w:top w:w="15" w:type="dxa"/>
              <w:left w:w="15" w:type="dxa"/>
              <w:right w:w="15" w:type="dxa"/>
            </w:tcMar>
            <w:vAlign w:val="center"/>
          </w:tcPr>
          <w:p>
            <w:pPr>
              <w:rPr>
                <w:rFonts w:hint="eastAsia" w:ascii="宋体" w:hAnsi="宋体" w:eastAsia="宋体" w:cs="宋体"/>
                <w:i w:val="0"/>
                <w:color w:val="000000"/>
                <w:sz w:val="16"/>
                <w:szCs w:val="16"/>
                <w:u w:val="none"/>
              </w:rPr>
            </w:pPr>
          </w:p>
        </w:tc>
        <w:tc>
          <w:tcPr>
            <w:tcW w:w="696" w:type="dxa"/>
            <w:tcBorders>
              <w:top w:val="single" w:color="000000" w:sz="4" w:space="0"/>
              <w:left w:val="single" w:color="000000" w:sz="4" w:space="0"/>
              <w:bottom w:val="single" w:color="000000" w:sz="4" w:space="0"/>
              <w:right w:val="single" w:color="000000" w:sz="4" w:space="0"/>
            </w:tcBorders>
            <w:shd w:val="clear" w:color="auto" w:fill="E6B8B7"/>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1.17</w:t>
            </w:r>
          </w:p>
        </w:tc>
        <w:tc>
          <w:tcPr>
            <w:tcW w:w="584" w:type="dxa"/>
            <w:tcBorders>
              <w:top w:val="single" w:color="000000" w:sz="4" w:space="0"/>
              <w:left w:val="single" w:color="000000" w:sz="4" w:space="0"/>
              <w:bottom w:val="single" w:color="000000" w:sz="4" w:space="0"/>
              <w:right w:val="single" w:color="000000" w:sz="4" w:space="0"/>
            </w:tcBorders>
            <w:shd w:val="clear" w:color="auto" w:fill="E6B8B7"/>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0.5034</w:t>
            </w:r>
          </w:p>
        </w:tc>
        <w:tc>
          <w:tcPr>
            <w:tcW w:w="586" w:type="dxa"/>
            <w:tcBorders>
              <w:top w:val="single" w:color="000000" w:sz="4" w:space="0"/>
              <w:left w:val="single" w:color="000000" w:sz="4" w:space="0"/>
              <w:bottom w:val="single" w:color="000000" w:sz="4" w:space="0"/>
              <w:right w:val="single" w:color="000000" w:sz="4" w:space="0"/>
            </w:tcBorders>
            <w:shd w:val="clear" w:color="auto" w:fill="E6B8B7"/>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43.03%</w:t>
            </w:r>
          </w:p>
        </w:tc>
        <w:tc>
          <w:tcPr>
            <w:tcW w:w="474"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无（新办校）</w:t>
            </w:r>
          </w:p>
        </w:tc>
      </w:tr>
      <w:tr>
        <w:tblPrEx>
          <w:shd w:val="clear" w:color="auto" w:fill="auto"/>
          <w:tblLayout w:type="fixed"/>
          <w:tblCellMar>
            <w:top w:w="0" w:type="dxa"/>
            <w:left w:w="0" w:type="dxa"/>
            <w:bottom w:w="0" w:type="dxa"/>
            <w:right w:w="0" w:type="dxa"/>
          </w:tblCellMar>
        </w:tblPrEx>
        <w:trPr>
          <w:trHeight w:val="330" w:hRule="atLeast"/>
        </w:trPr>
        <w:tc>
          <w:tcPr>
            <w:tcW w:w="14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6"/>
                <w:szCs w:val="16"/>
                <w:u w:val="none"/>
              </w:rPr>
            </w:pPr>
          </w:p>
        </w:tc>
        <w:tc>
          <w:tcPr>
            <w:tcW w:w="21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 xml:space="preserve">     上年结转资金</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6"/>
                <w:szCs w:val="16"/>
                <w:u w:val="none"/>
              </w:rPr>
            </w:pPr>
          </w:p>
        </w:tc>
        <w:tc>
          <w:tcPr>
            <w:tcW w:w="47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6"/>
                <w:szCs w:val="16"/>
                <w:u w:val="none"/>
              </w:rPr>
            </w:pP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6"/>
                <w:szCs w:val="16"/>
                <w:u w:val="none"/>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474"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6"/>
                <w:szCs w:val="16"/>
                <w:u w:val="none"/>
              </w:rPr>
            </w:pPr>
          </w:p>
        </w:tc>
      </w:tr>
      <w:tr>
        <w:tblPrEx>
          <w:shd w:val="clear" w:color="auto" w:fill="auto"/>
          <w:tblLayout w:type="fixed"/>
          <w:tblCellMar>
            <w:top w:w="0" w:type="dxa"/>
            <w:left w:w="0" w:type="dxa"/>
            <w:bottom w:w="0" w:type="dxa"/>
            <w:right w:w="0" w:type="dxa"/>
          </w:tblCellMar>
        </w:tblPrEx>
        <w:trPr>
          <w:trHeight w:val="330" w:hRule="atLeast"/>
        </w:trPr>
        <w:tc>
          <w:tcPr>
            <w:tcW w:w="14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6"/>
                <w:szCs w:val="16"/>
                <w:u w:val="none"/>
              </w:rPr>
            </w:pPr>
          </w:p>
        </w:tc>
        <w:tc>
          <w:tcPr>
            <w:tcW w:w="21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 xml:space="preserve">     其他资金</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6"/>
                <w:szCs w:val="16"/>
                <w:u w:val="none"/>
              </w:rPr>
            </w:pPr>
          </w:p>
        </w:tc>
        <w:tc>
          <w:tcPr>
            <w:tcW w:w="47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6"/>
                <w:szCs w:val="16"/>
                <w:u w:val="none"/>
              </w:rPr>
            </w:pP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6"/>
                <w:szCs w:val="16"/>
                <w:u w:val="none"/>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474"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6"/>
                <w:szCs w:val="16"/>
                <w:u w:val="none"/>
              </w:rPr>
            </w:pPr>
          </w:p>
        </w:tc>
      </w:tr>
      <w:tr>
        <w:tblPrEx>
          <w:shd w:val="clear" w:color="auto" w:fill="auto"/>
          <w:tblLayout w:type="fixed"/>
          <w:tblCellMar>
            <w:top w:w="0" w:type="dxa"/>
            <w:left w:w="0" w:type="dxa"/>
            <w:bottom w:w="0" w:type="dxa"/>
            <w:right w:w="0" w:type="dxa"/>
          </w:tblCellMar>
        </w:tblPrEx>
        <w:trPr>
          <w:trHeight w:val="375" w:hRule="atLeast"/>
        </w:trPr>
        <w:tc>
          <w:tcPr>
            <w:tcW w:w="94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年度</w:t>
            </w:r>
            <w:r>
              <w:rPr>
                <w:rFonts w:hint="eastAsia" w:ascii="宋体" w:hAnsi="宋体" w:eastAsia="宋体" w:cs="宋体"/>
                <w:b/>
                <w:i w:val="0"/>
                <w:color w:val="000000"/>
                <w:kern w:val="0"/>
                <w:sz w:val="16"/>
                <w:szCs w:val="16"/>
                <w:u w:val="none"/>
                <w:lang w:val="en-US" w:eastAsia="zh-CN" w:bidi="ar"/>
              </w:rPr>
              <w:br w:type="textWrapping"/>
            </w:r>
            <w:r>
              <w:rPr>
                <w:rFonts w:hint="eastAsia" w:ascii="宋体" w:hAnsi="宋体" w:eastAsia="宋体" w:cs="宋体"/>
                <w:b/>
                <w:i w:val="0"/>
                <w:color w:val="000000"/>
                <w:kern w:val="0"/>
                <w:sz w:val="16"/>
                <w:szCs w:val="16"/>
                <w:u w:val="none"/>
                <w:lang w:val="en-US" w:eastAsia="zh-CN" w:bidi="ar"/>
              </w:rPr>
              <w:t>总体</w:t>
            </w:r>
            <w:r>
              <w:rPr>
                <w:rFonts w:hint="eastAsia" w:ascii="宋体" w:hAnsi="宋体" w:eastAsia="宋体" w:cs="宋体"/>
                <w:b/>
                <w:i w:val="0"/>
                <w:color w:val="000000"/>
                <w:kern w:val="0"/>
                <w:sz w:val="16"/>
                <w:szCs w:val="16"/>
                <w:u w:val="none"/>
                <w:lang w:val="en-US" w:eastAsia="zh-CN" w:bidi="ar"/>
              </w:rPr>
              <w:br w:type="textWrapping"/>
            </w:r>
            <w:r>
              <w:rPr>
                <w:rFonts w:hint="eastAsia" w:ascii="宋体" w:hAnsi="宋体" w:eastAsia="宋体" w:cs="宋体"/>
                <w:b/>
                <w:i w:val="0"/>
                <w:color w:val="000000"/>
                <w:kern w:val="0"/>
                <w:sz w:val="16"/>
                <w:szCs w:val="16"/>
                <w:u w:val="none"/>
                <w:lang w:val="en-US" w:eastAsia="zh-CN" w:bidi="ar"/>
              </w:rPr>
              <w:t>目标</w:t>
            </w:r>
          </w:p>
        </w:tc>
        <w:tc>
          <w:tcPr>
            <w:tcW w:w="5571"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预期目标</w:t>
            </w:r>
          </w:p>
        </w:tc>
        <w:tc>
          <w:tcPr>
            <w:tcW w:w="3257"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实际完成情况</w:t>
            </w:r>
          </w:p>
        </w:tc>
      </w:tr>
      <w:tr>
        <w:tblPrEx>
          <w:shd w:val="clear" w:color="auto" w:fill="auto"/>
          <w:tblLayout w:type="fixed"/>
          <w:tblCellMar>
            <w:top w:w="0" w:type="dxa"/>
            <w:left w:w="0" w:type="dxa"/>
            <w:bottom w:w="0" w:type="dxa"/>
            <w:right w:w="0" w:type="dxa"/>
          </w:tblCellMar>
        </w:tblPrEx>
        <w:trPr>
          <w:trHeight w:val="270"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6"/>
                <w:szCs w:val="16"/>
                <w:u w:val="none"/>
              </w:rPr>
            </w:pPr>
          </w:p>
        </w:tc>
        <w:tc>
          <w:tcPr>
            <w:tcW w:w="5571"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厦门市教育局等五部门关于印发《厦门市学生资助资金管理实施办法》的通知（厦教发〔2022〕83号）及厦门市教育局等八部门关于印发《厦门市家庭经济困难学生认定办法》的通知（厦教规【2022】3号）等文件，对义务教育阶段公办校（学校提供午餐）家庭经济困难学生营养餐补助，确保补助工作顺利实施。2024年完成春、秋两季关于我区义务教育阶段公办校（学校提供午餐）家庭经济困难学生营养餐补助对象审核及资金下拨。</w:t>
            </w:r>
          </w:p>
        </w:tc>
        <w:tc>
          <w:tcPr>
            <w:tcW w:w="3257"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2024年完成春、秋两季关于我区义务教育阶段公办校（学校提供午餐）家庭经济困难学生营养餐补助对象审核及资金下拨。</w:t>
            </w:r>
          </w:p>
        </w:tc>
      </w:tr>
      <w:tr>
        <w:tblPrEx>
          <w:shd w:val="clear" w:color="auto" w:fill="auto"/>
          <w:tblLayout w:type="fixed"/>
          <w:tblCellMar>
            <w:top w:w="0" w:type="dxa"/>
            <w:left w:w="0" w:type="dxa"/>
            <w:bottom w:w="0" w:type="dxa"/>
            <w:right w:w="0" w:type="dxa"/>
          </w:tblCellMar>
        </w:tblPrEx>
        <w:trPr>
          <w:trHeight w:val="1560"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6"/>
                <w:szCs w:val="16"/>
                <w:u w:val="none"/>
              </w:rPr>
            </w:pPr>
          </w:p>
        </w:tc>
        <w:tc>
          <w:tcPr>
            <w:tcW w:w="5571"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3257"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r>
      <w:tr>
        <w:tblPrEx>
          <w:shd w:val="clear" w:color="auto" w:fill="auto"/>
          <w:tblLayout w:type="fixed"/>
          <w:tblCellMar>
            <w:top w:w="0" w:type="dxa"/>
            <w:left w:w="0" w:type="dxa"/>
            <w:bottom w:w="0" w:type="dxa"/>
            <w:right w:w="0" w:type="dxa"/>
          </w:tblCellMar>
        </w:tblPrEx>
        <w:trPr>
          <w:trHeight w:val="675" w:hRule="atLeast"/>
        </w:trPr>
        <w:tc>
          <w:tcPr>
            <w:tcW w:w="9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6"/>
                <w:szCs w:val="16"/>
                <w:u w:val="none"/>
              </w:rPr>
            </w:pPr>
          </w:p>
        </w:tc>
        <w:tc>
          <w:tcPr>
            <w:tcW w:w="47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一级指标</w:t>
            </w:r>
          </w:p>
        </w:tc>
        <w:tc>
          <w:tcPr>
            <w:tcW w:w="21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二级指标</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三级指标</w:t>
            </w:r>
          </w:p>
        </w:tc>
        <w:tc>
          <w:tcPr>
            <w:tcW w:w="47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指标类型</w:t>
            </w: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绩效目标值</w:t>
            </w:r>
          </w:p>
        </w:tc>
        <w:tc>
          <w:tcPr>
            <w:tcW w:w="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实际完成值</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完成比例</w:t>
            </w:r>
          </w:p>
        </w:tc>
        <w:tc>
          <w:tcPr>
            <w:tcW w:w="474"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设置分值</w:t>
            </w:r>
          </w:p>
        </w:tc>
        <w:tc>
          <w:tcPr>
            <w:tcW w:w="2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得分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存在问题及原因</w:t>
            </w:r>
          </w:p>
        </w:tc>
      </w:tr>
      <w:tr>
        <w:tblPrEx>
          <w:shd w:val="clear" w:color="auto" w:fill="auto"/>
          <w:tblLayout w:type="fixed"/>
          <w:tblCellMar>
            <w:top w:w="0" w:type="dxa"/>
            <w:left w:w="0" w:type="dxa"/>
            <w:bottom w:w="0" w:type="dxa"/>
            <w:right w:w="0" w:type="dxa"/>
          </w:tblCellMar>
        </w:tblPrEx>
        <w:trPr>
          <w:trHeight w:val="450" w:hRule="atLeast"/>
        </w:trPr>
        <w:tc>
          <w:tcPr>
            <w:tcW w:w="94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绩</w:t>
            </w:r>
            <w:r>
              <w:rPr>
                <w:rFonts w:hint="eastAsia" w:ascii="宋体" w:hAnsi="宋体" w:eastAsia="宋体" w:cs="宋体"/>
                <w:b/>
                <w:i w:val="0"/>
                <w:color w:val="000000"/>
                <w:kern w:val="0"/>
                <w:sz w:val="16"/>
                <w:szCs w:val="16"/>
                <w:u w:val="none"/>
                <w:lang w:val="en-US" w:eastAsia="zh-CN" w:bidi="ar"/>
              </w:rPr>
              <w:br w:type="textWrapping"/>
            </w:r>
            <w:r>
              <w:rPr>
                <w:rFonts w:hint="eastAsia" w:ascii="宋体" w:hAnsi="宋体" w:eastAsia="宋体" w:cs="宋体"/>
                <w:b/>
                <w:i w:val="0"/>
                <w:color w:val="000000"/>
                <w:kern w:val="0"/>
                <w:sz w:val="16"/>
                <w:szCs w:val="16"/>
                <w:u w:val="none"/>
                <w:lang w:val="en-US" w:eastAsia="zh-CN" w:bidi="ar"/>
              </w:rPr>
              <w:t>效</w:t>
            </w:r>
            <w:r>
              <w:rPr>
                <w:rFonts w:hint="eastAsia" w:ascii="宋体" w:hAnsi="宋体" w:eastAsia="宋体" w:cs="宋体"/>
                <w:b/>
                <w:i w:val="0"/>
                <w:color w:val="000000"/>
                <w:kern w:val="0"/>
                <w:sz w:val="16"/>
                <w:szCs w:val="16"/>
                <w:u w:val="none"/>
                <w:lang w:val="en-US" w:eastAsia="zh-CN" w:bidi="ar"/>
              </w:rPr>
              <w:br w:type="textWrapping"/>
            </w:r>
            <w:r>
              <w:rPr>
                <w:rFonts w:hint="eastAsia" w:ascii="宋体" w:hAnsi="宋体" w:eastAsia="宋体" w:cs="宋体"/>
                <w:b/>
                <w:i w:val="0"/>
                <w:color w:val="000000"/>
                <w:kern w:val="0"/>
                <w:sz w:val="16"/>
                <w:szCs w:val="16"/>
                <w:u w:val="none"/>
                <w:lang w:val="en-US" w:eastAsia="zh-CN" w:bidi="ar"/>
              </w:rPr>
              <w:t>指</w:t>
            </w:r>
            <w:r>
              <w:rPr>
                <w:rFonts w:hint="eastAsia" w:ascii="宋体" w:hAnsi="宋体" w:eastAsia="宋体" w:cs="宋体"/>
                <w:b/>
                <w:i w:val="0"/>
                <w:color w:val="000000"/>
                <w:kern w:val="0"/>
                <w:sz w:val="16"/>
                <w:szCs w:val="16"/>
                <w:u w:val="none"/>
                <w:lang w:val="en-US" w:eastAsia="zh-CN" w:bidi="ar"/>
              </w:rPr>
              <w:br w:type="textWrapping"/>
            </w:r>
            <w:r>
              <w:rPr>
                <w:rFonts w:hint="eastAsia" w:ascii="宋体" w:hAnsi="宋体" w:eastAsia="宋体" w:cs="宋体"/>
                <w:b/>
                <w:i w:val="0"/>
                <w:color w:val="000000"/>
                <w:kern w:val="0"/>
                <w:sz w:val="16"/>
                <w:szCs w:val="16"/>
                <w:u w:val="none"/>
                <w:lang w:val="en-US" w:eastAsia="zh-CN" w:bidi="ar"/>
              </w:rPr>
              <w:t>标</w:t>
            </w:r>
            <w:r>
              <w:rPr>
                <w:rFonts w:hint="eastAsia" w:ascii="宋体" w:hAnsi="宋体" w:eastAsia="宋体" w:cs="宋体"/>
                <w:b/>
                <w:i w:val="0"/>
                <w:color w:val="000000"/>
                <w:kern w:val="0"/>
                <w:sz w:val="16"/>
                <w:szCs w:val="16"/>
                <w:u w:val="none"/>
                <w:lang w:val="en-US" w:eastAsia="zh-CN" w:bidi="ar"/>
              </w:rPr>
              <w:br w:type="textWrapping"/>
            </w:r>
            <w:r>
              <w:rPr>
                <w:rFonts w:hint="eastAsia" w:ascii="宋体" w:hAnsi="宋体" w:eastAsia="宋体" w:cs="宋体"/>
                <w:b/>
                <w:i w:val="0"/>
                <w:color w:val="000000"/>
                <w:kern w:val="0"/>
                <w:sz w:val="16"/>
                <w:szCs w:val="16"/>
                <w:u w:val="none"/>
                <w:lang w:val="en-US" w:eastAsia="zh-CN" w:bidi="ar"/>
              </w:rPr>
              <w:t>完</w:t>
            </w:r>
            <w:r>
              <w:rPr>
                <w:rFonts w:hint="eastAsia" w:ascii="宋体" w:hAnsi="宋体" w:eastAsia="宋体" w:cs="宋体"/>
                <w:b/>
                <w:i w:val="0"/>
                <w:color w:val="000000"/>
                <w:kern w:val="0"/>
                <w:sz w:val="16"/>
                <w:szCs w:val="16"/>
                <w:u w:val="none"/>
                <w:lang w:val="en-US" w:eastAsia="zh-CN" w:bidi="ar"/>
              </w:rPr>
              <w:br w:type="textWrapping"/>
            </w:r>
            <w:r>
              <w:rPr>
                <w:rFonts w:hint="eastAsia" w:ascii="宋体" w:hAnsi="宋体" w:eastAsia="宋体" w:cs="宋体"/>
                <w:b/>
                <w:i w:val="0"/>
                <w:color w:val="000000"/>
                <w:kern w:val="0"/>
                <w:sz w:val="16"/>
                <w:szCs w:val="16"/>
                <w:u w:val="none"/>
                <w:lang w:val="en-US" w:eastAsia="zh-CN" w:bidi="ar"/>
              </w:rPr>
              <w:t>成</w:t>
            </w:r>
            <w:r>
              <w:rPr>
                <w:rFonts w:hint="eastAsia" w:ascii="宋体" w:hAnsi="宋体" w:eastAsia="宋体" w:cs="宋体"/>
                <w:b/>
                <w:i w:val="0"/>
                <w:color w:val="000000"/>
                <w:kern w:val="0"/>
                <w:sz w:val="16"/>
                <w:szCs w:val="16"/>
                <w:u w:val="none"/>
                <w:lang w:val="en-US" w:eastAsia="zh-CN" w:bidi="ar"/>
              </w:rPr>
              <w:br w:type="textWrapping"/>
            </w:r>
            <w:r>
              <w:rPr>
                <w:rFonts w:hint="eastAsia" w:ascii="宋体" w:hAnsi="宋体" w:eastAsia="宋体" w:cs="宋体"/>
                <w:b/>
                <w:i w:val="0"/>
                <w:color w:val="000000"/>
                <w:kern w:val="0"/>
                <w:sz w:val="16"/>
                <w:szCs w:val="16"/>
                <w:u w:val="none"/>
                <w:lang w:val="en-US" w:eastAsia="zh-CN" w:bidi="ar"/>
              </w:rPr>
              <w:t>情</w:t>
            </w:r>
            <w:r>
              <w:rPr>
                <w:rFonts w:hint="eastAsia" w:ascii="宋体" w:hAnsi="宋体" w:eastAsia="宋体" w:cs="宋体"/>
                <w:b/>
                <w:i w:val="0"/>
                <w:color w:val="000000"/>
                <w:kern w:val="0"/>
                <w:sz w:val="16"/>
                <w:szCs w:val="16"/>
                <w:u w:val="none"/>
                <w:lang w:val="en-US" w:eastAsia="zh-CN" w:bidi="ar"/>
              </w:rPr>
              <w:br w:type="textWrapping"/>
            </w:r>
            <w:r>
              <w:rPr>
                <w:rFonts w:hint="eastAsia" w:ascii="宋体" w:hAnsi="宋体" w:eastAsia="宋体" w:cs="宋体"/>
                <w:b/>
                <w:i w:val="0"/>
                <w:color w:val="000000"/>
                <w:kern w:val="0"/>
                <w:sz w:val="16"/>
                <w:szCs w:val="16"/>
                <w:u w:val="none"/>
                <w:lang w:val="en-US" w:eastAsia="zh-CN" w:bidi="ar"/>
              </w:rPr>
              <w:t>况</w:t>
            </w:r>
          </w:p>
        </w:tc>
        <w:tc>
          <w:tcPr>
            <w:tcW w:w="47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产出指标</w:t>
            </w:r>
          </w:p>
        </w:tc>
        <w:tc>
          <w:tcPr>
            <w:tcW w:w="21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数量指标</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审核义务教育阶段阶段受助学生</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1"/>
                <w:szCs w:val="11"/>
                <w:u w:val="none"/>
              </w:rPr>
            </w:pPr>
            <w:r>
              <w:rPr>
                <w:rFonts w:ascii="宋体" w:hAnsi="宋体" w:eastAsia="宋体" w:cs="宋体"/>
                <w:i w:val="0"/>
                <w:color w:val="000000"/>
                <w:kern w:val="0"/>
                <w:sz w:val="11"/>
                <w:szCs w:val="11"/>
                <w:u w:val="none"/>
                <w:lang w:val="en-US" w:eastAsia="zh-CN" w:bidi="ar"/>
              </w:rPr>
              <w:t>定量</w:t>
            </w:r>
          </w:p>
        </w:tc>
        <w:tc>
          <w:tcPr>
            <w:tcW w:w="696" w:type="dxa"/>
            <w:tcBorders>
              <w:top w:val="single" w:color="000000" w:sz="4" w:space="0"/>
              <w:left w:val="single" w:color="000000" w:sz="4" w:space="0"/>
              <w:bottom w:val="single" w:color="000000" w:sz="4" w:space="0"/>
              <w:right w:val="single" w:color="000000" w:sz="4" w:space="0"/>
            </w:tcBorders>
            <w:shd w:val="clear" w:color="auto" w:fill="E6B8B7"/>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584" w:type="dxa"/>
            <w:tcBorders>
              <w:top w:val="single" w:color="000000" w:sz="4" w:space="0"/>
              <w:left w:val="single" w:color="000000" w:sz="4" w:space="0"/>
              <w:bottom w:val="single" w:color="000000" w:sz="4" w:space="0"/>
              <w:right w:val="single" w:color="000000" w:sz="4" w:space="0"/>
            </w:tcBorders>
            <w:shd w:val="clear" w:color="auto" w:fill="E6B8B7"/>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14</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70.00%</w:t>
            </w:r>
          </w:p>
        </w:tc>
        <w:tc>
          <w:tcPr>
            <w:tcW w:w="47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15</w:t>
            </w:r>
          </w:p>
        </w:tc>
        <w:tc>
          <w:tcPr>
            <w:tcW w:w="252" w:type="dxa"/>
            <w:tcBorders>
              <w:top w:val="single" w:color="000000" w:sz="4" w:space="0"/>
              <w:left w:val="single" w:color="000000" w:sz="4" w:space="0"/>
              <w:bottom w:val="single" w:color="000000" w:sz="4" w:space="0"/>
              <w:right w:val="single" w:color="000000" w:sz="4" w:space="0"/>
            </w:tcBorders>
            <w:shd w:val="clear" w:color="auto" w:fill="E6B8B7"/>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只有24年秋季营养餐困难生</w:t>
            </w:r>
          </w:p>
        </w:tc>
      </w:tr>
      <w:tr>
        <w:tblPrEx>
          <w:shd w:val="clear" w:color="auto" w:fill="auto"/>
          <w:tblLayout w:type="fixed"/>
          <w:tblCellMar>
            <w:top w:w="0" w:type="dxa"/>
            <w:left w:w="0" w:type="dxa"/>
            <w:bottom w:w="0" w:type="dxa"/>
            <w:right w:w="0" w:type="dxa"/>
          </w:tblCellMar>
        </w:tblPrEx>
        <w:trPr>
          <w:trHeight w:val="450"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6"/>
                <w:szCs w:val="16"/>
                <w:u w:val="none"/>
              </w:rPr>
            </w:pPr>
          </w:p>
        </w:tc>
        <w:tc>
          <w:tcPr>
            <w:tcW w:w="47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b/>
                <w:i w:val="0"/>
                <w:color w:val="000000"/>
                <w:sz w:val="16"/>
                <w:szCs w:val="16"/>
                <w:u w:val="none"/>
              </w:rPr>
            </w:pPr>
          </w:p>
        </w:tc>
        <w:tc>
          <w:tcPr>
            <w:tcW w:w="21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数量指标</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全年营养餐补助人数</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1"/>
                <w:szCs w:val="11"/>
                <w:u w:val="none"/>
              </w:rPr>
            </w:pPr>
            <w:r>
              <w:rPr>
                <w:rFonts w:ascii="宋体" w:hAnsi="宋体" w:eastAsia="宋体" w:cs="宋体"/>
                <w:i w:val="0"/>
                <w:color w:val="000000"/>
                <w:kern w:val="0"/>
                <w:sz w:val="11"/>
                <w:szCs w:val="11"/>
                <w:u w:val="none"/>
                <w:lang w:val="en-US" w:eastAsia="zh-CN" w:bidi="ar"/>
              </w:rPr>
              <w:t>定量</w:t>
            </w:r>
          </w:p>
        </w:tc>
        <w:tc>
          <w:tcPr>
            <w:tcW w:w="696" w:type="dxa"/>
            <w:tcBorders>
              <w:top w:val="single" w:color="000000" w:sz="4" w:space="0"/>
              <w:left w:val="single" w:color="000000" w:sz="4" w:space="0"/>
              <w:bottom w:val="single" w:color="000000" w:sz="4" w:space="0"/>
              <w:right w:val="single" w:color="000000" w:sz="4" w:space="0"/>
            </w:tcBorders>
            <w:shd w:val="clear" w:color="auto" w:fill="E6B8B7"/>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584" w:type="dxa"/>
            <w:tcBorders>
              <w:top w:val="single" w:color="000000" w:sz="4" w:space="0"/>
              <w:left w:val="single" w:color="000000" w:sz="4" w:space="0"/>
              <w:bottom w:val="single" w:color="000000" w:sz="4" w:space="0"/>
              <w:right w:val="single" w:color="000000" w:sz="4" w:space="0"/>
            </w:tcBorders>
            <w:shd w:val="clear" w:color="auto" w:fill="E6B8B7"/>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14</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70.00%</w:t>
            </w:r>
          </w:p>
        </w:tc>
        <w:tc>
          <w:tcPr>
            <w:tcW w:w="47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15</w:t>
            </w:r>
          </w:p>
        </w:tc>
        <w:tc>
          <w:tcPr>
            <w:tcW w:w="252" w:type="dxa"/>
            <w:tcBorders>
              <w:top w:val="single" w:color="000000" w:sz="4" w:space="0"/>
              <w:left w:val="single" w:color="000000" w:sz="4" w:space="0"/>
              <w:bottom w:val="single" w:color="000000" w:sz="4" w:space="0"/>
              <w:right w:val="single" w:color="000000" w:sz="4" w:space="0"/>
            </w:tcBorders>
            <w:shd w:val="clear" w:color="auto" w:fill="E6B8B7"/>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只有24年秋季营养餐困难生</w:t>
            </w:r>
          </w:p>
        </w:tc>
      </w:tr>
      <w:tr>
        <w:tblPrEx>
          <w:shd w:val="clear" w:color="auto" w:fill="auto"/>
          <w:tblLayout w:type="fixed"/>
          <w:tblCellMar>
            <w:top w:w="0" w:type="dxa"/>
            <w:left w:w="0" w:type="dxa"/>
            <w:bottom w:w="0" w:type="dxa"/>
            <w:right w:w="0" w:type="dxa"/>
          </w:tblCellMar>
        </w:tblPrEx>
        <w:trPr>
          <w:trHeight w:val="450"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6"/>
                <w:szCs w:val="16"/>
                <w:u w:val="none"/>
              </w:rPr>
            </w:pPr>
          </w:p>
        </w:tc>
        <w:tc>
          <w:tcPr>
            <w:tcW w:w="47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b/>
                <w:i w:val="0"/>
                <w:color w:val="000000"/>
                <w:sz w:val="16"/>
                <w:szCs w:val="16"/>
                <w:u w:val="none"/>
              </w:rPr>
            </w:pPr>
          </w:p>
        </w:tc>
        <w:tc>
          <w:tcPr>
            <w:tcW w:w="21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成本指标</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营养餐发放标准</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1"/>
                <w:szCs w:val="11"/>
                <w:u w:val="none"/>
              </w:rPr>
            </w:pPr>
            <w:r>
              <w:rPr>
                <w:rFonts w:ascii="宋体" w:hAnsi="宋体" w:eastAsia="宋体" w:cs="宋体"/>
                <w:i w:val="0"/>
                <w:color w:val="000000"/>
                <w:kern w:val="0"/>
                <w:sz w:val="11"/>
                <w:szCs w:val="11"/>
                <w:u w:val="none"/>
                <w:lang w:val="en-US" w:eastAsia="zh-CN" w:bidi="ar"/>
              </w:rPr>
              <w:t>定量</w:t>
            </w: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6/餐</w:t>
            </w:r>
          </w:p>
        </w:tc>
        <w:tc>
          <w:tcPr>
            <w:tcW w:w="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6/餐</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100.00%</w:t>
            </w:r>
          </w:p>
        </w:tc>
        <w:tc>
          <w:tcPr>
            <w:tcW w:w="47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2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无</w:t>
            </w:r>
          </w:p>
        </w:tc>
      </w:tr>
      <w:tr>
        <w:tblPrEx>
          <w:shd w:val="clear" w:color="auto" w:fill="auto"/>
          <w:tblLayout w:type="fixed"/>
          <w:tblCellMar>
            <w:top w:w="0" w:type="dxa"/>
            <w:left w:w="0" w:type="dxa"/>
            <w:bottom w:w="0" w:type="dxa"/>
            <w:right w:w="0" w:type="dxa"/>
          </w:tblCellMar>
        </w:tblPrEx>
        <w:trPr>
          <w:trHeight w:val="61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6"/>
                <w:szCs w:val="16"/>
                <w:u w:val="none"/>
              </w:rPr>
            </w:pPr>
          </w:p>
        </w:tc>
        <w:tc>
          <w:tcPr>
            <w:tcW w:w="47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b/>
                <w:i w:val="0"/>
                <w:color w:val="000000"/>
                <w:sz w:val="16"/>
                <w:szCs w:val="16"/>
                <w:u w:val="none"/>
              </w:rPr>
            </w:pPr>
          </w:p>
        </w:tc>
        <w:tc>
          <w:tcPr>
            <w:tcW w:w="21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时效指标</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义务教育困难生资助资金下拨及时率</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1"/>
                <w:szCs w:val="11"/>
                <w:u w:val="none"/>
              </w:rPr>
            </w:pPr>
            <w:r>
              <w:rPr>
                <w:rFonts w:ascii="宋体" w:hAnsi="宋体" w:eastAsia="宋体" w:cs="宋体"/>
                <w:i w:val="0"/>
                <w:color w:val="000000"/>
                <w:kern w:val="0"/>
                <w:sz w:val="11"/>
                <w:szCs w:val="11"/>
                <w:u w:val="none"/>
                <w:lang w:val="en-US" w:eastAsia="zh-CN" w:bidi="ar"/>
              </w:rPr>
              <w:t>定量</w:t>
            </w: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5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100.00%</w:t>
            </w:r>
          </w:p>
        </w:tc>
        <w:tc>
          <w:tcPr>
            <w:tcW w:w="47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2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无</w:t>
            </w:r>
          </w:p>
        </w:tc>
      </w:tr>
      <w:tr>
        <w:tblPrEx>
          <w:shd w:val="clear" w:color="auto" w:fill="auto"/>
          <w:tblLayout w:type="fixed"/>
          <w:tblCellMar>
            <w:top w:w="0" w:type="dxa"/>
            <w:left w:w="0" w:type="dxa"/>
            <w:bottom w:w="0" w:type="dxa"/>
            <w:right w:w="0" w:type="dxa"/>
          </w:tblCellMar>
        </w:tblPrEx>
        <w:trPr>
          <w:trHeight w:val="615" w:hRule="atLeast"/>
        </w:trPr>
        <w:tc>
          <w:tcPr>
            <w:tcW w:w="94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6"/>
                <w:szCs w:val="16"/>
                <w:u w:val="none"/>
              </w:rPr>
            </w:pP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满意度</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指标</w:t>
            </w:r>
          </w:p>
        </w:tc>
        <w:tc>
          <w:tcPr>
            <w:tcW w:w="21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服务对象满意度指标</w:t>
            </w:r>
          </w:p>
        </w:tc>
        <w:tc>
          <w:tcPr>
            <w:tcW w:w="17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受资助对象满意度</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1"/>
                <w:szCs w:val="11"/>
                <w:u w:val="none"/>
              </w:rPr>
            </w:pPr>
            <w:r>
              <w:rPr>
                <w:rFonts w:ascii="宋体" w:hAnsi="宋体" w:eastAsia="宋体" w:cs="宋体"/>
                <w:i w:val="0"/>
                <w:color w:val="000000"/>
                <w:kern w:val="0"/>
                <w:sz w:val="11"/>
                <w:szCs w:val="11"/>
                <w:u w:val="none"/>
                <w:lang w:val="en-US" w:eastAsia="zh-CN" w:bidi="ar"/>
              </w:rPr>
              <w:t>定量</w:t>
            </w: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584" w:type="dxa"/>
            <w:tcBorders>
              <w:top w:val="single" w:color="000000" w:sz="4" w:space="0"/>
              <w:left w:val="single" w:color="000000" w:sz="4" w:space="0"/>
              <w:bottom w:val="single" w:color="000000" w:sz="4" w:space="0"/>
              <w:right w:val="single" w:color="000000" w:sz="4" w:space="0"/>
            </w:tcBorders>
            <w:shd w:val="clear" w:color="auto" w:fill="E6B8B7"/>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100.00%</w:t>
            </w:r>
          </w:p>
        </w:tc>
        <w:tc>
          <w:tcPr>
            <w:tcW w:w="47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252" w:type="dxa"/>
            <w:tcBorders>
              <w:top w:val="single" w:color="000000" w:sz="4" w:space="0"/>
              <w:left w:val="single" w:color="000000" w:sz="4" w:space="0"/>
              <w:bottom w:val="single" w:color="000000" w:sz="4" w:space="0"/>
              <w:right w:val="single" w:color="000000" w:sz="4" w:space="0"/>
            </w:tcBorders>
            <w:shd w:val="clear" w:color="auto" w:fill="E6B8B7"/>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无</w:t>
            </w:r>
          </w:p>
        </w:tc>
      </w:tr>
      <w:tr>
        <w:tblPrEx>
          <w:shd w:val="clear" w:color="auto" w:fill="auto"/>
          <w:tblLayout w:type="fixed"/>
          <w:tblCellMar>
            <w:top w:w="0" w:type="dxa"/>
            <w:left w:w="0" w:type="dxa"/>
            <w:bottom w:w="0" w:type="dxa"/>
            <w:right w:w="0" w:type="dxa"/>
          </w:tblCellMar>
        </w:tblPrEx>
        <w:trPr>
          <w:trHeight w:val="540" w:hRule="atLeast"/>
        </w:trPr>
        <w:tc>
          <w:tcPr>
            <w:tcW w:w="7683"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总分</w:t>
            </w:r>
          </w:p>
        </w:tc>
        <w:tc>
          <w:tcPr>
            <w:tcW w:w="47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100</w:t>
            </w:r>
          </w:p>
        </w:tc>
        <w:tc>
          <w:tcPr>
            <w:tcW w:w="2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77</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6"/>
                <w:szCs w:val="16"/>
                <w:u w:val="none"/>
              </w:rPr>
            </w:pPr>
          </w:p>
        </w:tc>
      </w:tr>
      <w:tr>
        <w:tblPrEx>
          <w:shd w:val="clear" w:color="auto" w:fill="auto"/>
          <w:tblLayout w:type="fixed"/>
          <w:tblCellMar>
            <w:top w:w="0" w:type="dxa"/>
            <w:left w:w="0" w:type="dxa"/>
            <w:bottom w:w="0" w:type="dxa"/>
            <w:right w:w="0" w:type="dxa"/>
          </w:tblCellMar>
        </w:tblPrEx>
        <w:trPr>
          <w:trHeight w:val="1515" w:hRule="atLeast"/>
        </w:trPr>
        <w:tc>
          <w:tcPr>
            <w:tcW w:w="9770"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1"/>
                <w:szCs w:val="11"/>
                <w:u w:val="none"/>
              </w:rPr>
            </w:pPr>
            <w:r>
              <w:rPr>
                <w:rFonts w:hint="eastAsia" w:ascii="宋体" w:hAnsi="宋体" w:eastAsia="宋体" w:cs="宋体"/>
                <w:i w:val="0"/>
                <w:color w:val="000000"/>
                <w:kern w:val="0"/>
                <w:sz w:val="11"/>
                <w:szCs w:val="11"/>
                <w:u w:val="none"/>
                <w:lang w:val="en-US" w:eastAsia="zh-CN" w:bidi="ar"/>
              </w:rPr>
              <w:t>填表说明：1.年度总体目标和绩效指标中的“具体指标”“年度指标值”按照部门预算批复的绩效目标填写，必须有量化指标。</w:t>
            </w:r>
            <w:r>
              <w:rPr>
                <w:rFonts w:hint="eastAsia" w:ascii="宋体" w:hAnsi="宋体" w:eastAsia="宋体" w:cs="宋体"/>
                <w:i w:val="0"/>
                <w:color w:val="000000"/>
                <w:kern w:val="0"/>
                <w:sz w:val="11"/>
                <w:szCs w:val="11"/>
                <w:u w:val="none"/>
                <w:lang w:val="en-US" w:eastAsia="zh-CN" w:bidi="ar"/>
              </w:rPr>
              <w:br w:type="textWrapping"/>
            </w:r>
            <w:r>
              <w:rPr>
                <w:rFonts w:hint="eastAsia" w:ascii="宋体" w:hAnsi="宋体" w:eastAsia="宋体" w:cs="宋体"/>
                <w:i w:val="0"/>
                <w:color w:val="000000"/>
                <w:kern w:val="0"/>
                <w:sz w:val="11"/>
                <w:szCs w:val="11"/>
                <w:u w:val="none"/>
                <w:lang w:val="en-US" w:eastAsia="zh-CN" w:bidi="ar"/>
              </w:rPr>
              <w:t xml:space="preserve">         2.设置分值原则：预算执行率和一级指标权重统一设置为：预算执行率10%、产出指标50%、效益指标30%、服务对象满意度指标10%。如有特殊情况，一级指标权重可做适当调整。二、三级指标应当根据指标重要程度等因素综合确定，准确反映项目的产出和效益。</w:t>
            </w:r>
            <w:r>
              <w:rPr>
                <w:rFonts w:hint="eastAsia" w:ascii="宋体" w:hAnsi="宋体" w:eastAsia="宋体" w:cs="宋体"/>
                <w:i w:val="0"/>
                <w:color w:val="000000"/>
                <w:kern w:val="0"/>
                <w:sz w:val="11"/>
                <w:szCs w:val="11"/>
                <w:u w:val="none"/>
                <w:lang w:val="en-US" w:eastAsia="zh-CN" w:bidi="ar"/>
              </w:rPr>
              <w:br w:type="textWrapping"/>
            </w:r>
            <w:r>
              <w:rPr>
                <w:rFonts w:hint="eastAsia" w:ascii="宋体" w:hAnsi="宋体" w:eastAsia="宋体" w:cs="宋体"/>
                <w:i w:val="0"/>
                <w:color w:val="000000"/>
                <w:kern w:val="0"/>
                <w:sz w:val="11"/>
                <w:szCs w:val="11"/>
                <w:u w:val="none"/>
                <w:lang w:val="en-US" w:eastAsia="zh-CN" w:bidi="ar"/>
              </w:rPr>
              <w:t xml:space="preserve">         3.存在问题及原因主要针对进度是否滞后，管理制度是否健全，是否违反财务管理制度，绩效目标完成情况是否明显偏离，以及其他资金使用及管理方面的问题进行阐述，并分析产生问题的原因。</w:t>
            </w:r>
          </w:p>
        </w:tc>
      </w:tr>
      <w:bookmarkEnd w:id="0"/>
    </w:tbl>
    <w:p>
      <w:pPr>
        <w:keepNext w:val="0"/>
        <w:keepLines w:val="0"/>
        <w:pageBreakBefore w:val="0"/>
        <w:widowControl w:val="0"/>
        <w:tabs>
          <w:tab w:val="left" w:pos="8415"/>
        </w:tabs>
        <w:kinsoku/>
        <w:wordWrap/>
        <w:overflowPunct/>
        <w:topLinePunct w:val="0"/>
        <w:autoSpaceDE/>
        <w:autoSpaceDN/>
        <w:bidi w:val="0"/>
        <w:adjustRightInd/>
        <w:snapToGrid/>
        <w:textAlignment w:val="auto"/>
      </w:pPr>
    </w:p>
    <w:sectPr>
      <w:pgSz w:w="11906" w:h="16838"/>
      <w:pgMar w:top="1984" w:right="1083" w:bottom="1984" w:left="1083" w:header="0" w:footer="720" w:gutter="0"/>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w:t>
    </w:r>
    <w:r>
      <w:rPr>
        <w:rFonts w:ascii="宋体" w:hAnsi="宋体" w:eastAsia="宋体" w:cs="宋体"/>
        <w:sz w:val="18"/>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31</w:t>
    </w:r>
    <w:r>
      <w:rPr>
        <w:rFonts w:ascii="宋体" w:hAnsi="宋体" w:eastAsia="宋体" w:cs="宋体"/>
        <w:sz w:val="18"/>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32</w:t>
    </w:r>
    <w:r>
      <w:rPr>
        <w:rFonts w:ascii="宋体" w:hAnsi="宋体" w:eastAsia="宋体" w:cs="宋体"/>
        <w:sz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39</w:t>
    </w:r>
    <w:r>
      <w:rPr>
        <w:rFonts w:ascii="宋体" w:hAnsi="宋体" w:eastAsia="宋体" w:cs="宋体"/>
        <w:sz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41</w:t>
    </w:r>
    <w:r>
      <w:rPr>
        <w:rFonts w:ascii="宋体" w:hAnsi="宋体" w:eastAsia="宋体" w:cs="宋体"/>
        <w:sz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43</w:t>
    </w:r>
    <w:r>
      <w:rPr>
        <w:rFonts w:ascii="宋体" w:hAnsi="宋体" w:eastAsia="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w:t>
    </w:r>
    <w:r>
      <w:rPr>
        <w:rFonts w:ascii="宋体" w:hAnsi="宋体" w:eastAsia="宋体" w:cs="宋体"/>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4</w:t>
    </w:r>
    <w:r>
      <w:rPr>
        <w:rFonts w:ascii="宋体" w:hAnsi="宋体" w:eastAsia="宋体" w:cs="宋体"/>
        <w:sz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5</w:t>
    </w:r>
    <w:r>
      <w:rPr>
        <w:rFonts w:ascii="宋体" w:hAnsi="宋体" w:eastAsia="宋体" w:cs="宋体"/>
        <w:sz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6</w:t>
    </w:r>
    <w:r>
      <w:rPr>
        <w:rFonts w:ascii="宋体" w:hAnsi="宋体" w:eastAsia="宋体" w:cs="宋体"/>
        <w:sz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11</w:t>
    </w:r>
    <w:r>
      <w:rPr>
        <w:rFonts w:ascii="宋体" w:hAnsi="宋体" w:eastAsia="宋体" w:cs="宋体"/>
        <w:sz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13</w:t>
    </w:r>
    <w:r>
      <w:rPr>
        <w:rFonts w:ascii="宋体" w:hAnsi="宋体" w:eastAsia="宋体" w:cs="宋体"/>
        <w:sz w:val="18"/>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16</w:t>
    </w:r>
    <w:r>
      <w:rPr>
        <w:rFonts w:ascii="宋体" w:hAnsi="宋体" w:eastAsia="宋体" w:cs="宋体"/>
        <w:sz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24</w:t>
    </w:r>
    <w:r>
      <w:rPr>
        <w:rFonts w:ascii="宋体" w:hAnsi="宋体" w:eastAsia="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CD5B526"/>
    <w:multiLevelType w:val="singleLevel"/>
    <w:tmpl w:val="DCD5B526"/>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17B4BC8"/>
    <w:rsid w:val="01891FB8"/>
    <w:rsid w:val="019B3634"/>
    <w:rsid w:val="01BE7323"/>
    <w:rsid w:val="02CE17E8"/>
    <w:rsid w:val="033E696D"/>
    <w:rsid w:val="03D07387"/>
    <w:rsid w:val="04A22F2C"/>
    <w:rsid w:val="04C230C0"/>
    <w:rsid w:val="053356E3"/>
    <w:rsid w:val="07FC6604"/>
    <w:rsid w:val="088E7A4F"/>
    <w:rsid w:val="0AC83CD4"/>
    <w:rsid w:val="0B527369"/>
    <w:rsid w:val="0B7B3C50"/>
    <w:rsid w:val="11F12DFD"/>
    <w:rsid w:val="132E255A"/>
    <w:rsid w:val="13C7281B"/>
    <w:rsid w:val="1418673F"/>
    <w:rsid w:val="162A20C9"/>
    <w:rsid w:val="16516003"/>
    <w:rsid w:val="17766CFB"/>
    <w:rsid w:val="183A5435"/>
    <w:rsid w:val="1A4E34E2"/>
    <w:rsid w:val="1B012F53"/>
    <w:rsid w:val="1C220782"/>
    <w:rsid w:val="1C2F4C4D"/>
    <w:rsid w:val="1D6D501E"/>
    <w:rsid w:val="1F7A6B27"/>
    <w:rsid w:val="1F8C72B0"/>
    <w:rsid w:val="202D1DEC"/>
    <w:rsid w:val="203B3655"/>
    <w:rsid w:val="226D4721"/>
    <w:rsid w:val="24D2342C"/>
    <w:rsid w:val="25A14E0E"/>
    <w:rsid w:val="270F4B3E"/>
    <w:rsid w:val="28B826A0"/>
    <w:rsid w:val="2A9A69D0"/>
    <w:rsid w:val="2AE17A5A"/>
    <w:rsid w:val="2C9853A7"/>
    <w:rsid w:val="3106646D"/>
    <w:rsid w:val="3291620A"/>
    <w:rsid w:val="32BF2C90"/>
    <w:rsid w:val="32CB34CA"/>
    <w:rsid w:val="33150BE9"/>
    <w:rsid w:val="36F020EC"/>
    <w:rsid w:val="3821204D"/>
    <w:rsid w:val="3890073F"/>
    <w:rsid w:val="39610ECD"/>
    <w:rsid w:val="397C3770"/>
    <w:rsid w:val="398D772B"/>
    <w:rsid w:val="3B5E2A01"/>
    <w:rsid w:val="3C957FA9"/>
    <w:rsid w:val="3D3F6F8E"/>
    <w:rsid w:val="3E6E11AD"/>
    <w:rsid w:val="3F1B7587"/>
    <w:rsid w:val="3FA518A1"/>
    <w:rsid w:val="409A272E"/>
    <w:rsid w:val="40C32EED"/>
    <w:rsid w:val="41C21F3C"/>
    <w:rsid w:val="42A6360C"/>
    <w:rsid w:val="430204EE"/>
    <w:rsid w:val="43813731"/>
    <w:rsid w:val="45FC43AD"/>
    <w:rsid w:val="4770243A"/>
    <w:rsid w:val="48B545A9"/>
    <w:rsid w:val="4A286FFC"/>
    <w:rsid w:val="4B375F59"/>
    <w:rsid w:val="4B8169C4"/>
    <w:rsid w:val="4C1C049B"/>
    <w:rsid w:val="4C296D07"/>
    <w:rsid w:val="4CF46877"/>
    <w:rsid w:val="4DDC6134"/>
    <w:rsid w:val="4F7A3E56"/>
    <w:rsid w:val="4F8C2A72"/>
    <w:rsid w:val="4FF1181C"/>
    <w:rsid w:val="50923421"/>
    <w:rsid w:val="527C2BCA"/>
    <w:rsid w:val="540E7263"/>
    <w:rsid w:val="559A7000"/>
    <w:rsid w:val="56130B60"/>
    <w:rsid w:val="57746DAC"/>
    <w:rsid w:val="577C720C"/>
    <w:rsid w:val="57B343A9"/>
    <w:rsid w:val="586815FB"/>
    <w:rsid w:val="588C44EB"/>
    <w:rsid w:val="5B7F45A2"/>
    <w:rsid w:val="5E0C6DDE"/>
    <w:rsid w:val="5FAF36A8"/>
    <w:rsid w:val="60736A8B"/>
    <w:rsid w:val="62F15D85"/>
    <w:rsid w:val="63781C95"/>
    <w:rsid w:val="642B3519"/>
    <w:rsid w:val="644660B4"/>
    <w:rsid w:val="64A17016"/>
    <w:rsid w:val="64C72DDD"/>
    <w:rsid w:val="65DD0843"/>
    <w:rsid w:val="669435F8"/>
    <w:rsid w:val="67A2565C"/>
    <w:rsid w:val="67F001E5"/>
    <w:rsid w:val="6A3F230C"/>
    <w:rsid w:val="6B4A697B"/>
    <w:rsid w:val="6B976E19"/>
    <w:rsid w:val="6C103720"/>
    <w:rsid w:val="6D433BA7"/>
    <w:rsid w:val="6E7837FF"/>
    <w:rsid w:val="6F282B2F"/>
    <w:rsid w:val="6F9D176F"/>
    <w:rsid w:val="7012489F"/>
    <w:rsid w:val="716360A0"/>
    <w:rsid w:val="722825CE"/>
    <w:rsid w:val="73F0750D"/>
    <w:rsid w:val="744A79EB"/>
    <w:rsid w:val="75C522CB"/>
    <w:rsid w:val="7870678A"/>
    <w:rsid w:val="78B83176"/>
    <w:rsid w:val="79222CE5"/>
    <w:rsid w:val="79BF19FE"/>
    <w:rsid w:val="7A334A1C"/>
    <w:rsid w:val="7A7C01D3"/>
    <w:rsid w:val="7AD65653"/>
    <w:rsid w:val="7BBB197B"/>
    <w:rsid w:val="7CE65DD7"/>
    <w:rsid w:val="7D1C7AD3"/>
    <w:rsid w:val="7E9A331D"/>
    <w:rsid w:val="7F9F17FD"/>
    <w:rsid w:val="7FEC195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eastAsia="仿宋"/>
      <w:bCs/>
      <w:kern w:val="44"/>
      <w:sz w:val="32"/>
      <w:szCs w:val="44"/>
    </w:rPr>
  </w:style>
  <w:style w:type="paragraph" w:styleId="3">
    <w:name w:val="heading 2"/>
    <w:basedOn w:val="4"/>
    <w:next w:val="4"/>
    <w:qFormat/>
    <w:uiPriority w:val="0"/>
    <w:pPr>
      <w:keepNext/>
      <w:keepLines/>
      <w:spacing w:before="260" w:after="260" w:line="416" w:lineRule="auto"/>
      <w:outlineLvl w:val="1"/>
    </w:pPr>
    <w:rPr>
      <w:rFonts w:ascii="Arial" w:hAnsi="Arial" w:eastAsia="仿宋"/>
      <w:bCs/>
      <w:sz w:val="32"/>
      <w:szCs w:val="32"/>
    </w:rPr>
  </w:style>
  <w:style w:type="paragraph" w:styleId="5">
    <w:name w:val="heading 3"/>
    <w:basedOn w:val="4"/>
    <w:next w:val="4"/>
    <w:link w:val="27"/>
    <w:qFormat/>
    <w:uiPriority w:val="0"/>
    <w:pPr>
      <w:keepNext/>
      <w:keepLines/>
      <w:spacing w:before="260" w:after="260" w:line="416" w:lineRule="auto"/>
      <w:outlineLvl w:val="2"/>
    </w:pPr>
    <w:rPr>
      <w:rFonts w:eastAsia="仿宋"/>
      <w:bCs/>
      <w:sz w:val="32"/>
      <w:szCs w:val="32"/>
    </w:rPr>
  </w:style>
  <w:style w:type="paragraph" w:styleId="6">
    <w:name w:val="heading 4"/>
    <w:basedOn w:val="4"/>
    <w:next w:val="4"/>
    <w:link w:val="23"/>
    <w:qFormat/>
    <w:uiPriority w:val="0"/>
    <w:pPr>
      <w:keepNext/>
      <w:keepLines/>
      <w:spacing w:before="280" w:after="290" w:line="376" w:lineRule="auto"/>
      <w:outlineLvl w:val="3"/>
    </w:pPr>
    <w:rPr>
      <w:rFonts w:ascii="Cambria" w:hAnsi="Cambria" w:eastAsia="仿宋"/>
      <w:bCs/>
      <w:sz w:val="32"/>
      <w:szCs w:val="28"/>
    </w:rPr>
  </w:style>
  <w:style w:type="character" w:default="1" w:styleId="19">
    <w:name w:val="Default Paragraph Font"/>
    <w:semiHidden/>
    <w:unhideWhenUsed/>
    <w:qFormat/>
    <w:uiPriority w:val="1"/>
  </w:style>
  <w:style w:type="table" w:default="1" w:styleId="22">
    <w:name w:val="Normal Table"/>
    <w:semiHidden/>
    <w:unhideWhenUsed/>
    <w:qFormat/>
    <w:uiPriority w:val="99"/>
    <w:tblPr>
      <w:tblLayout w:type="fixed"/>
      <w:tblCellMar>
        <w:top w:w="0" w:type="dxa"/>
        <w:left w:w="108" w:type="dxa"/>
        <w:bottom w:w="0" w:type="dxa"/>
        <w:right w:w="108" w:type="dxa"/>
      </w:tblCellMar>
    </w:tblPr>
  </w:style>
  <w:style w:type="paragraph" w:styleId="4">
    <w:name w:val="No Spacing"/>
    <w:link w:val="24"/>
    <w:qFormat/>
    <w:uiPriority w:val="0"/>
    <w:pPr>
      <w:ind w:firstLine="200" w:firstLineChars="200"/>
    </w:pPr>
    <w:rPr>
      <w:rFonts w:ascii="Times New Roman" w:hAnsi="Times New Roman" w:eastAsia="仿宋_GB2312" w:cs="Times New Roman"/>
      <w:sz w:val="30"/>
      <w:szCs w:val="22"/>
      <w:lang w:val="en-US" w:eastAsia="zh-CN" w:bidi="ar-SA"/>
    </w:rPr>
  </w:style>
  <w:style w:type="paragraph" w:styleId="7">
    <w:name w:val="toc 7"/>
    <w:basedOn w:val="1"/>
    <w:next w:val="1"/>
    <w:qFormat/>
    <w:uiPriority w:val="0"/>
    <w:pPr>
      <w:ind w:left="1260"/>
      <w:jc w:val="left"/>
    </w:pPr>
    <w:rPr>
      <w:sz w:val="20"/>
      <w:szCs w:val="20"/>
    </w:rPr>
  </w:style>
  <w:style w:type="paragraph" w:styleId="8">
    <w:name w:val="Document Map"/>
    <w:basedOn w:val="1"/>
    <w:qFormat/>
    <w:uiPriority w:val="0"/>
    <w:pPr>
      <w:shd w:val="clear" w:color="auto" w:fill="000080"/>
    </w:pPr>
  </w:style>
  <w:style w:type="paragraph" w:styleId="9">
    <w:name w:val="toc 5"/>
    <w:basedOn w:val="1"/>
    <w:next w:val="1"/>
    <w:qFormat/>
    <w:uiPriority w:val="0"/>
    <w:pPr>
      <w:ind w:left="840"/>
      <w:jc w:val="left"/>
    </w:pPr>
    <w:rPr>
      <w:sz w:val="20"/>
      <w:szCs w:val="20"/>
    </w:rPr>
  </w:style>
  <w:style w:type="paragraph" w:styleId="10">
    <w:name w:val="toc 3"/>
    <w:next w:val="5"/>
    <w:qFormat/>
    <w:uiPriority w:val="0"/>
    <w:pPr>
      <w:adjustRightInd w:val="0"/>
      <w:snapToGrid w:val="0"/>
      <w:spacing w:line="360" w:lineRule="auto"/>
      <w:ind w:firstLine="400" w:firstLineChars="400"/>
      <w:jc w:val="left"/>
    </w:pPr>
    <w:rPr>
      <w:rFonts w:ascii="Times New Roman" w:hAnsi="Times New Roman" w:eastAsia="仿宋" w:cs="Times New Roman"/>
      <w:sz w:val="32"/>
      <w:szCs w:val="20"/>
      <w:lang w:val="en-US" w:eastAsia="en-US" w:bidi="ar-SA"/>
    </w:rPr>
  </w:style>
  <w:style w:type="paragraph" w:styleId="11">
    <w:name w:val="toc 8"/>
    <w:basedOn w:val="1"/>
    <w:next w:val="1"/>
    <w:qFormat/>
    <w:uiPriority w:val="0"/>
    <w:pPr>
      <w:ind w:left="1470"/>
      <w:jc w:val="left"/>
    </w:pPr>
    <w:rPr>
      <w:sz w:val="20"/>
      <w:szCs w:val="20"/>
    </w:rPr>
  </w:style>
  <w:style w:type="paragraph" w:styleId="12">
    <w:name w:val="footer"/>
    <w:basedOn w:val="1"/>
    <w:link w:val="25"/>
    <w:qFormat/>
    <w:uiPriority w:val="0"/>
    <w:pPr>
      <w:tabs>
        <w:tab w:val="center" w:pos="4153"/>
        <w:tab w:val="right" w:pos="8306"/>
      </w:tabs>
      <w:snapToGrid w:val="0"/>
      <w:jc w:val="left"/>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toc 1"/>
    <w:next w:val="4"/>
    <w:qFormat/>
    <w:uiPriority w:val="0"/>
    <w:pPr>
      <w:adjustRightInd w:val="0"/>
      <w:snapToGrid w:val="0"/>
      <w:spacing w:line="360" w:lineRule="auto"/>
      <w:jc w:val="left"/>
    </w:pPr>
    <w:rPr>
      <w:rFonts w:ascii="Times New Roman" w:hAnsi="Times New Roman" w:eastAsia="仿宋" w:cs="Times New Roman"/>
      <w:bCs/>
      <w:sz w:val="32"/>
      <w:szCs w:val="20"/>
      <w:lang w:val="en-US" w:eastAsia="en-US" w:bidi="ar-SA"/>
    </w:rPr>
  </w:style>
  <w:style w:type="paragraph" w:styleId="15">
    <w:name w:val="toc 4"/>
    <w:basedOn w:val="1"/>
    <w:next w:val="1"/>
    <w:qFormat/>
    <w:uiPriority w:val="0"/>
    <w:pPr>
      <w:ind w:left="630"/>
      <w:jc w:val="left"/>
    </w:pPr>
    <w:rPr>
      <w:sz w:val="20"/>
      <w:szCs w:val="20"/>
    </w:rPr>
  </w:style>
  <w:style w:type="paragraph" w:styleId="16">
    <w:name w:val="toc 6"/>
    <w:basedOn w:val="1"/>
    <w:next w:val="1"/>
    <w:qFormat/>
    <w:uiPriority w:val="0"/>
    <w:pPr>
      <w:ind w:left="1050"/>
      <w:jc w:val="left"/>
    </w:pPr>
    <w:rPr>
      <w:sz w:val="20"/>
      <w:szCs w:val="20"/>
    </w:rPr>
  </w:style>
  <w:style w:type="paragraph" w:styleId="17">
    <w:name w:val="toc 2"/>
    <w:next w:val="4"/>
    <w:qFormat/>
    <w:uiPriority w:val="0"/>
    <w:pPr>
      <w:adjustRightInd w:val="0"/>
      <w:snapToGrid w:val="0"/>
      <w:spacing w:line="360" w:lineRule="auto"/>
      <w:ind w:firstLine="200" w:firstLineChars="200"/>
      <w:jc w:val="left"/>
    </w:pPr>
    <w:rPr>
      <w:rFonts w:ascii="Times New Roman" w:hAnsi="Times New Roman" w:eastAsia="仿宋" w:cs="Times New Roman"/>
      <w:iCs/>
      <w:sz w:val="32"/>
      <w:szCs w:val="20"/>
      <w:lang w:val="en-US" w:eastAsia="en-US" w:bidi="ar-SA"/>
    </w:rPr>
  </w:style>
  <w:style w:type="paragraph" w:styleId="18">
    <w:name w:val="toc 9"/>
    <w:basedOn w:val="1"/>
    <w:next w:val="1"/>
    <w:qFormat/>
    <w:uiPriority w:val="0"/>
    <w:pPr>
      <w:ind w:left="1680"/>
      <w:jc w:val="left"/>
    </w:pPr>
    <w:rPr>
      <w:sz w:val="20"/>
      <w:szCs w:val="20"/>
    </w:rPr>
  </w:style>
  <w:style w:type="character" w:styleId="20">
    <w:name w:val="page number"/>
    <w:basedOn w:val="19"/>
    <w:qFormat/>
    <w:uiPriority w:val="0"/>
  </w:style>
  <w:style w:type="character" w:styleId="21">
    <w:name w:val="Hyperlink"/>
    <w:qFormat/>
    <w:uiPriority w:val="0"/>
    <w:rPr>
      <w:rFonts w:ascii="宋体" w:hAnsi="宋体" w:eastAsia="仿宋" w:cs="Times New Roman"/>
      <w:kern w:val="2"/>
      <w:sz w:val="32"/>
      <w:szCs w:val="32"/>
      <w:lang w:val="en-US" w:eastAsia="zh-CN" w:bidi="ar-SA"/>
    </w:rPr>
  </w:style>
  <w:style w:type="character" w:customStyle="1" w:styleId="23">
    <w:name w:val="标题 4 字符"/>
    <w:basedOn w:val="19"/>
    <w:link w:val="6"/>
    <w:qFormat/>
    <w:uiPriority w:val="0"/>
    <w:rPr>
      <w:rFonts w:ascii="Cambria" w:hAnsi="Cambria" w:eastAsia="仿宋"/>
      <w:bCs/>
      <w:kern w:val="2"/>
      <w:sz w:val="32"/>
      <w:szCs w:val="28"/>
    </w:rPr>
  </w:style>
  <w:style w:type="character" w:customStyle="1" w:styleId="24">
    <w:name w:val="无间隔 字符"/>
    <w:link w:val="4"/>
    <w:qFormat/>
    <w:locked/>
    <w:uiPriority w:val="0"/>
    <w:rPr>
      <w:rFonts w:eastAsia="仿宋_GB2312"/>
      <w:sz w:val="30"/>
      <w:szCs w:val="22"/>
      <w:lang w:bidi="ar-SA"/>
    </w:rPr>
  </w:style>
  <w:style w:type="character" w:customStyle="1" w:styleId="25">
    <w:name w:val="页脚 字符"/>
    <w:basedOn w:val="19"/>
    <w:link w:val="12"/>
    <w:qFormat/>
    <w:uiPriority w:val="0"/>
    <w:rPr>
      <w:kern w:val="2"/>
      <w:sz w:val="18"/>
      <w:szCs w:val="18"/>
    </w:rPr>
  </w:style>
  <w:style w:type="paragraph" w:styleId="26">
    <w:name w:val="List Paragraph"/>
    <w:basedOn w:val="1"/>
    <w:qFormat/>
    <w:uiPriority w:val="0"/>
    <w:pPr>
      <w:ind w:firstLine="420" w:firstLineChars="200"/>
    </w:pPr>
  </w:style>
  <w:style w:type="character" w:customStyle="1" w:styleId="27">
    <w:name w:val="标题 3 字符"/>
    <w:basedOn w:val="19"/>
    <w:link w:val="5"/>
    <w:qFormat/>
    <w:uiPriority w:val="0"/>
    <w:rPr>
      <w:rFonts w:eastAsia="仿宋"/>
      <w:bCs/>
      <w:kern w:val="2"/>
      <w:sz w:val="32"/>
      <w:szCs w:val="32"/>
    </w:rPr>
  </w:style>
  <w:style w:type="paragraph" w:customStyle="1" w:styleId="28">
    <w:name w:val="MsoNormal"/>
    <w:basedOn w:val="1"/>
    <w:qFormat/>
    <w:uiPriority w:val="0"/>
  </w:style>
  <w:style w:type="paragraph" w:customStyle="1" w:styleId="29">
    <w:name w:val="p"/>
    <w:basedOn w:val="1"/>
    <w:qFormat/>
    <w:uiPriority w:val="0"/>
  </w:style>
  <w:style w:type="character" w:customStyle="1" w:styleId="30">
    <w:name w:val="15"/>
    <w:basedOn w:val="1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14.xml"/><Relationship Id="rId15" Type="http://schemas.openxmlformats.org/officeDocument/2006/relationships/footer" Target="footer13.xml"/><Relationship Id="rId14" Type="http://schemas.openxmlformats.org/officeDocument/2006/relationships/footer" Target="footer12.xml"/><Relationship Id="rId13" Type="http://schemas.openxmlformats.org/officeDocument/2006/relationships/footer" Target="footer1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29</Pages>
  <Words>9211</Words>
  <Characters>11024</Characters>
  <Lines>1</Lines>
  <Paragraphs>1</Paragraphs>
  <TotalTime>0</TotalTime>
  <ScaleCrop>false</ScaleCrop>
  <LinksUpToDate>false</LinksUpToDate>
  <CharactersWithSpaces>12066</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Administrator</cp:lastModifiedBy>
  <cp:lastPrinted>2025-07-07T07:32:00Z</cp:lastPrinted>
  <dcterms:modified xsi:type="dcterms:W3CDTF">2025-09-18T01:14:18Z</dcterms:modified>
  <dc:title>××年度××部门/单位</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51EA75710E61423394694D1476351CDD_13</vt:lpwstr>
  </property>
  <property fmtid="{D5CDD505-2E9C-101B-9397-08002B2CF9AE}" pid="3" name="KSOProductBuildVer">
    <vt:lpwstr>2052-11.8.2.8053</vt:lpwstr>
  </property>
  <property fmtid="{D5CDD505-2E9C-101B-9397-08002B2CF9AE}" pid="4" name="KSOTemplateDocerSaveRecord">
    <vt:lpwstr>eyJoZGlkIjoiMGU0NWVkNDhlOTkyOTEzYmI4NjBkNjJlZWJjYTAyZDQiLCJ1c2VySWQiOiI0MjEyNzUxNjYifQ==</vt:lpwstr>
  </property>
</Properties>
</file>