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widowControl/>
        <w:jc w:val="center"/>
        <w:rPr>
          <w:sz w:val="32"/>
          <w:szCs w:val="32"/>
          <w:highlight w:val="none"/>
        </w:rPr>
      </w:pPr>
    </w:p>
    <w:p>
      <w:pPr>
        <w:widowControl/>
        <w:jc w:val="both"/>
        <w:rPr>
          <w:sz w:val="84"/>
          <w:szCs w:val="84"/>
          <w:highlight w:val="none"/>
        </w:rPr>
      </w:pPr>
    </w:p>
    <w:p>
      <w:pPr>
        <w:widowControl/>
        <w:jc w:val="center"/>
        <w:rPr>
          <w:rFonts w:hint="eastAsia" w:ascii="方正小标宋简体" w:eastAsia="方正小标宋简体"/>
          <w:b/>
          <w:bCs/>
          <w:sz w:val="48"/>
          <w:szCs w:val="48"/>
          <w:highlight w:val="none"/>
          <w:lang w:val="en-US" w:eastAsia="zh-CN"/>
        </w:rPr>
      </w:pPr>
      <w:r>
        <w:rPr>
          <w:rFonts w:hint="eastAsia" w:ascii="方正小标宋简体" w:eastAsia="方正小标宋简体"/>
          <w:b/>
          <w:bCs/>
          <w:sz w:val="48"/>
          <w:szCs w:val="48"/>
          <w:highlight w:val="none"/>
          <w:lang w:val="en-US" w:eastAsia="zh-CN"/>
        </w:rPr>
        <w:t>2024年度</w:t>
      </w:r>
    </w:p>
    <w:p>
      <w:pPr>
        <w:widowControl/>
        <w:jc w:val="center"/>
        <w:rPr>
          <w:rFonts w:hint="eastAsia" w:ascii="方正小标宋简体" w:eastAsia="方正小标宋简体"/>
          <w:b/>
          <w:bCs/>
          <w:sz w:val="48"/>
          <w:szCs w:val="48"/>
          <w:highlight w:val="none"/>
          <w:lang w:val="en-US" w:eastAsia="zh-CN"/>
        </w:rPr>
      </w:pPr>
      <w:r>
        <w:rPr>
          <w:rFonts w:hint="eastAsia" w:ascii="方正小标宋简体" w:eastAsia="方正小标宋简体"/>
          <w:b/>
          <w:bCs/>
          <w:sz w:val="48"/>
          <w:szCs w:val="48"/>
          <w:highlight w:val="none"/>
          <w:lang w:val="en-US" w:eastAsia="zh-CN"/>
        </w:rPr>
        <w:t>厦门市湖里区教师进修学校第二附属小学</w:t>
      </w:r>
    </w:p>
    <w:p>
      <w:pPr>
        <w:widowControl/>
        <w:jc w:val="center"/>
        <w:rPr>
          <w:rFonts w:hint="eastAsia" w:ascii="方正小标宋简体" w:eastAsia="方正小标宋简体"/>
          <w:b/>
          <w:bCs/>
          <w:sz w:val="84"/>
          <w:szCs w:val="84"/>
          <w:highlight w:val="none"/>
          <w:lang w:val="en-US" w:eastAsia="zh-CN"/>
        </w:rPr>
        <w:sectPr>
          <w:footerReference r:id="rId3" w:type="default"/>
          <w:pgSz w:w="11906" w:h="16838"/>
          <w:pgMar w:top="1440" w:right="1083" w:bottom="1440" w:left="1083" w:header="0" w:footer="720" w:gutter="0"/>
          <w:pgBorders>
            <w:top w:val="none" w:sz="0" w:space="0"/>
            <w:left w:val="none" w:sz="0" w:space="0"/>
            <w:bottom w:val="none" w:sz="0" w:space="0"/>
            <w:right w:val="none" w:sz="0" w:space="0"/>
          </w:pgBorders>
          <w:pgNumType w:fmt="decimal"/>
          <w:cols w:space="720" w:num="1"/>
          <w:rtlGutter w:val="0"/>
          <w:docGrid w:type="lines" w:linePitch="317" w:charSpace="0"/>
        </w:sectPr>
      </w:pPr>
      <w:r>
        <w:rPr>
          <w:rFonts w:hint="eastAsia" w:ascii="方正小标宋简体" w:eastAsia="方正小标宋简体"/>
          <w:b/>
          <w:bCs/>
          <w:sz w:val="48"/>
          <w:szCs w:val="48"/>
          <w:highlight w:val="none"/>
          <w:lang w:val="en-US" w:eastAsia="zh-CN"/>
        </w:rPr>
        <w:t>单位决算</w:t>
      </w:r>
    </w:p>
    <w:p>
      <w:pPr>
        <w:widowControl/>
        <w:spacing w:before="0" w:after="0" w:line="240" w:lineRule="auto"/>
        <w:ind w:left="0" w:leftChars="0" w:right="0" w:firstLine="0" w:firstLineChars="0"/>
        <w:jc w:val="center"/>
        <w:rPr>
          <w:rFonts w:hint="eastAsia" w:ascii="仿宋" w:hAnsi="仿宋" w:eastAsia="仿宋" w:cs="仿宋"/>
          <w:b/>
          <w:bCs/>
          <w:kern w:val="0"/>
          <w:sz w:val="32"/>
          <w:szCs w:val="32"/>
        </w:rPr>
      </w:pPr>
      <w:r>
        <w:rPr>
          <w:rFonts w:hint="eastAsia" w:ascii="仿宋" w:hAnsi="仿宋" w:eastAsia="仿宋" w:cs="仿宋"/>
          <w:b/>
          <w:bCs/>
          <w:kern w:val="0"/>
          <w:sz w:val="32"/>
          <w:szCs w:val="32"/>
        </w:rPr>
        <w:t>目录</w:t>
      </w:r>
    </w:p>
    <w:p>
      <w:pPr>
        <w:pStyle w:val="18"/>
        <w:tabs>
          <w:tab w:val="right" w:leader="dot" w:pos="9730"/>
        </w:tabs>
        <w:rPr>
          <w:rFonts w:ascii="Calibri" w:hAnsi="Calibri"/>
          <w:sz w:val="22"/>
        </w:rPr>
      </w:pPr>
      <w:r>
        <w:rPr>
          <w:rFonts w:hint="eastAsia" w:ascii="仿宋" w:hAnsi="仿宋" w:eastAsia="仿宋" w:cs="仿宋"/>
          <w:b w:val="0"/>
          <w:bCs/>
          <w:kern w:val="2"/>
          <w:sz w:val="32"/>
          <w:szCs w:val="32"/>
          <w:lang w:val="en-US" w:eastAsia="zh-CN" w:bidi="ar-SA"/>
        </w:rPr>
        <w:fldChar w:fldCharType="begin"/>
      </w:r>
      <w:r>
        <w:rPr>
          <w:rFonts w:hint="eastAsia" w:ascii="仿宋" w:hAnsi="仿宋" w:eastAsia="仿宋" w:cs="仿宋"/>
          <w:b w:val="0"/>
          <w:bCs/>
          <w:kern w:val="2"/>
          <w:sz w:val="32"/>
          <w:szCs w:val="32"/>
          <w:lang w:val="en-US" w:eastAsia="zh-CN" w:bidi="ar-SA"/>
        </w:rPr>
        <w:instrText xml:space="preserve">TOC \o "1-3" \h \u </w:instrText>
      </w:r>
      <w:r>
        <w:rPr>
          <w:rFonts w:hint="eastAsia" w:ascii="仿宋" w:hAnsi="仿宋" w:eastAsia="仿宋" w:cs="仿宋"/>
          <w:b w:val="0"/>
          <w:bCs/>
          <w:kern w:val="2"/>
          <w:sz w:val="32"/>
          <w:szCs w:val="32"/>
          <w:lang w:val="en-US" w:eastAsia="zh-CN" w:bidi="ar-SA"/>
        </w:rPr>
        <w:fldChar w:fldCharType="separate"/>
      </w:r>
      <w:r>
        <w:fldChar w:fldCharType="begin"/>
      </w:r>
      <w:r>
        <w:instrText xml:space="preserve">HYPERLINK  \l "_Toc256000093" </w:instrText>
      </w:r>
      <w:r>
        <w:fldChar w:fldCharType="separate"/>
      </w:r>
      <w:r>
        <w:rPr>
          <w:rStyle w:val="22"/>
          <w:rFonts w:ascii="黑体" w:hAnsi="黑体" w:eastAsia="黑体" w:cs="黑体"/>
        </w:rPr>
        <w:t>第一部分</w:t>
      </w:r>
      <w:r>
        <w:tab/>
      </w:r>
      <w:r>
        <w:rPr>
          <w:rFonts w:hint="eastAsia"/>
          <w:lang w:val="en-US" w:eastAsia="zh-CN"/>
        </w:rPr>
        <w:t>3</w:t>
      </w:r>
      <w:r>
        <w:fldChar w:fldCharType="end"/>
      </w:r>
    </w:p>
    <w:p>
      <w:pPr>
        <w:pStyle w:val="18"/>
        <w:tabs>
          <w:tab w:val="right" w:leader="dot" w:pos="9730"/>
        </w:tabs>
        <w:rPr>
          <w:rFonts w:ascii="Calibri" w:hAnsi="Calibri"/>
          <w:sz w:val="22"/>
        </w:rPr>
      </w:pPr>
      <w:r>
        <w:fldChar w:fldCharType="begin"/>
      </w:r>
      <w:r>
        <w:instrText xml:space="preserve">HYPERLINK  \l "_Toc256000094" </w:instrText>
      </w:r>
      <w:r>
        <w:fldChar w:fldCharType="separate"/>
      </w:r>
      <w:r>
        <w:rPr>
          <w:rStyle w:val="22"/>
          <w:rFonts w:ascii="黑体" w:hAnsi="黑体" w:eastAsia="黑体" w:cs="黑体"/>
        </w:rPr>
        <w:t>单位概况</w:t>
      </w:r>
      <w:r>
        <w:tab/>
      </w:r>
      <w:r>
        <w:rPr>
          <w:rFonts w:hint="eastAsia"/>
          <w:lang w:val="en-US" w:eastAsia="zh-CN"/>
        </w:rPr>
        <w:t>3</w:t>
      </w:r>
      <w:r>
        <w:fldChar w:fldCharType="end"/>
      </w:r>
    </w:p>
    <w:p>
      <w:pPr>
        <w:pStyle w:val="11"/>
        <w:tabs>
          <w:tab w:val="right" w:leader="dot" w:pos="9730"/>
        </w:tabs>
        <w:rPr>
          <w:rFonts w:ascii="Calibri" w:hAnsi="Calibri"/>
          <w:sz w:val="22"/>
        </w:rPr>
      </w:pPr>
      <w:r>
        <w:fldChar w:fldCharType="begin"/>
      </w:r>
      <w:r>
        <w:instrText xml:space="preserve">HYPERLINK  \l "_Toc256000095" </w:instrText>
      </w:r>
      <w:r>
        <w:fldChar w:fldCharType="separate"/>
      </w:r>
      <w:r>
        <w:rPr>
          <w:rStyle w:val="22"/>
          <w:rFonts w:ascii="黑体" w:hAnsi="黑体" w:eastAsia="黑体" w:cs="黑体"/>
        </w:rPr>
        <w:t>一、单位主要职责</w:t>
      </w:r>
      <w:r>
        <w:tab/>
      </w:r>
      <w:r>
        <w:fldChar w:fldCharType="begin"/>
      </w:r>
      <w:r>
        <w:instrText xml:space="preserve"> PAGEREF _Toc256000095 \h </w:instrText>
      </w:r>
      <w:r>
        <w:fldChar w:fldCharType="separate"/>
      </w:r>
      <w:r>
        <w:t>4</w:t>
      </w:r>
      <w:r>
        <w:fldChar w:fldCharType="end"/>
      </w:r>
      <w:r>
        <w:fldChar w:fldCharType="end"/>
      </w:r>
    </w:p>
    <w:p>
      <w:pPr>
        <w:pStyle w:val="11"/>
        <w:tabs>
          <w:tab w:val="right" w:leader="dot" w:pos="9730"/>
        </w:tabs>
        <w:rPr>
          <w:rFonts w:ascii="Calibri" w:hAnsi="Calibri"/>
          <w:sz w:val="22"/>
        </w:rPr>
      </w:pPr>
      <w:r>
        <w:fldChar w:fldCharType="begin"/>
      </w:r>
      <w:r>
        <w:instrText xml:space="preserve">HYPERLINK  \l "_Toc256000096" </w:instrText>
      </w:r>
      <w:r>
        <w:fldChar w:fldCharType="separate"/>
      </w:r>
      <w:r>
        <w:rPr>
          <w:rStyle w:val="22"/>
          <w:rFonts w:ascii="黑体" w:hAnsi="黑体" w:eastAsia="黑体" w:cs="黑体"/>
        </w:rPr>
        <w:t>二、单位基本情况</w:t>
      </w:r>
      <w:r>
        <w:tab/>
      </w:r>
      <w:r>
        <w:fldChar w:fldCharType="begin"/>
      </w:r>
      <w:r>
        <w:instrText xml:space="preserve"> PAGEREF _Toc256000096 \h </w:instrText>
      </w:r>
      <w:r>
        <w:fldChar w:fldCharType="separate"/>
      </w:r>
      <w:r>
        <w:t>4</w:t>
      </w:r>
      <w:r>
        <w:fldChar w:fldCharType="end"/>
      </w:r>
      <w:r>
        <w:fldChar w:fldCharType="end"/>
      </w:r>
    </w:p>
    <w:p>
      <w:pPr>
        <w:pStyle w:val="11"/>
        <w:tabs>
          <w:tab w:val="right" w:leader="dot" w:pos="9730"/>
        </w:tabs>
        <w:rPr>
          <w:rFonts w:ascii="Calibri" w:hAnsi="Calibri"/>
          <w:sz w:val="22"/>
        </w:rPr>
      </w:pPr>
      <w:r>
        <w:fldChar w:fldCharType="begin"/>
      </w:r>
      <w:r>
        <w:instrText xml:space="preserve">HYPERLINK  \l "_Toc256000097" </w:instrText>
      </w:r>
      <w:r>
        <w:fldChar w:fldCharType="separate"/>
      </w:r>
      <w:r>
        <w:rPr>
          <w:rStyle w:val="22"/>
          <w:rFonts w:ascii="黑体" w:hAnsi="黑体" w:eastAsia="黑体" w:cs="黑体"/>
        </w:rPr>
        <w:t>三、单位主要工作总结</w:t>
      </w:r>
      <w:r>
        <w:tab/>
      </w:r>
      <w:r>
        <w:fldChar w:fldCharType="begin"/>
      </w:r>
      <w:r>
        <w:instrText xml:space="preserve"> PAGEREF _Toc256000097 \h </w:instrText>
      </w:r>
      <w:r>
        <w:fldChar w:fldCharType="separate"/>
      </w:r>
      <w:r>
        <w:t>4</w:t>
      </w:r>
      <w:r>
        <w:fldChar w:fldCharType="end"/>
      </w:r>
      <w:r>
        <w:fldChar w:fldCharType="end"/>
      </w:r>
    </w:p>
    <w:p>
      <w:pPr>
        <w:pStyle w:val="18"/>
        <w:tabs>
          <w:tab w:val="right" w:leader="dot" w:pos="9730"/>
        </w:tabs>
        <w:rPr>
          <w:rFonts w:ascii="Calibri" w:hAnsi="Calibri"/>
          <w:sz w:val="22"/>
        </w:rPr>
      </w:pPr>
      <w:r>
        <w:fldChar w:fldCharType="begin"/>
      </w:r>
      <w:r>
        <w:instrText xml:space="preserve">HYPERLINK  \l "_Toc256000098" </w:instrText>
      </w:r>
      <w:r>
        <w:fldChar w:fldCharType="separate"/>
      </w:r>
      <w:r>
        <w:rPr>
          <w:rStyle w:val="22"/>
          <w:rFonts w:ascii="黑体" w:hAnsi="黑体" w:eastAsia="黑体" w:cs="黑体"/>
        </w:rPr>
        <w:t>第二部分</w:t>
      </w:r>
      <w:r>
        <w:tab/>
      </w:r>
      <w:r>
        <w:rPr>
          <w:rFonts w:hint="eastAsia"/>
          <w:lang w:val="en-US" w:eastAsia="zh-CN"/>
        </w:rPr>
        <w:t>5</w:t>
      </w:r>
      <w:r>
        <w:fldChar w:fldCharType="end"/>
      </w:r>
    </w:p>
    <w:p>
      <w:pPr>
        <w:pStyle w:val="18"/>
        <w:tabs>
          <w:tab w:val="right" w:leader="dot" w:pos="9730"/>
        </w:tabs>
        <w:rPr>
          <w:rFonts w:ascii="Calibri" w:hAnsi="Calibri"/>
          <w:sz w:val="22"/>
        </w:rPr>
      </w:pPr>
      <w:r>
        <w:fldChar w:fldCharType="begin"/>
      </w:r>
      <w:r>
        <w:instrText xml:space="preserve">HYPERLINK  \l "_Toc256000099" </w:instrText>
      </w:r>
      <w:r>
        <w:fldChar w:fldCharType="separate"/>
      </w:r>
      <w:r>
        <w:rPr>
          <w:rStyle w:val="22"/>
          <w:rFonts w:ascii="黑体" w:hAnsi="黑体" w:eastAsia="黑体" w:cs="黑体"/>
        </w:rPr>
        <w:t>2024年度决算表</w:t>
      </w:r>
      <w:r>
        <w:tab/>
      </w:r>
      <w:r>
        <w:rPr>
          <w:rFonts w:hint="eastAsia"/>
          <w:lang w:val="en-US" w:eastAsia="zh-CN"/>
        </w:rPr>
        <w:t>5</w:t>
      </w:r>
      <w:r>
        <w:fldChar w:fldCharType="end"/>
      </w:r>
    </w:p>
    <w:p>
      <w:pPr>
        <w:pStyle w:val="11"/>
        <w:tabs>
          <w:tab w:val="right" w:leader="dot" w:pos="9730"/>
        </w:tabs>
        <w:rPr>
          <w:rFonts w:ascii="Calibri" w:hAnsi="Calibri"/>
          <w:sz w:val="22"/>
        </w:rPr>
      </w:pPr>
      <w:r>
        <w:fldChar w:fldCharType="begin"/>
      </w:r>
      <w:r>
        <w:instrText xml:space="preserve">HYPERLINK  \l "_Toc256000100" </w:instrText>
      </w:r>
      <w:r>
        <w:fldChar w:fldCharType="separate"/>
      </w:r>
      <w:r>
        <w:rPr>
          <w:rStyle w:val="22"/>
          <w:rFonts w:ascii="黑体" w:hAnsi="黑体" w:eastAsia="黑体" w:cs="黑体"/>
        </w:rPr>
        <w:t>一、收入支出决算总表</w:t>
      </w:r>
      <w:r>
        <w:tab/>
      </w:r>
      <w:r>
        <w:rPr>
          <w:rFonts w:hint="eastAsia"/>
          <w:lang w:val="en-US" w:eastAsia="zh-CN"/>
        </w:rPr>
        <w:t>6</w:t>
      </w:r>
      <w:r>
        <w:fldChar w:fldCharType="end"/>
      </w:r>
    </w:p>
    <w:p>
      <w:pPr>
        <w:pStyle w:val="11"/>
        <w:tabs>
          <w:tab w:val="right" w:leader="dot" w:pos="9730"/>
        </w:tabs>
        <w:rPr>
          <w:rFonts w:ascii="Calibri" w:hAnsi="Calibri"/>
          <w:sz w:val="22"/>
        </w:rPr>
      </w:pPr>
      <w:r>
        <w:fldChar w:fldCharType="begin"/>
      </w:r>
      <w:r>
        <w:instrText xml:space="preserve">HYPERLINK  \l "_Toc256000101" </w:instrText>
      </w:r>
      <w:r>
        <w:fldChar w:fldCharType="separate"/>
      </w:r>
      <w:r>
        <w:rPr>
          <w:rStyle w:val="22"/>
          <w:rFonts w:ascii="黑体" w:hAnsi="黑体" w:eastAsia="黑体" w:cs="黑体"/>
        </w:rPr>
        <w:t>二、收入决算表</w:t>
      </w:r>
      <w:r>
        <w:tab/>
      </w:r>
      <w:r>
        <w:rPr>
          <w:rFonts w:hint="eastAsia"/>
          <w:lang w:val="en-US" w:eastAsia="zh-CN"/>
        </w:rPr>
        <w:t>7</w:t>
      </w:r>
      <w:r>
        <w:fldChar w:fldCharType="end"/>
      </w:r>
    </w:p>
    <w:p>
      <w:pPr>
        <w:pStyle w:val="11"/>
        <w:tabs>
          <w:tab w:val="right" w:leader="dot" w:pos="9730"/>
        </w:tabs>
        <w:rPr>
          <w:rFonts w:ascii="Calibri" w:hAnsi="Calibri"/>
          <w:sz w:val="22"/>
        </w:rPr>
      </w:pPr>
      <w:r>
        <w:fldChar w:fldCharType="begin"/>
      </w:r>
      <w:r>
        <w:instrText xml:space="preserve">HYPERLINK  \l "_Toc256000102" </w:instrText>
      </w:r>
      <w:r>
        <w:fldChar w:fldCharType="separate"/>
      </w:r>
      <w:r>
        <w:rPr>
          <w:rStyle w:val="22"/>
          <w:rFonts w:ascii="黑体" w:hAnsi="黑体" w:eastAsia="黑体" w:cs="黑体"/>
        </w:rPr>
        <w:t>三、支出决算表</w:t>
      </w:r>
      <w:r>
        <w:tab/>
      </w:r>
      <w:r>
        <w:rPr>
          <w:rFonts w:hint="eastAsia"/>
          <w:lang w:val="en-US" w:eastAsia="zh-CN"/>
        </w:rPr>
        <w:t>9</w:t>
      </w:r>
      <w:r>
        <w:fldChar w:fldCharType="end"/>
      </w:r>
    </w:p>
    <w:p>
      <w:pPr>
        <w:pStyle w:val="11"/>
        <w:tabs>
          <w:tab w:val="right" w:leader="dot" w:pos="9730"/>
        </w:tabs>
        <w:rPr>
          <w:rFonts w:hint="eastAsia" w:ascii="Calibri" w:hAnsi="Calibri" w:eastAsia="仿宋"/>
          <w:sz w:val="22"/>
          <w:lang w:val="en-US" w:eastAsia="zh-CN"/>
        </w:rPr>
      </w:pPr>
      <w:r>
        <w:fldChar w:fldCharType="begin"/>
      </w:r>
      <w:r>
        <w:instrText xml:space="preserve">HYPERLINK  \l "_Toc256000103" </w:instrText>
      </w:r>
      <w:r>
        <w:fldChar w:fldCharType="separate"/>
      </w:r>
      <w:r>
        <w:rPr>
          <w:rStyle w:val="22"/>
          <w:rFonts w:ascii="黑体" w:hAnsi="黑体" w:eastAsia="黑体" w:cs="黑体"/>
        </w:rPr>
        <w:t>四、财政拨款收入支出决算总表</w:t>
      </w:r>
      <w:r>
        <w:tab/>
      </w:r>
      <w:r>
        <w:rPr>
          <w:rFonts w:hint="eastAsia"/>
          <w:lang w:val="en-US" w:eastAsia="zh-CN"/>
        </w:rPr>
        <w:t>1</w:t>
      </w:r>
      <w:r>
        <w:fldChar w:fldCharType="end"/>
      </w:r>
      <w:r>
        <w:rPr>
          <w:rFonts w:hint="eastAsia"/>
          <w:lang w:val="en-US" w:eastAsia="zh-CN"/>
        </w:rPr>
        <w:t>0</w:t>
      </w:r>
    </w:p>
    <w:p>
      <w:pPr>
        <w:pStyle w:val="11"/>
        <w:tabs>
          <w:tab w:val="right" w:leader="dot" w:pos="9730"/>
        </w:tabs>
        <w:rPr>
          <w:rFonts w:hint="eastAsia" w:ascii="Calibri" w:hAnsi="Calibri" w:eastAsia="仿宋"/>
          <w:sz w:val="22"/>
          <w:lang w:val="en-US" w:eastAsia="zh-CN"/>
        </w:rPr>
      </w:pPr>
      <w:r>
        <w:fldChar w:fldCharType="begin"/>
      </w:r>
      <w:r>
        <w:instrText xml:space="preserve">HYPERLINK  \l "_Toc256000104" </w:instrText>
      </w:r>
      <w:r>
        <w:fldChar w:fldCharType="separate"/>
      </w:r>
      <w:r>
        <w:rPr>
          <w:rStyle w:val="22"/>
          <w:rFonts w:ascii="黑体" w:hAnsi="黑体" w:eastAsia="黑体" w:cs="黑体"/>
        </w:rPr>
        <w:t>五、一般公共预算财政拨款支出决算表</w:t>
      </w:r>
      <w:r>
        <w:tab/>
      </w:r>
      <w:r>
        <w:rPr>
          <w:rFonts w:hint="eastAsia"/>
          <w:lang w:val="en-US" w:eastAsia="zh-CN"/>
        </w:rPr>
        <w:t>1</w:t>
      </w:r>
      <w:r>
        <w:fldChar w:fldCharType="end"/>
      </w:r>
      <w:r>
        <w:rPr>
          <w:rFonts w:hint="eastAsia"/>
          <w:lang w:val="en-US" w:eastAsia="zh-CN"/>
        </w:rPr>
        <w:t>1</w:t>
      </w:r>
    </w:p>
    <w:p>
      <w:pPr>
        <w:pStyle w:val="11"/>
        <w:tabs>
          <w:tab w:val="right" w:leader="dot" w:pos="9730"/>
        </w:tabs>
        <w:rPr>
          <w:rFonts w:hint="eastAsia" w:ascii="Calibri" w:hAnsi="Calibri" w:eastAsia="仿宋"/>
          <w:sz w:val="22"/>
          <w:lang w:val="en-US" w:eastAsia="zh-CN"/>
        </w:rPr>
      </w:pPr>
      <w:r>
        <w:fldChar w:fldCharType="begin"/>
      </w:r>
      <w:r>
        <w:instrText xml:space="preserve">HYPERLINK  \l "_Toc256000105" </w:instrText>
      </w:r>
      <w:r>
        <w:fldChar w:fldCharType="separate"/>
      </w:r>
      <w:r>
        <w:rPr>
          <w:rStyle w:val="22"/>
          <w:rFonts w:ascii="黑体" w:hAnsi="黑体" w:eastAsia="黑体" w:cs="黑体"/>
        </w:rPr>
        <w:t>六、一般公共预算财政拨款基本支出决算表</w:t>
      </w:r>
      <w:r>
        <w:tab/>
      </w:r>
      <w:r>
        <w:rPr>
          <w:rFonts w:hint="eastAsia"/>
          <w:lang w:val="en-US" w:eastAsia="zh-CN"/>
        </w:rPr>
        <w:t>1</w:t>
      </w:r>
      <w:r>
        <w:fldChar w:fldCharType="end"/>
      </w:r>
      <w:r>
        <w:rPr>
          <w:rFonts w:hint="eastAsia"/>
          <w:lang w:val="en-US" w:eastAsia="zh-CN"/>
        </w:rPr>
        <w:t>3</w:t>
      </w:r>
    </w:p>
    <w:p>
      <w:pPr>
        <w:pStyle w:val="11"/>
        <w:tabs>
          <w:tab w:val="right" w:leader="dot" w:pos="9730"/>
        </w:tabs>
        <w:rPr>
          <w:rFonts w:hint="eastAsia" w:ascii="Calibri" w:hAnsi="Calibri" w:eastAsia="仿宋"/>
          <w:sz w:val="22"/>
          <w:lang w:val="en-US" w:eastAsia="zh-CN"/>
        </w:rPr>
      </w:pPr>
      <w:r>
        <w:fldChar w:fldCharType="begin"/>
      </w:r>
      <w:r>
        <w:instrText xml:space="preserve">HYPERLINK  \l "_Toc256000106" </w:instrText>
      </w:r>
      <w:r>
        <w:fldChar w:fldCharType="separate"/>
      </w:r>
      <w:r>
        <w:rPr>
          <w:rStyle w:val="22"/>
          <w:rFonts w:ascii="黑体" w:hAnsi="黑体" w:eastAsia="黑体" w:cs="黑体"/>
        </w:rPr>
        <w:t>七、一般公共预算财政拨款“三公”经费支出决算表</w:t>
      </w:r>
      <w:r>
        <w:tab/>
      </w:r>
      <w:r>
        <w:rPr>
          <w:rFonts w:hint="eastAsia"/>
          <w:lang w:val="en-US" w:eastAsia="zh-CN"/>
        </w:rPr>
        <w:t>1</w:t>
      </w:r>
      <w:r>
        <w:fldChar w:fldCharType="end"/>
      </w:r>
      <w:r>
        <w:rPr>
          <w:rFonts w:hint="eastAsia"/>
          <w:lang w:val="en-US" w:eastAsia="zh-CN"/>
        </w:rPr>
        <w:t>3</w:t>
      </w:r>
    </w:p>
    <w:p>
      <w:pPr>
        <w:pStyle w:val="11"/>
        <w:tabs>
          <w:tab w:val="right" w:leader="dot" w:pos="9730"/>
        </w:tabs>
        <w:rPr>
          <w:rFonts w:hint="eastAsia" w:ascii="Calibri" w:hAnsi="Calibri" w:eastAsia="仿宋"/>
          <w:sz w:val="22"/>
          <w:lang w:val="en-US" w:eastAsia="zh-CN"/>
        </w:rPr>
      </w:pPr>
      <w:r>
        <w:fldChar w:fldCharType="begin"/>
      </w:r>
      <w:r>
        <w:instrText xml:space="preserve">HYPERLINK  \l "_Toc256000107" </w:instrText>
      </w:r>
      <w:r>
        <w:fldChar w:fldCharType="separate"/>
      </w:r>
      <w:r>
        <w:rPr>
          <w:rStyle w:val="22"/>
          <w:rFonts w:ascii="黑体" w:hAnsi="黑体" w:eastAsia="黑体" w:cs="黑体"/>
        </w:rPr>
        <w:t>八、政府性基金预算财政拨款收入支出决算表</w:t>
      </w:r>
      <w:r>
        <w:tab/>
      </w:r>
      <w:r>
        <w:rPr>
          <w:rFonts w:hint="eastAsia"/>
          <w:lang w:val="en-US" w:eastAsia="zh-CN"/>
        </w:rPr>
        <w:t>1</w:t>
      </w:r>
      <w:r>
        <w:fldChar w:fldCharType="end"/>
      </w:r>
      <w:r>
        <w:rPr>
          <w:rFonts w:hint="eastAsia"/>
          <w:lang w:val="en-US" w:eastAsia="zh-CN"/>
        </w:rPr>
        <w:t>4</w:t>
      </w:r>
    </w:p>
    <w:p>
      <w:pPr>
        <w:pStyle w:val="11"/>
        <w:tabs>
          <w:tab w:val="right" w:leader="dot" w:pos="9730"/>
        </w:tabs>
        <w:rPr>
          <w:rFonts w:hint="eastAsia" w:ascii="Calibri" w:hAnsi="Calibri" w:eastAsia="仿宋"/>
          <w:sz w:val="22"/>
          <w:lang w:val="en-US" w:eastAsia="zh-CN"/>
        </w:rPr>
      </w:pPr>
      <w:r>
        <w:fldChar w:fldCharType="begin"/>
      </w:r>
      <w:r>
        <w:instrText xml:space="preserve">HYPERLINK  \l "_Toc256000108" </w:instrText>
      </w:r>
      <w:r>
        <w:fldChar w:fldCharType="separate"/>
      </w:r>
      <w:r>
        <w:rPr>
          <w:rStyle w:val="22"/>
          <w:rFonts w:ascii="黑体" w:hAnsi="黑体" w:eastAsia="黑体" w:cs="黑体"/>
        </w:rPr>
        <w:t>九、国有资本经营预算财政拨款支出决算表</w:t>
      </w:r>
      <w:r>
        <w:tab/>
      </w:r>
      <w:r>
        <w:rPr>
          <w:rFonts w:hint="eastAsia"/>
          <w:lang w:val="en-US" w:eastAsia="zh-CN"/>
        </w:rPr>
        <w:t>1</w:t>
      </w:r>
      <w:r>
        <w:fldChar w:fldCharType="end"/>
      </w:r>
      <w:r>
        <w:rPr>
          <w:rFonts w:hint="eastAsia"/>
          <w:lang w:val="en-US" w:eastAsia="zh-CN"/>
        </w:rPr>
        <w:t>4</w:t>
      </w:r>
    </w:p>
    <w:p>
      <w:pPr>
        <w:pStyle w:val="18"/>
        <w:tabs>
          <w:tab w:val="right" w:leader="dot" w:pos="9730"/>
        </w:tabs>
        <w:rPr>
          <w:rFonts w:hint="eastAsia" w:ascii="Calibri" w:hAnsi="Calibri" w:eastAsia="仿宋"/>
          <w:sz w:val="22"/>
          <w:lang w:val="en-US" w:eastAsia="zh-CN"/>
        </w:rPr>
      </w:pPr>
      <w:r>
        <w:fldChar w:fldCharType="begin"/>
      </w:r>
      <w:r>
        <w:instrText xml:space="preserve">HYPERLINK  \l "_Toc256000109" </w:instrText>
      </w:r>
      <w:r>
        <w:fldChar w:fldCharType="separate"/>
      </w:r>
      <w:r>
        <w:rPr>
          <w:rStyle w:val="22"/>
          <w:rFonts w:ascii="黑体" w:hAnsi="黑体" w:eastAsia="黑体" w:cs="黑体"/>
        </w:rPr>
        <w:t>第三部分</w:t>
      </w:r>
      <w:r>
        <w:tab/>
      </w:r>
      <w:r>
        <w:rPr>
          <w:rFonts w:hint="eastAsia"/>
          <w:lang w:val="en-US" w:eastAsia="zh-CN"/>
        </w:rPr>
        <w:t>1</w:t>
      </w:r>
      <w:r>
        <w:fldChar w:fldCharType="end"/>
      </w:r>
      <w:r>
        <w:rPr>
          <w:rFonts w:hint="eastAsia"/>
          <w:lang w:val="en-US" w:eastAsia="zh-CN"/>
        </w:rPr>
        <w:t>5</w:t>
      </w:r>
    </w:p>
    <w:p>
      <w:pPr>
        <w:pStyle w:val="18"/>
        <w:tabs>
          <w:tab w:val="right" w:leader="dot" w:pos="9730"/>
        </w:tabs>
        <w:rPr>
          <w:rFonts w:hint="eastAsia" w:ascii="Calibri" w:hAnsi="Calibri" w:eastAsia="仿宋"/>
          <w:sz w:val="22"/>
          <w:lang w:val="en-US" w:eastAsia="zh-CN"/>
        </w:rPr>
      </w:pPr>
      <w:r>
        <w:fldChar w:fldCharType="begin"/>
      </w:r>
      <w:r>
        <w:instrText xml:space="preserve">HYPERLINK  \l "_Toc256000110" </w:instrText>
      </w:r>
      <w:r>
        <w:fldChar w:fldCharType="separate"/>
      </w:r>
      <w:r>
        <w:rPr>
          <w:rStyle w:val="22"/>
          <w:rFonts w:ascii="黑体" w:hAnsi="黑体" w:eastAsia="黑体" w:cs="黑体"/>
        </w:rPr>
        <w:t>2024年度决算情况说明</w:t>
      </w:r>
      <w:r>
        <w:tab/>
      </w:r>
      <w:r>
        <w:rPr>
          <w:rFonts w:hint="eastAsia"/>
          <w:lang w:val="en-US" w:eastAsia="zh-CN"/>
        </w:rPr>
        <w:t>1</w:t>
      </w:r>
      <w:r>
        <w:fldChar w:fldCharType="end"/>
      </w:r>
      <w:r>
        <w:rPr>
          <w:rFonts w:hint="eastAsia"/>
          <w:lang w:val="en-US" w:eastAsia="zh-CN"/>
        </w:rPr>
        <w:t>5</w:t>
      </w:r>
    </w:p>
    <w:p>
      <w:pPr>
        <w:pStyle w:val="11"/>
        <w:tabs>
          <w:tab w:val="right" w:leader="dot" w:pos="9730"/>
        </w:tabs>
        <w:rPr>
          <w:rFonts w:hint="eastAsia" w:ascii="Calibri" w:hAnsi="Calibri" w:eastAsia="仿宋"/>
          <w:sz w:val="22"/>
          <w:lang w:val="en-US" w:eastAsia="zh-CN"/>
        </w:rPr>
      </w:pPr>
      <w:r>
        <w:fldChar w:fldCharType="begin"/>
      </w:r>
      <w:r>
        <w:instrText xml:space="preserve">HYPERLINK  \l "_Toc256000111" </w:instrText>
      </w:r>
      <w:r>
        <w:fldChar w:fldCharType="separate"/>
      </w:r>
      <w:r>
        <w:rPr>
          <w:rStyle w:val="22"/>
          <w:rFonts w:ascii="黑体" w:hAnsi="黑体" w:eastAsia="黑体" w:cs="黑体"/>
        </w:rPr>
        <w:t>一、收入支出决算总体情况说明</w:t>
      </w:r>
      <w:r>
        <w:tab/>
      </w:r>
      <w:r>
        <w:rPr>
          <w:rFonts w:hint="eastAsia"/>
          <w:lang w:val="en-US" w:eastAsia="zh-CN"/>
        </w:rPr>
        <w:t>1</w:t>
      </w:r>
      <w:r>
        <w:fldChar w:fldCharType="end"/>
      </w:r>
      <w:r>
        <w:rPr>
          <w:rFonts w:hint="eastAsia"/>
          <w:lang w:val="en-US" w:eastAsia="zh-CN"/>
        </w:rPr>
        <w:t>6</w:t>
      </w:r>
    </w:p>
    <w:p>
      <w:pPr>
        <w:pStyle w:val="11"/>
        <w:tabs>
          <w:tab w:val="right" w:leader="dot" w:pos="9730"/>
        </w:tabs>
        <w:rPr>
          <w:rFonts w:hint="eastAsia" w:ascii="Calibri" w:hAnsi="Calibri" w:eastAsia="仿宋"/>
          <w:sz w:val="22"/>
          <w:lang w:val="en-US" w:eastAsia="zh-CN"/>
        </w:rPr>
      </w:pPr>
      <w:r>
        <w:fldChar w:fldCharType="begin"/>
      </w:r>
      <w:r>
        <w:instrText xml:space="preserve">HYPERLINK  \l "_Toc256000112" </w:instrText>
      </w:r>
      <w:r>
        <w:fldChar w:fldCharType="separate"/>
      </w:r>
      <w:r>
        <w:rPr>
          <w:rStyle w:val="22"/>
          <w:rFonts w:ascii="黑体" w:hAnsi="黑体" w:eastAsia="黑体" w:cs="黑体"/>
        </w:rPr>
        <w:t>二、财政拨款收入支出决算总体情况说明</w:t>
      </w:r>
      <w:r>
        <w:tab/>
      </w:r>
      <w:r>
        <w:rPr>
          <w:rFonts w:hint="eastAsia"/>
          <w:lang w:val="en-US" w:eastAsia="zh-CN"/>
        </w:rPr>
        <w:t>1</w:t>
      </w:r>
      <w:r>
        <w:fldChar w:fldCharType="end"/>
      </w:r>
      <w:r>
        <w:rPr>
          <w:rFonts w:hint="eastAsia"/>
          <w:lang w:val="en-US" w:eastAsia="zh-CN"/>
        </w:rPr>
        <w:t>6</w:t>
      </w:r>
    </w:p>
    <w:p>
      <w:pPr>
        <w:pStyle w:val="11"/>
        <w:tabs>
          <w:tab w:val="right" w:leader="dot" w:pos="9730"/>
        </w:tabs>
        <w:rPr>
          <w:rFonts w:hint="eastAsia" w:ascii="Calibri" w:hAnsi="Calibri" w:eastAsia="仿宋"/>
          <w:sz w:val="22"/>
          <w:lang w:val="en-US" w:eastAsia="zh-CN"/>
        </w:rPr>
      </w:pPr>
      <w:r>
        <w:fldChar w:fldCharType="begin"/>
      </w:r>
      <w:r>
        <w:instrText xml:space="preserve">HYPERLINK  \l "_Toc256000113" </w:instrText>
      </w:r>
      <w:r>
        <w:fldChar w:fldCharType="separate"/>
      </w:r>
      <w:r>
        <w:rPr>
          <w:rStyle w:val="22"/>
          <w:rFonts w:ascii="黑体" w:hAnsi="黑体" w:eastAsia="黑体" w:cs="黑体"/>
        </w:rPr>
        <w:t>三、一般公共预算拨款支出决算情况说明</w:t>
      </w:r>
      <w:r>
        <w:tab/>
      </w:r>
      <w:r>
        <w:rPr>
          <w:rFonts w:hint="eastAsia"/>
          <w:lang w:val="en-US" w:eastAsia="zh-CN"/>
        </w:rPr>
        <w:t>1</w:t>
      </w:r>
      <w:r>
        <w:fldChar w:fldCharType="end"/>
      </w:r>
      <w:r>
        <w:rPr>
          <w:rFonts w:hint="eastAsia"/>
          <w:lang w:val="en-US" w:eastAsia="zh-CN"/>
        </w:rPr>
        <w:t>7</w:t>
      </w:r>
    </w:p>
    <w:p>
      <w:pPr>
        <w:pStyle w:val="11"/>
        <w:tabs>
          <w:tab w:val="right" w:leader="dot" w:pos="9730"/>
        </w:tabs>
        <w:rPr>
          <w:rFonts w:hint="eastAsia" w:ascii="Calibri" w:hAnsi="Calibri" w:eastAsia="仿宋"/>
          <w:sz w:val="22"/>
          <w:lang w:val="en-US" w:eastAsia="zh-CN"/>
        </w:rPr>
      </w:pPr>
      <w:r>
        <w:fldChar w:fldCharType="begin"/>
      </w:r>
      <w:r>
        <w:instrText xml:space="preserve">HYPERLINK  \l "_Toc256000114" </w:instrText>
      </w:r>
      <w:r>
        <w:fldChar w:fldCharType="separate"/>
      </w:r>
      <w:r>
        <w:rPr>
          <w:rStyle w:val="22"/>
          <w:rFonts w:ascii="黑体" w:hAnsi="黑体" w:eastAsia="黑体" w:cs="黑体"/>
        </w:rPr>
        <w:t>四、政府性基金预算财政拨款支出决算情况说明</w:t>
      </w:r>
      <w:r>
        <w:tab/>
      </w:r>
      <w:r>
        <w:rPr>
          <w:rFonts w:hint="eastAsia"/>
          <w:lang w:val="en-US" w:eastAsia="zh-CN"/>
        </w:rPr>
        <w:t>1</w:t>
      </w:r>
      <w:r>
        <w:fldChar w:fldCharType="end"/>
      </w:r>
      <w:r>
        <w:rPr>
          <w:rFonts w:hint="eastAsia"/>
          <w:lang w:val="en-US" w:eastAsia="zh-CN"/>
        </w:rPr>
        <w:t>8</w:t>
      </w:r>
    </w:p>
    <w:p>
      <w:pPr>
        <w:pStyle w:val="11"/>
        <w:tabs>
          <w:tab w:val="right" w:leader="dot" w:pos="9730"/>
        </w:tabs>
        <w:rPr>
          <w:rFonts w:hint="eastAsia" w:ascii="Calibri" w:hAnsi="Calibri" w:eastAsia="仿宋"/>
          <w:sz w:val="22"/>
          <w:lang w:val="en-US" w:eastAsia="zh-CN"/>
        </w:rPr>
      </w:pPr>
      <w:r>
        <w:fldChar w:fldCharType="begin"/>
      </w:r>
      <w:r>
        <w:instrText xml:space="preserve">HYPERLINK  \l "_Toc256000115" </w:instrText>
      </w:r>
      <w:r>
        <w:fldChar w:fldCharType="separate"/>
      </w:r>
      <w:r>
        <w:rPr>
          <w:rStyle w:val="22"/>
          <w:rFonts w:ascii="黑体" w:hAnsi="黑体" w:eastAsia="黑体" w:cs="黑体"/>
        </w:rPr>
        <w:t>五、国有资本经营预算财政拨款支出决算情况说明</w:t>
      </w:r>
      <w:r>
        <w:tab/>
      </w:r>
      <w:r>
        <w:rPr>
          <w:rFonts w:hint="eastAsia"/>
          <w:lang w:val="en-US" w:eastAsia="zh-CN"/>
        </w:rPr>
        <w:t>1</w:t>
      </w:r>
      <w:r>
        <w:fldChar w:fldCharType="end"/>
      </w:r>
      <w:r>
        <w:rPr>
          <w:rFonts w:hint="eastAsia"/>
          <w:lang w:val="en-US" w:eastAsia="zh-CN"/>
        </w:rPr>
        <w:t>8</w:t>
      </w:r>
    </w:p>
    <w:p>
      <w:pPr>
        <w:pStyle w:val="11"/>
        <w:tabs>
          <w:tab w:val="right" w:leader="dot" w:pos="9730"/>
        </w:tabs>
        <w:rPr>
          <w:rFonts w:hint="eastAsia" w:ascii="Calibri" w:hAnsi="Calibri" w:eastAsia="仿宋"/>
          <w:sz w:val="22"/>
          <w:lang w:val="en-US" w:eastAsia="zh-CN"/>
        </w:rPr>
      </w:pPr>
      <w:r>
        <w:fldChar w:fldCharType="begin"/>
      </w:r>
      <w:r>
        <w:instrText xml:space="preserve">HYPERLINK  \l "_Toc256000116" </w:instrText>
      </w:r>
      <w:r>
        <w:fldChar w:fldCharType="separate"/>
      </w:r>
      <w:r>
        <w:rPr>
          <w:rStyle w:val="22"/>
          <w:rFonts w:ascii="黑体" w:hAnsi="黑体" w:eastAsia="黑体" w:cs="黑体"/>
        </w:rPr>
        <w:t>六、一般公共预算财政拨款基本支出决算情况说明</w:t>
      </w:r>
      <w:r>
        <w:tab/>
      </w:r>
      <w:r>
        <w:rPr>
          <w:rFonts w:hint="eastAsia"/>
          <w:lang w:val="en-US" w:eastAsia="zh-CN"/>
        </w:rPr>
        <w:t>1</w:t>
      </w:r>
      <w:r>
        <w:fldChar w:fldCharType="end"/>
      </w:r>
      <w:r>
        <w:rPr>
          <w:rFonts w:hint="eastAsia"/>
          <w:lang w:val="en-US" w:eastAsia="zh-CN"/>
        </w:rPr>
        <w:t>8</w:t>
      </w:r>
    </w:p>
    <w:p>
      <w:pPr>
        <w:pStyle w:val="11"/>
        <w:tabs>
          <w:tab w:val="right" w:leader="dot" w:pos="9730"/>
        </w:tabs>
        <w:rPr>
          <w:rFonts w:hint="eastAsia" w:ascii="Calibri" w:hAnsi="Calibri" w:eastAsia="仿宋"/>
          <w:sz w:val="22"/>
          <w:lang w:val="en-US" w:eastAsia="zh-CN"/>
        </w:rPr>
      </w:pPr>
      <w:r>
        <w:fldChar w:fldCharType="begin"/>
      </w:r>
      <w:r>
        <w:instrText xml:space="preserve">HYPERLINK  \l "_Toc256000117" </w:instrText>
      </w:r>
      <w:r>
        <w:fldChar w:fldCharType="separate"/>
      </w:r>
      <w:r>
        <w:rPr>
          <w:rStyle w:val="22"/>
          <w:rFonts w:ascii="黑体" w:hAnsi="黑体" w:eastAsia="黑体" w:cs="黑体"/>
        </w:rPr>
        <w:t>七、一般公共预算拨款“三公”经费支出决算情况说明</w:t>
      </w:r>
      <w:r>
        <w:tab/>
      </w:r>
      <w:r>
        <w:rPr>
          <w:rFonts w:hint="eastAsia"/>
          <w:lang w:val="en-US" w:eastAsia="zh-CN"/>
        </w:rPr>
        <w:t>1</w:t>
      </w:r>
      <w:r>
        <w:fldChar w:fldCharType="end"/>
      </w:r>
      <w:r>
        <w:rPr>
          <w:rFonts w:hint="eastAsia"/>
          <w:lang w:val="en-US" w:eastAsia="zh-CN"/>
        </w:rPr>
        <w:t>9</w:t>
      </w:r>
    </w:p>
    <w:p>
      <w:pPr>
        <w:pStyle w:val="11"/>
        <w:tabs>
          <w:tab w:val="right" w:leader="dot" w:pos="9730"/>
        </w:tabs>
        <w:rPr>
          <w:rFonts w:hint="eastAsia" w:ascii="Calibri" w:hAnsi="Calibri" w:eastAsia="仿宋"/>
          <w:sz w:val="22"/>
          <w:lang w:val="en-US" w:eastAsia="zh-CN"/>
        </w:rPr>
      </w:pPr>
      <w:r>
        <w:fldChar w:fldCharType="begin"/>
      </w:r>
      <w:r>
        <w:instrText xml:space="preserve">HYPERLINK  \l "_Toc256000118" </w:instrText>
      </w:r>
      <w:r>
        <w:fldChar w:fldCharType="separate"/>
      </w:r>
      <w:r>
        <w:rPr>
          <w:rStyle w:val="22"/>
          <w:rFonts w:ascii="黑体" w:hAnsi="黑体" w:eastAsia="黑体" w:cs="黑体"/>
        </w:rPr>
        <w:t>八、预算绩效情况说明</w:t>
      </w:r>
      <w:r>
        <w:tab/>
      </w:r>
      <w:r>
        <w:rPr>
          <w:rFonts w:hint="eastAsia"/>
          <w:lang w:val="en-US" w:eastAsia="zh-CN"/>
        </w:rPr>
        <w:t>2</w:t>
      </w:r>
      <w:r>
        <w:fldChar w:fldCharType="end"/>
      </w:r>
      <w:r>
        <w:rPr>
          <w:rFonts w:hint="eastAsia"/>
          <w:lang w:val="en-US" w:eastAsia="zh-CN"/>
        </w:rPr>
        <w:t>0</w:t>
      </w:r>
    </w:p>
    <w:p>
      <w:pPr>
        <w:pStyle w:val="11"/>
        <w:tabs>
          <w:tab w:val="right" w:leader="dot" w:pos="9730"/>
        </w:tabs>
        <w:rPr>
          <w:rFonts w:hint="eastAsia" w:ascii="Calibri" w:hAnsi="Calibri" w:eastAsia="仿宋"/>
          <w:sz w:val="22"/>
          <w:lang w:val="en-US" w:eastAsia="zh-CN"/>
        </w:rPr>
      </w:pPr>
      <w:r>
        <w:fldChar w:fldCharType="begin"/>
      </w:r>
      <w:r>
        <w:instrText xml:space="preserve">HYPERLINK  \l "_Toc256000119" </w:instrText>
      </w:r>
      <w:r>
        <w:fldChar w:fldCharType="separate"/>
      </w:r>
      <w:r>
        <w:rPr>
          <w:rStyle w:val="22"/>
          <w:rFonts w:ascii="黑体" w:hAnsi="黑体" w:eastAsia="黑体" w:cs="黑体"/>
        </w:rPr>
        <w:t>九、其他重要事项说明</w:t>
      </w:r>
      <w:r>
        <w:tab/>
      </w:r>
      <w:r>
        <w:rPr>
          <w:rFonts w:hint="eastAsia"/>
          <w:lang w:val="en-US" w:eastAsia="zh-CN"/>
        </w:rPr>
        <w:t>2</w:t>
      </w:r>
      <w:r>
        <w:fldChar w:fldCharType="end"/>
      </w:r>
      <w:r>
        <w:rPr>
          <w:rFonts w:hint="eastAsia"/>
          <w:lang w:val="en-US" w:eastAsia="zh-CN"/>
        </w:rPr>
        <w:t>0</w:t>
      </w:r>
    </w:p>
    <w:p>
      <w:pPr>
        <w:pStyle w:val="18"/>
        <w:tabs>
          <w:tab w:val="right" w:leader="dot" w:pos="9730"/>
        </w:tabs>
        <w:rPr>
          <w:rFonts w:hint="eastAsia" w:ascii="Calibri" w:hAnsi="Calibri" w:eastAsia="仿宋"/>
          <w:sz w:val="22"/>
          <w:lang w:val="en-US" w:eastAsia="zh-CN"/>
        </w:rPr>
      </w:pPr>
      <w:r>
        <w:fldChar w:fldCharType="begin"/>
      </w:r>
      <w:r>
        <w:instrText xml:space="preserve">HYPERLINK  \l "_Toc256000120" </w:instrText>
      </w:r>
      <w:r>
        <w:fldChar w:fldCharType="separate"/>
      </w:r>
      <w:r>
        <w:rPr>
          <w:rStyle w:val="22"/>
          <w:rFonts w:ascii="黑体" w:hAnsi="黑体" w:eastAsia="黑体" w:cs="黑体"/>
        </w:rPr>
        <w:t>第四部分</w:t>
      </w:r>
      <w:r>
        <w:tab/>
      </w:r>
      <w:r>
        <w:rPr>
          <w:rFonts w:hint="eastAsia"/>
          <w:lang w:val="en-US" w:eastAsia="zh-CN"/>
        </w:rPr>
        <w:t>2</w:t>
      </w:r>
      <w:r>
        <w:fldChar w:fldCharType="end"/>
      </w:r>
      <w:r>
        <w:rPr>
          <w:rFonts w:hint="eastAsia"/>
          <w:lang w:val="en-US" w:eastAsia="zh-CN"/>
        </w:rPr>
        <w:t>2</w:t>
      </w:r>
    </w:p>
    <w:p>
      <w:pPr>
        <w:pStyle w:val="18"/>
        <w:tabs>
          <w:tab w:val="right" w:leader="dot" w:pos="9730"/>
        </w:tabs>
        <w:rPr>
          <w:rFonts w:hint="eastAsia" w:ascii="Calibri" w:hAnsi="Calibri" w:eastAsia="仿宋"/>
          <w:sz w:val="22"/>
          <w:lang w:val="en-US" w:eastAsia="zh-CN"/>
        </w:rPr>
      </w:pPr>
      <w:r>
        <w:fldChar w:fldCharType="begin"/>
      </w:r>
      <w:r>
        <w:instrText xml:space="preserve">HYPERLINK  \l "_Toc256000121" </w:instrText>
      </w:r>
      <w:r>
        <w:fldChar w:fldCharType="separate"/>
      </w:r>
      <w:r>
        <w:rPr>
          <w:rStyle w:val="22"/>
          <w:rFonts w:ascii="黑体" w:hAnsi="黑体" w:eastAsia="黑体" w:cs="黑体"/>
        </w:rPr>
        <w:t>名词解释</w:t>
      </w:r>
      <w:r>
        <w:tab/>
      </w:r>
      <w:r>
        <w:rPr>
          <w:rFonts w:hint="eastAsia"/>
          <w:lang w:val="en-US" w:eastAsia="zh-CN"/>
        </w:rPr>
        <w:t>2</w:t>
      </w:r>
      <w:r>
        <w:fldChar w:fldCharType="end"/>
      </w:r>
      <w:r>
        <w:rPr>
          <w:rFonts w:hint="eastAsia"/>
          <w:lang w:val="en-US" w:eastAsia="zh-CN"/>
        </w:rPr>
        <w:t>2</w:t>
      </w:r>
    </w:p>
    <w:p>
      <w:pPr>
        <w:pStyle w:val="18"/>
        <w:tabs>
          <w:tab w:val="right" w:leader="dot" w:pos="9730"/>
        </w:tabs>
        <w:rPr>
          <w:rFonts w:hint="eastAsia" w:ascii="Calibri" w:hAnsi="Calibri" w:eastAsia="仿宋"/>
          <w:sz w:val="22"/>
          <w:lang w:val="en-US" w:eastAsia="zh-CN"/>
        </w:rPr>
      </w:pPr>
      <w:r>
        <w:fldChar w:fldCharType="begin"/>
      </w:r>
      <w:r>
        <w:instrText xml:space="preserve">HYPERLINK  \l "_Toc256000122" </w:instrText>
      </w:r>
      <w:r>
        <w:fldChar w:fldCharType="separate"/>
      </w:r>
      <w:r>
        <w:rPr>
          <w:rStyle w:val="22"/>
          <w:rFonts w:ascii="黑体" w:hAnsi="黑体" w:eastAsia="黑体" w:cs="黑体"/>
        </w:rPr>
        <w:t>第五部分</w:t>
      </w:r>
      <w:r>
        <w:tab/>
      </w:r>
      <w:r>
        <w:rPr>
          <w:rFonts w:hint="eastAsia"/>
          <w:lang w:val="en-US" w:eastAsia="zh-CN"/>
        </w:rPr>
        <w:t>24</w:t>
      </w:r>
      <w:r>
        <w:fldChar w:fldCharType="end"/>
      </w:r>
    </w:p>
    <w:p>
      <w:pPr>
        <w:pStyle w:val="18"/>
        <w:tabs>
          <w:tab w:val="right" w:leader="dot" w:pos="9730"/>
        </w:tabs>
        <w:rPr>
          <w:rFonts w:hint="eastAsia" w:ascii="Calibri" w:hAnsi="Calibri" w:eastAsia="仿宋"/>
          <w:sz w:val="22"/>
          <w:lang w:val="en-US" w:eastAsia="zh-CN"/>
        </w:rPr>
      </w:pPr>
      <w:r>
        <w:fldChar w:fldCharType="begin"/>
      </w:r>
      <w:r>
        <w:instrText xml:space="preserve">HYPERLINK  \l "_Toc256000123" </w:instrText>
      </w:r>
      <w:r>
        <w:fldChar w:fldCharType="separate"/>
      </w:r>
      <w:r>
        <w:rPr>
          <w:rStyle w:val="22"/>
          <w:rFonts w:ascii="黑体" w:hAnsi="黑体" w:eastAsia="黑体" w:cs="黑体"/>
        </w:rPr>
        <w:t>附件</w:t>
      </w:r>
      <w:r>
        <w:tab/>
      </w:r>
      <w:r>
        <w:rPr>
          <w:rFonts w:hint="eastAsia"/>
          <w:lang w:val="en-US" w:eastAsia="zh-CN"/>
        </w:rPr>
        <w:t>24</w:t>
      </w:r>
      <w:r>
        <w:fldChar w:fldCharType="end"/>
      </w:r>
    </w:p>
    <w:p>
      <w:pPr>
        <w:adjustRightInd w:val="0"/>
        <w:snapToGrid w:val="0"/>
        <w:rPr>
          <w:rFonts w:hint="eastAsia" w:ascii="仿宋" w:hAnsi="仿宋" w:eastAsia="仿宋" w:cs="仿宋"/>
          <w:b w:val="0"/>
          <w:bCs/>
          <w:kern w:val="2"/>
          <w:sz w:val="32"/>
          <w:szCs w:val="32"/>
          <w:lang w:val="en-US" w:eastAsia="zh-CN" w:bidi="ar-SA"/>
        </w:rPr>
        <w:sectPr>
          <w:footerReference r:id="rId4" w:type="default"/>
          <w:pgSz w:w="11906" w:h="16838"/>
          <w:pgMar w:top="1440" w:right="1083" w:bottom="1440" w:left="1083" w:header="0" w:footer="720" w:gutter="0"/>
          <w:cols w:space="720" w:num="1"/>
          <w:rtlGutter w:val="0"/>
          <w:docGrid w:type="lines" w:linePitch="317" w:charSpace="0"/>
        </w:sectPr>
      </w:pPr>
      <w:r>
        <w:rPr>
          <w:rFonts w:hint="eastAsia" w:ascii="仿宋" w:hAnsi="仿宋" w:eastAsia="仿宋" w:cs="仿宋"/>
          <w:b w:val="0"/>
          <w:bCs/>
          <w:kern w:val="2"/>
          <w:sz w:val="32"/>
          <w:szCs w:val="32"/>
          <w:lang w:val="en-US" w:eastAsia="zh-CN" w:bidi="ar-SA"/>
        </w:rPr>
        <w:fldChar w:fldCharType="end"/>
      </w:r>
    </w:p>
    <w:p>
      <w:pPr>
        <w:widowControl/>
        <w:spacing w:before="240" w:after="240"/>
        <w:jc w:val="left"/>
        <w:rPr>
          <w:rFonts w:ascii="Times New Roman" w:hAnsi="Times New Roman" w:eastAsia="Times New Roman" w:cs="Times New Roman"/>
          <w:b w:val="0"/>
          <w:bCs w:val="0"/>
          <w:kern w:val="0"/>
          <w:sz w:val="36"/>
          <w:szCs w:val="36"/>
        </w:rPr>
      </w:pPr>
      <w:bookmarkStart w:id="0" w:name="a000"/>
    </w:p>
    <w:p>
      <w:pPr>
        <w:pStyle w:val="4"/>
        <w:spacing w:before="100" w:after="100" w:line="240" w:lineRule="auto"/>
        <w:ind w:left="0" w:right="0" w:firstLine="0" w:firstLineChars="0"/>
        <w:jc w:val="center"/>
        <w:rPr>
          <w:rFonts w:ascii="Times New Roman" w:hAnsi="Times New Roman" w:eastAsia="Times New Roman" w:cs="Times New Roman"/>
          <w:b w:val="0"/>
          <w:bCs w:val="0"/>
          <w:kern w:val="0"/>
          <w:sz w:val="36"/>
          <w:szCs w:val="36"/>
        </w:rPr>
      </w:pPr>
      <w:bookmarkStart w:id="1" w:name="_Toc256000062"/>
      <w:bookmarkStart w:id="2" w:name="_Toc256000000"/>
      <w:bookmarkStart w:id="3" w:name="_Toc256000093"/>
      <w:bookmarkStart w:id="4" w:name="_Toc256000031"/>
      <w:r>
        <w:rPr>
          <w:rFonts w:ascii="黑体" w:hAnsi="黑体" w:eastAsia="黑体" w:cs="黑体"/>
          <w:b w:val="0"/>
          <w:bCs w:val="0"/>
          <w:spacing w:val="0"/>
          <w:sz w:val="36"/>
          <w:szCs w:val="36"/>
        </w:rPr>
        <w:t>第一部分</w:t>
      </w:r>
      <w:bookmarkEnd w:id="1"/>
      <w:bookmarkEnd w:id="2"/>
      <w:bookmarkEnd w:id="3"/>
      <w:bookmarkEnd w:id="4"/>
      <w:bookmarkStart w:id="5" w:name="_Toc256000094"/>
      <w:bookmarkStart w:id="6" w:name="_Toc256000032"/>
      <w:bookmarkStart w:id="7" w:name="_Toc256000063"/>
      <w:bookmarkStart w:id="8" w:name="_Toc256000001"/>
      <w:r>
        <w:rPr>
          <w:rFonts w:hint="eastAsia" w:ascii="黑体" w:hAnsi="黑体" w:eastAsia="黑体" w:cs="黑体"/>
          <w:b w:val="0"/>
          <w:bCs w:val="0"/>
          <w:spacing w:val="0"/>
          <w:sz w:val="36"/>
          <w:szCs w:val="36"/>
          <w:lang w:val="en-US" w:eastAsia="zh-CN"/>
        </w:rPr>
        <w:t xml:space="preserve">  </w:t>
      </w:r>
      <w:r>
        <w:rPr>
          <w:rFonts w:ascii="黑体" w:hAnsi="黑体" w:eastAsia="黑体" w:cs="黑体"/>
          <w:b w:val="0"/>
          <w:bCs w:val="0"/>
          <w:spacing w:val="0"/>
          <w:sz w:val="36"/>
          <w:szCs w:val="36"/>
        </w:rPr>
        <w:t>单位概况</w:t>
      </w:r>
      <w:bookmarkEnd w:id="5"/>
      <w:bookmarkEnd w:id="6"/>
      <w:bookmarkEnd w:id="7"/>
      <w:bookmarkEnd w:id="8"/>
    </w:p>
    <w:p>
      <w:pPr>
        <w:pStyle w:val="26"/>
        <w:widowControl/>
        <w:spacing w:before="100" w:after="100"/>
        <w:ind w:left="0" w:right="0" w:firstLine="0"/>
        <w:jc w:val="both"/>
        <w:rPr>
          <w:rFonts w:ascii="Times New Roman" w:hAnsi="Times New Roman" w:eastAsia="Times New Roman" w:cs="Times New Roman"/>
          <w:b w:val="0"/>
          <w:bCs w:val="0"/>
          <w:kern w:val="0"/>
          <w:sz w:val="36"/>
          <w:szCs w:val="36"/>
        </w:rPr>
      </w:pPr>
    </w:p>
    <w:p>
      <w:pPr>
        <w:widowControl/>
        <w:spacing w:before="240" w:after="240"/>
        <w:jc w:val="left"/>
        <w:rPr>
          <w:rFonts w:ascii="Times New Roman" w:hAnsi="Times New Roman" w:eastAsia="Times New Roman" w:cs="Times New Roman"/>
          <w:kern w:val="0"/>
          <w:sz w:val="24"/>
        </w:rPr>
      </w:pPr>
    </w:p>
    <w:p>
      <w:pPr>
        <w:pStyle w:val="6"/>
        <w:spacing w:before="100" w:after="100" w:line="240" w:lineRule="auto"/>
        <w:ind w:left="0" w:right="0" w:firstLine="0" w:firstLineChars="0"/>
        <w:rPr>
          <w:rFonts w:ascii="Times New Roman" w:hAnsi="Times New Roman" w:eastAsia="Times New Roman" w:cs="Times New Roman"/>
          <w:b/>
          <w:bCs/>
          <w:kern w:val="0"/>
          <w:sz w:val="28"/>
          <w:szCs w:val="28"/>
        </w:rPr>
      </w:pPr>
      <w:r>
        <w:rPr>
          <w:rFonts w:ascii="Calibri" w:hAnsi="Calibri" w:eastAsia="Calibri" w:cs="Calibri"/>
          <w:b/>
          <w:spacing w:val="0"/>
        </w:rPr>
        <w:t> </w:t>
      </w:r>
      <w:r>
        <w:rPr>
          <w:rFonts w:ascii="黑体" w:hAnsi="黑体" w:eastAsia="黑体" w:cs="黑体"/>
          <w:b/>
          <w:spacing w:val="0"/>
        </w:rPr>
        <w:t xml:space="preserve"> </w:t>
      </w:r>
      <w:r>
        <w:rPr>
          <w:rFonts w:ascii="Calibri" w:hAnsi="Calibri" w:eastAsia="Calibri" w:cs="Calibri"/>
          <w:b/>
          <w:spacing w:val="0"/>
        </w:rPr>
        <w:t> </w:t>
      </w:r>
      <w:r>
        <w:rPr>
          <w:rFonts w:ascii="黑体" w:hAnsi="黑体" w:eastAsia="黑体" w:cs="黑体"/>
          <w:b/>
          <w:spacing w:val="0"/>
        </w:rPr>
        <w:t xml:space="preserve"> </w:t>
      </w:r>
      <w:bookmarkStart w:id="9" w:name="_Toc256000002"/>
      <w:bookmarkStart w:id="10" w:name="_Toc256000033"/>
      <w:bookmarkStart w:id="11" w:name="_Toc256000095"/>
      <w:bookmarkStart w:id="12" w:name="_Toc256000064"/>
      <w:r>
        <w:rPr>
          <w:rFonts w:ascii="黑体" w:hAnsi="黑体" w:eastAsia="黑体" w:cs="黑体"/>
          <w:b/>
          <w:spacing w:val="0"/>
        </w:rPr>
        <w:t>一、单位主要职责</w:t>
      </w:r>
      <w:bookmarkEnd w:id="9"/>
      <w:bookmarkEnd w:id="10"/>
      <w:bookmarkEnd w:id="11"/>
      <w:bookmarkEnd w:id="12"/>
    </w:p>
    <w:p>
      <w:pPr>
        <w:keepNext w:val="0"/>
        <w:keepLines w:val="0"/>
        <w:widowControl/>
        <w:suppressLineNumbers w:val="0"/>
        <w:spacing w:before="240" w:beforeAutospacing="0" w:after="240" w:afterAutospacing="0" w:line="600" w:lineRule="atLeast"/>
        <w:ind w:left="0" w:right="0" w:firstLine="640"/>
        <w:rPr>
          <w:rFonts w:hint="eastAsia" w:ascii="仿宋" w:hAnsi="仿宋" w:eastAsia="仿宋" w:cs="仿宋"/>
          <w:kern w:val="0"/>
          <w:sz w:val="32"/>
          <w:szCs w:val="32"/>
        </w:rPr>
      </w:pPr>
      <w:r>
        <w:rPr>
          <w:rFonts w:ascii="仿宋" w:hAnsi="仿宋" w:eastAsia="仿宋" w:cs="仿宋"/>
          <w:spacing w:val="0"/>
          <w:kern w:val="0"/>
          <w:sz w:val="32"/>
          <w:szCs w:val="32"/>
        </w:rPr>
        <w:t>厦门市湖里区教师进修学校第二附属小学单位的主要职责是：</w:t>
      </w:r>
      <w:r>
        <w:rPr>
          <w:rFonts w:hint="eastAsia" w:ascii="仿宋" w:hAnsi="仿宋" w:eastAsia="仿宋" w:cs="仿宋"/>
          <w:kern w:val="0"/>
          <w:sz w:val="32"/>
          <w:szCs w:val="32"/>
          <w:shd w:val="clear" w:fill="FFFFFF"/>
        </w:rPr>
        <w:t>坚持教书育人，课程育人，活动育人，实践育人，协同育人，服务育人，环境育人方针，加强对学生的思想品德教育，使学生的德智体</w:t>
      </w:r>
      <w:r>
        <w:rPr>
          <w:rFonts w:hint="eastAsia" w:ascii="仿宋" w:hAnsi="仿宋" w:eastAsia="仿宋" w:cs="仿宋"/>
          <w:kern w:val="0"/>
          <w:sz w:val="32"/>
          <w:szCs w:val="32"/>
          <w:shd w:val="clear" w:fill="FFFFFF"/>
          <w:lang w:val="en-US" w:eastAsia="zh-CN"/>
        </w:rPr>
        <w:t>美劳</w:t>
      </w:r>
      <w:r>
        <w:rPr>
          <w:rFonts w:hint="eastAsia" w:ascii="仿宋" w:hAnsi="仿宋" w:eastAsia="仿宋" w:cs="仿宋"/>
          <w:kern w:val="0"/>
          <w:sz w:val="32"/>
          <w:szCs w:val="32"/>
          <w:shd w:val="clear" w:fill="FFFFFF"/>
        </w:rPr>
        <w:t>全面发展。</w:t>
      </w:r>
    </w:p>
    <w:p>
      <w:pPr>
        <w:keepNext w:val="0"/>
        <w:keepLines w:val="0"/>
        <w:widowControl/>
        <w:suppressLineNumbers w:val="0"/>
        <w:spacing w:before="240" w:beforeAutospacing="0" w:after="240" w:afterAutospacing="0" w:line="600" w:lineRule="atLeast"/>
        <w:ind w:left="0" w:right="0" w:firstLine="640"/>
        <w:rPr>
          <w:rFonts w:hint="eastAsia" w:ascii="仿宋" w:hAnsi="仿宋" w:eastAsia="仿宋" w:cs="仿宋"/>
          <w:kern w:val="0"/>
          <w:sz w:val="32"/>
          <w:szCs w:val="32"/>
        </w:rPr>
      </w:pPr>
      <w:r>
        <w:rPr>
          <w:rFonts w:hint="eastAsia" w:ascii="仿宋" w:hAnsi="仿宋" w:eastAsia="仿宋" w:cs="仿宋"/>
          <w:kern w:val="0"/>
          <w:sz w:val="32"/>
          <w:szCs w:val="32"/>
        </w:rPr>
        <w:t>（一）</w:t>
      </w:r>
      <w:r>
        <w:rPr>
          <w:rFonts w:hint="eastAsia" w:ascii="仿宋" w:hAnsi="仿宋" w:eastAsia="仿宋" w:cs="仿宋"/>
          <w:kern w:val="0"/>
          <w:sz w:val="32"/>
          <w:szCs w:val="32"/>
          <w:shd w:val="clear" w:fill="FFFFFF"/>
        </w:rPr>
        <w:t>正确贯彻执行党和国家的教育方针、政策、法规</w:t>
      </w:r>
      <w:r>
        <w:rPr>
          <w:rFonts w:hint="eastAsia" w:ascii="仿宋" w:hAnsi="仿宋" w:eastAsia="仿宋" w:cs="仿宋"/>
          <w:kern w:val="0"/>
          <w:sz w:val="32"/>
          <w:szCs w:val="32"/>
        </w:rPr>
        <w:t>。</w:t>
      </w:r>
    </w:p>
    <w:p>
      <w:pPr>
        <w:pStyle w:val="25"/>
        <w:widowControl/>
        <w:spacing w:before="240" w:after="240" w:line="600" w:lineRule="atLeast"/>
        <w:ind w:firstLine="640"/>
        <w:jc w:val="left"/>
        <w:rPr>
          <w:rFonts w:hint="eastAsia" w:ascii="仿宋" w:hAnsi="仿宋" w:eastAsia="仿宋" w:cs="仿宋"/>
          <w:kern w:val="0"/>
          <w:sz w:val="32"/>
          <w:szCs w:val="32"/>
        </w:rPr>
      </w:pPr>
      <w:r>
        <w:rPr>
          <w:rFonts w:hint="eastAsia" w:ascii="仿宋" w:hAnsi="仿宋" w:eastAsia="仿宋" w:cs="仿宋"/>
          <w:kern w:val="0"/>
          <w:sz w:val="32"/>
          <w:szCs w:val="32"/>
        </w:rPr>
        <w:t>（二）</w:t>
      </w:r>
      <w:r>
        <w:rPr>
          <w:rFonts w:hint="eastAsia" w:ascii="仿宋" w:hAnsi="仿宋" w:eastAsia="仿宋" w:cs="仿宋"/>
          <w:kern w:val="0"/>
          <w:sz w:val="32"/>
          <w:szCs w:val="32"/>
          <w:shd w:val="clear" w:fill="FFFFFF"/>
        </w:rPr>
        <w:t>积极稳妥地推进教育改革，按教育规律办事，不断提高教育质量</w:t>
      </w:r>
      <w:r>
        <w:rPr>
          <w:rFonts w:hint="eastAsia" w:ascii="仿宋" w:hAnsi="仿宋" w:eastAsia="仿宋" w:cs="仿宋"/>
          <w:kern w:val="0"/>
          <w:sz w:val="32"/>
          <w:szCs w:val="32"/>
        </w:rPr>
        <w:t>。</w:t>
      </w:r>
    </w:p>
    <w:p>
      <w:pPr>
        <w:pStyle w:val="25"/>
        <w:widowControl/>
        <w:spacing w:before="240" w:after="240" w:line="600" w:lineRule="atLeast"/>
        <w:ind w:firstLine="640"/>
        <w:jc w:val="left"/>
        <w:rPr>
          <w:rFonts w:ascii="Times New Roman" w:hAnsi="Times New Roman" w:eastAsia="Times New Roman" w:cs="Times New Roman"/>
          <w:kern w:val="0"/>
          <w:sz w:val="24"/>
        </w:rPr>
      </w:pPr>
      <w:r>
        <w:rPr>
          <w:rFonts w:hint="eastAsia" w:ascii="仿宋" w:hAnsi="仿宋" w:eastAsia="仿宋" w:cs="仿宋"/>
          <w:kern w:val="0"/>
          <w:sz w:val="32"/>
          <w:szCs w:val="32"/>
        </w:rPr>
        <w:t>（三）</w:t>
      </w:r>
      <w:r>
        <w:rPr>
          <w:rFonts w:hint="eastAsia" w:ascii="仿宋" w:hAnsi="仿宋" w:eastAsia="仿宋" w:cs="仿宋"/>
          <w:kern w:val="0"/>
          <w:sz w:val="32"/>
          <w:szCs w:val="32"/>
          <w:shd w:val="clear" w:fill="FFFFFF"/>
        </w:rPr>
        <w:t>根据学校规模，设置学校管理机构，建立健全各项规章制度和岗位责任制</w:t>
      </w:r>
      <w:r>
        <w:rPr>
          <w:rFonts w:hint="eastAsia" w:ascii="仿宋" w:hAnsi="仿宋" w:eastAsia="仿宋" w:cs="仿宋"/>
          <w:kern w:val="0"/>
          <w:sz w:val="32"/>
          <w:szCs w:val="32"/>
        </w:rPr>
        <w:t>。</w:t>
      </w:r>
    </w:p>
    <w:p>
      <w:pPr>
        <w:pStyle w:val="6"/>
        <w:spacing w:before="100" w:after="100" w:line="600" w:lineRule="atLeast"/>
        <w:ind w:left="0" w:right="0" w:firstLine="640" w:firstLineChars="0"/>
        <w:rPr>
          <w:rFonts w:ascii="Times New Roman" w:hAnsi="Times New Roman" w:eastAsia="Times New Roman" w:cs="Times New Roman"/>
          <w:b/>
          <w:bCs/>
          <w:kern w:val="0"/>
          <w:sz w:val="28"/>
          <w:szCs w:val="28"/>
        </w:rPr>
      </w:pPr>
      <w:bookmarkStart w:id="13" w:name="_Toc256000065"/>
      <w:bookmarkStart w:id="14" w:name="_Toc256000034"/>
      <w:bookmarkStart w:id="15" w:name="_Toc256000096"/>
      <w:bookmarkStart w:id="16" w:name="_Toc256000003"/>
      <w:r>
        <w:rPr>
          <w:rFonts w:ascii="黑体" w:hAnsi="黑体" w:eastAsia="黑体" w:cs="黑体"/>
          <w:b/>
          <w:spacing w:val="0"/>
        </w:rPr>
        <w:t>二、单位基本情况</w:t>
      </w:r>
      <w:bookmarkEnd w:id="13"/>
      <w:bookmarkEnd w:id="14"/>
      <w:bookmarkEnd w:id="15"/>
      <w:bookmarkEnd w:id="16"/>
    </w:p>
    <w:p>
      <w:pPr>
        <w:pStyle w:val="25"/>
        <w:widowControl/>
        <w:spacing w:before="100" w:after="100" w:line="360" w:lineRule="auto"/>
        <w:ind w:left="0" w:right="0" w:firstLine="640"/>
        <w:jc w:val="left"/>
        <w:rPr>
          <w:rFonts w:hint="eastAsia" w:ascii="仿宋" w:hAnsi="仿宋" w:eastAsia="仿宋" w:cs="仿宋"/>
          <w:kern w:val="0"/>
          <w:sz w:val="32"/>
          <w:szCs w:val="32"/>
        </w:rPr>
      </w:pPr>
      <w:bookmarkStart w:id="17" w:name="_Toc256000097"/>
      <w:bookmarkStart w:id="18" w:name="_Toc256000004"/>
      <w:bookmarkStart w:id="19" w:name="_Toc256000035"/>
      <w:bookmarkStart w:id="20" w:name="_Toc256000066"/>
      <w:r>
        <w:rPr>
          <w:rFonts w:ascii="仿宋" w:hAnsi="仿宋" w:eastAsia="仿宋" w:cs="仿宋"/>
          <w:spacing w:val="0"/>
          <w:kern w:val="0"/>
          <w:sz w:val="32"/>
          <w:szCs w:val="32"/>
        </w:rPr>
        <w:t>从决算单位构成看，本单位包括</w:t>
      </w:r>
      <w:r>
        <w:rPr>
          <w:rFonts w:hint="eastAsia" w:ascii="仿宋" w:hAnsi="仿宋" w:eastAsia="仿宋" w:cs="仿宋"/>
          <w:spacing w:val="0"/>
          <w:kern w:val="0"/>
          <w:sz w:val="32"/>
          <w:szCs w:val="32"/>
          <w:lang w:val="en-US" w:eastAsia="zh-CN"/>
        </w:rPr>
        <w:t>5</w:t>
      </w:r>
      <w:r>
        <w:rPr>
          <w:rFonts w:ascii="仿宋" w:hAnsi="仿宋" w:eastAsia="仿宋" w:cs="仿宋"/>
          <w:spacing w:val="0"/>
          <w:kern w:val="0"/>
          <w:sz w:val="32"/>
          <w:szCs w:val="32"/>
        </w:rPr>
        <w:t>个内设机构，其中：列入2024年决算编制范围的单位详细情况见下表:</w:t>
      </w:r>
    </w:p>
    <w:tbl>
      <w:tblPr>
        <w:tblStyle w:val="23"/>
        <w:tblW w:w="7862"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023"/>
        <w:gridCol w:w="68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PrEx>
        <w:trPr>
          <w:trHeight w:val="664" w:hRule="atLeast"/>
          <w:jc w:val="center"/>
        </w:trPr>
        <w:tc>
          <w:tcPr>
            <w:tcW w:w="10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1" w:after="0" w:afterAutospacing="1" w:line="600" w:lineRule="atLeast"/>
              <w:ind w:left="0" w:right="0"/>
              <w:jc w:val="center"/>
              <w:rPr>
                <w:rFonts w:hint="eastAsia" w:ascii="仿宋" w:hAnsi="仿宋" w:eastAsia="仿宋" w:cs="仿宋"/>
                <w:kern w:val="0"/>
                <w:sz w:val="32"/>
                <w:szCs w:val="32"/>
                <w:shd w:val="clear" w:fill="FFFFFF"/>
                <w:lang w:val="en-US" w:eastAsia="zh-CN"/>
              </w:rPr>
            </w:pPr>
            <w:r>
              <w:rPr>
                <w:rFonts w:hint="eastAsia" w:ascii="仿宋" w:hAnsi="仿宋" w:eastAsia="仿宋" w:cs="仿宋"/>
                <w:kern w:val="0"/>
                <w:sz w:val="32"/>
                <w:szCs w:val="32"/>
                <w:shd w:val="clear" w:fill="FFFFFF"/>
                <w:lang w:val="en-US" w:eastAsia="zh-CN"/>
              </w:rPr>
              <w:t>序号</w:t>
            </w:r>
          </w:p>
        </w:tc>
        <w:tc>
          <w:tcPr>
            <w:tcW w:w="683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1" w:after="0" w:afterAutospacing="1" w:line="600" w:lineRule="atLeast"/>
              <w:ind w:left="0" w:right="0"/>
              <w:jc w:val="center"/>
              <w:rPr>
                <w:rFonts w:hint="eastAsia" w:ascii="仿宋" w:hAnsi="仿宋" w:eastAsia="仿宋" w:cs="仿宋"/>
                <w:kern w:val="0"/>
                <w:sz w:val="32"/>
                <w:szCs w:val="32"/>
                <w:shd w:val="clear" w:fill="FFFFFF"/>
              </w:rPr>
            </w:pPr>
            <w:r>
              <w:rPr>
                <w:rFonts w:hint="eastAsia" w:ascii="仿宋" w:hAnsi="仿宋" w:eastAsia="仿宋" w:cs="仿宋"/>
                <w:kern w:val="0"/>
                <w:sz w:val="32"/>
                <w:szCs w:val="32"/>
                <w:shd w:val="clear" w:fill="FFFFFF"/>
              </w:rPr>
              <w:t>单位名称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06" w:hRule="atLeast"/>
          <w:jc w:val="center"/>
        </w:trPr>
        <w:tc>
          <w:tcPr>
            <w:tcW w:w="10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1" w:after="0" w:afterAutospacing="1" w:line="600" w:lineRule="atLeast"/>
              <w:ind w:left="0" w:leftChars="0" w:right="0" w:rightChars="0"/>
              <w:jc w:val="center"/>
              <w:rPr>
                <w:rFonts w:hint="eastAsia" w:ascii="仿宋" w:hAnsi="仿宋" w:eastAsia="仿宋" w:cs="仿宋"/>
                <w:kern w:val="0"/>
                <w:sz w:val="32"/>
                <w:szCs w:val="32"/>
                <w:shd w:val="clear" w:fill="FFFFFF"/>
                <w:lang w:val="en-US" w:eastAsia="zh-CN"/>
              </w:rPr>
            </w:pPr>
            <w:r>
              <w:rPr>
                <w:rFonts w:hint="eastAsia" w:ascii="仿宋" w:hAnsi="仿宋" w:eastAsia="仿宋" w:cs="仿宋"/>
                <w:kern w:val="0"/>
                <w:sz w:val="32"/>
                <w:szCs w:val="32"/>
                <w:shd w:val="clear" w:fill="FFFFFF"/>
                <w:lang w:val="en-US" w:eastAsia="zh-CN"/>
              </w:rPr>
              <w:t>1</w:t>
            </w:r>
          </w:p>
        </w:tc>
        <w:tc>
          <w:tcPr>
            <w:tcW w:w="683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1" w:after="0" w:afterAutospacing="1" w:line="600" w:lineRule="atLeast"/>
              <w:ind w:left="0" w:leftChars="0" w:right="0" w:rightChars="0"/>
              <w:jc w:val="center"/>
              <w:rPr>
                <w:rFonts w:hint="eastAsia" w:ascii="仿宋" w:hAnsi="仿宋" w:eastAsia="仿宋" w:cs="仿宋"/>
                <w:kern w:val="0"/>
                <w:sz w:val="32"/>
                <w:szCs w:val="32"/>
                <w:shd w:val="clear" w:fill="FFFFFF"/>
              </w:rPr>
            </w:pPr>
            <w:r>
              <w:rPr>
                <w:rFonts w:hint="eastAsia" w:ascii="仿宋" w:hAnsi="仿宋" w:eastAsia="仿宋" w:cs="仿宋"/>
                <w:b w:val="0"/>
                <w:kern w:val="0"/>
                <w:sz w:val="32"/>
                <w:szCs w:val="32"/>
                <w:shd w:val="clear" w:fill="FFFFFF"/>
              </w:rPr>
              <w:t>厦门市湖里区教师进修学校第二附属小学</w:t>
            </w:r>
          </w:p>
        </w:tc>
      </w:tr>
    </w:tbl>
    <w:p>
      <w:pPr>
        <w:pStyle w:val="6"/>
        <w:spacing w:before="100" w:after="100" w:line="600" w:lineRule="atLeast"/>
        <w:ind w:left="0" w:right="0" w:firstLine="640" w:firstLineChars="0"/>
        <w:rPr>
          <w:rFonts w:ascii="Times New Roman" w:hAnsi="Times New Roman" w:eastAsia="Times New Roman" w:cs="Times New Roman"/>
          <w:b/>
          <w:bCs/>
          <w:kern w:val="0"/>
          <w:sz w:val="28"/>
          <w:szCs w:val="28"/>
        </w:rPr>
      </w:pPr>
      <w:r>
        <w:rPr>
          <w:rFonts w:ascii="黑体" w:hAnsi="黑体" w:eastAsia="黑体" w:cs="黑体"/>
          <w:b/>
          <w:spacing w:val="0"/>
        </w:rPr>
        <w:t>三、单位主要工作总结</w:t>
      </w:r>
      <w:bookmarkEnd w:id="17"/>
      <w:bookmarkEnd w:id="18"/>
      <w:bookmarkEnd w:id="19"/>
      <w:bookmarkEnd w:id="20"/>
    </w:p>
    <w:p>
      <w:pPr>
        <w:spacing w:line="540" w:lineRule="exact"/>
        <w:ind w:firstLine="651"/>
        <w:jc w:val="both"/>
        <w:rPr>
          <w:rFonts w:hint="eastAsia" w:ascii="仿宋_GB2312" w:hAnsi="仿宋_GB2312" w:eastAsia="仿宋_GB2312"/>
          <w:sz w:val="32"/>
          <w:szCs w:val="24"/>
        </w:rPr>
      </w:pPr>
      <w:r>
        <w:rPr>
          <w:rFonts w:ascii="仿宋" w:hAnsi="仿宋" w:eastAsia="仿宋" w:cs="仿宋"/>
          <w:spacing w:val="0"/>
          <w:kern w:val="0"/>
          <w:sz w:val="32"/>
          <w:szCs w:val="32"/>
        </w:rPr>
        <w:t>2024年，厦门市湖里区教师进修学校第二附属小学单位主要任务是：</w:t>
      </w:r>
      <w:r>
        <w:rPr>
          <w:rFonts w:hint="eastAsia" w:ascii="仿宋_GB2312" w:hAnsi="仿宋_GB2312" w:eastAsia="仿宋_GB2312"/>
          <w:sz w:val="32"/>
          <w:szCs w:val="24"/>
        </w:rPr>
        <w:t>在学校“益善教育”办学理念的观照下，以“校园文化创新态，五育并举抓素养”为主题，立足德育特色创建和教科研训工作先进校创建， 大力提高学校办学水平和教育教学质量。围绕上述任务，重点抓好以下工作：</w:t>
      </w:r>
    </w:p>
    <w:p>
      <w:pPr>
        <w:numPr>
          <w:ilvl w:val="0"/>
          <w:numId w:val="1"/>
        </w:numPr>
        <w:spacing w:line="540" w:lineRule="exact"/>
        <w:ind w:firstLine="651"/>
        <w:jc w:val="both"/>
        <w:rPr>
          <w:rFonts w:hint="eastAsia" w:ascii="仿宋_GB2312" w:hAnsi="仿宋_GB2312" w:eastAsia="仿宋_GB2312"/>
          <w:sz w:val="32"/>
          <w:szCs w:val="24"/>
        </w:rPr>
      </w:pPr>
      <w:r>
        <w:rPr>
          <w:rFonts w:hint="eastAsia" w:ascii="仿宋_GB2312" w:hAnsi="仿宋_GB2312" w:eastAsia="仿宋_GB2312"/>
          <w:sz w:val="32"/>
          <w:szCs w:val="24"/>
        </w:rPr>
        <w:t>传承益善，创德育新高。</w:t>
      </w:r>
    </w:p>
    <w:p>
      <w:pPr>
        <w:numPr>
          <w:ilvl w:val="0"/>
          <w:numId w:val="1"/>
        </w:numPr>
        <w:spacing w:line="540" w:lineRule="exact"/>
        <w:ind w:firstLine="651"/>
        <w:jc w:val="both"/>
        <w:rPr>
          <w:rFonts w:hint="eastAsia" w:ascii="仿宋_GB2312" w:hAnsi="仿宋_GB2312" w:eastAsia="仿宋_GB2312"/>
          <w:sz w:val="32"/>
          <w:szCs w:val="24"/>
        </w:rPr>
      </w:pPr>
      <w:r>
        <w:rPr>
          <w:rFonts w:hint="eastAsia" w:ascii="仿宋_GB2312" w:hAnsi="仿宋_GB2312" w:eastAsia="仿宋_GB2312"/>
          <w:sz w:val="32"/>
          <w:szCs w:val="24"/>
        </w:rPr>
        <w:t>减负提质，善思深研。</w:t>
      </w:r>
    </w:p>
    <w:p>
      <w:pPr>
        <w:numPr>
          <w:ilvl w:val="0"/>
          <w:numId w:val="0"/>
        </w:numPr>
        <w:spacing w:line="540" w:lineRule="exact"/>
        <w:ind w:left="651"/>
        <w:jc w:val="both"/>
        <w:rPr>
          <w:rFonts w:hint="default"/>
          <w:sz w:val="24"/>
          <w:szCs w:val="24"/>
        </w:rPr>
      </w:pPr>
      <w:r>
        <w:rPr>
          <w:rFonts w:hint="eastAsia" w:ascii="仿宋_GB2312" w:hAnsi="仿宋_GB2312" w:eastAsia="仿宋_GB2312"/>
          <w:sz w:val="32"/>
          <w:szCs w:val="24"/>
        </w:rPr>
        <w:t>（三）关注全体，做好融合教育。</w:t>
      </w:r>
    </w:p>
    <w:p>
      <w:pPr>
        <w:adjustRightInd/>
        <w:spacing w:line="540" w:lineRule="exact"/>
        <w:ind w:firstLine="640" w:firstLineChars="200"/>
        <w:jc w:val="both"/>
        <w:rPr>
          <w:rFonts w:hint="eastAsia" w:ascii="仿宋_GB2312" w:hAnsi="仿宋_GB2312" w:eastAsia="仿宋_GB2312"/>
          <w:sz w:val="32"/>
          <w:szCs w:val="24"/>
        </w:rPr>
      </w:pPr>
      <w:r>
        <w:rPr>
          <w:rFonts w:hint="eastAsia" w:ascii="仿宋_GB2312" w:hAnsi="仿宋_GB2312" w:eastAsia="仿宋_GB2312"/>
          <w:sz w:val="32"/>
          <w:szCs w:val="24"/>
        </w:rPr>
        <w:t>（四）以服务全体师生为宗旨，做好工会工作及后勤保障工作。</w:t>
      </w:r>
    </w:p>
    <w:p>
      <w:pPr>
        <w:adjustRightInd/>
        <w:spacing w:line="540" w:lineRule="exact"/>
        <w:ind w:firstLine="640" w:firstLineChars="200"/>
        <w:jc w:val="both"/>
        <w:rPr>
          <w:rFonts w:hint="eastAsia" w:ascii="仿宋_GB2312" w:hAnsi="仿宋_GB2312" w:eastAsia="仿宋_GB2312"/>
          <w:sz w:val="32"/>
          <w:szCs w:val="24"/>
        </w:rPr>
      </w:pPr>
      <w:r>
        <w:rPr>
          <w:rFonts w:hint="eastAsia" w:ascii="仿宋_GB2312" w:hAnsi="仿宋_GB2312" w:eastAsia="仿宋_GB2312"/>
          <w:sz w:val="32"/>
          <w:szCs w:val="24"/>
        </w:rPr>
        <w:t>（五）以党建工作为统领，同时做好党群联系、团支部和少先队工作。</w:t>
      </w:r>
    </w:p>
    <w:p>
      <w:pPr>
        <w:pStyle w:val="26"/>
        <w:widowControl/>
        <w:spacing w:before="100" w:after="100"/>
        <w:ind w:left="0" w:right="0" w:firstLine="0"/>
        <w:jc w:val="left"/>
        <w:rPr>
          <w:rFonts w:hint="eastAsia" w:eastAsia="宋体" w:cs="Times New Roman"/>
          <w:b w:val="0"/>
          <w:bCs w:val="0"/>
          <w:kern w:val="0"/>
          <w:sz w:val="36"/>
          <w:szCs w:val="36"/>
          <w:lang w:val="en-US" w:eastAsia="zh-CN"/>
        </w:rPr>
      </w:pPr>
    </w:p>
    <w:p>
      <w:pPr>
        <w:pStyle w:val="26"/>
        <w:widowControl/>
        <w:spacing w:before="100" w:after="100"/>
        <w:ind w:left="0" w:right="0" w:firstLine="0"/>
        <w:jc w:val="left"/>
        <w:rPr>
          <w:rFonts w:hint="eastAsia" w:eastAsia="宋体" w:cs="Times New Roman"/>
          <w:b w:val="0"/>
          <w:bCs w:val="0"/>
          <w:kern w:val="0"/>
          <w:sz w:val="36"/>
          <w:szCs w:val="36"/>
          <w:lang w:val="en-US" w:eastAsia="zh-CN"/>
        </w:rPr>
      </w:pPr>
    </w:p>
    <w:p>
      <w:pPr>
        <w:pStyle w:val="4"/>
        <w:spacing w:before="100" w:after="100" w:line="240" w:lineRule="auto"/>
        <w:ind w:left="0" w:right="0" w:firstLine="0" w:firstLineChars="0"/>
        <w:jc w:val="center"/>
        <w:rPr>
          <w:rFonts w:ascii="Times New Roman" w:hAnsi="Times New Roman" w:eastAsia="Times New Roman" w:cs="Times New Roman"/>
          <w:b w:val="0"/>
          <w:bCs w:val="0"/>
          <w:kern w:val="0"/>
          <w:sz w:val="36"/>
          <w:szCs w:val="36"/>
        </w:rPr>
      </w:pPr>
      <w:bookmarkStart w:id="21" w:name="_Toc256000005"/>
      <w:bookmarkStart w:id="22" w:name="_Toc256000067"/>
      <w:bookmarkStart w:id="23" w:name="_Toc256000098"/>
      <w:bookmarkStart w:id="24" w:name="_Toc256000036"/>
      <w:r>
        <w:rPr>
          <w:rFonts w:ascii="黑体" w:hAnsi="黑体" w:eastAsia="黑体" w:cs="黑体"/>
          <w:b w:val="0"/>
          <w:bCs w:val="0"/>
          <w:spacing w:val="0"/>
          <w:sz w:val="36"/>
          <w:szCs w:val="36"/>
        </w:rPr>
        <w:t>第二部分</w:t>
      </w:r>
      <w:bookmarkEnd w:id="21"/>
      <w:bookmarkEnd w:id="22"/>
      <w:bookmarkEnd w:id="23"/>
      <w:bookmarkEnd w:id="24"/>
      <w:bookmarkStart w:id="25" w:name="_Toc256000068"/>
      <w:bookmarkStart w:id="26" w:name="_Toc256000099"/>
      <w:bookmarkStart w:id="27" w:name="_Toc256000037"/>
      <w:bookmarkStart w:id="28" w:name="_Toc256000006"/>
      <w:r>
        <w:rPr>
          <w:rFonts w:hint="eastAsia" w:ascii="黑体" w:hAnsi="黑体" w:eastAsia="黑体" w:cs="黑体"/>
          <w:b w:val="0"/>
          <w:bCs w:val="0"/>
          <w:spacing w:val="0"/>
          <w:sz w:val="36"/>
          <w:szCs w:val="36"/>
          <w:lang w:val="en-US" w:eastAsia="zh-CN"/>
        </w:rPr>
        <w:t xml:space="preserve">  </w:t>
      </w:r>
      <w:r>
        <w:rPr>
          <w:rFonts w:ascii="黑体" w:hAnsi="黑体" w:eastAsia="黑体" w:cs="黑体"/>
          <w:b w:val="0"/>
          <w:bCs w:val="0"/>
          <w:spacing w:val="0"/>
          <w:sz w:val="36"/>
          <w:szCs w:val="36"/>
        </w:rPr>
        <w:t>2024年度决算表</w:t>
      </w:r>
      <w:bookmarkEnd w:id="25"/>
      <w:bookmarkEnd w:id="26"/>
      <w:bookmarkEnd w:id="27"/>
      <w:bookmarkEnd w:id="28"/>
    </w:p>
    <w:p>
      <w:pPr>
        <w:pStyle w:val="26"/>
        <w:widowControl/>
        <w:spacing w:before="100" w:after="100"/>
        <w:ind w:left="0" w:right="0" w:firstLine="0"/>
        <w:jc w:val="center"/>
        <w:rPr>
          <w:rFonts w:ascii="Times New Roman" w:hAnsi="Times New Roman" w:eastAsia="Times New Roman" w:cs="Times New Roman"/>
          <w:kern w:val="0"/>
          <w:sz w:val="24"/>
        </w:rPr>
      </w:pPr>
    </w:p>
    <w:p>
      <w:pPr>
        <w:pStyle w:val="6"/>
        <w:spacing w:before="100" w:after="100" w:line="240" w:lineRule="auto"/>
        <w:ind w:left="720" w:right="0" w:hanging="720" w:firstLineChars="0"/>
        <w:rPr>
          <w:b/>
          <w:bCs/>
        </w:rPr>
      </w:pPr>
      <w:bookmarkStart w:id="29" w:name="_Toc256000038"/>
      <w:bookmarkStart w:id="30" w:name="_Toc256000007"/>
      <w:bookmarkStart w:id="31" w:name="_Toc256000100"/>
      <w:bookmarkStart w:id="32" w:name="_Toc256000069"/>
      <w:r>
        <w:rPr>
          <w:rFonts w:ascii="黑体" w:hAnsi="黑体" w:eastAsia="黑体" w:cs="黑体"/>
          <w:b/>
          <w:bCs/>
          <w:spacing w:val="0"/>
        </w:rPr>
        <w:t>一、收入支出决算总表</w:t>
      </w:r>
      <w:bookmarkEnd w:id="29"/>
      <w:bookmarkEnd w:id="30"/>
      <w:bookmarkEnd w:id="31"/>
      <w:bookmarkEnd w:id="32"/>
    </w:p>
    <w:p>
      <w:pPr>
        <w:pStyle w:val="2"/>
      </w:pPr>
    </w:p>
    <w:tbl>
      <w:tblPr>
        <w:tblStyle w:val="23"/>
        <w:tblW w:w="9066"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512"/>
        <w:gridCol w:w="1510"/>
        <w:gridCol w:w="1511"/>
        <w:gridCol w:w="1511"/>
        <w:gridCol w:w="1511"/>
        <w:gridCol w:w="15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9066" w:type="dxa"/>
            <w:gridSpan w:val="6"/>
            <w:tcMar>
              <w:top w:w="20" w:type="dxa"/>
              <w:left w:w="20" w:type="dxa"/>
              <w:bottom w:w="20" w:type="dxa"/>
              <w:right w:w="20" w:type="dxa"/>
            </w:tcMar>
            <w:vAlign w:val="center"/>
          </w:tcPr>
          <w:p>
            <w:pPr>
              <w:keepNext w:val="0"/>
              <w:keepLines w:val="0"/>
              <w:pageBreakBefore w:val="0"/>
              <w:widowControl w:val="0"/>
              <w:kinsoku/>
              <w:wordWrap/>
              <w:overflowPunct/>
              <w:topLinePunct w:val="0"/>
              <w:autoSpaceDE/>
              <w:autoSpaceDN/>
              <w:bidi w:val="0"/>
              <w:adjustRightInd/>
              <w:snapToGrid/>
              <w:spacing w:line="900" w:lineRule="atLeast"/>
              <w:jc w:val="center"/>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32"/>
                <w:szCs w:val="32"/>
              </w:rPr>
              <w:t>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51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4533" w:type="dxa"/>
            <w:gridSpan w:val="3"/>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b w:val="0"/>
                <w:bCs w:val="0"/>
                <w:i w:val="0"/>
                <w:iCs w:val="0"/>
                <w:smallCaps w:val="0"/>
                <w:color w:val="000000"/>
                <w:kern w:val="0"/>
                <w:sz w:val="18"/>
                <w:szCs w:val="18"/>
              </w:rPr>
              <w:t>单位：厦门市湖里区教师进修学校第二附属小学</w:t>
            </w:r>
          </w:p>
        </w:tc>
        <w:tc>
          <w:tcPr>
            <w:tcW w:w="151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b w:val="0"/>
                <w:bCs w:val="0"/>
                <w:i w:val="0"/>
                <w:iCs w:val="0"/>
                <w:smallCaps w:val="0"/>
                <w:color w:val="000000"/>
                <w:kern w:val="0"/>
                <w:sz w:val="18"/>
                <w:szCs w:val="18"/>
              </w:rPr>
              <w:t>年度</w:t>
            </w:r>
          </w:p>
        </w:tc>
        <w:tc>
          <w:tcPr>
            <w:tcW w:w="151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4533"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收入</w:t>
            </w:r>
          </w:p>
        </w:tc>
        <w:tc>
          <w:tcPr>
            <w:tcW w:w="4533"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项目</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行次</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项目</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行次</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栏次</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栏次</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一、一般公共预算财政拨款收入</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3,909.69</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一、一般公共服务支出</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二、政府性基金预算财政拨款收入</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二、外交支出</w:t>
            </w:r>
            <w:r>
              <w:rPr>
                <w:rFonts w:ascii="Times New Roman" w:hAnsi="Times New Roman" w:eastAsia="Times New Roman" w:cs="Times New Roman"/>
                <w:b w:val="0"/>
                <w:bCs w:val="0"/>
                <w:i w:val="0"/>
                <w:iCs w:val="0"/>
                <w:smallCaps w:val="0"/>
                <w:color w:val="000000"/>
                <w:kern w:val="0"/>
                <w:sz w:val="18"/>
                <w:szCs w:val="18"/>
              </w:rPr>
              <w:t xml:space="preserve">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三、国有资本经营预算财政拨款收入</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三、国防支出</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四、上级补助收入</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四、公共安全支出</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五、事业收入</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五、教育支出</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3,262.75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六、经营收入</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六、科学技术支出</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七、附属单位上缴收入</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七、文化旅游体育与传媒支出</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八、其他收入</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八、社会保障和就业支出</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453.22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九、卫生健康支出</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十、节能环保支出</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十一、城乡社区支出</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十二、农林水支出</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13</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十三、交通运输支出</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十四、资源勘探工业信息等支出</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45</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十五、商业服务业等支出</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十六、金融支出</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47</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十七、援助其他地区支出</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十八、自然资源海洋气象等支出</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十九、住房保障支出</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50</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二十、粮油物资储备支出</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51</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二十一、国有资本经营预算支出</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52</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二十二、灾害防治及应急管理支出</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53</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二十三、其他支出</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54</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二十四、债务还本支出</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55</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二十五、债务付息支出</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56</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二十六、抗疫特别国债安排的支出</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57</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本年收入合计</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3,909.69</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本年支出合计</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58</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3,909.69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使用非财政拨款结余（含专用结余）</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结余分配</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年初结转和结余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年末结转和结余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60</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61</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总计</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3,909.69</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总计</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62</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3,909.69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9066" w:type="dxa"/>
            <w:gridSpan w:val="6"/>
            <w:tcMar>
              <w:top w:w="20" w:type="dxa"/>
              <w:left w:w="20" w:type="dxa"/>
              <w:bottom w:w="20" w:type="dxa"/>
              <w:right w:w="20" w:type="dxa"/>
            </w:tcMar>
            <w:vAlign w:val="center"/>
          </w:tcPr>
          <w:p>
            <w:pPr>
              <w:keepNext w:val="0"/>
              <w:keepLines w:val="0"/>
              <w:pageBreakBefore w:val="0"/>
              <w:widowControl w:val="0"/>
              <w:kinsoku/>
              <w:wordWrap/>
              <w:overflowPunct/>
              <w:topLinePunct w:val="0"/>
              <w:autoSpaceDE/>
              <w:autoSpaceDN/>
              <w:bidi w:val="0"/>
              <w:adjustRightInd/>
              <w:snapToGrid/>
              <w:spacing w:line="375" w:lineRule="atLeast"/>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注：</w:t>
            </w:r>
            <w:r>
              <w:rPr>
                <w:rFonts w:ascii="Times New Roman" w:hAnsi="Times New Roman" w:eastAsia="Times New Roman" w:cs="Times New Roman"/>
                <w:b w:val="0"/>
                <w:bCs w:val="0"/>
                <w:i w:val="0"/>
                <w:iCs w:val="0"/>
                <w:smallCaps w:val="0"/>
                <w:color w:val="000000"/>
                <w:kern w:val="0"/>
                <w:sz w:val="18"/>
                <w:szCs w:val="18"/>
              </w:rPr>
              <w:t>1.</w:t>
            </w:r>
            <w:r>
              <w:rPr>
                <w:b w:val="0"/>
                <w:bCs w:val="0"/>
                <w:i w:val="0"/>
                <w:iCs w:val="0"/>
                <w:smallCaps w:val="0"/>
                <w:color w:val="000000"/>
                <w:kern w:val="0"/>
                <w:sz w:val="18"/>
                <w:szCs w:val="18"/>
              </w:rPr>
              <w:t>本表反映部门本年度的总收支和年末结转结余情况。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9066" w:type="dxa"/>
            <w:gridSpan w:val="6"/>
            <w:tcMar>
              <w:top w:w="20" w:type="dxa"/>
              <w:left w:w="485" w:type="dxa"/>
              <w:bottom w:w="20" w:type="dxa"/>
              <w:right w:w="20" w:type="dxa"/>
            </w:tcMar>
            <w:vAlign w:val="center"/>
          </w:tcPr>
          <w:p>
            <w:pPr>
              <w:keepNext w:val="0"/>
              <w:keepLines w:val="0"/>
              <w:pageBreakBefore w:val="0"/>
              <w:widowControl w:val="0"/>
              <w:kinsoku/>
              <w:wordWrap/>
              <w:overflowPunct/>
              <w:topLinePunct w:val="0"/>
              <w:autoSpaceDE/>
              <w:autoSpaceDN/>
              <w:bidi w:val="0"/>
              <w:adjustRightInd/>
              <w:snapToGrid/>
              <w:spacing w:line="375" w:lineRule="atLeast"/>
              <w:jc w:val="lef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r>
              <w:rPr>
                <w:b w:val="0"/>
                <w:bCs w:val="0"/>
                <w:i w:val="0"/>
                <w:iCs w:val="0"/>
                <w:smallCaps w:val="0"/>
                <w:color w:val="000000"/>
                <w:kern w:val="0"/>
                <w:sz w:val="18"/>
                <w:szCs w:val="18"/>
              </w:rPr>
              <w:t>本套报表金额单位转换时可能存在尾数误差。</w:t>
            </w:r>
          </w:p>
        </w:tc>
      </w:tr>
    </w:tbl>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Times New Roman" w:cs="Times New Roman"/>
          <w:kern w:val="0"/>
          <w:sz w:val="24"/>
        </w:rPr>
      </w:pPr>
      <w:r>
        <w:rPr>
          <w:rFonts w:ascii="Times New Roman" w:hAnsi="Times New Roman" w:eastAsia="Times New Roman" w:cs="Times New Roman"/>
          <w:kern w:val="0"/>
          <w:sz w:val="24"/>
        </w:rPr>
        <w:t> </w:t>
      </w:r>
    </w:p>
    <w:p>
      <w:pPr>
        <w:pStyle w:val="26"/>
        <w:keepNext w:val="0"/>
        <w:keepLines w:val="0"/>
        <w:pageBreakBefore w:val="0"/>
        <w:widowControl w:val="0"/>
        <w:kinsoku/>
        <w:wordWrap/>
        <w:overflowPunct/>
        <w:topLinePunct w:val="0"/>
        <w:autoSpaceDE/>
        <w:autoSpaceDN/>
        <w:bidi w:val="0"/>
        <w:adjustRightInd/>
        <w:snapToGrid/>
        <w:spacing w:before="100" w:after="100"/>
        <w:ind w:left="720" w:right="0" w:firstLine="0"/>
        <w:jc w:val="left"/>
        <w:textAlignment w:val="auto"/>
        <w:rPr>
          <w:rFonts w:ascii="宋体" w:hAnsi="宋体" w:cs="宋体"/>
          <w:spacing w:val="0"/>
          <w:kern w:val="0"/>
          <w:sz w:val="32"/>
          <w:szCs w:val="32"/>
        </w:rPr>
      </w:pPr>
    </w:p>
    <w:p>
      <w:pPr>
        <w:pStyle w:val="26"/>
        <w:keepNext w:val="0"/>
        <w:keepLines w:val="0"/>
        <w:pageBreakBefore w:val="0"/>
        <w:widowControl w:val="0"/>
        <w:kinsoku/>
        <w:wordWrap/>
        <w:overflowPunct/>
        <w:topLinePunct w:val="0"/>
        <w:autoSpaceDE/>
        <w:autoSpaceDN/>
        <w:bidi w:val="0"/>
        <w:adjustRightInd/>
        <w:snapToGrid/>
        <w:spacing w:before="100" w:after="100"/>
        <w:ind w:left="720" w:right="0" w:firstLine="0"/>
        <w:jc w:val="left"/>
        <w:textAlignment w:val="auto"/>
        <w:rPr>
          <w:rFonts w:ascii="宋体" w:hAnsi="宋体" w:cs="宋体"/>
          <w:spacing w:val="0"/>
          <w:kern w:val="0"/>
          <w:sz w:val="32"/>
          <w:szCs w:val="32"/>
        </w:rPr>
      </w:pPr>
    </w:p>
    <w:p>
      <w:pPr>
        <w:pStyle w:val="26"/>
        <w:keepNext w:val="0"/>
        <w:keepLines w:val="0"/>
        <w:pageBreakBefore w:val="0"/>
        <w:widowControl w:val="0"/>
        <w:kinsoku/>
        <w:wordWrap/>
        <w:overflowPunct/>
        <w:topLinePunct w:val="0"/>
        <w:autoSpaceDE/>
        <w:autoSpaceDN/>
        <w:bidi w:val="0"/>
        <w:adjustRightInd/>
        <w:snapToGrid/>
        <w:spacing w:before="100" w:after="100"/>
        <w:ind w:left="720" w:right="0" w:firstLine="0"/>
        <w:jc w:val="left"/>
        <w:textAlignment w:val="auto"/>
        <w:rPr>
          <w:rFonts w:ascii="宋体" w:hAnsi="宋体" w:cs="宋体"/>
          <w:spacing w:val="0"/>
          <w:kern w:val="0"/>
          <w:sz w:val="32"/>
          <w:szCs w:val="32"/>
        </w:rPr>
      </w:pPr>
    </w:p>
    <w:p>
      <w:pPr>
        <w:pStyle w:val="26"/>
        <w:keepNext w:val="0"/>
        <w:keepLines w:val="0"/>
        <w:pageBreakBefore w:val="0"/>
        <w:widowControl w:val="0"/>
        <w:kinsoku/>
        <w:wordWrap/>
        <w:overflowPunct/>
        <w:topLinePunct w:val="0"/>
        <w:autoSpaceDE/>
        <w:autoSpaceDN/>
        <w:bidi w:val="0"/>
        <w:adjustRightInd/>
        <w:snapToGrid/>
        <w:spacing w:before="100" w:after="100"/>
        <w:ind w:left="720" w:right="0" w:firstLine="0"/>
        <w:jc w:val="left"/>
        <w:textAlignment w:val="auto"/>
        <w:rPr>
          <w:rFonts w:ascii="Times New Roman" w:hAnsi="Times New Roman" w:eastAsia="Times New Roman" w:cs="Times New Roman"/>
          <w:kern w:val="0"/>
          <w:sz w:val="24"/>
        </w:rPr>
      </w:pPr>
      <w:r>
        <w:rPr>
          <w:rFonts w:ascii="宋体" w:hAnsi="宋体" w:cs="宋体"/>
          <w:spacing w:val="0"/>
          <w:kern w:val="0"/>
          <w:sz w:val="32"/>
          <w:szCs w:val="32"/>
        </w:rPr>
        <w:t> </w:t>
      </w:r>
    </w:p>
    <w:p>
      <w:pPr>
        <w:pStyle w:val="6"/>
        <w:keepNext w:val="0"/>
        <w:keepLines w:val="0"/>
        <w:pageBreakBefore w:val="0"/>
        <w:widowControl w:val="0"/>
        <w:numPr>
          <w:ilvl w:val="0"/>
          <w:numId w:val="2"/>
        </w:numPr>
        <w:kinsoku/>
        <w:wordWrap/>
        <w:overflowPunct/>
        <w:topLinePunct w:val="0"/>
        <w:autoSpaceDE/>
        <w:autoSpaceDN/>
        <w:bidi w:val="0"/>
        <w:adjustRightInd/>
        <w:snapToGrid/>
        <w:spacing w:before="100" w:after="100" w:line="240" w:lineRule="auto"/>
        <w:ind w:left="720" w:right="0" w:hanging="720" w:firstLineChars="0"/>
        <w:textAlignment w:val="auto"/>
        <w:rPr>
          <w:rFonts w:ascii="黑体" w:hAnsi="黑体" w:eastAsia="黑体" w:cs="黑体"/>
          <w:b/>
          <w:bCs/>
          <w:spacing w:val="0"/>
          <w:sz w:val="32"/>
          <w:szCs w:val="32"/>
        </w:rPr>
      </w:pPr>
      <w:bookmarkStart w:id="33" w:name="_Toc256000039"/>
      <w:bookmarkStart w:id="34" w:name="_Toc256000008"/>
      <w:bookmarkStart w:id="35" w:name="_Toc256000101"/>
      <w:bookmarkStart w:id="36" w:name="_Toc256000070"/>
      <w:r>
        <w:rPr>
          <w:rFonts w:ascii="黑体" w:hAnsi="黑体" w:eastAsia="黑体" w:cs="黑体"/>
          <w:b/>
          <w:bCs/>
          <w:spacing w:val="0"/>
          <w:sz w:val="32"/>
          <w:szCs w:val="32"/>
        </w:rPr>
        <w:t>收入决算表</w:t>
      </w:r>
      <w:bookmarkEnd w:id="33"/>
      <w:bookmarkEnd w:id="34"/>
      <w:bookmarkEnd w:id="35"/>
      <w:bookmarkEnd w:id="36"/>
    </w:p>
    <w:p>
      <w:pPr>
        <w:pStyle w:val="5"/>
        <w:numPr>
          <w:ilvl w:val="0"/>
          <w:numId w:val="0"/>
        </w:numPr>
      </w:pPr>
    </w:p>
    <w:tbl>
      <w:tblPr>
        <w:tblStyle w:val="23"/>
        <w:tblpPr w:leftFromText="180" w:rightFromText="180" w:vertAnchor="text" w:tblpX="-5" w:tblpY="1"/>
        <w:tblOverlap w:val="never"/>
        <w:tblW w:w="9087" w:type="dxa"/>
        <w:tblInd w:w="-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007"/>
        <w:gridCol w:w="1199"/>
        <w:gridCol w:w="815"/>
        <w:gridCol w:w="1304"/>
        <w:gridCol w:w="711"/>
        <w:gridCol w:w="1008"/>
        <w:gridCol w:w="531"/>
        <w:gridCol w:w="1481"/>
        <w:gridCol w:w="10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7" w:hRule="atLeast"/>
          <w:tblHeader/>
        </w:trPr>
        <w:tc>
          <w:tcPr>
            <w:tcW w:w="9087" w:type="dxa"/>
            <w:gridSpan w:val="9"/>
            <w:tcMar>
              <w:top w:w="20" w:type="dxa"/>
              <w:left w:w="20" w:type="dxa"/>
              <w:bottom w:w="20" w:type="dxa"/>
              <w:right w:w="20" w:type="dxa"/>
            </w:tcMar>
            <w:vAlign w:val="center"/>
          </w:tcPr>
          <w:p>
            <w:pPr>
              <w:keepNext w:val="0"/>
              <w:keepLines w:val="0"/>
              <w:pageBreakBefore w:val="0"/>
              <w:widowControl w:val="0"/>
              <w:kinsoku/>
              <w:wordWrap/>
              <w:overflowPunct/>
              <w:topLinePunct w:val="0"/>
              <w:autoSpaceDE/>
              <w:autoSpaceDN/>
              <w:bidi w:val="0"/>
              <w:adjustRightInd/>
              <w:snapToGrid/>
              <w:spacing w:line="900" w:lineRule="atLeast"/>
              <w:ind w:left="-210" w:leftChars="-100"/>
              <w:jc w:val="center"/>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32"/>
                <w:szCs w:val="32"/>
              </w:rPr>
              <w:t>收入决算表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99" w:hRule="atLeast"/>
          <w:tblHeader/>
        </w:trPr>
        <w:tc>
          <w:tcPr>
            <w:tcW w:w="5036" w:type="dxa"/>
            <w:gridSpan w:val="5"/>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center"/>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b w:val="0"/>
                <w:bCs w:val="0"/>
                <w:i w:val="0"/>
                <w:iCs w:val="0"/>
                <w:smallCaps w:val="0"/>
                <w:color w:val="000000"/>
                <w:kern w:val="0"/>
                <w:sz w:val="18"/>
                <w:szCs w:val="18"/>
              </w:rPr>
              <w:t>单位：厦门市湖里区教师进修学校第二附属小学</w:t>
            </w:r>
          </w:p>
        </w:tc>
        <w:tc>
          <w:tcPr>
            <w:tcW w:w="100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keepNext w:val="0"/>
              <w:keepLines w:val="0"/>
              <w:pageBreakBefore w:val="0"/>
              <w:widowControl w:val="0"/>
              <w:tabs>
                <w:tab w:val="center" w:pos="482"/>
              </w:tabs>
              <w:kinsoku/>
              <w:wordWrap/>
              <w:overflowPunct/>
              <w:topLinePunct w:val="0"/>
              <w:autoSpaceDE/>
              <w:autoSpaceDN/>
              <w:bidi w:val="0"/>
              <w:adjustRightInd/>
              <w:snapToGrid/>
              <w:ind w:left="-210" w:leftChars="-100"/>
              <w:jc w:val="left"/>
              <w:textAlignment w:val="auto"/>
              <w:rPr>
                <w:rFonts w:hint="eastAsia" w:ascii="Times New Roman" w:hAnsi="Times New Roman" w:eastAsia="宋体" w:cs="Times New Roman"/>
                <w:b w:val="0"/>
                <w:bCs w:val="0"/>
                <w:i w:val="0"/>
                <w:iCs w:val="0"/>
                <w:smallCaps w:val="0"/>
                <w:color w:val="000000"/>
                <w:kern w:val="0"/>
                <w:sz w:val="18"/>
                <w:szCs w:val="18"/>
                <w:lang w:eastAsia="zh-CN"/>
              </w:rPr>
            </w:pPr>
            <w:r>
              <w:rPr>
                <w:rFonts w:ascii="Times New Roman" w:hAnsi="Times New Roman" w:eastAsia="Times New Roman" w:cs="Times New Roman"/>
                <w:b w:val="0"/>
                <w:bCs w:val="0"/>
                <w:i w:val="0"/>
                <w:iCs w:val="0"/>
                <w:smallCaps w:val="0"/>
                <w:color w:val="000000"/>
                <w:kern w:val="0"/>
                <w:sz w:val="18"/>
                <w:szCs w:val="18"/>
              </w:rPr>
              <w:t> </w:t>
            </w:r>
            <w:r>
              <w:rPr>
                <w:rFonts w:hint="eastAsia" w:eastAsia="宋体" w:cs="Times New Roman"/>
                <w:b w:val="0"/>
                <w:bCs w:val="0"/>
                <w:i w:val="0"/>
                <w:iCs w:val="0"/>
                <w:smallCaps w:val="0"/>
                <w:color w:val="000000"/>
                <w:kern w:val="0"/>
                <w:sz w:val="18"/>
                <w:szCs w:val="18"/>
                <w:lang w:eastAsia="zh-CN"/>
              </w:rPr>
              <w:tab/>
            </w:r>
            <w:r>
              <w:rPr>
                <w:rFonts w:ascii="Times New Roman" w:hAnsi="Times New Roman" w:eastAsia="Times New Roman" w:cs="Times New Roman"/>
                <w:b w:val="0"/>
                <w:bCs w:val="0"/>
                <w:i w:val="0"/>
                <w:iCs w:val="0"/>
                <w:smallCaps w:val="0"/>
                <w:color w:val="000000"/>
                <w:kern w:val="0"/>
                <w:sz w:val="18"/>
                <w:szCs w:val="18"/>
              </w:rPr>
              <w:t>2024</w:t>
            </w:r>
            <w:r>
              <w:rPr>
                <w:b w:val="0"/>
                <w:bCs w:val="0"/>
                <w:i w:val="0"/>
                <w:iCs w:val="0"/>
                <w:smallCaps w:val="0"/>
                <w:color w:val="000000"/>
                <w:kern w:val="0"/>
                <w:sz w:val="18"/>
                <w:szCs w:val="18"/>
              </w:rPr>
              <w:t>年度</w:t>
            </w:r>
          </w:p>
        </w:tc>
        <w:tc>
          <w:tcPr>
            <w:tcW w:w="53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keepNext w:val="0"/>
              <w:keepLines w:val="0"/>
              <w:pageBreakBefore w:val="0"/>
              <w:widowControl w:val="0"/>
              <w:kinsoku/>
              <w:wordWrap/>
              <w:overflowPunct/>
              <w:topLinePunct w:val="0"/>
              <w:autoSpaceDE/>
              <w:autoSpaceDN/>
              <w:bidi w:val="0"/>
              <w:adjustRightInd/>
              <w:snapToGrid/>
              <w:ind w:left="-210" w:leftChars="-100"/>
              <w:jc w:val="lef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8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keepNext w:val="0"/>
              <w:keepLines w:val="0"/>
              <w:pageBreakBefore w:val="0"/>
              <w:widowControl w:val="0"/>
              <w:kinsoku/>
              <w:wordWrap/>
              <w:overflowPunct/>
              <w:topLinePunct w:val="0"/>
              <w:autoSpaceDE/>
              <w:autoSpaceDN/>
              <w:bidi w:val="0"/>
              <w:adjustRightInd/>
              <w:snapToGrid/>
              <w:ind w:left="-210" w:leftChars="-100"/>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金额单位：万元</w:t>
            </w:r>
          </w:p>
        </w:tc>
        <w:tc>
          <w:tcPr>
            <w:tcW w:w="103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center"/>
              <w:textAlignment w:val="auto"/>
              <w:rPr>
                <w:rFonts w:ascii="Times New Roman" w:hAnsi="Times New Roman" w:eastAsia="Times New Roman" w:cs="Times New Roman"/>
                <w:b w:val="0"/>
                <w:bCs w:val="0"/>
                <w:i w:val="0"/>
                <w:iCs w:val="0"/>
                <w:smallCaps w:val="0"/>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29" w:hRule="atLeast"/>
          <w:tblHeader/>
        </w:trPr>
        <w:tc>
          <w:tcPr>
            <w:tcW w:w="220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81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本年收入合计</w:t>
            </w:r>
          </w:p>
        </w:tc>
        <w:tc>
          <w:tcPr>
            <w:tcW w:w="130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财政拨款收入</w:t>
            </w:r>
            <w:r>
              <w:rPr>
                <w:rFonts w:ascii="Times New Roman" w:hAnsi="Times New Roman" w:eastAsia="Times New Roman" w:cs="Times New Roman"/>
                <w:b w:val="0"/>
                <w:bCs w:val="0"/>
                <w:i w:val="0"/>
                <w:iCs w:val="0"/>
                <w:smallCaps w:val="0"/>
                <w:color w:val="000000"/>
                <w:kern w:val="0"/>
                <w:sz w:val="18"/>
                <w:szCs w:val="18"/>
              </w:rPr>
              <w:t xml:space="preserve"> </w:t>
            </w:r>
          </w:p>
        </w:tc>
        <w:tc>
          <w:tcPr>
            <w:tcW w:w="71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上级补助收入</w:t>
            </w:r>
          </w:p>
        </w:tc>
        <w:tc>
          <w:tcPr>
            <w:tcW w:w="100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事业收入</w:t>
            </w:r>
          </w:p>
        </w:tc>
        <w:tc>
          <w:tcPr>
            <w:tcW w:w="53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经营收入</w:t>
            </w:r>
          </w:p>
        </w:tc>
        <w:tc>
          <w:tcPr>
            <w:tcW w:w="148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附属单位上缴收入</w:t>
            </w:r>
          </w:p>
        </w:tc>
        <w:tc>
          <w:tcPr>
            <w:tcW w:w="103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blHeader/>
        </w:trPr>
        <w:tc>
          <w:tcPr>
            <w:tcW w:w="100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center"/>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科目代码</w:t>
            </w:r>
          </w:p>
        </w:tc>
        <w:tc>
          <w:tcPr>
            <w:tcW w:w="119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center"/>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科目名称</w:t>
            </w:r>
          </w:p>
        </w:tc>
        <w:tc>
          <w:tcPr>
            <w:tcW w:w="815"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val="0"/>
              <w:kinsoku/>
              <w:wordWrap/>
              <w:overflowPunct/>
              <w:topLinePunct w:val="0"/>
              <w:autoSpaceDE/>
              <w:autoSpaceDN/>
              <w:bidi w:val="0"/>
              <w:adjustRightInd/>
              <w:snapToGrid/>
              <w:ind w:left="-210" w:leftChars="-100"/>
              <w:textAlignment w:val="auto"/>
              <w:rPr>
                <w:rFonts w:ascii="Times New Roman" w:hAnsi="Times New Roman" w:eastAsia="Times New Roman" w:cs="Times New Roman"/>
                <w:b w:val="0"/>
                <w:bCs w:val="0"/>
                <w:i w:val="0"/>
                <w:iCs w:val="0"/>
                <w:smallCaps w:val="0"/>
                <w:color w:val="000000"/>
                <w:kern w:val="0"/>
                <w:sz w:val="18"/>
                <w:szCs w:val="18"/>
              </w:rPr>
            </w:pPr>
          </w:p>
        </w:tc>
        <w:tc>
          <w:tcPr>
            <w:tcW w:w="1304"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val="0"/>
              <w:kinsoku/>
              <w:wordWrap/>
              <w:overflowPunct/>
              <w:topLinePunct w:val="0"/>
              <w:autoSpaceDE/>
              <w:autoSpaceDN/>
              <w:bidi w:val="0"/>
              <w:adjustRightInd/>
              <w:snapToGrid/>
              <w:ind w:left="-210" w:leftChars="-100"/>
              <w:textAlignment w:val="auto"/>
              <w:rPr>
                <w:rFonts w:ascii="Times New Roman" w:hAnsi="Times New Roman" w:eastAsia="Times New Roman" w:cs="Times New Roman"/>
                <w:b w:val="0"/>
                <w:bCs w:val="0"/>
                <w:i w:val="0"/>
                <w:iCs w:val="0"/>
                <w:smallCaps w:val="0"/>
                <w:color w:val="000000"/>
                <w:kern w:val="0"/>
                <w:sz w:val="18"/>
                <w:szCs w:val="18"/>
              </w:rPr>
            </w:pPr>
          </w:p>
        </w:tc>
        <w:tc>
          <w:tcPr>
            <w:tcW w:w="711"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val="0"/>
              <w:kinsoku/>
              <w:wordWrap/>
              <w:overflowPunct/>
              <w:topLinePunct w:val="0"/>
              <w:autoSpaceDE/>
              <w:autoSpaceDN/>
              <w:bidi w:val="0"/>
              <w:adjustRightInd/>
              <w:snapToGrid/>
              <w:ind w:left="-210" w:leftChars="-100"/>
              <w:textAlignment w:val="auto"/>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val="0"/>
              <w:kinsoku/>
              <w:wordWrap/>
              <w:overflowPunct/>
              <w:topLinePunct w:val="0"/>
              <w:autoSpaceDE/>
              <w:autoSpaceDN/>
              <w:bidi w:val="0"/>
              <w:adjustRightInd/>
              <w:snapToGrid/>
              <w:ind w:left="-210" w:leftChars="-100"/>
              <w:textAlignment w:val="auto"/>
              <w:rPr>
                <w:rFonts w:ascii="Times New Roman" w:hAnsi="Times New Roman" w:eastAsia="Times New Roman" w:cs="Times New Roman"/>
                <w:b w:val="0"/>
                <w:bCs w:val="0"/>
                <w:i w:val="0"/>
                <w:iCs w:val="0"/>
                <w:smallCaps w:val="0"/>
                <w:color w:val="000000"/>
                <w:kern w:val="0"/>
                <w:sz w:val="18"/>
                <w:szCs w:val="18"/>
              </w:rPr>
            </w:pPr>
          </w:p>
        </w:tc>
        <w:tc>
          <w:tcPr>
            <w:tcW w:w="531"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val="0"/>
              <w:kinsoku/>
              <w:wordWrap/>
              <w:overflowPunct/>
              <w:topLinePunct w:val="0"/>
              <w:autoSpaceDE/>
              <w:autoSpaceDN/>
              <w:bidi w:val="0"/>
              <w:adjustRightInd/>
              <w:snapToGrid/>
              <w:ind w:left="-210" w:leftChars="-100"/>
              <w:textAlignment w:val="auto"/>
              <w:rPr>
                <w:rFonts w:ascii="Times New Roman" w:hAnsi="Times New Roman" w:eastAsia="Times New Roman" w:cs="Times New Roman"/>
                <w:b w:val="0"/>
                <w:bCs w:val="0"/>
                <w:i w:val="0"/>
                <w:iCs w:val="0"/>
                <w:smallCaps w:val="0"/>
                <w:color w:val="000000"/>
                <w:kern w:val="0"/>
                <w:sz w:val="18"/>
                <w:szCs w:val="18"/>
              </w:rPr>
            </w:pPr>
          </w:p>
        </w:tc>
        <w:tc>
          <w:tcPr>
            <w:tcW w:w="1481"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val="0"/>
              <w:kinsoku/>
              <w:wordWrap/>
              <w:overflowPunct/>
              <w:topLinePunct w:val="0"/>
              <w:autoSpaceDE/>
              <w:autoSpaceDN/>
              <w:bidi w:val="0"/>
              <w:adjustRightInd/>
              <w:snapToGrid/>
              <w:ind w:left="-210" w:leftChars="-100"/>
              <w:textAlignment w:val="auto"/>
              <w:rPr>
                <w:rFonts w:ascii="Times New Roman" w:hAnsi="Times New Roman" w:eastAsia="Times New Roman" w:cs="Times New Roman"/>
                <w:b w:val="0"/>
                <w:bCs w:val="0"/>
                <w:i w:val="0"/>
                <w:iCs w:val="0"/>
                <w:smallCaps w:val="0"/>
                <w:color w:val="000000"/>
                <w:kern w:val="0"/>
                <w:sz w:val="18"/>
                <w:szCs w:val="18"/>
              </w:rPr>
            </w:pPr>
          </w:p>
        </w:tc>
        <w:tc>
          <w:tcPr>
            <w:tcW w:w="1031"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val="0"/>
              <w:kinsoku/>
              <w:wordWrap/>
              <w:overflowPunct/>
              <w:topLinePunct w:val="0"/>
              <w:autoSpaceDE/>
              <w:autoSpaceDN/>
              <w:bidi w:val="0"/>
              <w:adjustRightInd/>
              <w:snapToGrid/>
              <w:ind w:left="-210" w:leftChars="-100"/>
              <w:textAlignment w:val="auto"/>
              <w:rPr>
                <w:rFonts w:ascii="Times New Roman" w:hAnsi="Times New Roman" w:eastAsia="Times New Roman" w:cs="Times New Roman"/>
                <w:b w:val="0"/>
                <w:bCs w:val="0"/>
                <w:i w:val="0"/>
                <w:iCs w:val="0"/>
                <w:smallCaps w:val="0"/>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blHeader/>
        </w:trPr>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val="0"/>
              <w:kinsoku/>
              <w:wordWrap/>
              <w:overflowPunct/>
              <w:topLinePunct w:val="0"/>
              <w:autoSpaceDE/>
              <w:autoSpaceDN/>
              <w:bidi w:val="0"/>
              <w:adjustRightInd/>
              <w:snapToGrid/>
              <w:ind w:left="-210" w:leftChars="-100"/>
              <w:textAlignment w:val="auto"/>
              <w:rPr>
                <w:rFonts w:ascii="Times New Roman" w:hAnsi="Times New Roman" w:eastAsia="Times New Roman" w:cs="Times New Roman"/>
                <w:b w:val="0"/>
                <w:bCs w:val="0"/>
                <w:i w:val="0"/>
                <w:iCs w:val="0"/>
                <w:smallCaps w:val="0"/>
                <w:color w:val="000000"/>
                <w:kern w:val="0"/>
                <w:sz w:val="18"/>
                <w:szCs w:val="18"/>
              </w:rPr>
            </w:pPr>
          </w:p>
        </w:tc>
        <w:tc>
          <w:tcPr>
            <w:tcW w:w="1199"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val="0"/>
              <w:kinsoku/>
              <w:wordWrap/>
              <w:overflowPunct/>
              <w:topLinePunct w:val="0"/>
              <w:autoSpaceDE/>
              <w:autoSpaceDN/>
              <w:bidi w:val="0"/>
              <w:adjustRightInd/>
              <w:snapToGrid/>
              <w:ind w:left="-210" w:leftChars="-100"/>
              <w:textAlignment w:val="auto"/>
              <w:rPr>
                <w:rFonts w:ascii="Times New Roman" w:hAnsi="Times New Roman" w:eastAsia="Times New Roman" w:cs="Times New Roman"/>
                <w:b w:val="0"/>
                <w:bCs w:val="0"/>
                <w:i w:val="0"/>
                <w:iCs w:val="0"/>
                <w:smallCaps w:val="0"/>
                <w:color w:val="000000"/>
                <w:kern w:val="0"/>
                <w:sz w:val="18"/>
                <w:szCs w:val="18"/>
              </w:rPr>
            </w:pPr>
          </w:p>
        </w:tc>
        <w:tc>
          <w:tcPr>
            <w:tcW w:w="815"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val="0"/>
              <w:kinsoku/>
              <w:wordWrap/>
              <w:overflowPunct/>
              <w:topLinePunct w:val="0"/>
              <w:autoSpaceDE/>
              <w:autoSpaceDN/>
              <w:bidi w:val="0"/>
              <w:adjustRightInd/>
              <w:snapToGrid/>
              <w:ind w:left="-210" w:leftChars="-100"/>
              <w:textAlignment w:val="auto"/>
              <w:rPr>
                <w:rFonts w:ascii="Times New Roman" w:hAnsi="Times New Roman" w:eastAsia="Times New Roman" w:cs="Times New Roman"/>
                <w:b w:val="0"/>
                <w:bCs w:val="0"/>
                <w:i w:val="0"/>
                <w:iCs w:val="0"/>
                <w:smallCaps w:val="0"/>
                <w:color w:val="000000"/>
                <w:kern w:val="0"/>
                <w:sz w:val="18"/>
                <w:szCs w:val="18"/>
              </w:rPr>
            </w:pPr>
          </w:p>
        </w:tc>
        <w:tc>
          <w:tcPr>
            <w:tcW w:w="1304"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val="0"/>
              <w:kinsoku/>
              <w:wordWrap/>
              <w:overflowPunct/>
              <w:topLinePunct w:val="0"/>
              <w:autoSpaceDE/>
              <w:autoSpaceDN/>
              <w:bidi w:val="0"/>
              <w:adjustRightInd/>
              <w:snapToGrid/>
              <w:ind w:left="-210" w:leftChars="-100"/>
              <w:textAlignment w:val="auto"/>
              <w:rPr>
                <w:rFonts w:ascii="Times New Roman" w:hAnsi="Times New Roman" w:eastAsia="Times New Roman" w:cs="Times New Roman"/>
                <w:b w:val="0"/>
                <w:bCs w:val="0"/>
                <w:i w:val="0"/>
                <w:iCs w:val="0"/>
                <w:smallCaps w:val="0"/>
                <w:color w:val="000000"/>
                <w:kern w:val="0"/>
                <w:sz w:val="18"/>
                <w:szCs w:val="18"/>
              </w:rPr>
            </w:pPr>
          </w:p>
        </w:tc>
        <w:tc>
          <w:tcPr>
            <w:tcW w:w="711"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val="0"/>
              <w:kinsoku/>
              <w:wordWrap/>
              <w:overflowPunct/>
              <w:topLinePunct w:val="0"/>
              <w:autoSpaceDE/>
              <w:autoSpaceDN/>
              <w:bidi w:val="0"/>
              <w:adjustRightInd/>
              <w:snapToGrid/>
              <w:ind w:left="-210" w:leftChars="-100"/>
              <w:textAlignment w:val="auto"/>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val="0"/>
              <w:kinsoku/>
              <w:wordWrap/>
              <w:overflowPunct/>
              <w:topLinePunct w:val="0"/>
              <w:autoSpaceDE/>
              <w:autoSpaceDN/>
              <w:bidi w:val="0"/>
              <w:adjustRightInd/>
              <w:snapToGrid/>
              <w:ind w:left="-210" w:leftChars="-100"/>
              <w:textAlignment w:val="auto"/>
              <w:rPr>
                <w:rFonts w:ascii="Times New Roman" w:hAnsi="Times New Roman" w:eastAsia="Times New Roman" w:cs="Times New Roman"/>
                <w:b w:val="0"/>
                <w:bCs w:val="0"/>
                <w:i w:val="0"/>
                <w:iCs w:val="0"/>
                <w:smallCaps w:val="0"/>
                <w:color w:val="000000"/>
                <w:kern w:val="0"/>
                <w:sz w:val="18"/>
                <w:szCs w:val="18"/>
              </w:rPr>
            </w:pPr>
          </w:p>
        </w:tc>
        <w:tc>
          <w:tcPr>
            <w:tcW w:w="531"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val="0"/>
              <w:kinsoku/>
              <w:wordWrap/>
              <w:overflowPunct/>
              <w:topLinePunct w:val="0"/>
              <w:autoSpaceDE/>
              <w:autoSpaceDN/>
              <w:bidi w:val="0"/>
              <w:adjustRightInd/>
              <w:snapToGrid/>
              <w:ind w:left="-210" w:leftChars="-100"/>
              <w:textAlignment w:val="auto"/>
              <w:rPr>
                <w:rFonts w:ascii="Times New Roman" w:hAnsi="Times New Roman" w:eastAsia="Times New Roman" w:cs="Times New Roman"/>
                <w:b w:val="0"/>
                <w:bCs w:val="0"/>
                <w:i w:val="0"/>
                <w:iCs w:val="0"/>
                <w:smallCaps w:val="0"/>
                <w:color w:val="000000"/>
                <w:kern w:val="0"/>
                <w:sz w:val="18"/>
                <w:szCs w:val="18"/>
              </w:rPr>
            </w:pPr>
          </w:p>
        </w:tc>
        <w:tc>
          <w:tcPr>
            <w:tcW w:w="1481"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val="0"/>
              <w:kinsoku/>
              <w:wordWrap/>
              <w:overflowPunct/>
              <w:topLinePunct w:val="0"/>
              <w:autoSpaceDE/>
              <w:autoSpaceDN/>
              <w:bidi w:val="0"/>
              <w:adjustRightInd/>
              <w:snapToGrid/>
              <w:ind w:left="-210" w:leftChars="-100"/>
              <w:textAlignment w:val="auto"/>
              <w:rPr>
                <w:rFonts w:ascii="Times New Roman" w:hAnsi="Times New Roman" w:eastAsia="Times New Roman" w:cs="Times New Roman"/>
                <w:b w:val="0"/>
                <w:bCs w:val="0"/>
                <w:i w:val="0"/>
                <w:iCs w:val="0"/>
                <w:smallCaps w:val="0"/>
                <w:color w:val="000000"/>
                <w:kern w:val="0"/>
                <w:sz w:val="18"/>
                <w:szCs w:val="18"/>
              </w:rPr>
            </w:pPr>
          </w:p>
        </w:tc>
        <w:tc>
          <w:tcPr>
            <w:tcW w:w="1031"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val="0"/>
              <w:kinsoku/>
              <w:wordWrap/>
              <w:overflowPunct/>
              <w:topLinePunct w:val="0"/>
              <w:autoSpaceDE/>
              <w:autoSpaceDN/>
              <w:bidi w:val="0"/>
              <w:adjustRightInd/>
              <w:snapToGrid/>
              <w:ind w:left="-210" w:leftChars="-100"/>
              <w:textAlignment w:val="auto"/>
              <w:rPr>
                <w:rFonts w:ascii="Times New Roman" w:hAnsi="Times New Roman" w:eastAsia="Times New Roman" w:cs="Times New Roman"/>
                <w:b w:val="0"/>
                <w:bCs w:val="0"/>
                <w:i w:val="0"/>
                <w:iCs w:val="0"/>
                <w:smallCaps w:val="0"/>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220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center"/>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栏次</w:t>
            </w:r>
          </w:p>
        </w:tc>
        <w:tc>
          <w:tcPr>
            <w:tcW w:w="8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3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14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center"/>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220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center"/>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合计</w:t>
            </w:r>
          </w:p>
        </w:tc>
        <w:tc>
          <w:tcPr>
            <w:tcW w:w="8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3,909.69</w:t>
            </w:r>
          </w:p>
        </w:tc>
        <w:tc>
          <w:tcPr>
            <w:tcW w:w="13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3,909.69</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lef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204</w:t>
            </w:r>
          </w:p>
        </w:tc>
        <w:tc>
          <w:tcPr>
            <w:tcW w:w="11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公共安全支出</w:t>
            </w:r>
          </w:p>
        </w:tc>
        <w:tc>
          <w:tcPr>
            <w:tcW w:w="8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4.47</w:t>
            </w:r>
          </w:p>
        </w:tc>
        <w:tc>
          <w:tcPr>
            <w:tcW w:w="13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4.47</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lef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20499</w:t>
            </w:r>
          </w:p>
        </w:tc>
        <w:tc>
          <w:tcPr>
            <w:tcW w:w="11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其他公共安全支出</w:t>
            </w:r>
          </w:p>
        </w:tc>
        <w:tc>
          <w:tcPr>
            <w:tcW w:w="8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4.47</w:t>
            </w:r>
          </w:p>
        </w:tc>
        <w:tc>
          <w:tcPr>
            <w:tcW w:w="13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4.47</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lef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2049999</w:t>
            </w:r>
          </w:p>
        </w:tc>
        <w:tc>
          <w:tcPr>
            <w:tcW w:w="11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其他公共安全支出</w:t>
            </w:r>
          </w:p>
        </w:tc>
        <w:tc>
          <w:tcPr>
            <w:tcW w:w="8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4.47</w:t>
            </w:r>
          </w:p>
        </w:tc>
        <w:tc>
          <w:tcPr>
            <w:tcW w:w="13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4.47</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lef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w:t>
            </w:r>
          </w:p>
        </w:tc>
        <w:tc>
          <w:tcPr>
            <w:tcW w:w="11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教育支出</w:t>
            </w:r>
          </w:p>
        </w:tc>
        <w:tc>
          <w:tcPr>
            <w:tcW w:w="8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3,262.75</w:t>
            </w:r>
          </w:p>
        </w:tc>
        <w:tc>
          <w:tcPr>
            <w:tcW w:w="13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3,262.75</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lef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20501</w:t>
            </w:r>
          </w:p>
        </w:tc>
        <w:tc>
          <w:tcPr>
            <w:tcW w:w="11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教育管理事务</w:t>
            </w:r>
          </w:p>
        </w:tc>
        <w:tc>
          <w:tcPr>
            <w:tcW w:w="8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w:t>
            </w:r>
          </w:p>
        </w:tc>
        <w:tc>
          <w:tcPr>
            <w:tcW w:w="13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lef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2050199</w:t>
            </w:r>
          </w:p>
        </w:tc>
        <w:tc>
          <w:tcPr>
            <w:tcW w:w="11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其他教育管理事务支出</w:t>
            </w:r>
          </w:p>
        </w:tc>
        <w:tc>
          <w:tcPr>
            <w:tcW w:w="8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w:t>
            </w:r>
          </w:p>
        </w:tc>
        <w:tc>
          <w:tcPr>
            <w:tcW w:w="13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lef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w:t>
            </w:r>
          </w:p>
        </w:tc>
        <w:tc>
          <w:tcPr>
            <w:tcW w:w="11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普通教育</w:t>
            </w:r>
          </w:p>
        </w:tc>
        <w:tc>
          <w:tcPr>
            <w:tcW w:w="8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3,112.03</w:t>
            </w:r>
          </w:p>
        </w:tc>
        <w:tc>
          <w:tcPr>
            <w:tcW w:w="13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3,112.03</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lef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2050202</w:t>
            </w:r>
          </w:p>
        </w:tc>
        <w:tc>
          <w:tcPr>
            <w:tcW w:w="11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小学教育</w:t>
            </w:r>
          </w:p>
        </w:tc>
        <w:tc>
          <w:tcPr>
            <w:tcW w:w="8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2,874.98</w:t>
            </w:r>
          </w:p>
        </w:tc>
        <w:tc>
          <w:tcPr>
            <w:tcW w:w="13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2,874.98</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lef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2050299</w:t>
            </w:r>
          </w:p>
        </w:tc>
        <w:tc>
          <w:tcPr>
            <w:tcW w:w="11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其他普通教育支出</w:t>
            </w:r>
          </w:p>
        </w:tc>
        <w:tc>
          <w:tcPr>
            <w:tcW w:w="8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237.06</w:t>
            </w:r>
          </w:p>
        </w:tc>
        <w:tc>
          <w:tcPr>
            <w:tcW w:w="13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237.06</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lef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w:t>
            </w:r>
          </w:p>
        </w:tc>
        <w:tc>
          <w:tcPr>
            <w:tcW w:w="11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教育费附加安排的支出</w:t>
            </w:r>
          </w:p>
        </w:tc>
        <w:tc>
          <w:tcPr>
            <w:tcW w:w="8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148.91</w:t>
            </w:r>
          </w:p>
        </w:tc>
        <w:tc>
          <w:tcPr>
            <w:tcW w:w="13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148.91</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lef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2050999</w:t>
            </w:r>
          </w:p>
        </w:tc>
        <w:tc>
          <w:tcPr>
            <w:tcW w:w="11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其他教育费附加安排的支出</w:t>
            </w:r>
          </w:p>
        </w:tc>
        <w:tc>
          <w:tcPr>
            <w:tcW w:w="8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148.91</w:t>
            </w:r>
          </w:p>
        </w:tc>
        <w:tc>
          <w:tcPr>
            <w:tcW w:w="13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148.91</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lef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20599</w:t>
            </w:r>
          </w:p>
        </w:tc>
        <w:tc>
          <w:tcPr>
            <w:tcW w:w="11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其他教育支出</w:t>
            </w:r>
          </w:p>
        </w:tc>
        <w:tc>
          <w:tcPr>
            <w:tcW w:w="8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0.3</w:t>
            </w:r>
          </w:p>
        </w:tc>
        <w:tc>
          <w:tcPr>
            <w:tcW w:w="13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0.3</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lef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2059999</w:t>
            </w:r>
          </w:p>
        </w:tc>
        <w:tc>
          <w:tcPr>
            <w:tcW w:w="11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其他教育支出</w:t>
            </w:r>
          </w:p>
        </w:tc>
        <w:tc>
          <w:tcPr>
            <w:tcW w:w="8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0.3</w:t>
            </w:r>
          </w:p>
        </w:tc>
        <w:tc>
          <w:tcPr>
            <w:tcW w:w="13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0.3</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lef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w:t>
            </w:r>
          </w:p>
        </w:tc>
        <w:tc>
          <w:tcPr>
            <w:tcW w:w="11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社会保障和就业支出</w:t>
            </w:r>
          </w:p>
        </w:tc>
        <w:tc>
          <w:tcPr>
            <w:tcW w:w="8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453.22</w:t>
            </w:r>
          </w:p>
        </w:tc>
        <w:tc>
          <w:tcPr>
            <w:tcW w:w="13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453.22</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lef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w:t>
            </w:r>
          </w:p>
        </w:tc>
        <w:tc>
          <w:tcPr>
            <w:tcW w:w="11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行政事业单位养老支出</w:t>
            </w:r>
          </w:p>
        </w:tc>
        <w:tc>
          <w:tcPr>
            <w:tcW w:w="8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453.22</w:t>
            </w:r>
          </w:p>
        </w:tc>
        <w:tc>
          <w:tcPr>
            <w:tcW w:w="13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453.22</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lef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2080502</w:t>
            </w:r>
          </w:p>
        </w:tc>
        <w:tc>
          <w:tcPr>
            <w:tcW w:w="11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事业单位离退休</w:t>
            </w:r>
          </w:p>
        </w:tc>
        <w:tc>
          <w:tcPr>
            <w:tcW w:w="8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94.47</w:t>
            </w:r>
          </w:p>
        </w:tc>
        <w:tc>
          <w:tcPr>
            <w:tcW w:w="13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94.47</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lef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2080505</w:t>
            </w:r>
          </w:p>
        </w:tc>
        <w:tc>
          <w:tcPr>
            <w:tcW w:w="11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机关事业单位基本养老保险缴费支出</w:t>
            </w:r>
          </w:p>
        </w:tc>
        <w:tc>
          <w:tcPr>
            <w:tcW w:w="8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233.28</w:t>
            </w:r>
          </w:p>
        </w:tc>
        <w:tc>
          <w:tcPr>
            <w:tcW w:w="13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233.28</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lef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2080506</w:t>
            </w:r>
          </w:p>
        </w:tc>
        <w:tc>
          <w:tcPr>
            <w:tcW w:w="11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机关事业单位职业年金缴费支出</w:t>
            </w:r>
          </w:p>
        </w:tc>
        <w:tc>
          <w:tcPr>
            <w:tcW w:w="8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125.47</w:t>
            </w:r>
          </w:p>
        </w:tc>
        <w:tc>
          <w:tcPr>
            <w:tcW w:w="13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125.47</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lef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w:t>
            </w:r>
          </w:p>
        </w:tc>
        <w:tc>
          <w:tcPr>
            <w:tcW w:w="11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卫生健康支出</w:t>
            </w:r>
          </w:p>
        </w:tc>
        <w:tc>
          <w:tcPr>
            <w:tcW w:w="8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150.9</w:t>
            </w:r>
          </w:p>
        </w:tc>
        <w:tc>
          <w:tcPr>
            <w:tcW w:w="13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150.9</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lef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w:t>
            </w:r>
          </w:p>
        </w:tc>
        <w:tc>
          <w:tcPr>
            <w:tcW w:w="11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行政事业单位医疗</w:t>
            </w:r>
          </w:p>
        </w:tc>
        <w:tc>
          <w:tcPr>
            <w:tcW w:w="8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150.9</w:t>
            </w:r>
          </w:p>
        </w:tc>
        <w:tc>
          <w:tcPr>
            <w:tcW w:w="13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150.9</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lef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2101102</w:t>
            </w:r>
          </w:p>
        </w:tc>
        <w:tc>
          <w:tcPr>
            <w:tcW w:w="11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事业单位医疗</w:t>
            </w:r>
          </w:p>
        </w:tc>
        <w:tc>
          <w:tcPr>
            <w:tcW w:w="8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99.87</w:t>
            </w:r>
          </w:p>
        </w:tc>
        <w:tc>
          <w:tcPr>
            <w:tcW w:w="13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99.87</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lef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2101199</w:t>
            </w:r>
          </w:p>
        </w:tc>
        <w:tc>
          <w:tcPr>
            <w:tcW w:w="11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其他行政事业单位医疗支出</w:t>
            </w:r>
          </w:p>
        </w:tc>
        <w:tc>
          <w:tcPr>
            <w:tcW w:w="8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51.03</w:t>
            </w:r>
          </w:p>
        </w:tc>
        <w:tc>
          <w:tcPr>
            <w:tcW w:w="13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51.03</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lef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w:t>
            </w:r>
          </w:p>
        </w:tc>
        <w:tc>
          <w:tcPr>
            <w:tcW w:w="11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住房保障支出</w:t>
            </w:r>
          </w:p>
        </w:tc>
        <w:tc>
          <w:tcPr>
            <w:tcW w:w="8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38.35</w:t>
            </w:r>
          </w:p>
        </w:tc>
        <w:tc>
          <w:tcPr>
            <w:tcW w:w="13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38.35</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lef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w:t>
            </w:r>
          </w:p>
        </w:tc>
        <w:tc>
          <w:tcPr>
            <w:tcW w:w="11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住房改革支出</w:t>
            </w:r>
          </w:p>
        </w:tc>
        <w:tc>
          <w:tcPr>
            <w:tcW w:w="8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38.35</w:t>
            </w:r>
          </w:p>
        </w:tc>
        <w:tc>
          <w:tcPr>
            <w:tcW w:w="13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38.35</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lef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2210203</w:t>
            </w:r>
          </w:p>
        </w:tc>
        <w:tc>
          <w:tcPr>
            <w:tcW w:w="11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购房补贴</w:t>
            </w:r>
          </w:p>
        </w:tc>
        <w:tc>
          <w:tcPr>
            <w:tcW w:w="8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38.35</w:t>
            </w:r>
          </w:p>
        </w:tc>
        <w:tc>
          <w:tcPr>
            <w:tcW w:w="13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38.35</w:t>
            </w:r>
          </w:p>
        </w:tc>
        <w:tc>
          <w:tcPr>
            <w:tcW w:w="7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keepNext w:val="0"/>
              <w:keepLines w:val="0"/>
              <w:pageBreakBefore w:val="0"/>
              <w:widowControl w:val="0"/>
              <w:kinsoku/>
              <w:wordWrap/>
              <w:overflowPunct/>
              <w:topLinePunct w:val="0"/>
              <w:autoSpaceDE/>
              <w:autoSpaceDN/>
              <w:bidi w:val="0"/>
              <w:adjustRightInd/>
              <w:snapToGrid/>
              <w:ind w:left="-210" w:leftChars="-100"/>
              <w:jc w:val="right"/>
              <w:textAlignment w:val="auto"/>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9087" w:type="dxa"/>
            <w:gridSpan w:val="9"/>
            <w:tcMar>
              <w:top w:w="20" w:type="dxa"/>
              <w:left w:w="20" w:type="dxa"/>
              <w:bottom w:w="20" w:type="dxa"/>
              <w:right w:w="20" w:type="dxa"/>
            </w:tcMar>
            <w:vAlign w:val="center"/>
          </w:tcPr>
          <w:p>
            <w:pPr>
              <w:keepNext w:val="0"/>
              <w:keepLines w:val="0"/>
              <w:pageBreakBefore w:val="0"/>
              <w:widowControl w:val="0"/>
              <w:kinsoku/>
              <w:wordWrap/>
              <w:overflowPunct/>
              <w:topLinePunct w:val="0"/>
              <w:autoSpaceDE/>
              <w:autoSpaceDN/>
              <w:bidi w:val="0"/>
              <w:adjustRightInd/>
              <w:snapToGrid/>
              <w:spacing w:line="375" w:lineRule="atLeast"/>
              <w:ind w:left="-210" w:leftChars="-100"/>
              <w:jc w:val="left"/>
              <w:textAlignment w:val="auto"/>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注：本表反映部门本年度取得的各项收入情况。</w:t>
            </w:r>
          </w:p>
        </w:tc>
      </w:tr>
    </w:tbl>
    <w:p>
      <w:pPr>
        <w:pStyle w:val="26"/>
        <w:widowControl/>
        <w:spacing w:before="100" w:after="100"/>
        <w:ind w:right="0"/>
        <w:jc w:val="left"/>
        <w:rPr>
          <w:rFonts w:ascii="Times New Roman" w:hAnsi="Times New Roman" w:eastAsia="Times New Roman" w:cs="Times New Roman"/>
          <w:kern w:val="0"/>
          <w:sz w:val="24"/>
        </w:rPr>
      </w:pPr>
      <w:r>
        <w:rPr>
          <w:rFonts w:ascii="宋体" w:hAnsi="宋体" w:cs="宋体"/>
          <w:spacing w:val="0"/>
          <w:kern w:val="0"/>
          <w:sz w:val="32"/>
          <w:szCs w:val="32"/>
        </w:rPr>
        <w:t> </w:t>
      </w:r>
    </w:p>
    <w:p>
      <w:pPr>
        <w:pStyle w:val="6"/>
        <w:numPr>
          <w:ilvl w:val="0"/>
          <w:numId w:val="2"/>
        </w:numPr>
        <w:spacing w:before="100" w:after="100" w:line="240" w:lineRule="auto"/>
        <w:ind w:left="720" w:leftChars="0" w:right="0" w:hanging="720" w:firstLineChars="0"/>
        <w:rPr>
          <w:rFonts w:ascii="黑体" w:hAnsi="黑体" w:eastAsia="黑体" w:cs="黑体"/>
          <w:b/>
          <w:bCs/>
          <w:spacing w:val="0"/>
        </w:rPr>
      </w:pPr>
      <w:bookmarkStart w:id="37" w:name="_Toc256000009"/>
      <w:bookmarkStart w:id="38" w:name="_Toc256000102"/>
      <w:bookmarkStart w:id="39" w:name="_Toc256000071"/>
      <w:bookmarkStart w:id="40" w:name="_Toc256000040"/>
      <w:r>
        <w:rPr>
          <w:rFonts w:ascii="黑体" w:hAnsi="黑体" w:eastAsia="黑体" w:cs="黑体"/>
          <w:b/>
          <w:bCs/>
          <w:spacing w:val="0"/>
        </w:rPr>
        <w:t>支出决算表</w:t>
      </w:r>
      <w:bookmarkEnd w:id="37"/>
      <w:bookmarkEnd w:id="38"/>
      <w:bookmarkEnd w:id="39"/>
      <w:bookmarkEnd w:id="40"/>
    </w:p>
    <w:tbl>
      <w:tblPr>
        <w:tblStyle w:val="23"/>
        <w:tblW w:w="9066"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612"/>
        <w:gridCol w:w="921"/>
        <w:gridCol w:w="922"/>
        <w:gridCol w:w="922"/>
        <w:gridCol w:w="923"/>
        <w:gridCol w:w="1474"/>
        <w:gridCol w:w="370"/>
        <w:gridCol w:w="9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9066" w:type="dxa"/>
            <w:gridSpan w:val="8"/>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32"/>
                <w:szCs w:val="32"/>
              </w:rPr>
              <w:t>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4455" w:type="dxa"/>
            <w:gridSpan w:val="3"/>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b w:val="0"/>
                <w:bCs w:val="0"/>
                <w:i w:val="0"/>
                <w:iCs w:val="0"/>
                <w:smallCaps w:val="0"/>
                <w:color w:val="000000"/>
                <w:kern w:val="0"/>
                <w:sz w:val="18"/>
                <w:szCs w:val="18"/>
              </w:rPr>
              <w:t>单位：厦门市湖里区教师进修学校第二附属小学</w:t>
            </w:r>
          </w:p>
        </w:tc>
        <w:tc>
          <w:tcPr>
            <w:tcW w:w="92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b w:val="0"/>
                <w:bCs w:val="0"/>
                <w:i w:val="0"/>
                <w:iCs w:val="0"/>
                <w:smallCaps w:val="0"/>
                <w:color w:val="000000"/>
                <w:kern w:val="0"/>
                <w:sz w:val="18"/>
                <w:szCs w:val="18"/>
              </w:rPr>
              <w:t>年度</w:t>
            </w:r>
          </w:p>
        </w:tc>
        <w:tc>
          <w:tcPr>
            <w:tcW w:w="92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7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hint="eastAsia" w:ascii="Times New Roman" w:hAnsi="Times New Roman" w:eastAsia="宋体" w:cs="Times New Roman"/>
                <w:b w:val="0"/>
                <w:bCs w:val="0"/>
                <w:i w:val="0"/>
                <w:iCs w:val="0"/>
                <w:smallCaps w:val="0"/>
                <w:color w:val="000000"/>
                <w:kern w:val="0"/>
                <w:sz w:val="18"/>
                <w:szCs w:val="18"/>
                <w:lang w:val="en-US" w:eastAsia="zh-CN"/>
              </w:rPr>
            </w:pPr>
            <w:r>
              <w:rPr>
                <w:rFonts w:ascii="Times New Roman" w:hAnsi="Times New Roman" w:eastAsia="Times New Roman" w:cs="Times New Roman"/>
                <w:b w:val="0"/>
                <w:bCs w:val="0"/>
                <w:i w:val="0"/>
                <w:iCs w:val="0"/>
                <w:smallCaps w:val="0"/>
                <w:color w:val="000000"/>
                <w:kern w:val="0"/>
                <w:sz w:val="18"/>
                <w:szCs w:val="18"/>
              </w:rPr>
              <w:t> </w:t>
            </w:r>
            <w:r>
              <w:rPr>
                <w:b w:val="0"/>
                <w:bCs w:val="0"/>
                <w:i w:val="0"/>
                <w:iCs w:val="0"/>
                <w:smallCaps w:val="0"/>
                <w:color w:val="000000"/>
                <w:kern w:val="0"/>
                <w:sz w:val="18"/>
                <w:szCs w:val="18"/>
              </w:rPr>
              <w:t>金额单位：万</w:t>
            </w:r>
            <w:r>
              <w:rPr>
                <w:rFonts w:hint="eastAsia"/>
                <w:b w:val="0"/>
                <w:bCs w:val="0"/>
                <w:i w:val="0"/>
                <w:iCs w:val="0"/>
                <w:smallCaps w:val="0"/>
                <w:color w:val="000000"/>
                <w:kern w:val="0"/>
                <w:sz w:val="18"/>
                <w:szCs w:val="18"/>
                <w:lang w:val="en-US" w:eastAsia="zh-CN"/>
              </w:rPr>
              <w:t>元</w:t>
            </w:r>
          </w:p>
        </w:tc>
        <w:tc>
          <w:tcPr>
            <w:tcW w:w="37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3533"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项目</w:t>
            </w:r>
          </w:p>
        </w:tc>
        <w:tc>
          <w:tcPr>
            <w:tcW w:w="92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本年支出合计</w:t>
            </w:r>
          </w:p>
        </w:tc>
        <w:tc>
          <w:tcPr>
            <w:tcW w:w="92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基本支出</w:t>
            </w:r>
          </w:p>
        </w:tc>
        <w:tc>
          <w:tcPr>
            <w:tcW w:w="92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项目支出</w:t>
            </w:r>
          </w:p>
        </w:tc>
        <w:tc>
          <w:tcPr>
            <w:tcW w:w="147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上缴上级支出</w:t>
            </w:r>
          </w:p>
        </w:tc>
        <w:tc>
          <w:tcPr>
            <w:tcW w:w="37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经营支出</w:t>
            </w:r>
          </w:p>
        </w:tc>
        <w:tc>
          <w:tcPr>
            <w:tcW w:w="92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261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科目代码</w:t>
            </w:r>
          </w:p>
        </w:tc>
        <w:tc>
          <w:tcPr>
            <w:tcW w:w="92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科目名称</w:t>
            </w:r>
          </w:p>
        </w:tc>
        <w:tc>
          <w:tcPr>
            <w:tcW w:w="9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47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37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261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47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37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533"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栏次</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9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14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3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533"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合计</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3,909.69</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3,594.67</w:t>
            </w:r>
          </w:p>
        </w:tc>
        <w:tc>
          <w:tcPr>
            <w:tcW w:w="9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315.03</w:t>
            </w:r>
          </w:p>
        </w:tc>
        <w:tc>
          <w:tcPr>
            <w:tcW w:w="14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204</w:t>
            </w:r>
          </w:p>
        </w:tc>
        <w:tc>
          <w:tcPr>
            <w:tcW w:w="9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公共安全支出</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4.47</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4.47</w:t>
            </w:r>
          </w:p>
        </w:tc>
        <w:tc>
          <w:tcPr>
            <w:tcW w:w="14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20499</w:t>
            </w:r>
          </w:p>
        </w:tc>
        <w:tc>
          <w:tcPr>
            <w:tcW w:w="9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其他公共安全支出</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4.47</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4.47</w:t>
            </w:r>
          </w:p>
        </w:tc>
        <w:tc>
          <w:tcPr>
            <w:tcW w:w="14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2049999</w:t>
            </w:r>
          </w:p>
        </w:tc>
        <w:tc>
          <w:tcPr>
            <w:tcW w:w="9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其他公共安全支出</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4.47</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4.47</w:t>
            </w:r>
          </w:p>
        </w:tc>
        <w:tc>
          <w:tcPr>
            <w:tcW w:w="14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w:t>
            </w:r>
          </w:p>
        </w:tc>
        <w:tc>
          <w:tcPr>
            <w:tcW w:w="9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教育支出</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3,262.75</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2,952.19</w:t>
            </w:r>
          </w:p>
        </w:tc>
        <w:tc>
          <w:tcPr>
            <w:tcW w:w="9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310.56</w:t>
            </w:r>
          </w:p>
        </w:tc>
        <w:tc>
          <w:tcPr>
            <w:tcW w:w="14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20501</w:t>
            </w:r>
          </w:p>
        </w:tc>
        <w:tc>
          <w:tcPr>
            <w:tcW w:w="9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教育管理事务</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w:t>
            </w:r>
          </w:p>
        </w:tc>
        <w:tc>
          <w:tcPr>
            <w:tcW w:w="14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2050199</w:t>
            </w:r>
          </w:p>
        </w:tc>
        <w:tc>
          <w:tcPr>
            <w:tcW w:w="9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其他教育管理事务支出</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w:t>
            </w:r>
          </w:p>
        </w:tc>
        <w:tc>
          <w:tcPr>
            <w:tcW w:w="14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w:t>
            </w:r>
          </w:p>
        </w:tc>
        <w:tc>
          <w:tcPr>
            <w:tcW w:w="9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普通教育</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3,112.03</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2,952.19</w:t>
            </w:r>
          </w:p>
        </w:tc>
        <w:tc>
          <w:tcPr>
            <w:tcW w:w="9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159.84</w:t>
            </w:r>
          </w:p>
        </w:tc>
        <w:tc>
          <w:tcPr>
            <w:tcW w:w="14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2050202</w:t>
            </w:r>
          </w:p>
        </w:tc>
        <w:tc>
          <w:tcPr>
            <w:tcW w:w="9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小学教育</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2,874.98</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2,874.98</w:t>
            </w:r>
          </w:p>
        </w:tc>
        <w:tc>
          <w:tcPr>
            <w:tcW w:w="9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2050299</w:t>
            </w:r>
          </w:p>
        </w:tc>
        <w:tc>
          <w:tcPr>
            <w:tcW w:w="9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其他普通教育支出</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237.06</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77.21</w:t>
            </w:r>
          </w:p>
        </w:tc>
        <w:tc>
          <w:tcPr>
            <w:tcW w:w="9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159.84</w:t>
            </w:r>
          </w:p>
        </w:tc>
        <w:tc>
          <w:tcPr>
            <w:tcW w:w="14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w:t>
            </w:r>
          </w:p>
        </w:tc>
        <w:tc>
          <w:tcPr>
            <w:tcW w:w="9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教育费附加安排的支出</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148.91</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148.91</w:t>
            </w:r>
          </w:p>
        </w:tc>
        <w:tc>
          <w:tcPr>
            <w:tcW w:w="14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2050999</w:t>
            </w:r>
          </w:p>
        </w:tc>
        <w:tc>
          <w:tcPr>
            <w:tcW w:w="9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其他教育费附加安排的支出</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148.91</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148.91</w:t>
            </w:r>
          </w:p>
        </w:tc>
        <w:tc>
          <w:tcPr>
            <w:tcW w:w="14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20599</w:t>
            </w:r>
          </w:p>
        </w:tc>
        <w:tc>
          <w:tcPr>
            <w:tcW w:w="9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其他教育支出</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0.3</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0.3</w:t>
            </w:r>
          </w:p>
        </w:tc>
        <w:tc>
          <w:tcPr>
            <w:tcW w:w="14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2059999</w:t>
            </w:r>
          </w:p>
        </w:tc>
        <w:tc>
          <w:tcPr>
            <w:tcW w:w="9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其他教育支出</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0.3</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0.3</w:t>
            </w:r>
          </w:p>
        </w:tc>
        <w:tc>
          <w:tcPr>
            <w:tcW w:w="14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w:t>
            </w:r>
          </w:p>
        </w:tc>
        <w:tc>
          <w:tcPr>
            <w:tcW w:w="9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社会保障和就业支出</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453.22</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453.22</w:t>
            </w:r>
          </w:p>
        </w:tc>
        <w:tc>
          <w:tcPr>
            <w:tcW w:w="9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w:t>
            </w:r>
          </w:p>
        </w:tc>
        <w:tc>
          <w:tcPr>
            <w:tcW w:w="9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行政事业单位养老支出</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453.22</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453.22</w:t>
            </w:r>
          </w:p>
        </w:tc>
        <w:tc>
          <w:tcPr>
            <w:tcW w:w="9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2080502</w:t>
            </w:r>
          </w:p>
        </w:tc>
        <w:tc>
          <w:tcPr>
            <w:tcW w:w="9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事业单位离退休</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94.47</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94.47</w:t>
            </w:r>
          </w:p>
        </w:tc>
        <w:tc>
          <w:tcPr>
            <w:tcW w:w="9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2080505</w:t>
            </w:r>
          </w:p>
        </w:tc>
        <w:tc>
          <w:tcPr>
            <w:tcW w:w="9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机关事业单位基本养老保险缴费支出</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233.28</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233.28</w:t>
            </w:r>
          </w:p>
        </w:tc>
        <w:tc>
          <w:tcPr>
            <w:tcW w:w="9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2080506</w:t>
            </w:r>
          </w:p>
        </w:tc>
        <w:tc>
          <w:tcPr>
            <w:tcW w:w="9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机关事业单位职业年金缴费支出</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125.47</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125.47</w:t>
            </w:r>
          </w:p>
        </w:tc>
        <w:tc>
          <w:tcPr>
            <w:tcW w:w="9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w:t>
            </w:r>
          </w:p>
        </w:tc>
        <w:tc>
          <w:tcPr>
            <w:tcW w:w="9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卫生健康支出</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150.9</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150.9</w:t>
            </w:r>
          </w:p>
        </w:tc>
        <w:tc>
          <w:tcPr>
            <w:tcW w:w="9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w:t>
            </w:r>
          </w:p>
        </w:tc>
        <w:tc>
          <w:tcPr>
            <w:tcW w:w="9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行政事业单位医疗</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150.9</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150.9</w:t>
            </w:r>
          </w:p>
        </w:tc>
        <w:tc>
          <w:tcPr>
            <w:tcW w:w="9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2101102</w:t>
            </w:r>
          </w:p>
        </w:tc>
        <w:tc>
          <w:tcPr>
            <w:tcW w:w="9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事业单位医疗</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99.87</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99.87</w:t>
            </w:r>
          </w:p>
        </w:tc>
        <w:tc>
          <w:tcPr>
            <w:tcW w:w="9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2101199</w:t>
            </w:r>
          </w:p>
        </w:tc>
        <w:tc>
          <w:tcPr>
            <w:tcW w:w="9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其他行政事业单位医疗支出</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51.03</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51.03</w:t>
            </w:r>
          </w:p>
        </w:tc>
        <w:tc>
          <w:tcPr>
            <w:tcW w:w="9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w:t>
            </w:r>
          </w:p>
        </w:tc>
        <w:tc>
          <w:tcPr>
            <w:tcW w:w="9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住房保障支出</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38.35</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38.35</w:t>
            </w:r>
          </w:p>
        </w:tc>
        <w:tc>
          <w:tcPr>
            <w:tcW w:w="9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w:t>
            </w:r>
          </w:p>
        </w:tc>
        <w:tc>
          <w:tcPr>
            <w:tcW w:w="9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住房改革支出</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38.35</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38.35</w:t>
            </w:r>
          </w:p>
        </w:tc>
        <w:tc>
          <w:tcPr>
            <w:tcW w:w="9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6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2210203</w:t>
            </w:r>
          </w:p>
        </w:tc>
        <w:tc>
          <w:tcPr>
            <w:tcW w:w="9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购房补贴</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38.35</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38.35</w:t>
            </w:r>
          </w:p>
        </w:tc>
        <w:tc>
          <w:tcPr>
            <w:tcW w:w="9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7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9066" w:type="dxa"/>
            <w:gridSpan w:val="8"/>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注：本表反映部门本年度各项支出情况。</w:t>
            </w:r>
          </w:p>
        </w:tc>
      </w:tr>
    </w:tbl>
    <w:p>
      <w:pPr>
        <w:pStyle w:val="5"/>
        <w:numPr>
          <w:ilvl w:val="0"/>
          <w:numId w:val="0"/>
        </w:numPr>
        <w:ind w:leftChars="0"/>
      </w:pPr>
    </w:p>
    <w:p/>
    <w:p>
      <w:pPr>
        <w:pStyle w:val="2"/>
        <w:rPr>
          <w:b/>
          <w:bCs/>
        </w:rPr>
      </w:pPr>
      <w:bookmarkStart w:id="41" w:name="_Toc256000041"/>
      <w:bookmarkStart w:id="42" w:name="_Toc256000103"/>
      <w:bookmarkStart w:id="43" w:name="_Toc256000010"/>
      <w:bookmarkStart w:id="44" w:name="_Toc256000072"/>
      <w:r>
        <w:rPr>
          <w:rFonts w:ascii="黑体" w:hAnsi="黑体" w:eastAsia="黑体" w:cs="黑体"/>
          <w:b/>
          <w:bCs/>
          <w:spacing w:val="0"/>
          <w:sz w:val="32"/>
          <w:szCs w:val="32"/>
        </w:rPr>
        <w:t>四、财政拨款收入支出决算总表</w:t>
      </w:r>
      <w:bookmarkEnd w:id="41"/>
      <w:bookmarkEnd w:id="42"/>
      <w:bookmarkEnd w:id="43"/>
      <w:bookmarkEnd w:id="44"/>
    </w:p>
    <w:p>
      <w:pPr>
        <w:pStyle w:val="2"/>
      </w:pPr>
    </w:p>
    <w:tbl>
      <w:tblPr>
        <w:tblStyle w:val="23"/>
        <w:tblW w:w="9066"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007"/>
        <w:gridCol w:w="673"/>
        <w:gridCol w:w="1069"/>
        <w:gridCol w:w="1875"/>
        <w:gridCol w:w="806"/>
        <w:gridCol w:w="613"/>
        <w:gridCol w:w="1299"/>
        <w:gridCol w:w="716"/>
        <w:gridCol w:w="1"/>
        <w:gridCol w:w="10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9066" w:type="dxa"/>
            <w:gridSpan w:val="1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32"/>
                <w:szCs w:val="32"/>
              </w:rPr>
              <w:t>财政拨款收入支出决算总表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9" w:hRule="atLeast"/>
        </w:trPr>
        <w:tc>
          <w:tcPr>
            <w:tcW w:w="4624" w:type="dxa"/>
            <w:gridSpan w:val="4"/>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b w:val="0"/>
                <w:bCs w:val="0"/>
                <w:i w:val="0"/>
                <w:iCs w:val="0"/>
                <w:smallCaps w:val="0"/>
                <w:color w:val="000000"/>
                <w:kern w:val="0"/>
                <w:sz w:val="18"/>
                <w:szCs w:val="18"/>
              </w:rPr>
              <w:t>单位：厦门市湖里区教师进修学校第二附属小学</w:t>
            </w:r>
          </w:p>
        </w:tc>
        <w:tc>
          <w:tcPr>
            <w:tcW w:w="80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b w:val="0"/>
                <w:bCs w:val="0"/>
                <w:i w:val="0"/>
                <w:iCs w:val="0"/>
                <w:smallCaps w:val="0"/>
                <w:color w:val="000000"/>
                <w:kern w:val="0"/>
                <w:sz w:val="18"/>
                <w:szCs w:val="18"/>
              </w:rPr>
              <w:t>年度</w:t>
            </w:r>
          </w:p>
        </w:tc>
        <w:tc>
          <w:tcPr>
            <w:tcW w:w="61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9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r>
              <w:rPr>
                <w:b w:val="0"/>
                <w:bCs w:val="0"/>
                <w:i w:val="0"/>
                <w:iCs w:val="0"/>
                <w:smallCaps w:val="0"/>
                <w:color w:val="000000"/>
                <w:kern w:val="0"/>
                <w:sz w:val="18"/>
                <w:szCs w:val="18"/>
              </w:rPr>
              <w:t>金额单位：万</w:t>
            </w:r>
            <w:r>
              <w:rPr>
                <w:rFonts w:hint="eastAsia"/>
                <w:b w:val="0"/>
                <w:bCs w:val="0"/>
                <w:i w:val="0"/>
                <w:iCs w:val="0"/>
                <w:smallCaps w:val="0"/>
                <w:color w:val="000000"/>
                <w:kern w:val="0"/>
                <w:sz w:val="18"/>
                <w:szCs w:val="18"/>
                <w:lang w:val="en-US" w:eastAsia="zh-CN"/>
              </w:rPr>
              <w:t>元</w:t>
            </w:r>
          </w:p>
        </w:tc>
        <w:tc>
          <w:tcPr>
            <w:tcW w:w="717"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74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收入</w:t>
            </w:r>
          </w:p>
        </w:tc>
        <w:tc>
          <w:tcPr>
            <w:tcW w:w="6317" w:type="dxa"/>
            <w:gridSpan w:val="7"/>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项目</w:t>
            </w:r>
            <w:r>
              <w:rPr>
                <w:rFonts w:ascii="Times New Roman" w:hAnsi="Times New Roman" w:eastAsia="Times New Roman" w:cs="Times New Roman"/>
                <w:b w:val="0"/>
                <w:bCs w:val="0"/>
                <w:i w:val="0"/>
                <w:iCs w:val="0"/>
                <w:smallCaps w:val="0"/>
                <w:color w:val="000000"/>
                <w:kern w:val="0"/>
                <w:sz w:val="18"/>
                <w:szCs w:val="18"/>
              </w:rPr>
              <w:t xml:space="preserve"> </w:t>
            </w:r>
          </w:p>
        </w:tc>
        <w:tc>
          <w:tcPr>
            <w:tcW w:w="6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行次</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w:t>
            </w:r>
          </w:p>
        </w:tc>
        <w:tc>
          <w:tcPr>
            <w:tcW w:w="18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项目</w:t>
            </w:r>
          </w:p>
        </w:tc>
        <w:tc>
          <w:tcPr>
            <w:tcW w:w="8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行次</w:t>
            </w:r>
          </w:p>
        </w:tc>
        <w:tc>
          <w:tcPr>
            <w:tcW w:w="6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合计</w:t>
            </w:r>
          </w:p>
        </w:tc>
        <w:tc>
          <w:tcPr>
            <w:tcW w:w="12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一般公共预算财政拨款</w:t>
            </w:r>
          </w:p>
        </w:tc>
        <w:tc>
          <w:tcPr>
            <w:tcW w:w="7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政府性基金预算财政拨款</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栏次</w:t>
            </w:r>
          </w:p>
        </w:tc>
        <w:tc>
          <w:tcPr>
            <w:tcW w:w="6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8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栏次</w:t>
            </w:r>
          </w:p>
        </w:tc>
        <w:tc>
          <w:tcPr>
            <w:tcW w:w="8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2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7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一、一般公共预算财政拨款</w:t>
            </w:r>
            <w:r>
              <w:rPr>
                <w:rFonts w:ascii="Times New Roman" w:hAnsi="Times New Roman" w:eastAsia="Times New Roman" w:cs="Times New Roman"/>
                <w:b w:val="0"/>
                <w:bCs w:val="0"/>
                <w:i w:val="0"/>
                <w:iCs w:val="0"/>
                <w:smallCaps w:val="0"/>
                <w:color w:val="000000"/>
                <w:kern w:val="0"/>
                <w:sz w:val="18"/>
                <w:szCs w:val="18"/>
              </w:rPr>
              <w:t xml:space="preserve"> </w:t>
            </w:r>
          </w:p>
        </w:tc>
        <w:tc>
          <w:tcPr>
            <w:tcW w:w="6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3,909.69</w:t>
            </w:r>
          </w:p>
        </w:tc>
        <w:tc>
          <w:tcPr>
            <w:tcW w:w="18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一、一般公共服务支出</w:t>
            </w:r>
          </w:p>
        </w:tc>
        <w:tc>
          <w:tcPr>
            <w:tcW w:w="8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w:t>
            </w:r>
          </w:p>
        </w:tc>
        <w:tc>
          <w:tcPr>
            <w:tcW w:w="6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二、政府性基金预算财政拨款</w:t>
            </w:r>
          </w:p>
        </w:tc>
        <w:tc>
          <w:tcPr>
            <w:tcW w:w="6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二、外交支出</w:t>
            </w:r>
          </w:p>
        </w:tc>
        <w:tc>
          <w:tcPr>
            <w:tcW w:w="8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w:t>
            </w:r>
          </w:p>
        </w:tc>
        <w:tc>
          <w:tcPr>
            <w:tcW w:w="6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三、国有资本经营预算财政拨款</w:t>
            </w:r>
          </w:p>
        </w:tc>
        <w:tc>
          <w:tcPr>
            <w:tcW w:w="6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三、国防支出</w:t>
            </w:r>
          </w:p>
        </w:tc>
        <w:tc>
          <w:tcPr>
            <w:tcW w:w="8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w:t>
            </w:r>
          </w:p>
        </w:tc>
        <w:tc>
          <w:tcPr>
            <w:tcW w:w="6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四、公共安全支出</w:t>
            </w:r>
          </w:p>
        </w:tc>
        <w:tc>
          <w:tcPr>
            <w:tcW w:w="8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w:t>
            </w:r>
          </w:p>
        </w:tc>
        <w:tc>
          <w:tcPr>
            <w:tcW w:w="6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4.47</w:t>
            </w:r>
          </w:p>
        </w:tc>
        <w:tc>
          <w:tcPr>
            <w:tcW w:w="12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4.47</w:t>
            </w:r>
          </w:p>
        </w:tc>
        <w:tc>
          <w:tcPr>
            <w:tcW w:w="7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五、教育支出</w:t>
            </w:r>
          </w:p>
        </w:tc>
        <w:tc>
          <w:tcPr>
            <w:tcW w:w="8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w:t>
            </w:r>
          </w:p>
        </w:tc>
        <w:tc>
          <w:tcPr>
            <w:tcW w:w="6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3,262.75</w:t>
            </w:r>
          </w:p>
        </w:tc>
        <w:tc>
          <w:tcPr>
            <w:tcW w:w="12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3,262.75</w:t>
            </w:r>
          </w:p>
        </w:tc>
        <w:tc>
          <w:tcPr>
            <w:tcW w:w="7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六、科学技术支出</w:t>
            </w:r>
          </w:p>
        </w:tc>
        <w:tc>
          <w:tcPr>
            <w:tcW w:w="8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w:t>
            </w:r>
          </w:p>
        </w:tc>
        <w:tc>
          <w:tcPr>
            <w:tcW w:w="6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七、文化旅游体育与传媒支出</w:t>
            </w:r>
          </w:p>
        </w:tc>
        <w:tc>
          <w:tcPr>
            <w:tcW w:w="8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6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八、社会保障和就业支出</w:t>
            </w:r>
          </w:p>
        </w:tc>
        <w:tc>
          <w:tcPr>
            <w:tcW w:w="8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w:t>
            </w:r>
          </w:p>
        </w:tc>
        <w:tc>
          <w:tcPr>
            <w:tcW w:w="6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453.22</w:t>
            </w:r>
          </w:p>
        </w:tc>
        <w:tc>
          <w:tcPr>
            <w:tcW w:w="12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453.22</w:t>
            </w:r>
          </w:p>
        </w:tc>
        <w:tc>
          <w:tcPr>
            <w:tcW w:w="7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九、卫生健康支出</w:t>
            </w:r>
          </w:p>
        </w:tc>
        <w:tc>
          <w:tcPr>
            <w:tcW w:w="8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w:t>
            </w:r>
          </w:p>
        </w:tc>
        <w:tc>
          <w:tcPr>
            <w:tcW w:w="6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150.9</w:t>
            </w:r>
          </w:p>
        </w:tc>
        <w:tc>
          <w:tcPr>
            <w:tcW w:w="12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150.9</w:t>
            </w:r>
          </w:p>
        </w:tc>
        <w:tc>
          <w:tcPr>
            <w:tcW w:w="7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十、节能环保支出</w:t>
            </w:r>
          </w:p>
        </w:tc>
        <w:tc>
          <w:tcPr>
            <w:tcW w:w="8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w:t>
            </w:r>
          </w:p>
        </w:tc>
        <w:tc>
          <w:tcPr>
            <w:tcW w:w="6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十一、城乡社区支出</w:t>
            </w:r>
          </w:p>
        </w:tc>
        <w:tc>
          <w:tcPr>
            <w:tcW w:w="8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w:t>
            </w:r>
          </w:p>
        </w:tc>
        <w:tc>
          <w:tcPr>
            <w:tcW w:w="6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十二、农林水支出</w:t>
            </w:r>
          </w:p>
        </w:tc>
        <w:tc>
          <w:tcPr>
            <w:tcW w:w="8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w:t>
            </w:r>
          </w:p>
        </w:tc>
        <w:tc>
          <w:tcPr>
            <w:tcW w:w="6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13</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十三、交通运输支出</w:t>
            </w:r>
          </w:p>
        </w:tc>
        <w:tc>
          <w:tcPr>
            <w:tcW w:w="8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45</w:t>
            </w:r>
          </w:p>
        </w:tc>
        <w:tc>
          <w:tcPr>
            <w:tcW w:w="6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十四、资源勘探工业信息等支出</w:t>
            </w:r>
          </w:p>
        </w:tc>
        <w:tc>
          <w:tcPr>
            <w:tcW w:w="8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w:t>
            </w:r>
          </w:p>
        </w:tc>
        <w:tc>
          <w:tcPr>
            <w:tcW w:w="6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十五、商业服务业等支出</w:t>
            </w:r>
          </w:p>
        </w:tc>
        <w:tc>
          <w:tcPr>
            <w:tcW w:w="8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47</w:t>
            </w:r>
          </w:p>
        </w:tc>
        <w:tc>
          <w:tcPr>
            <w:tcW w:w="6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十六、金融支出</w:t>
            </w:r>
          </w:p>
        </w:tc>
        <w:tc>
          <w:tcPr>
            <w:tcW w:w="8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w:t>
            </w:r>
          </w:p>
        </w:tc>
        <w:tc>
          <w:tcPr>
            <w:tcW w:w="6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十七、援助其他地区支出</w:t>
            </w:r>
          </w:p>
        </w:tc>
        <w:tc>
          <w:tcPr>
            <w:tcW w:w="8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w:t>
            </w:r>
          </w:p>
        </w:tc>
        <w:tc>
          <w:tcPr>
            <w:tcW w:w="6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十八、自然资源海洋气象等支出</w:t>
            </w:r>
          </w:p>
        </w:tc>
        <w:tc>
          <w:tcPr>
            <w:tcW w:w="8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50</w:t>
            </w:r>
          </w:p>
        </w:tc>
        <w:tc>
          <w:tcPr>
            <w:tcW w:w="6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十九、住房保障支出</w:t>
            </w:r>
          </w:p>
        </w:tc>
        <w:tc>
          <w:tcPr>
            <w:tcW w:w="8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51</w:t>
            </w:r>
          </w:p>
        </w:tc>
        <w:tc>
          <w:tcPr>
            <w:tcW w:w="6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38.35</w:t>
            </w:r>
          </w:p>
        </w:tc>
        <w:tc>
          <w:tcPr>
            <w:tcW w:w="12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38.35</w:t>
            </w:r>
          </w:p>
        </w:tc>
        <w:tc>
          <w:tcPr>
            <w:tcW w:w="7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二十、粮油物资储备支出</w:t>
            </w:r>
          </w:p>
        </w:tc>
        <w:tc>
          <w:tcPr>
            <w:tcW w:w="8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52</w:t>
            </w:r>
          </w:p>
        </w:tc>
        <w:tc>
          <w:tcPr>
            <w:tcW w:w="6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二十一、国有资本经营预算支出</w:t>
            </w:r>
          </w:p>
        </w:tc>
        <w:tc>
          <w:tcPr>
            <w:tcW w:w="8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53</w:t>
            </w:r>
          </w:p>
        </w:tc>
        <w:tc>
          <w:tcPr>
            <w:tcW w:w="6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二十二、灾害防治及应急管理支出</w:t>
            </w:r>
          </w:p>
        </w:tc>
        <w:tc>
          <w:tcPr>
            <w:tcW w:w="8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54</w:t>
            </w:r>
          </w:p>
        </w:tc>
        <w:tc>
          <w:tcPr>
            <w:tcW w:w="6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二十三、其他支出</w:t>
            </w:r>
          </w:p>
        </w:tc>
        <w:tc>
          <w:tcPr>
            <w:tcW w:w="8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55</w:t>
            </w:r>
          </w:p>
        </w:tc>
        <w:tc>
          <w:tcPr>
            <w:tcW w:w="6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二十四、债务还本支出</w:t>
            </w:r>
          </w:p>
        </w:tc>
        <w:tc>
          <w:tcPr>
            <w:tcW w:w="8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56</w:t>
            </w:r>
          </w:p>
        </w:tc>
        <w:tc>
          <w:tcPr>
            <w:tcW w:w="6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二十五、债务付息支出</w:t>
            </w:r>
          </w:p>
        </w:tc>
        <w:tc>
          <w:tcPr>
            <w:tcW w:w="8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57</w:t>
            </w:r>
          </w:p>
        </w:tc>
        <w:tc>
          <w:tcPr>
            <w:tcW w:w="6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二十六、抗疫特别国债安排的支出</w:t>
            </w:r>
          </w:p>
        </w:tc>
        <w:tc>
          <w:tcPr>
            <w:tcW w:w="8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58</w:t>
            </w:r>
          </w:p>
        </w:tc>
        <w:tc>
          <w:tcPr>
            <w:tcW w:w="6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本年收入合计</w:t>
            </w:r>
          </w:p>
        </w:tc>
        <w:tc>
          <w:tcPr>
            <w:tcW w:w="6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3,909.69</w:t>
            </w:r>
          </w:p>
        </w:tc>
        <w:tc>
          <w:tcPr>
            <w:tcW w:w="18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本年支出合计</w:t>
            </w:r>
          </w:p>
        </w:tc>
        <w:tc>
          <w:tcPr>
            <w:tcW w:w="8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w:t>
            </w:r>
          </w:p>
        </w:tc>
        <w:tc>
          <w:tcPr>
            <w:tcW w:w="6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3,909.69</w:t>
            </w:r>
          </w:p>
        </w:tc>
        <w:tc>
          <w:tcPr>
            <w:tcW w:w="12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3,909.69</w:t>
            </w:r>
          </w:p>
        </w:tc>
        <w:tc>
          <w:tcPr>
            <w:tcW w:w="7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年初财政拨款结转和结余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6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年末财政拨款结转和结余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8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60</w:t>
            </w:r>
          </w:p>
        </w:tc>
        <w:tc>
          <w:tcPr>
            <w:tcW w:w="6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一、一般公共预算财政拨款</w:t>
            </w:r>
          </w:p>
        </w:tc>
        <w:tc>
          <w:tcPr>
            <w:tcW w:w="6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61</w:t>
            </w:r>
          </w:p>
        </w:tc>
        <w:tc>
          <w:tcPr>
            <w:tcW w:w="6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二、政府性基金预算财政拨款</w:t>
            </w:r>
          </w:p>
        </w:tc>
        <w:tc>
          <w:tcPr>
            <w:tcW w:w="6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62</w:t>
            </w:r>
          </w:p>
        </w:tc>
        <w:tc>
          <w:tcPr>
            <w:tcW w:w="6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三、国有资本经营预算财政拨款</w:t>
            </w:r>
          </w:p>
        </w:tc>
        <w:tc>
          <w:tcPr>
            <w:tcW w:w="6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63</w:t>
            </w:r>
          </w:p>
        </w:tc>
        <w:tc>
          <w:tcPr>
            <w:tcW w:w="6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总计</w:t>
            </w:r>
            <w:r>
              <w:rPr>
                <w:rFonts w:ascii="Times New Roman" w:hAnsi="Times New Roman" w:eastAsia="Times New Roman" w:cs="Times New Roman"/>
                <w:b w:val="0"/>
                <w:bCs w:val="0"/>
                <w:i w:val="0"/>
                <w:iCs w:val="0"/>
                <w:smallCaps w:val="0"/>
                <w:color w:val="000000"/>
                <w:kern w:val="0"/>
                <w:sz w:val="18"/>
                <w:szCs w:val="18"/>
              </w:rPr>
              <w:t xml:space="preserve"> </w:t>
            </w:r>
          </w:p>
        </w:tc>
        <w:tc>
          <w:tcPr>
            <w:tcW w:w="6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3,909.69</w:t>
            </w:r>
          </w:p>
        </w:tc>
        <w:tc>
          <w:tcPr>
            <w:tcW w:w="18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总计</w:t>
            </w:r>
            <w:r>
              <w:rPr>
                <w:rFonts w:ascii="Times New Roman" w:hAnsi="Times New Roman" w:eastAsia="Times New Roman" w:cs="Times New Roman"/>
                <w:b w:val="0"/>
                <w:bCs w:val="0"/>
                <w:i w:val="0"/>
                <w:iCs w:val="0"/>
                <w:smallCaps w:val="0"/>
                <w:color w:val="000000"/>
                <w:kern w:val="0"/>
                <w:sz w:val="18"/>
                <w:szCs w:val="18"/>
              </w:rPr>
              <w:t xml:space="preserve"> </w:t>
            </w:r>
          </w:p>
        </w:tc>
        <w:tc>
          <w:tcPr>
            <w:tcW w:w="8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64</w:t>
            </w:r>
          </w:p>
        </w:tc>
        <w:tc>
          <w:tcPr>
            <w:tcW w:w="6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3,909.69</w:t>
            </w:r>
          </w:p>
        </w:tc>
        <w:tc>
          <w:tcPr>
            <w:tcW w:w="12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3,909.69</w:t>
            </w:r>
          </w:p>
        </w:tc>
        <w:tc>
          <w:tcPr>
            <w:tcW w:w="7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9066" w:type="dxa"/>
            <w:gridSpan w:val="1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注：本表反映部门本年度一般公共预算财政拨款、政府性基金预算财政拨款和国有资本经营预算财政拨款的总收支和年末结转结余情况。</w:t>
            </w:r>
          </w:p>
        </w:tc>
      </w:tr>
    </w:tbl>
    <w:p>
      <w:pPr>
        <w:pStyle w:val="2"/>
      </w:pPr>
    </w:p>
    <w:p>
      <w:pPr>
        <w:pStyle w:val="2"/>
      </w:pPr>
    </w:p>
    <w:p>
      <w:pPr>
        <w:pStyle w:val="2"/>
      </w:pPr>
    </w:p>
    <w:p>
      <w:pPr>
        <w:pStyle w:val="2"/>
      </w:pPr>
    </w:p>
    <w:p>
      <w:pPr>
        <w:pStyle w:val="2"/>
      </w:pPr>
    </w:p>
    <w:p>
      <w:pPr>
        <w:pStyle w:val="2"/>
      </w:pPr>
    </w:p>
    <w:p>
      <w:pPr>
        <w:pStyle w:val="2"/>
      </w:pPr>
    </w:p>
    <w:p>
      <w:pPr>
        <w:pStyle w:val="2"/>
      </w:pPr>
    </w:p>
    <w:p>
      <w:pPr>
        <w:pStyle w:val="6"/>
        <w:spacing w:before="100" w:after="100" w:line="240" w:lineRule="auto"/>
        <w:ind w:left="720" w:right="0" w:hanging="720" w:firstLineChars="0"/>
        <w:rPr>
          <w:rFonts w:ascii="Times New Roman" w:hAnsi="Times New Roman" w:eastAsia="Times New Roman" w:cs="Times New Roman"/>
          <w:b/>
          <w:bCs/>
          <w:kern w:val="0"/>
          <w:sz w:val="32"/>
          <w:szCs w:val="32"/>
        </w:rPr>
      </w:pPr>
      <w:bookmarkStart w:id="45" w:name="_Toc256000042"/>
      <w:bookmarkStart w:id="46" w:name="_Toc256000011"/>
      <w:bookmarkStart w:id="47" w:name="_Toc256000073"/>
      <w:bookmarkStart w:id="48" w:name="_Toc256000104"/>
      <w:r>
        <w:rPr>
          <w:rFonts w:ascii="黑体" w:hAnsi="黑体" w:eastAsia="黑体" w:cs="黑体"/>
          <w:b/>
          <w:bCs/>
          <w:spacing w:val="0"/>
          <w:sz w:val="32"/>
          <w:szCs w:val="32"/>
        </w:rPr>
        <w:t>五、一般公共预算财政拨款支出决算表</w:t>
      </w:r>
      <w:bookmarkEnd w:id="45"/>
      <w:bookmarkEnd w:id="46"/>
      <w:bookmarkEnd w:id="47"/>
      <w:bookmarkEnd w:id="48"/>
    </w:p>
    <w:p>
      <w:pPr>
        <w:rPr>
          <w:b w:val="0"/>
          <w:bCs w:val="0"/>
          <w:sz w:val="32"/>
          <w:szCs w:val="32"/>
        </w:rPr>
      </w:pPr>
    </w:p>
    <w:tbl>
      <w:tblPr>
        <w:tblStyle w:val="23"/>
        <w:tblW w:w="9066"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133"/>
        <w:gridCol w:w="1322"/>
        <w:gridCol w:w="1323"/>
        <w:gridCol w:w="1322"/>
        <w:gridCol w:w="1322"/>
        <w:gridCol w:w="1322"/>
        <w:gridCol w:w="13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9066" w:type="dxa"/>
            <w:gridSpan w:val="7"/>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32"/>
                <w:szCs w:val="32"/>
              </w:rPr>
              <w:t>一般公共预算财政拨款支出决算表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13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6422" w:type="dxa"/>
            <w:gridSpan w:val="5"/>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b w:val="0"/>
                <w:bCs w:val="0"/>
                <w:i w:val="0"/>
                <w:iCs w:val="0"/>
                <w:smallCaps w:val="0"/>
                <w:color w:val="000000"/>
                <w:kern w:val="0"/>
                <w:sz w:val="18"/>
                <w:szCs w:val="18"/>
              </w:rPr>
              <w:t>单位：厦门市湖里区教师进修学校第二附属小学</w:t>
            </w:r>
          </w:p>
        </w:tc>
        <w:tc>
          <w:tcPr>
            <w:tcW w:w="132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b w:val="0"/>
                <w:bCs w:val="0"/>
                <w:i w:val="0"/>
                <w:iCs w:val="0"/>
                <w:smallCaps w:val="0"/>
                <w:color w:val="000000"/>
                <w:kern w:val="0"/>
                <w:sz w:val="18"/>
                <w:szCs w:val="18"/>
              </w:rPr>
              <w:t>年度</w:t>
            </w:r>
          </w:p>
        </w:tc>
        <w:tc>
          <w:tcPr>
            <w:tcW w:w="132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5100"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项目</w:t>
            </w:r>
          </w:p>
        </w:tc>
        <w:tc>
          <w:tcPr>
            <w:tcW w:w="396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3778" w:type="dxa"/>
            <w:gridSpan w:val="3"/>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科目代码</w:t>
            </w:r>
          </w:p>
        </w:tc>
        <w:tc>
          <w:tcPr>
            <w:tcW w:w="132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科目名称</w:t>
            </w:r>
          </w:p>
        </w:tc>
        <w:tc>
          <w:tcPr>
            <w:tcW w:w="132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小计</w:t>
            </w:r>
          </w:p>
        </w:tc>
        <w:tc>
          <w:tcPr>
            <w:tcW w:w="132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基本支出</w:t>
            </w:r>
          </w:p>
        </w:tc>
        <w:tc>
          <w:tcPr>
            <w:tcW w:w="132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3778"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3778"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5100"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合计</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3,909.69</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3,594.67</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315.03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204</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公共安全支出</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4.47</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20499</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其他公共安全支出</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4.47</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2049999</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其他公共安全支出</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4.47</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教育支出</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3,262.75</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2,952.19</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20501</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教育管理事务</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2050199</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其他教育管理事务支出</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普通教育</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3,112.03</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2,952.19</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159.84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2050202</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小学教育</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2,874.98</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2,874.98</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2050299</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其他普通教育支出</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237.06</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77.21</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159.84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教育费附加安排的支出</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148.91</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148.91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2050999</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其他教育费附加安排的支出</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148.91</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148.91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20599</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其他教育支出</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0.3</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2059999</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其他教育支出</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0.3</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社会保障和就业支出</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453.22</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453.22</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行政事业单位养老支出</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453.22</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453.22</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2080502</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事业单位离退休</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94.47</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94.47</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2080505</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机关事业单位基本养老保险缴费支出</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233.28</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233.28</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2080506</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机关事业单位职业年金缴费支出</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125.47</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125.47</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卫生健康支出</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150.9</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150.9</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行政事业单位医疗</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150.9</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150.9</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2101102</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事业单位医疗</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99.87</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99.87</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2101199</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其他行政事业单位医疗支出</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51.03</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51.03</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住房保障支出</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38.35</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38.35</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住房改革支出</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38.35</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38.35</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2210203</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购房补贴</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38.35</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38.35</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9066" w:type="dxa"/>
            <w:gridSpan w:val="7"/>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注：本表反映部门本年度一般公共预算财政拨款支出情况。</w:t>
            </w:r>
          </w:p>
        </w:tc>
      </w:tr>
    </w:tbl>
    <w:p>
      <w:pPr>
        <w:pStyle w:val="2"/>
        <w:sectPr>
          <w:footerReference r:id="rId5" w:type="default"/>
          <w:pgSz w:w="11906" w:h="16383"/>
          <w:pgMar w:top="720" w:right="1440" w:bottom="720" w:left="1440" w:header="720" w:footer="720" w:gutter="0"/>
          <w:cols w:space="0" w:num="1"/>
          <w:docGrid w:linePitch="0" w:charSpace="0"/>
        </w:sectPr>
      </w:pPr>
    </w:p>
    <w:p>
      <w:pPr>
        <w:pStyle w:val="6"/>
        <w:spacing w:before="100" w:after="100" w:line="240" w:lineRule="auto"/>
        <w:ind w:left="720" w:right="0" w:hanging="720" w:firstLineChars="0"/>
        <w:rPr>
          <w:rFonts w:ascii="Times New Roman" w:hAnsi="Times New Roman" w:eastAsia="Times New Roman" w:cs="Times New Roman"/>
          <w:b/>
          <w:bCs/>
          <w:kern w:val="0"/>
          <w:sz w:val="32"/>
          <w:szCs w:val="32"/>
        </w:rPr>
      </w:pPr>
      <w:bookmarkStart w:id="49" w:name="_Toc256000043"/>
      <w:bookmarkStart w:id="50" w:name="_Toc256000074"/>
      <w:bookmarkStart w:id="51" w:name="_Toc256000012"/>
      <w:bookmarkStart w:id="52" w:name="_Toc256000105"/>
      <w:r>
        <w:rPr>
          <w:rFonts w:ascii="黑体" w:hAnsi="黑体" w:eastAsia="黑体" w:cs="黑体"/>
          <w:b/>
          <w:bCs/>
          <w:spacing w:val="0"/>
          <w:sz w:val="32"/>
          <w:szCs w:val="32"/>
        </w:rPr>
        <w:t>六、一般公共预算财政拨款基本支出决算表</w:t>
      </w:r>
      <w:bookmarkEnd w:id="49"/>
      <w:bookmarkEnd w:id="50"/>
      <w:bookmarkEnd w:id="51"/>
      <w:bookmarkEnd w:id="52"/>
    </w:p>
    <w:p>
      <w:pPr>
        <w:rPr>
          <w:b w:val="0"/>
          <w:bCs w:val="0"/>
          <w:sz w:val="32"/>
          <w:szCs w:val="32"/>
        </w:rPr>
      </w:pPr>
    </w:p>
    <w:tbl>
      <w:tblPr>
        <w:tblStyle w:val="23"/>
        <w:tblW w:w="9066"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007"/>
        <w:gridCol w:w="1007"/>
        <w:gridCol w:w="1007"/>
        <w:gridCol w:w="1134"/>
        <w:gridCol w:w="881"/>
        <w:gridCol w:w="1008"/>
        <w:gridCol w:w="886"/>
        <w:gridCol w:w="1129"/>
        <w:gridCol w:w="10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9066" w:type="dxa"/>
            <w:gridSpan w:val="9"/>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32"/>
                <w:szCs w:val="32"/>
              </w:rPr>
              <w:t>一般公共预算财政拨款基本支出决算表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0" w:hRule="atLeast"/>
          <w:tblHeader/>
        </w:trPr>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8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8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2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公开</w:t>
            </w:r>
            <w:r>
              <w:rPr>
                <w:rFonts w:ascii="Times New Roman" w:hAnsi="Times New Roman" w:eastAsia="Times New Roman" w:cs="Times New Roman"/>
                <w:b w:val="0"/>
                <w:bCs w:val="0"/>
                <w:i w:val="0"/>
                <w:iCs w:val="0"/>
                <w:smallCaps w:val="0"/>
                <w:color w:val="000000"/>
                <w:kern w:val="0"/>
                <w:sz w:val="18"/>
                <w:szCs w:val="18"/>
              </w:rPr>
              <w:t>06</w:t>
            </w:r>
            <w:r>
              <w:rPr>
                <w:b w:val="0"/>
                <w:bCs w:val="0"/>
                <w:i w:val="0"/>
                <w:iCs w:val="0"/>
                <w:smallCaps w:val="0"/>
                <w:color w:val="000000"/>
                <w:kern w:val="0"/>
                <w:sz w:val="18"/>
                <w:szCs w:val="18"/>
              </w:rPr>
              <w:t>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4155" w:type="dxa"/>
            <w:gridSpan w:val="4"/>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b w:val="0"/>
                <w:bCs w:val="0"/>
                <w:i w:val="0"/>
                <w:iCs w:val="0"/>
                <w:smallCaps w:val="0"/>
                <w:color w:val="000000"/>
                <w:kern w:val="0"/>
                <w:sz w:val="18"/>
                <w:szCs w:val="18"/>
              </w:rPr>
              <w:t>单位：厦门市湖里区教师进修学校第二附属小学</w:t>
            </w:r>
          </w:p>
        </w:tc>
        <w:tc>
          <w:tcPr>
            <w:tcW w:w="88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100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2024</w:t>
            </w:r>
            <w:r>
              <w:rPr>
                <w:b w:val="0"/>
                <w:bCs w:val="0"/>
                <w:i w:val="0"/>
                <w:iCs w:val="0"/>
                <w:smallCaps w:val="0"/>
                <w:color w:val="000000"/>
                <w:kern w:val="0"/>
                <w:sz w:val="18"/>
                <w:szCs w:val="18"/>
              </w:rPr>
              <w:t>年度</w:t>
            </w:r>
          </w:p>
        </w:tc>
        <w:tc>
          <w:tcPr>
            <w:tcW w:w="88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136"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经济分类科目编码</w:t>
            </w:r>
          </w:p>
        </w:tc>
        <w:tc>
          <w:tcPr>
            <w:tcW w:w="100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科目名称</w:t>
            </w:r>
          </w:p>
        </w:tc>
        <w:tc>
          <w:tcPr>
            <w:tcW w:w="100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w:t>
            </w:r>
          </w:p>
        </w:tc>
        <w:tc>
          <w:tcPr>
            <w:tcW w:w="113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经济分类科目编码</w:t>
            </w:r>
          </w:p>
        </w:tc>
        <w:tc>
          <w:tcPr>
            <w:tcW w:w="88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科目名称</w:t>
            </w:r>
          </w:p>
        </w:tc>
        <w:tc>
          <w:tcPr>
            <w:tcW w:w="100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w:t>
            </w:r>
          </w:p>
        </w:tc>
        <w:tc>
          <w:tcPr>
            <w:tcW w:w="886"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经济分类科目编码</w:t>
            </w:r>
          </w:p>
        </w:tc>
        <w:tc>
          <w:tcPr>
            <w:tcW w:w="112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科目名称</w:t>
            </w:r>
          </w:p>
        </w:tc>
        <w:tc>
          <w:tcPr>
            <w:tcW w:w="100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88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88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2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工资福利支出</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3,125.55</w:t>
            </w:r>
          </w:p>
        </w:tc>
        <w:tc>
          <w:tcPr>
            <w:tcW w:w="11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w:t>
            </w:r>
          </w:p>
        </w:tc>
        <w:tc>
          <w:tcPr>
            <w:tcW w:w="8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商品和服务支出</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350.82</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30703</w:t>
            </w:r>
          </w:p>
        </w:tc>
        <w:tc>
          <w:tcPr>
            <w:tcW w:w="11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国内债务发行费用</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30101</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基本工资</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409.22</w:t>
            </w:r>
          </w:p>
        </w:tc>
        <w:tc>
          <w:tcPr>
            <w:tcW w:w="11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30201</w:t>
            </w:r>
          </w:p>
        </w:tc>
        <w:tc>
          <w:tcPr>
            <w:tcW w:w="8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办公费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135.19</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30704</w:t>
            </w:r>
          </w:p>
        </w:tc>
        <w:tc>
          <w:tcPr>
            <w:tcW w:w="11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国外债务发行费用</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30102</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津贴补贴</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624.29</w:t>
            </w:r>
          </w:p>
        </w:tc>
        <w:tc>
          <w:tcPr>
            <w:tcW w:w="11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30202</w:t>
            </w:r>
          </w:p>
        </w:tc>
        <w:tc>
          <w:tcPr>
            <w:tcW w:w="8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印刷费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w:t>
            </w:r>
          </w:p>
        </w:tc>
        <w:tc>
          <w:tcPr>
            <w:tcW w:w="11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资本性支出</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30103</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奖金</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989.39</w:t>
            </w:r>
          </w:p>
        </w:tc>
        <w:tc>
          <w:tcPr>
            <w:tcW w:w="11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30203</w:t>
            </w:r>
          </w:p>
        </w:tc>
        <w:tc>
          <w:tcPr>
            <w:tcW w:w="8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咨询费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31001</w:t>
            </w:r>
          </w:p>
        </w:tc>
        <w:tc>
          <w:tcPr>
            <w:tcW w:w="11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房屋建筑物购建</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30106</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伙食补助费</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30204</w:t>
            </w:r>
          </w:p>
        </w:tc>
        <w:tc>
          <w:tcPr>
            <w:tcW w:w="8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手续费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31002</w:t>
            </w:r>
          </w:p>
        </w:tc>
        <w:tc>
          <w:tcPr>
            <w:tcW w:w="11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办公设备购置</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30107</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绩效工资</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186.12</w:t>
            </w:r>
          </w:p>
        </w:tc>
        <w:tc>
          <w:tcPr>
            <w:tcW w:w="11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30205</w:t>
            </w:r>
          </w:p>
        </w:tc>
        <w:tc>
          <w:tcPr>
            <w:tcW w:w="8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水费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31003</w:t>
            </w:r>
          </w:p>
        </w:tc>
        <w:tc>
          <w:tcPr>
            <w:tcW w:w="11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专用设备购置</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30108</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机关事业单位基本养老保险缴费</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233.28</w:t>
            </w:r>
          </w:p>
        </w:tc>
        <w:tc>
          <w:tcPr>
            <w:tcW w:w="11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30206</w:t>
            </w:r>
          </w:p>
        </w:tc>
        <w:tc>
          <w:tcPr>
            <w:tcW w:w="8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电费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31005</w:t>
            </w:r>
          </w:p>
        </w:tc>
        <w:tc>
          <w:tcPr>
            <w:tcW w:w="11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基础设施建设</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30109</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职业年金缴费</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125.47</w:t>
            </w:r>
          </w:p>
        </w:tc>
        <w:tc>
          <w:tcPr>
            <w:tcW w:w="11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30207</w:t>
            </w:r>
          </w:p>
        </w:tc>
        <w:tc>
          <w:tcPr>
            <w:tcW w:w="8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邮电费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0.7</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31006</w:t>
            </w:r>
          </w:p>
        </w:tc>
        <w:tc>
          <w:tcPr>
            <w:tcW w:w="11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大型修缮</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30110</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职工基本医疗保险缴费</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99.87</w:t>
            </w:r>
          </w:p>
        </w:tc>
        <w:tc>
          <w:tcPr>
            <w:tcW w:w="11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30208</w:t>
            </w:r>
          </w:p>
        </w:tc>
        <w:tc>
          <w:tcPr>
            <w:tcW w:w="8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取暖费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31007</w:t>
            </w:r>
          </w:p>
        </w:tc>
        <w:tc>
          <w:tcPr>
            <w:tcW w:w="11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信息网络及软件购置更新</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30111</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公务员医疗补助缴费</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30209</w:t>
            </w:r>
          </w:p>
        </w:tc>
        <w:tc>
          <w:tcPr>
            <w:tcW w:w="8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物业管理费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31008</w:t>
            </w:r>
          </w:p>
        </w:tc>
        <w:tc>
          <w:tcPr>
            <w:tcW w:w="11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物资储备</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30112</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其他社会保障缴费</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68.94</w:t>
            </w:r>
          </w:p>
        </w:tc>
        <w:tc>
          <w:tcPr>
            <w:tcW w:w="11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30211</w:t>
            </w:r>
          </w:p>
        </w:tc>
        <w:tc>
          <w:tcPr>
            <w:tcW w:w="8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差旅费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2.37</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31009</w:t>
            </w:r>
          </w:p>
        </w:tc>
        <w:tc>
          <w:tcPr>
            <w:tcW w:w="11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土地补偿</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30113</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住房公积金</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254.5</w:t>
            </w:r>
          </w:p>
        </w:tc>
        <w:tc>
          <w:tcPr>
            <w:tcW w:w="11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30212</w:t>
            </w:r>
          </w:p>
        </w:tc>
        <w:tc>
          <w:tcPr>
            <w:tcW w:w="8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因公出国（境）费用</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31010</w:t>
            </w:r>
          </w:p>
        </w:tc>
        <w:tc>
          <w:tcPr>
            <w:tcW w:w="11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安置补助</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30114</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医疗费</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30213</w:t>
            </w:r>
          </w:p>
        </w:tc>
        <w:tc>
          <w:tcPr>
            <w:tcW w:w="8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维修（护）费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23.42</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31011</w:t>
            </w:r>
          </w:p>
        </w:tc>
        <w:tc>
          <w:tcPr>
            <w:tcW w:w="11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地上附着物和青苗补偿</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30199</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其他工资福利支出</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134.47</w:t>
            </w:r>
          </w:p>
        </w:tc>
        <w:tc>
          <w:tcPr>
            <w:tcW w:w="11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30214</w:t>
            </w:r>
          </w:p>
        </w:tc>
        <w:tc>
          <w:tcPr>
            <w:tcW w:w="8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租赁费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1.72</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31012</w:t>
            </w:r>
          </w:p>
        </w:tc>
        <w:tc>
          <w:tcPr>
            <w:tcW w:w="11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拆迁补偿</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对个人和家庭的补助</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109.74</w:t>
            </w:r>
          </w:p>
        </w:tc>
        <w:tc>
          <w:tcPr>
            <w:tcW w:w="11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30215</w:t>
            </w:r>
          </w:p>
        </w:tc>
        <w:tc>
          <w:tcPr>
            <w:tcW w:w="8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会议费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31013</w:t>
            </w:r>
          </w:p>
        </w:tc>
        <w:tc>
          <w:tcPr>
            <w:tcW w:w="11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公务用车购置</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30301</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离休费</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30216</w:t>
            </w:r>
          </w:p>
        </w:tc>
        <w:tc>
          <w:tcPr>
            <w:tcW w:w="8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培训费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25.17</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31019</w:t>
            </w:r>
          </w:p>
        </w:tc>
        <w:tc>
          <w:tcPr>
            <w:tcW w:w="11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其他交通工具购置</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30302</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退休费</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30217</w:t>
            </w:r>
          </w:p>
        </w:tc>
        <w:tc>
          <w:tcPr>
            <w:tcW w:w="8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公务接待费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31021</w:t>
            </w:r>
          </w:p>
        </w:tc>
        <w:tc>
          <w:tcPr>
            <w:tcW w:w="11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文物和陈列品购置</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30303</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退职（役）费</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30218</w:t>
            </w:r>
          </w:p>
        </w:tc>
        <w:tc>
          <w:tcPr>
            <w:tcW w:w="8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专用材料费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31022</w:t>
            </w:r>
          </w:p>
        </w:tc>
        <w:tc>
          <w:tcPr>
            <w:tcW w:w="11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无形资产购置</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30304</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抚恤金</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5.28</w:t>
            </w:r>
          </w:p>
        </w:tc>
        <w:tc>
          <w:tcPr>
            <w:tcW w:w="11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30224</w:t>
            </w:r>
          </w:p>
        </w:tc>
        <w:tc>
          <w:tcPr>
            <w:tcW w:w="8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被装购置费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31099</w:t>
            </w:r>
          </w:p>
        </w:tc>
        <w:tc>
          <w:tcPr>
            <w:tcW w:w="11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其他资本性支出</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30305</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生活补助</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8.79</w:t>
            </w:r>
          </w:p>
        </w:tc>
        <w:tc>
          <w:tcPr>
            <w:tcW w:w="11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30225</w:t>
            </w:r>
          </w:p>
        </w:tc>
        <w:tc>
          <w:tcPr>
            <w:tcW w:w="8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专用燃料费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w:t>
            </w:r>
          </w:p>
        </w:tc>
        <w:tc>
          <w:tcPr>
            <w:tcW w:w="11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对企业补助</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30306</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救济费</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30226</w:t>
            </w:r>
          </w:p>
        </w:tc>
        <w:tc>
          <w:tcPr>
            <w:tcW w:w="8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劳务费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41.81</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31201</w:t>
            </w:r>
          </w:p>
        </w:tc>
        <w:tc>
          <w:tcPr>
            <w:tcW w:w="11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资本金注入</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30307</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医疗费补助</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30227</w:t>
            </w:r>
          </w:p>
        </w:tc>
        <w:tc>
          <w:tcPr>
            <w:tcW w:w="8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委托业务费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31203</w:t>
            </w:r>
          </w:p>
        </w:tc>
        <w:tc>
          <w:tcPr>
            <w:tcW w:w="11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政府投资基金股权投资</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30308</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助学金</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30228</w:t>
            </w:r>
          </w:p>
        </w:tc>
        <w:tc>
          <w:tcPr>
            <w:tcW w:w="8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工会经费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58.75</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31204</w:t>
            </w:r>
          </w:p>
        </w:tc>
        <w:tc>
          <w:tcPr>
            <w:tcW w:w="11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费用补贴</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30309</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奖励金</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6.48</w:t>
            </w:r>
          </w:p>
        </w:tc>
        <w:tc>
          <w:tcPr>
            <w:tcW w:w="11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30229</w:t>
            </w:r>
          </w:p>
        </w:tc>
        <w:tc>
          <w:tcPr>
            <w:tcW w:w="8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福利费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12.89</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31205</w:t>
            </w:r>
          </w:p>
        </w:tc>
        <w:tc>
          <w:tcPr>
            <w:tcW w:w="11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利息补贴</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30310</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个人农业生产补贴</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30231</w:t>
            </w:r>
          </w:p>
        </w:tc>
        <w:tc>
          <w:tcPr>
            <w:tcW w:w="8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公务用车运行维护费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31206</w:t>
            </w:r>
          </w:p>
        </w:tc>
        <w:tc>
          <w:tcPr>
            <w:tcW w:w="11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其他资本性补助</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30311</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代缴社会保险费</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30239</w:t>
            </w:r>
          </w:p>
        </w:tc>
        <w:tc>
          <w:tcPr>
            <w:tcW w:w="8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其他交通费用</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3.28</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31299</w:t>
            </w:r>
          </w:p>
        </w:tc>
        <w:tc>
          <w:tcPr>
            <w:tcW w:w="11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其他对企业补助</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30399</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其他对个人和家庭的补助</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89.19</w:t>
            </w:r>
          </w:p>
        </w:tc>
        <w:tc>
          <w:tcPr>
            <w:tcW w:w="11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30240</w:t>
            </w:r>
          </w:p>
        </w:tc>
        <w:tc>
          <w:tcPr>
            <w:tcW w:w="8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税金及附加费用</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w:t>
            </w:r>
          </w:p>
        </w:tc>
        <w:tc>
          <w:tcPr>
            <w:tcW w:w="11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其他支出</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30299</w:t>
            </w:r>
          </w:p>
        </w:tc>
        <w:tc>
          <w:tcPr>
            <w:tcW w:w="8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其他商品和服务支出</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17.01</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39907</w:t>
            </w:r>
          </w:p>
        </w:tc>
        <w:tc>
          <w:tcPr>
            <w:tcW w:w="11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国家赔偿费用支出</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w:t>
            </w:r>
          </w:p>
        </w:tc>
        <w:tc>
          <w:tcPr>
            <w:tcW w:w="8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债务利息及费用支出</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39908</w:t>
            </w:r>
          </w:p>
        </w:tc>
        <w:tc>
          <w:tcPr>
            <w:tcW w:w="11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对民间非营利组织和群众性自治组织补贴</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30701</w:t>
            </w:r>
          </w:p>
        </w:tc>
        <w:tc>
          <w:tcPr>
            <w:tcW w:w="8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国内债务付息</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39909</w:t>
            </w:r>
          </w:p>
        </w:tc>
        <w:tc>
          <w:tcPr>
            <w:tcW w:w="11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经常性赠与</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30702</w:t>
            </w:r>
          </w:p>
        </w:tc>
        <w:tc>
          <w:tcPr>
            <w:tcW w:w="8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国外债务付息</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39910</w:t>
            </w:r>
          </w:p>
        </w:tc>
        <w:tc>
          <w:tcPr>
            <w:tcW w:w="11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资本性赠与</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39999</w:t>
            </w:r>
          </w:p>
        </w:tc>
        <w:tc>
          <w:tcPr>
            <w:tcW w:w="11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其他支出</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2014"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人员经费合计</w:t>
            </w:r>
            <w:r>
              <w:rPr>
                <w:rFonts w:ascii="Times New Roman" w:hAnsi="Times New Roman" w:eastAsia="Times New Roman" w:cs="Times New Roman"/>
                <w:b w:val="0"/>
                <w:bCs w:val="0"/>
                <w:i w:val="0"/>
                <w:iCs w:val="0"/>
                <w:smallCaps w:val="0"/>
                <w:color w:val="000000"/>
                <w:kern w:val="0"/>
                <w:sz w:val="18"/>
                <w:szCs w:val="18"/>
              </w:rPr>
              <w:t xml:space="preserve">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3,235.29</w:t>
            </w:r>
          </w:p>
        </w:tc>
        <w:tc>
          <w:tcPr>
            <w:tcW w:w="3909"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公用经费合计</w:t>
            </w:r>
          </w:p>
        </w:tc>
        <w:tc>
          <w:tcPr>
            <w:tcW w:w="213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359.38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9066" w:type="dxa"/>
            <w:gridSpan w:val="9"/>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注：本表反映部门本年度一般公共预算财政拨款基本支出明细情况。</w:t>
            </w:r>
          </w:p>
        </w:tc>
      </w:tr>
    </w:tbl>
    <w:p>
      <w:pPr>
        <w:pStyle w:val="2"/>
      </w:pPr>
    </w:p>
    <w:p>
      <w:pPr>
        <w:pStyle w:val="2"/>
      </w:pPr>
    </w:p>
    <w:p>
      <w:pPr>
        <w:pStyle w:val="6"/>
        <w:spacing w:before="100" w:after="100" w:line="240" w:lineRule="auto"/>
        <w:ind w:left="720" w:right="0" w:hanging="720" w:firstLineChars="0"/>
        <w:rPr>
          <w:rFonts w:ascii="Times New Roman" w:hAnsi="Times New Roman" w:eastAsia="Times New Roman" w:cs="Times New Roman"/>
          <w:b/>
          <w:bCs/>
          <w:kern w:val="0"/>
          <w:sz w:val="32"/>
          <w:szCs w:val="32"/>
        </w:rPr>
      </w:pPr>
      <w:bookmarkStart w:id="53" w:name="_Toc256000106"/>
      <w:bookmarkStart w:id="54" w:name="_Toc256000075"/>
      <w:bookmarkStart w:id="55" w:name="_Toc256000013"/>
      <w:bookmarkStart w:id="56" w:name="_Toc256000044"/>
      <w:r>
        <w:rPr>
          <w:rFonts w:ascii="黑体" w:hAnsi="黑体" w:eastAsia="黑体" w:cs="黑体"/>
          <w:b/>
          <w:bCs/>
          <w:spacing w:val="0"/>
          <w:sz w:val="32"/>
          <w:szCs w:val="32"/>
        </w:rPr>
        <w:t>七、一般公共预算财政拨款“三公”经费支出决算表</w:t>
      </w:r>
      <w:bookmarkEnd w:id="53"/>
      <w:bookmarkEnd w:id="54"/>
      <w:bookmarkEnd w:id="55"/>
      <w:bookmarkEnd w:id="56"/>
    </w:p>
    <w:p>
      <w:pPr>
        <w:rPr>
          <w:b w:val="0"/>
          <w:bCs w:val="0"/>
          <w:sz w:val="32"/>
          <w:szCs w:val="32"/>
        </w:rPr>
      </w:pPr>
    </w:p>
    <w:tbl>
      <w:tblPr>
        <w:tblStyle w:val="23"/>
        <w:tblW w:w="9066"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755"/>
        <w:gridCol w:w="755"/>
        <w:gridCol w:w="755"/>
        <w:gridCol w:w="755"/>
        <w:gridCol w:w="1"/>
        <w:gridCol w:w="755"/>
        <w:gridCol w:w="755"/>
        <w:gridCol w:w="955"/>
        <w:gridCol w:w="557"/>
        <w:gridCol w:w="381"/>
        <w:gridCol w:w="712"/>
        <w:gridCol w:w="713"/>
        <w:gridCol w:w="12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9066" w:type="dxa"/>
            <w:gridSpan w:val="13"/>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32"/>
                <w:szCs w:val="32"/>
              </w:rPr>
              <w:t>一般公共预算财政拨款</w:t>
            </w:r>
            <w:r>
              <w:rPr>
                <w:rFonts w:ascii="Times New Roman" w:hAnsi="Times New Roman" w:eastAsia="Times New Roman" w:cs="Times New Roman"/>
                <w:b w:val="0"/>
                <w:bCs w:val="0"/>
                <w:i w:val="0"/>
                <w:iCs w:val="0"/>
                <w:smallCaps w:val="0"/>
                <w:color w:val="000000"/>
                <w:kern w:val="0"/>
                <w:sz w:val="32"/>
                <w:szCs w:val="32"/>
              </w:rPr>
              <w:t>“</w:t>
            </w:r>
            <w:r>
              <w:rPr>
                <w:b w:val="0"/>
                <w:bCs w:val="0"/>
                <w:i w:val="0"/>
                <w:iCs w:val="0"/>
                <w:smallCaps w:val="0"/>
                <w:color w:val="000000"/>
                <w:kern w:val="0"/>
                <w:sz w:val="32"/>
                <w:szCs w:val="32"/>
              </w:rPr>
              <w:t>三公</w:t>
            </w:r>
            <w:r>
              <w:rPr>
                <w:rFonts w:ascii="Times New Roman" w:hAnsi="Times New Roman" w:eastAsia="Times New Roman" w:cs="Times New Roman"/>
                <w:b w:val="0"/>
                <w:bCs w:val="0"/>
                <w:i w:val="0"/>
                <w:iCs w:val="0"/>
                <w:smallCaps w:val="0"/>
                <w:color w:val="000000"/>
                <w:kern w:val="0"/>
                <w:sz w:val="32"/>
                <w:szCs w:val="32"/>
              </w:rPr>
              <w:t>”</w:t>
            </w:r>
            <w:r>
              <w:rPr>
                <w:b w:val="0"/>
                <w:bCs w:val="0"/>
                <w:i w:val="0"/>
                <w:iCs w:val="0"/>
                <w:smallCaps w:val="0"/>
                <w:color w:val="000000"/>
                <w:kern w:val="0"/>
                <w:sz w:val="32"/>
                <w:szCs w:val="32"/>
              </w:rPr>
              <w:t>经费支出决算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75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5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8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1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1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1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4531" w:type="dxa"/>
            <w:gridSpan w:val="7"/>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b w:val="0"/>
                <w:bCs w:val="0"/>
                <w:i w:val="0"/>
                <w:iCs w:val="0"/>
                <w:smallCaps w:val="0"/>
                <w:color w:val="000000"/>
                <w:kern w:val="0"/>
                <w:sz w:val="18"/>
                <w:szCs w:val="18"/>
              </w:rPr>
              <w:t>单位：厦门市湖里区教师进修学校第二附属小学</w:t>
            </w:r>
          </w:p>
        </w:tc>
        <w:tc>
          <w:tcPr>
            <w:tcW w:w="95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b w:val="0"/>
                <w:bCs w:val="0"/>
                <w:i w:val="0"/>
                <w:iCs w:val="0"/>
                <w:smallCaps w:val="0"/>
                <w:color w:val="000000"/>
                <w:kern w:val="0"/>
                <w:sz w:val="18"/>
                <w:szCs w:val="18"/>
              </w:rPr>
              <w:t>年度</w:t>
            </w:r>
          </w:p>
        </w:tc>
        <w:tc>
          <w:tcPr>
            <w:tcW w:w="55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8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1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1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1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4531" w:type="dxa"/>
            <w:gridSpan w:val="7"/>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预算数</w:t>
            </w:r>
          </w:p>
        </w:tc>
        <w:tc>
          <w:tcPr>
            <w:tcW w:w="4535" w:type="dxa"/>
            <w:gridSpan w:val="6"/>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75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合计</w:t>
            </w:r>
          </w:p>
        </w:tc>
        <w:tc>
          <w:tcPr>
            <w:tcW w:w="75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因公出国</w:t>
            </w:r>
            <w:r>
              <w:rPr>
                <w:rFonts w:ascii="Times New Roman" w:hAnsi="Times New Roman" w:eastAsia="Times New Roman" w:cs="Times New Roman"/>
                <w:b w:val="0"/>
                <w:bCs w:val="0"/>
                <w:i w:val="0"/>
                <w:iCs w:val="0"/>
                <w:smallCaps w:val="0"/>
                <w:color w:val="000000"/>
                <w:kern w:val="0"/>
                <w:sz w:val="18"/>
                <w:szCs w:val="18"/>
              </w:rPr>
              <w:t xml:space="preserve"> </w:t>
            </w:r>
            <w:r>
              <w:rPr>
                <w:b w:val="0"/>
                <w:bCs w:val="0"/>
                <w:i w:val="0"/>
                <w:iCs w:val="0"/>
                <w:smallCaps w:val="0"/>
                <w:color w:val="000000"/>
                <w:kern w:val="0"/>
                <w:sz w:val="18"/>
                <w:szCs w:val="18"/>
              </w:rPr>
              <w:t>（境）费</w:t>
            </w:r>
          </w:p>
        </w:tc>
        <w:tc>
          <w:tcPr>
            <w:tcW w:w="2266"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公务用车购置及运行维护费</w:t>
            </w:r>
          </w:p>
        </w:tc>
        <w:tc>
          <w:tcPr>
            <w:tcW w:w="75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公务接待费</w:t>
            </w:r>
          </w:p>
        </w:tc>
        <w:tc>
          <w:tcPr>
            <w:tcW w:w="95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合计</w:t>
            </w:r>
          </w:p>
        </w:tc>
        <w:tc>
          <w:tcPr>
            <w:tcW w:w="55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因公出国</w:t>
            </w:r>
            <w:r>
              <w:rPr>
                <w:rFonts w:ascii="Times New Roman" w:hAnsi="Times New Roman" w:eastAsia="Times New Roman" w:cs="Times New Roman"/>
                <w:b w:val="0"/>
                <w:bCs w:val="0"/>
                <w:i w:val="0"/>
                <w:iCs w:val="0"/>
                <w:smallCaps w:val="0"/>
                <w:color w:val="000000"/>
                <w:kern w:val="0"/>
                <w:sz w:val="18"/>
                <w:szCs w:val="18"/>
              </w:rPr>
              <w:t xml:space="preserve"> </w:t>
            </w:r>
            <w:r>
              <w:rPr>
                <w:b w:val="0"/>
                <w:bCs w:val="0"/>
                <w:i w:val="0"/>
                <w:iCs w:val="0"/>
                <w:smallCaps w:val="0"/>
                <w:color w:val="000000"/>
                <w:kern w:val="0"/>
                <w:sz w:val="18"/>
                <w:szCs w:val="18"/>
              </w:rPr>
              <w:t>（境）费</w:t>
            </w:r>
          </w:p>
        </w:tc>
        <w:tc>
          <w:tcPr>
            <w:tcW w:w="180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公务用车购置及运行维护费</w:t>
            </w:r>
          </w:p>
        </w:tc>
        <w:tc>
          <w:tcPr>
            <w:tcW w:w="121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小计</w:t>
            </w:r>
            <w:r>
              <w:rPr>
                <w:rFonts w:ascii="Times New Roman" w:hAnsi="Times New Roman" w:eastAsia="Times New Roman" w:cs="Times New Roman"/>
                <w:b w:val="0"/>
                <w:bCs w:val="0"/>
                <w:i w:val="0"/>
                <w:iCs w:val="0"/>
                <w:smallCaps w:val="0"/>
                <w:color w:val="000000"/>
                <w:kern w:val="0"/>
                <w:sz w:val="18"/>
                <w:szCs w:val="18"/>
              </w:rPr>
              <w:t xml:space="preserve"> </w:t>
            </w:r>
          </w:p>
        </w:tc>
        <w:tc>
          <w:tcPr>
            <w:tcW w:w="75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公务用车购置费</w:t>
            </w:r>
          </w:p>
        </w:tc>
        <w:tc>
          <w:tcPr>
            <w:tcW w:w="756" w:type="dxa"/>
            <w:gridSpan w:val="2"/>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公务用车运行维护费</w:t>
            </w: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55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38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小计</w:t>
            </w:r>
            <w:r>
              <w:rPr>
                <w:rFonts w:ascii="Times New Roman" w:hAnsi="Times New Roman" w:eastAsia="Times New Roman" w:cs="Times New Roman"/>
                <w:b w:val="0"/>
                <w:bCs w:val="0"/>
                <w:i w:val="0"/>
                <w:iCs w:val="0"/>
                <w:smallCaps w:val="0"/>
                <w:color w:val="000000"/>
                <w:kern w:val="0"/>
                <w:sz w:val="18"/>
                <w:szCs w:val="18"/>
              </w:rPr>
              <w:t xml:space="preserve"> </w:t>
            </w:r>
          </w:p>
        </w:tc>
        <w:tc>
          <w:tcPr>
            <w:tcW w:w="71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公务用车购置费</w:t>
            </w:r>
          </w:p>
        </w:tc>
        <w:tc>
          <w:tcPr>
            <w:tcW w:w="71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公务用车运行维护费</w:t>
            </w:r>
          </w:p>
        </w:tc>
        <w:tc>
          <w:tcPr>
            <w:tcW w:w="121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6"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55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38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1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21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75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c>
          <w:tcPr>
            <w:tcW w:w="5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w:t>
            </w:r>
          </w:p>
        </w:tc>
        <w:tc>
          <w:tcPr>
            <w:tcW w:w="3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w:t>
            </w:r>
          </w:p>
        </w:tc>
        <w:tc>
          <w:tcPr>
            <w:tcW w:w="7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w:t>
            </w:r>
          </w:p>
        </w:tc>
        <w:tc>
          <w:tcPr>
            <w:tcW w:w="7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w:t>
            </w:r>
          </w:p>
        </w:tc>
        <w:tc>
          <w:tcPr>
            <w:tcW w:w="12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bookmarkStart w:id="125" w:name="_GoBack" w:colFirst="1" w:colLast="11"/>
            <w:r>
              <w:rPr>
                <w:rFonts w:hint="eastAsia" w:eastAsia="宋体" w:cs="Times New Roman"/>
                <w:b w:val="0"/>
                <w:bCs w:val="0"/>
                <w:i w:val="0"/>
                <w:iCs w:val="0"/>
                <w:smallCaps w:val="0"/>
                <w:color w:val="000000"/>
                <w:kern w:val="0"/>
                <w:sz w:val="18"/>
                <w:szCs w:val="18"/>
                <w:lang w:val="en-US" w:eastAsia="zh-CN"/>
              </w:rPr>
              <w:t>0</w:t>
            </w: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5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3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12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r>
      <w:bookmarkEnd w:id="125"/>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9066" w:type="dxa"/>
            <w:gridSpan w:val="13"/>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注：本表反映部门本年度财政拨款</w:t>
            </w:r>
            <w:r>
              <w:rPr>
                <w:rFonts w:ascii="Times New Roman" w:hAnsi="Times New Roman" w:eastAsia="Times New Roman" w:cs="Times New Roman"/>
                <w:b w:val="0"/>
                <w:bCs w:val="0"/>
                <w:i w:val="0"/>
                <w:iCs w:val="0"/>
                <w:smallCaps w:val="0"/>
                <w:color w:val="000000"/>
                <w:kern w:val="0"/>
                <w:sz w:val="18"/>
                <w:szCs w:val="18"/>
              </w:rPr>
              <w:t>“</w:t>
            </w:r>
            <w:r>
              <w:rPr>
                <w:b w:val="0"/>
                <w:bCs w:val="0"/>
                <w:i w:val="0"/>
                <w:iCs w:val="0"/>
                <w:smallCaps w:val="0"/>
                <w:color w:val="000000"/>
                <w:kern w:val="0"/>
                <w:sz w:val="18"/>
                <w:szCs w:val="18"/>
              </w:rPr>
              <w:t>三公</w:t>
            </w:r>
            <w:r>
              <w:rPr>
                <w:rFonts w:ascii="Times New Roman" w:hAnsi="Times New Roman" w:eastAsia="Times New Roman" w:cs="Times New Roman"/>
                <w:b w:val="0"/>
                <w:bCs w:val="0"/>
                <w:i w:val="0"/>
                <w:iCs w:val="0"/>
                <w:smallCaps w:val="0"/>
                <w:color w:val="000000"/>
                <w:kern w:val="0"/>
                <w:sz w:val="18"/>
                <w:szCs w:val="18"/>
              </w:rPr>
              <w:t>”</w:t>
            </w:r>
            <w:r>
              <w:rPr>
                <w:b w:val="0"/>
                <w:bCs w:val="0"/>
                <w:i w:val="0"/>
                <w:iCs w:val="0"/>
                <w:smallCaps w:val="0"/>
                <w:color w:val="000000"/>
                <w:kern w:val="0"/>
                <w:sz w:val="18"/>
                <w:szCs w:val="18"/>
              </w:rPr>
              <w:t>经费支出预决算情况。其中，预算数为</w:t>
            </w:r>
            <w:r>
              <w:rPr>
                <w:rFonts w:ascii="Times New Roman" w:hAnsi="Times New Roman" w:eastAsia="Times New Roman" w:cs="Times New Roman"/>
                <w:b w:val="0"/>
                <w:bCs w:val="0"/>
                <w:i w:val="0"/>
                <w:iCs w:val="0"/>
                <w:smallCaps w:val="0"/>
                <w:color w:val="000000"/>
                <w:kern w:val="0"/>
                <w:sz w:val="18"/>
                <w:szCs w:val="18"/>
              </w:rPr>
              <w:t>“</w:t>
            </w:r>
            <w:r>
              <w:rPr>
                <w:b w:val="0"/>
                <w:bCs w:val="0"/>
                <w:i w:val="0"/>
                <w:iCs w:val="0"/>
                <w:smallCaps w:val="0"/>
                <w:color w:val="000000"/>
                <w:kern w:val="0"/>
                <w:sz w:val="18"/>
                <w:szCs w:val="18"/>
              </w:rPr>
              <w:t>三公</w:t>
            </w:r>
            <w:r>
              <w:rPr>
                <w:rFonts w:ascii="Times New Roman" w:hAnsi="Times New Roman" w:eastAsia="Times New Roman" w:cs="Times New Roman"/>
                <w:b w:val="0"/>
                <w:bCs w:val="0"/>
                <w:i w:val="0"/>
                <w:iCs w:val="0"/>
                <w:smallCaps w:val="0"/>
                <w:color w:val="000000"/>
                <w:kern w:val="0"/>
                <w:sz w:val="18"/>
                <w:szCs w:val="18"/>
              </w:rPr>
              <w:t>”</w:t>
            </w:r>
            <w:r>
              <w:rPr>
                <w:b w:val="0"/>
                <w:bCs w:val="0"/>
                <w:i w:val="0"/>
                <w:iCs w:val="0"/>
                <w:smallCaps w:val="0"/>
                <w:color w:val="000000"/>
                <w:kern w:val="0"/>
                <w:sz w:val="18"/>
                <w:szCs w:val="18"/>
              </w:rPr>
              <w:t>经费全年预算数，反映按规定程序调整后的预算数；决算数是包括当年财政拨款和以前年度结转资金安排的实际支出。</w:t>
            </w:r>
          </w:p>
        </w:tc>
      </w:tr>
    </w:tbl>
    <w:p>
      <w:pPr>
        <w:pStyle w:val="25"/>
        <w:widowControl/>
        <w:spacing w:before="100" w:after="100"/>
        <w:ind w:left="0" w:right="0" w:firstLine="640" w:firstLineChars="200"/>
        <w:jc w:val="left"/>
        <w:rPr>
          <w:rFonts w:ascii="宋体" w:hAnsi="宋体" w:cs="宋体"/>
          <w:kern w:val="0"/>
          <w:sz w:val="24"/>
        </w:rPr>
      </w:pPr>
      <w:r>
        <w:rPr>
          <w:rFonts w:hint="eastAsia" w:ascii="仿宋" w:hAnsi="仿宋" w:eastAsia="仿宋" w:cs="仿宋"/>
          <w:b w:val="0"/>
          <w:bCs w:val="0"/>
          <w:i w:val="0"/>
          <w:iCs w:val="0"/>
          <w:smallCaps w:val="0"/>
          <w:color w:val="000000"/>
          <w:kern w:val="0"/>
          <w:sz w:val="32"/>
          <w:szCs w:val="32"/>
          <w:lang w:eastAsia="zh-CN"/>
        </w:rPr>
        <w:t>本单位</w:t>
      </w:r>
      <w:r>
        <w:rPr>
          <w:rFonts w:hint="eastAsia" w:ascii="仿宋" w:hAnsi="仿宋" w:eastAsia="仿宋" w:cs="仿宋"/>
          <w:b w:val="0"/>
          <w:bCs w:val="0"/>
          <w:i w:val="0"/>
          <w:iCs w:val="0"/>
          <w:smallCaps w:val="0"/>
          <w:color w:val="000000"/>
          <w:kern w:val="0"/>
          <w:sz w:val="32"/>
          <w:szCs w:val="32"/>
          <w:lang w:val="en-US" w:eastAsia="zh-CN"/>
        </w:rPr>
        <w:t>2024年度没有使用一般公共预算财政拨款安排的“三公”经费支出。</w:t>
      </w:r>
    </w:p>
    <w:p>
      <w:pPr>
        <w:pStyle w:val="2"/>
        <w:sectPr>
          <w:footerReference r:id="rId6" w:type="default"/>
          <w:pgSz w:w="11906" w:h="16383"/>
          <w:pgMar w:top="720" w:right="1440" w:bottom="720" w:left="1440" w:header="720" w:footer="720" w:gutter="0"/>
          <w:cols w:space="0" w:num="1"/>
          <w:docGrid w:linePitch="0" w:charSpace="0"/>
        </w:sectPr>
      </w:pPr>
    </w:p>
    <w:p>
      <w:pPr>
        <w:pStyle w:val="6"/>
        <w:spacing w:before="100" w:after="100" w:line="240" w:lineRule="auto"/>
        <w:ind w:left="0" w:right="0" w:firstLine="0" w:firstLineChars="0"/>
        <w:rPr>
          <w:rFonts w:ascii="Times New Roman" w:hAnsi="Times New Roman" w:eastAsia="Times New Roman" w:cs="Times New Roman"/>
          <w:b/>
          <w:bCs/>
          <w:kern w:val="0"/>
          <w:sz w:val="32"/>
          <w:szCs w:val="32"/>
        </w:rPr>
      </w:pPr>
      <w:bookmarkStart w:id="57" w:name="_Toc256000107"/>
      <w:bookmarkStart w:id="58" w:name="_Toc256000076"/>
      <w:bookmarkStart w:id="59" w:name="_Toc256000045"/>
      <w:bookmarkStart w:id="60" w:name="_Toc256000014"/>
      <w:r>
        <w:rPr>
          <w:rFonts w:ascii="黑体" w:hAnsi="黑体" w:eastAsia="黑体" w:cs="黑体"/>
          <w:b/>
          <w:bCs/>
          <w:spacing w:val="0"/>
          <w:sz w:val="32"/>
          <w:szCs w:val="32"/>
        </w:rPr>
        <w:t>八、政府性基金预算财政拨款收入支出决算表</w:t>
      </w:r>
      <w:bookmarkEnd w:id="57"/>
      <w:bookmarkEnd w:id="58"/>
      <w:bookmarkEnd w:id="59"/>
      <w:bookmarkEnd w:id="60"/>
    </w:p>
    <w:p>
      <w:pPr>
        <w:rPr>
          <w:b w:val="0"/>
          <w:bCs w:val="0"/>
          <w:sz w:val="32"/>
          <w:szCs w:val="32"/>
        </w:rPr>
      </w:pPr>
    </w:p>
    <w:tbl>
      <w:tblPr>
        <w:tblStyle w:val="23"/>
        <w:tblW w:w="9066"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133"/>
        <w:gridCol w:w="1133"/>
        <w:gridCol w:w="1133"/>
        <w:gridCol w:w="1134"/>
        <w:gridCol w:w="1133"/>
        <w:gridCol w:w="1133"/>
        <w:gridCol w:w="900"/>
        <w:gridCol w:w="13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9066" w:type="dxa"/>
            <w:gridSpan w:val="8"/>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32"/>
                <w:szCs w:val="32"/>
              </w:rPr>
              <w:t>政府性基金预算财政拨款收入支出决算表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13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0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6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4533" w:type="dxa"/>
            <w:gridSpan w:val="4"/>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b w:val="0"/>
                <w:bCs w:val="0"/>
                <w:i w:val="0"/>
                <w:iCs w:val="0"/>
                <w:smallCaps w:val="0"/>
                <w:color w:val="000000"/>
                <w:kern w:val="0"/>
                <w:sz w:val="18"/>
                <w:szCs w:val="18"/>
              </w:rPr>
              <w:t>单位：厦门市湖里区教师进修学校第二附属小学</w:t>
            </w:r>
          </w:p>
        </w:tc>
        <w:tc>
          <w:tcPr>
            <w:tcW w:w="113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b w:val="0"/>
                <w:bCs w:val="0"/>
                <w:i w:val="0"/>
                <w:iCs w:val="0"/>
                <w:smallCaps w:val="0"/>
                <w:color w:val="000000"/>
                <w:kern w:val="0"/>
                <w:sz w:val="18"/>
                <w:szCs w:val="18"/>
              </w:rPr>
              <w:t>年度</w:t>
            </w:r>
          </w:p>
        </w:tc>
        <w:tc>
          <w:tcPr>
            <w:tcW w:w="113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0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6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226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项目</w:t>
            </w:r>
          </w:p>
        </w:tc>
        <w:tc>
          <w:tcPr>
            <w:tcW w:w="113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年初结转和结余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113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本年收入</w:t>
            </w:r>
          </w:p>
        </w:tc>
        <w:tc>
          <w:tcPr>
            <w:tcW w:w="316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本年支出</w:t>
            </w:r>
          </w:p>
        </w:tc>
        <w:tc>
          <w:tcPr>
            <w:tcW w:w="136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13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支出功能分类科目编码</w:t>
            </w:r>
          </w:p>
        </w:tc>
        <w:tc>
          <w:tcPr>
            <w:tcW w:w="113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科目名称</w:t>
            </w: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小计</w:t>
            </w:r>
          </w:p>
        </w:tc>
        <w:tc>
          <w:tcPr>
            <w:tcW w:w="113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基本支出</w:t>
            </w:r>
            <w:r>
              <w:rPr>
                <w:rFonts w:ascii="Times New Roman" w:hAnsi="Times New Roman" w:eastAsia="Times New Roman" w:cs="Times New Roman"/>
                <w:b w:val="0"/>
                <w:bCs w:val="0"/>
                <w:i w:val="0"/>
                <w:iCs w:val="0"/>
                <w:smallCaps w:val="0"/>
                <w:color w:val="000000"/>
                <w:kern w:val="0"/>
                <w:sz w:val="18"/>
                <w:szCs w:val="18"/>
              </w:rPr>
              <w:t xml:space="preserve"> </w:t>
            </w:r>
          </w:p>
        </w:tc>
        <w:tc>
          <w:tcPr>
            <w:tcW w:w="90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项目支出</w:t>
            </w:r>
          </w:p>
        </w:tc>
        <w:tc>
          <w:tcPr>
            <w:tcW w:w="136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0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6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26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栏次</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1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13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26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合计</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9066" w:type="dxa"/>
            <w:gridSpan w:val="8"/>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注：本表反映部门本年度政府性基金预算财政拨款收入、支出及结转和结余情况。</w:t>
            </w:r>
          </w:p>
        </w:tc>
      </w:tr>
    </w:tbl>
    <w:p>
      <w:pPr>
        <w:pStyle w:val="2"/>
      </w:pPr>
    </w:p>
    <w:p>
      <w:pPr>
        <w:pStyle w:val="25"/>
        <w:widowControl/>
        <w:numPr>
          <w:ilvl w:val="0"/>
          <w:numId w:val="0"/>
        </w:numPr>
        <w:spacing w:before="240" w:after="240"/>
        <w:ind w:firstLine="640" w:firstLineChars="200"/>
        <w:jc w:val="both"/>
        <w:rPr>
          <w:rFonts w:hint="eastAsia" w:ascii="仿宋" w:hAnsi="仿宋" w:eastAsia="仿宋" w:cs="仿宋"/>
          <w:kern w:val="0"/>
          <w:sz w:val="32"/>
          <w:szCs w:val="32"/>
          <w:lang w:eastAsia="zh-CN"/>
        </w:rPr>
      </w:pPr>
      <w:r>
        <w:rPr>
          <w:rFonts w:hint="eastAsia" w:ascii="仿宋" w:hAnsi="仿宋" w:eastAsia="仿宋" w:cs="仿宋"/>
          <w:kern w:val="0"/>
          <w:sz w:val="32"/>
          <w:szCs w:val="32"/>
        </w:rPr>
        <w:t>本</w:t>
      </w:r>
      <w:r>
        <w:rPr>
          <w:rFonts w:hint="eastAsia" w:ascii="仿宋" w:hAnsi="仿宋" w:eastAsia="仿宋" w:cs="仿宋"/>
          <w:kern w:val="0"/>
          <w:sz w:val="32"/>
          <w:szCs w:val="32"/>
          <w:lang w:eastAsia="zh-CN"/>
        </w:rPr>
        <w:t>单位</w:t>
      </w: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4</w:t>
      </w:r>
      <w:r>
        <w:rPr>
          <w:rFonts w:hint="eastAsia" w:ascii="仿宋" w:hAnsi="仿宋" w:eastAsia="仿宋" w:cs="仿宋"/>
          <w:kern w:val="0"/>
          <w:sz w:val="32"/>
          <w:szCs w:val="32"/>
        </w:rPr>
        <w:t>年度没有使用政府性基金预算拨款安排的收支</w:t>
      </w:r>
      <w:r>
        <w:rPr>
          <w:rFonts w:hint="eastAsia" w:ascii="仿宋" w:hAnsi="仿宋" w:eastAsia="仿宋" w:cs="仿宋"/>
          <w:kern w:val="0"/>
          <w:sz w:val="32"/>
          <w:szCs w:val="32"/>
          <w:lang w:eastAsia="zh-CN"/>
        </w:rPr>
        <w:t>。</w:t>
      </w:r>
    </w:p>
    <w:p>
      <w:pPr>
        <w:pStyle w:val="2"/>
      </w:pPr>
    </w:p>
    <w:p>
      <w:pPr>
        <w:pStyle w:val="25"/>
        <w:widowControl/>
        <w:spacing w:before="100" w:after="100"/>
        <w:ind w:left="0" w:right="0" w:firstLine="480"/>
        <w:jc w:val="left"/>
        <w:rPr>
          <w:rFonts w:ascii="Times New Roman" w:hAnsi="Times New Roman" w:eastAsia="Times New Roman" w:cs="Times New Roman"/>
          <w:b/>
          <w:bCs/>
          <w:kern w:val="0"/>
          <w:sz w:val="32"/>
          <w:szCs w:val="32"/>
        </w:rPr>
      </w:pPr>
      <w:r>
        <w:rPr>
          <w:rFonts w:ascii="Times New Roman" w:hAnsi="Times New Roman" w:eastAsia="Times New Roman" w:cs="Times New Roman"/>
          <w:b/>
          <w:bCs/>
          <w:spacing w:val="0"/>
          <w:kern w:val="0"/>
          <w:sz w:val="32"/>
          <w:szCs w:val="32"/>
        </w:rPr>
        <w:t> </w:t>
      </w:r>
    </w:p>
    <w:p>
      <w:pPr>
        <w:pStyle w:val="6"/>
        <w:spacing w:before="100" w:after="100" w:line="240" w:lineRule="auto"/>
        <w:ind w:left="0" w:right="0" w:firstLine="0" w:firstLineChars="0"/>
        <w:rPr>
          <w:rFonts w:ascii="Times New Roman" w:hAnsi="Times New Roman" w:eastAsia="Times New Roman" w:cs="Times New Roman"/>
          <w:b/>
          <w:bCs/>
          <w:kern w:val="0"/>
          <w:sz w:val="32"/>
          <w:szCs w:val="32"/>
        </w:rPr>
      </w:pPr>
      <w:bookmarkStart w:id="61" w:name="_Toc256000015"/>
      <w:bookmarkStart w:id="62" w:name="_Toc256000077"/>
      <w:bookmarkStart w:id="63" w:name="_Toc256000046"/>
      <w:bookmarkStart w:id="64" w:name="_Toc256000108"/>
      <w:r>
        <w:rPr>
          <w:rFonts w:ascii="黑体" w:hAnsi="黑体" w:eastAsia="黑体" w:cs="黑体"/>
          <w:b/>
          <w:bCs/>
          <w:spacing w:val="0"/>
          <w:sz w:val="32"/>
          <w:szCs w:val="32"/>
        </w:rPr>
        <w:t>九、国有资本经营预算财政拨款支出决算表</w:t>
      </w:r>
      <w:bookmarkEnd w:id="61"/>
      <w:bookmarkEnd w:id="62"/>
      <w:bookmarkEnd w:id="63"/>
      <w:bookmarkEnd w:id="64"/>
    </w:p>
    <w:p>
      <w:pPr>
        <w:rPr>
          <w:b w:val="0"/>
          <w:bCs w:val="0"/>
          <w:sz w:val="32"/>
          <w:szCs w:val="32"/>
        </w:rPr>
      </w:pPr>
    </w:p>
    <w:tbl>
      <w:tblPr>
        <w:tblStyle w:val="23"/>
        <w:tblW w:w="9066"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813"/>
        <w:gridCol w:w="2604"/>
        <w:gridCol w:w="1022"/>
        <w:gridCol w:w="1660"/>
        <w:gridCol w:w="19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9066" w:type="dxa"/>
            <w:gridSpan w:val="5"/>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32"/>
                <w:szCs w:val="32"/>
              </w:rPr>
              <w:t>国有资本经营预算财政拨款支出决算表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81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60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2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66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96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4417"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b w:val="0"/>
                <w:bCs w:val="0"/>
                <w:i w:val="0"/>
                <w:iCs w:val="0"/>
                <w:smallCaps w:val="0"/>
                <w:color w:val="000000"/>
                <w:kern w:val="0"/>
                <w:sz w:val="18"/>
                <w:szCs w:val="18"/>
              </w:rPr>
              <w:t>单位：厦门市湖里区教师进修学校第二附属小学</w:t>
            </w:r>
          </w:p>
        </w:tc>
        <w:tc>
          <w:tcPr>
            <w:tcW w:w="102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b w:val="0"/>
                <w:bCs w:val="0"/>
                <w:i w:val="0"/>
                <w:iCs w:val="0"/>
                <w:smallCaps w:val="0"/>
                <w:color w:val="000000"/>
                <w:kern w:val="0"/>
                <w:sz w:val="18"/>
                <w:szCs w:val="18"/>
              </w:rPr>
              <w:t>年度</w:t>
            </w:r>
          </w:p>
        </w:tc>
        <w:tc>
          <w:tcPr>
            <w:tcW w:w="166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96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4417"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项目</w:t>
            </w:r>
          </w:p>
        </w:tc>
        <w:tc>
          <w:tcPr>
            <w:tcW w:w="464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81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科目代码</w:t>
            </w:r>
          </w:p>
        </w:tc>
        <w:tc>
          <w:tcPr>
            <w:tcW w:w="260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科目名称</w:t>
            </w:r>
          </w:p>
        </w:tc>
        <w:tc>
          <w:tcPr>
            <w:tcW w:w="102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合计</w:t>
            </w:r>
          </w:p>
        </w:tc>
        <w:tc>
          <w:tcPr>
            <w:tcW w:w="166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基本支出</w:t>
            </w:r>
          </w:p>
        </w:tc>
        <w:tc>
          <w:tcPr>
            <w:tcW w:w="196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260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66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96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260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66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96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4417"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栏次</w:t>
            </w:r>
          </w:p>
        </w:tc>
        <w:tc>
          <w:tcPr>
            <w:tcW w:w="10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6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9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4417"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合计</w:t>
            </w:r>
          </w:p>
        </w:tc>
        <w:tc>
          <w:tcPr>
            <w:tcW w:w="10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6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9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8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6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6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9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9066" w:type="dxa"/>
            <w:gridSpan w:val="5"/>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注：本表反映部门本年度国有资本经营预算财政拨款支出情况。</w:t>
            </w:r>
          </w:p>
        </w:tc>
      </w:tr>
    </w:tbl>
    <w:p>
      <w:pPr>
        <w:pStyle w:val="25"/>
        <w:widowControl/>
        <w:spacing w:before="240" w:after="240"/>
        <w:ind w:firstLine="640" w:firstLineChars="200"/>
        <w:jc w:val="both"/>
        <w:rPr>
          <w:b w:val="0"/>
          <w:bCs w:val="0"/>
          <w:sz w:val="32"/>
          <w:szCs w:val="32"/>
        </w:rPr>
        <w:sectPr>
          <w:footerReference r:id="rId7" w:type="default"/>
          <w:pgSz w:w="11906" w:h="16383"/>
          <w:pgMar w:top="720" w:right="1440" w:bottom="720" w:left="1440" w:header="720" w:footer="720" w:gutter="0"/>
          <w:cols w:space="0" w:num="1"/>
          <w:docGrid w:linePitch="0" w:charSpace="0"/>
        </w:sectPr>
      </w:pPr>
      <w:r>
        <w:rPr>
          <w:rFonts w:hint="eastAsia" w:ascii="仿宋" w:hAnsi="仿宋" w:eastAsia="仿宋" w:cs="仿宋"/>
          <w:kern w:val="0"/>
          <w:sz w:val="32"/>
          <w:szCs w:val="32"/>
        </w:rPr>
        <w:t>本</w:t>
      </w:r>
      <w:r>
        <w:rPr>
          <w:rFonts w:hint="eastAsia" w:ascii="仿宋" w:hAnsi="仿宋" w:eastAsia="仿宋" w:cs="仿宋"/>
          <w:kern w:val="0"/>
          <w:sz w:val="32"/>
          <w:szCs w:val="32"/>
          <w:lang w:eastAsia="zh-CN"/>
        </w:rPr>
        <w:t>单位</w:t>
      </w: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4</w:t>
      </w:r>
      <w:r>
        <w:rPr>
          <w:rFonts w:hint="eastAsia" w:ascii="仿宋" w:hAnsi="仿宋" w:eastAsia="仿宋" w:cs="仿宋"/>
          <w:kern w:val="0"/>
          <w:sz w:val="32"/>
          <w:szCs w:val="32"/>
        </w:rPr>
        <w:t>年度没有使用国有资本经营预算财政拨款安排的</w:t>
      </w:r>
      <w:r>
        <w:rPr>
          <w:rFonts w:hint="eastAsia" w:ascii="仿宋" w:hAnsi="仿宋" w:eastAsia="仿宋" w:cs="仿宋"/>
          <w:kern w:val="0"/>
          <w:sz w:val="32"/>
          <w:szCs w:val="32"/>
          <w:lang w:eastAsia="zh-CN"/>
        </w:rPr>
        <w:t>支出。</w:t>
      </w:r>
    </w:p>
    <w:p>
      <w:pPr>
        <w:pStyle w:val="2"/>
        <w:sectPr>
          <w:footerReference r:id="rId8" w:type="default"/>
          <w:type w:val="continuous"/>
          <w:pgSz w:w="11906" w:h="16383"/>
          <w:pgMar w:top="720" w:right="1440" w:bottom="720" w:left="1440" w:header="720" w:footer="720" w:gutter="0"/>
          <w:cols w:space="0" w:num="1"/>
          <w:rtlGutter w:val="0"/>
          <w:docGrid w:linePitch="0" w:charSpace="0"/>
        </w:sectPr>
      </w:pPr>
    </w:p>
    <w:p>
      <w:pPr>
        <w:pStyle w:val="4"/>
        <w:spacing w:before="100" w:after="100" w:line="240" w:lineRule="auto"/>
        <w:ind w:left="0" w:right="0" w:firstLine="360" w:firstLineChars="100"/>
        <w:jc w:val="center"/>
        <w:rPr>
          <w:rFonts w:ascii="Times New Roman" w:hAnsi="Times New Roman" w:eastAsia="Times New Roman" w:cs="Times New Roman"/>
          <w:b w:val="0"/>
          <w:bCs w:val="0"/>
          <w:kern w:val="0"/>
          <w:sz w:val="36"/>
          <w:szCs w:val="36"/>
        </w:rPr>
      </w:pPr>
      <w:bookmarkStart w:id="65" w:name="_Toc256000078"/>
      <w:bookmarkStart w:id="66" w:name="_Toc256000047"/>
      <w:bookmarkStart w:id="67" w:name="_Toc256000016"/>
      <w:bookmarkStart w:id="68" w:name="_Toc256000109"/>
      <w:r>
        <w:rPr>
          <w:rFonts w:ascii="黑体" w:hAnsi="黑体" w:eastAsia="黑体" w:cs="黑体"/>
          <w:b w:val="0"/>
          <w:bCs w:val="0"/>
          <w:spacing w:val="0"/>
          <w:sz w:val="36"/>
          <w:szCs w:val="36"/>
        </w:rPr>
        <w:t>第三部分</w:t>
      </w:r>
      <w:bookmarkEnd w:id="65"/>
      <w:bookmarkEnd w:id="66"/>
      <w:bookmarkEnd w:id="67"/>
      <w:bookmarkEnd w:id="68"/>
      <w:bookmarkStart w:id="69" w:name="_Toc256000017"/>
      <w:bookmarkStart w:id="70" w:name="_Toc256000079"/>
      <w:bookmarkStart w:id="71" w:name="_Toc256000048"/>
      <w:bookmarkStart w:id="72" w:name="_Toc256000110"/>
      <w:r>
        <w:rPr>
          <w:rFonts w:hint="eastAsia" w:ascii="黑体" w:hAnsi="黑体" w:eastAsia="黑体" w:cs="黑体"/>
          <w:b w:val="0"/>
          <w:bCs w:val="0"/>
          <w:spacing w:val="0"/>
          <w:sz w:val="36"/>
          <w:szCs w:val="36"/>
          <w:lang w:val="en-US" w:eastAsia="zh-CN"/>
        </w:rPr>
        <w:t xml:space="preserve">  </w:t>
      </w:r>
      <w:r>
        <w:rPr>
          <w:rFonts w:ascii="黑体" w:hAnsi="黑体" w:eastAsia="黑体" w:cs="黑体"/>
          <w:b w:val="0"/>
          <w:bCs w:val="0"/>
          <w:spacing w:val="0"/>
          <w:sz w:val="36"/>
          <w:szCs w:val="36"/>
        </w:rPr>
        <w:t>2024年度决算情况说明</w:t>
      </w:r>
      <w:bookmarkEnd w:id="69"/>
      <w:bookmarkEnd w:id="70"/>
      <w:bookmarkEnd w:id="71"/>
      <w:bookmarkEnd w:id="72"/>
    </w:p>
    <w:p>
      <w:pPr>
        <w:widowControl/>
        <w:spacing w:before="240" w:after="240"/>
        <w:jc w:val="left"/>
        <w:rPr>
          <w:rFonts w:ascii="Times New Roman" w:hAnsi="Times New Roman" w:eastAsia="Times New Roman" w:cs="Times New Roman"/>
          <w:kern w:val="0"/>
          <w:sz w:val="24"/>
        </w:rPr>
      </w:pPr>
    </w:p>
    <w:p>
      <w:pPr>
        <w:pStyle w:val="6"/>
        <w:spacing w:before="100" w:after="100" w:line="600" w:lineRule="atLeast"/>
        <w:ind w:left="0" w:right="0" w:firstLine="640" w:firstLineChars="0"/>
        <w:rPr>
          <w:rFonts w:ascii="Times New Roman" w:hAnsi="Times New Roman" w:eastAsia="Times New Roman" w:cs="Times New Roman"/>
          <w:b/>
          <w:bCs/>
          <w:kern w:val="0"/>
          <w:sz w:val="28"/>
          <w:szCs w:val="28"/>
        </w:rPr>
      </w:pPr>
      <w:bookmarkStart w:id="73" w:name="_Toc256000080"/>
      <w:bookmarkStart w:id="74" w:name="_Toc256000049"/>
      <w:bookmarkStart w:id="75" w:name="_Toc256000018"/>
      <w:bookmarkStart w:id="76" w:name="_Toc256000111"/>
      <w:r>
        <w:rPr>
          <w:rFonts w:ascii="黑体" w:hAnsi="黑体" w:eastAsia="黑体" w:cs="黑体"/>
          <w:b/>
          <w:spacing w:val="0"/>
        </w:rPr>
        <w:t>一、收入支出决算总体情况说明</w:t>
      </w:r>
      <w:bookmarkEnd w:id="73"/>
      <w:bookmarkEnd w:id="74"/>
      <w:bookmarkEnd w:id="75"/>
      <w:bookmarkEnd w:id="76"/>
    </w:p>
    <w:p>
      <w:pPr>
        <w:pStyle w:val="25"/>
        <w:widowControl/>
        <w:spacing w:before="100" w:after="100" w:line="600" w:lineRule="atLeast"/>
        <w:ind w:left="0" w:right="0" w:firstLine="640"/>
        <w:jc w:val="left"/>
        <w:rPr>
          <w:rFonts w:hint="eastAsia" w:ascii="楷体" w:hAnsi="楷体" w:eastAsia="楷体" w:cs="楷体"/>
          <w:kern w:val="0"/>
          <w:sz w:val="32"/>
          <w:szCs w:val="32"/>
        </w:rPr>
      </w:pPr>
      <w:r>
        <w:rPr>
          <w:rFonts w:hint="eastAsia" w:ascii="楷体" w:hAnsi="楷体" w:eastAsia="楷体" w:cs="楷体"/>
          <w:spacing w:val="0"/>
          <w:kern w:val="0"/>
          <w:sz w:val="32"/>
          <w:szCs w:val="32"/>
        </w:rPr>
        <w:t>（一）收入支出决算总体情况说明</w:t>
      </w:r>
    </w:p>
    <w:p>
      <w:pPr>
        <w:pStyle w:val="25"/>
        <w:widowControl/>
        <w:spacing w:before="100" w:after="100" w:line="600" w:lineRule="atLeast"/>
        <w:ind w:left="0" w:right="0" w:firstLine="640"/>
        <w:jc w:val="left"/>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rPr>
        <w:t>2024年度本单位收入总计3909.69万元，支出总计3909.69万元，与上年决算数相比，各增加105.28万元，各增长2.62%。主要是</w:t>
      </w:r>
      <w:r>
        <w:rPr>
          <w:rFonts w:hint="eastAsia" w:ascii="仿宋" w:hAnsi="仿宋" w:eastAsia="仿宋" w:cs="仿宋"/>
          <w:spacing w:val="0"/>
          <w:kern w:val="0"/>
          <w:sz w:val="32"/>
          <w:szCs w:val="32"/>
          <w:lang w:eastAsia="zh-CN"/>
        </w:rPr>
        <w:t>教师住房货币化补贴等增加。</w:t>
      </w:r>
    </w:p>
    <w:p>
      <w:pPr>
        <w:pStyle w:val="25"/>
        <w:widowControl/>
        <w:spacing w:before="100" w:after="100" w:line="600" w:lineRule="atLeast"/>
        <w:ind w:left="0" w:right="0" w:firstLine="640"/>
        <w:jc w:val="left"/>
        <w:rPr>
          <w:rFonts w:hint="eastAsia" w:ascii="楷体" w:hAnsi="楷体" w:eastAsia="楷体" w:cs="楷体"/>
          <w:kern w:val="0"/>
          <w:sz w:val="32"/>
          <w:szCs w:val="32"/>
        </w:rPr>
      </w:pPr>
      <w:r>
        <w:rPr>
          <w:rFonts w:hint="eastAsia" w:ascii="楷体" w:hAnsi="楷体" w:eastAsia="楷体" w:cs="楷体"/>
          <w:spacing w:val="0"/>
          <w:kern w:val="0"/>
          <w:sz w:val="32"/>
          <w:szCs w:val="32"/>
        </w:rPr>
        <w:t>（二）收入决算情况说明</w:t>
      </w:r>
    </w:p>
    <w:p>
      <w:pPr>
        <w:pStyle w:val="25"/>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2024年度收入3909.69万元，比上年决算数</w:t>
      </w:r>
      <w:r>
        <w:rPr>
          <w:rFonts w:ascii="仿宋" w:hAnsi="仿宋" w:eastAsia="仿宋" w:cs="仿宋"/>
          <w:kern w:val="0"/>
          <w:sz w:val="32"/>
          <w:szCs w:val="32"/>
        </w:rPr>
        <w:t>增加</w:t>
      </w:r>
      <w:r>
        <w:rPr>
          <w:rFonts w:ascii="仿宋" w:hAnsi="仿宋" w:eastAsia="仿宋" w:cs="仿宋"/>
          <w:spacing w:val="0"/>
          <w:kern w:val="0"/>
          <w:sz w:val="32"/>
          <w:szCs w:val="32"/>
        </w:rPr>
        <w:t>105.28万元，</w:t>
      </w:r>
      <w:r>
        <w:rPr>
          <w:rFonts w:ascii="仿宋" w:hAnsi="仿宋" w:eastAsia="仿宋" w:cs="仿宋"/>
          <w:kern w:val="0"/>
          <w:sz w:val="32"/>
          <w:szCs w:val="32"/>
        </w:rPr>
        <w:t>增长</w:t>
      </w:r>
      <w:r>
        <w:rPr>
          <w:rFonts w:ascii="仿宋" w:hAnsi="仿宋" w:eastAsia="仿宋" w:cs="仿宋"/>
          <w:spacing w:val="0"/>
          <w:kern w:val="0"/>
          <w:sz w:val="32"/>
          <w:szCs w:val="32"/>
        </w:rPr>
        <w:t>2.62%，具体情况如下：</w:t>
      </w:r>
    </w:p>
    <w:p>
      <w:pPr>
        <w:pStyle w:val="25"/>
        <w:widowControl/>
        <w:spacing w:before="100" w:after="100" w:line="600" w:lineRule="atLeast"/>
        <w:ind w:left="160" w:right="0" w:firstLine="480"/>
        <w:jc w:val="left"/>
        <w:rPr>
          <w:rFonts w:ascii="Times New Roman" w:hAnsi="Times New Roman" w:eastAsia="Times New Roman" w:cs="Times New Roman"/>
          <w:kern w:val="0"/>
          <w:sz w:val="24"/>
        </w:rPr>
      </w:pPr>
      <w:r>
        <w:rPr>
          <w:rFonts w:ascii="仿宋" w:hAnsi="仿宋" w:eastAsia="仿宋" w:cs="仿宋"/>
          <w:spacing w:val="0"/>
          <w:kern w:val="0"/>
          <w:sz w:val="32"/>
          <w:szCs w:val="32"/>
        </w:rPr>
        <w:t>1.一般公共预算财政拨款收入3909.69万元。</w:t>
      </w:r>
    </w:p>
    <w:p>
      <w:pPr>
        <w:pStyle w:val="25"/>
        <w:widowControl/>
        <w:spacing w:before="100" w:after="100" w:line="600" w:lineRule="atLeast"/>
        <w:ind w:left="160" w:right="0" w:firstLine="480"/>
        <w:jc w:val="left"/>
        <w:rPr>
          <w:rFonts w:ascii="Times New Roman" w:hAnsi="Times New Roman" w:eastAsia="Times New Roman" w:cs="Times New Roman"/>
          <w:kern w:val="0"/>
          <w:sz w:val="24"/>
        </w:rPr>
      </w:pPr>
      <w:r>
        <w:rPr>
          <w:rFonts w:ascii="仿宋" w:hAnsi="仿宋" w:eastAsia="仿宋" w:cs="仿宋"/>
          <w:spacing w:val="0"/>
          <w:kern w:val="0"/>
          <w:sz w:val="32"/>
          <w:szCs w:val="32"/>
        </w:rPr>
        <w:t>2.政府性基金预算财政拨款收入0万元。</w:t>
      </w:r>
    </w:p>
    <w:p>
      <w:pPr>
        <w:pStyle w:val="25"/>
        <w:widowControl/>
        <w:spacing w:before="100" w:after="100" w:line="600" w:lineRule="atLeast"/>
        <w:ind w:left="160" w:right="0" w:firstLine="480"/>
        <w:jc w:val="left"/>
        <w:rPr>
          <w:rFonts w:ascii="Times New Roman" w:hAnsi="Times New Roman" w:eastAsia="Times New Roman" w:cs="Times New Roman"/>
          <w:kern w:val="0"/>
          <w:sz w:val="24"/>
        </w:rPr>
      </w:pPr>
      <w:r>
        <w:rPr>
          <w:rFonts w:ascii="仿宋" w:hAnsi="仿宋" w:eastAsia="仿宋" w:cs="仿宋"/>
          <w:spacing w:val="0"/>
          <w:kern w:val="0"/>
          <w:sz w:val="32"/>
          <w:szCs w:val="32"/>
        </w:rPr>
        <w:t>3.国有资本经营预算财政拨款收入0万元。</w:t>
      </w:r>
    </w:p>
    <w:p>
      <w:pPr>
        <w:pStyle w:val="25"/>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4.上级补助收入0万元。</w:t>
      </w:r>
    </w:p>
    <w:p>
      <w:pPr>
        <w:pStyle w:val="25"/>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5.事业收入0万元。</w:t>
      </w:r>
    </w:p>
    <w:p>
      <w:pPr>
        <w:pStyle w:val="25"/>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6.经营收入0万元。</w:t>
      </w:r>
    </w:p>
    <w:p>
      <w:pPr>
        <w:pStyle w:val="25"/>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7.附属单位上缴收入0万元。</w:t>
      </w:r>
    </w:p>
    <w:p>
      <w:pPr>
        <w:pStyle w:val="25"/>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8.其他收入0万元。</w:t>
      </w:r>
    </w:p>
    <w:p>
      <w:pPr>
        <w:pStyle w:val="25"/>
        <w:widowControl/>
        <w:spacing w:before="100" w:after="100" w:line="600" w:lineRule="atLeast"/>
        <w:ind w:left="0" w:right="0" w:firstLine="640"/>
        <w:jc w:val="left"/>
        <w:rPr>
          <w:rFonts w:hint="eastAsia" w:ascii="楷体" w:hAnsi="楷体" w:eastAsia="楷体" w:cs="楷体"/>
          <w:kern w:val="0"/>
          <w:sz w:val="24"/>
        </w:rPr>
      </w:pPr>
      <w:r>
        <w:rPr>
          <w:rFonts w:hint="eastAsia" w:ascii="楷体" w:hAnsi="楷体" w:eastAsia="楷体" w:cs="楷体"/>
          <w:spacing w:val="0"/>
          <w:kern w:val="0"/>
          <w:sz w:val="32"/>
          <w:szCs w:val="32"/>
        </w:rPr>
        <w:t>（三）支出决算情况说明</w:t>
      </w:r>
    </w:p>
    <w:p>
      <w:pPr>
        <w:pStyle w:val="25"/>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2024年度支出3909.69万元，比上年决算数增加105.28万元，增长2.62%，具体情况如下：</w:t>
      </w:r>
    </w:p>
    <w:p>
      <w:pPr>
        <w:pStyle w:val="25"/>
        <w:widowControl/>
        <w:spacing w:before="100" w:after="100" w:line="600" w:lineRule="atLeast"/>
        <w:ind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1.基本支出3594.67万元。其中，人员支出3235.29万元，公用支出359.38万元。</w:t>
      </w:r>
    </w:p>
    <w:p>
      <w:pPr>
        <w:pStyle w:val="25"/>
        <w:widowControl/>
        <w:spacing w:before="240" w:after="240"/>
        <w:ind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2.项目支出315.03万元。</w:t>
      </w:r>
    </w:p>
    <w:p>
      <w:pPr>
        <w:pStyle w:val="25"/>
        <w:widowControl/>
        <w:spacing w:before="100" w:after="100" w:line="600" w:lineRule="atLeast"/>
        <w:ind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3.上缴上级支出0万元。</w:t>
      </w:r>
    </w:p>
    <w:p>
      <w:pPr>
        <w:pStyle w:val="25"/>
        <w:widowControl/>
        <w:spacing w:before="100" w:after="100" w:line="600" w:lineRule="atLeast"/>
        <w:ind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4.经营支出0万元。</w:t>
      </w:r>
    </w:p>
    <w:p>
      <w:pPr>
        <w:pStyle w:val="25"/>
        <w:widowControl/>
        <w:spacing w:before="100" w:after="100" w:line="600" w:lineRule="atLeast"/>
        <w:ind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5.对附属单位补助支出0万元。</w:t>
      </w:r>
    </w:p>
    <w:p>
      <w:pPr>
        <w:pStyle w:val="6"/>
        <w:spacing w:before="100" w:after="100" w:line="240" w:lineRule="auto"/>
        <w:ind w:left="0" w:right="0" w:firstLine="480" w:firstLineChars="0"/>
        <w:rPr>
          <w:rFonts w:ascii="Times New Roman" w:hAnsi="Times New Roman" w:eastAsia="Times New Roman" w:cs="Times New Roman"/>
          <w:b/>
          <w:bCs/>
          <w:kern w:val="0"/>
          <w:sz w:val="28"/>
          <w:szCs w:val="28"/>
        </w:rPr>
      </w:pPr>
      <w:bookmarkStart w:id="77" w:name="_Toc256000081"/>
      <w:bookmarkStart w:id="78" w:name="_Toc256000112"/>
      <w:bookmarkStart w:id="79" w:name="_Toc256000019"/>
      <w:bookmarkStart w:id="80" w:name="_Toc256000050"/>
      <w:r>
        <w:rPr>
          <w:rFonts w:ascii="黑体" w:hAnsi="黑体" w:eastAsia="黑体" w:cs="黑体"/>
          <w:b/>
          <w:spacing w:val="0"/>
        </w:rPr>
        <w:t>二、财政拨款收入支出决算总体情况说明</w:t>
      </w:r>
      <w:bookmarkEnd w:id="77"/>
      <w:bookmarkEnd w:id="78"/>
      <w:bookmarkEnd w:id="79"/>
      <w:bookmarkEnd w:id="80"/>
    </w:p>
    <w:p>
      <w:pPr>
        <w:pStyle w:val="25"/>
        <w:widowControl/>
        <w:spacing w:before="100" w:after="100" w:line="600" w:lineRule="atLeast"/>
        <w:ind w:left="0" w:right="0" w:firstLine="640"/>
        <w:jc w:val="left"/>
        <w:rPr>
          <w:rFonts w:hint="default" w:ascii="Times New Roman" w:hAnsi="Times New Roman" w:eastAsia="仿宋" w:cs="Times New Roman"/>
          <w:kern w:val="0"/>
          <w:sz w:val="24"/>
          <w:lang w:val="en-US" w:eastAsia="zh-CN"/>
        </w:rPr>
      </w:pPr>
      <w:r>
        <w:rPr>
          <w:rFonts w:ascii="仿宋" w:hAnsi="仿宋" w:eastAsia="仿宋" w:cs="仿宋"/>
          <w:spacing w:val="0"/>
          <w:kern w:val="0"/>
          <w:sz w:val="32"/>
          <w:szCs w:val="32"/>
        </w:rPr>
        <w:t>2024年度财政拨款收入总计3909.69万元，支出总计3909.69万元，与上年决算数相比，各增加105.28万元，增长2.62%，主要是：</w:t>
      </w:r>
      <w:r>
        <w:rPr>
          <w:rFonts w:hint="eastAsia" w:ascii="仿宋" w:hAnsi="仿宋" w:eastAsia="仿宋" w:cs="仿宋"/>
          <w:spacing w:val="0"/>
          <w:kern w:val="0"/>
          <w:sz w:val="32"/>
          <w:szCs w:val="32"/>
          <w:lang w:eastAsia="zh-CN"/>
        </w:rPr>
        <w:t>教师住房货币化补贴等支出增加。</w:t>
      </w:r>
    </w:p>
    <w:p>
      <w:pPr>
        <w:pStyle w:val="6"/>
        <w:spacing w:before="100" w:after="100" w:line="600" w:lineRule="atLeast"/>
        <w:ind w:left="0" w:right="0" w:firstLine="640" w:firstLineChars="0"/>
        <w:rPr>
          <w:rFonts w:ascii="Times New Roman" w:hAnsi="Times New Roman" w:eastAsia="Times New Roman" w:cs="Times New Roman"/>
          <w:b/>
          <w:bCs/>
          <w:kern w:val="0"/>
          <w:sz w:val="28"/>
          <w:szCs w:val="28"/>
        </w:rPr>
      </w:pPr>
      <w:bookmarkStart w:id="81" w:name="_Toc256000051"/>
      <w:bookmarkStart w:id="82" w:name="_Toc256000020"/>
      <w:bookmarkStart w:id="83" w:name="_Toc256000082"/>
      <w:bookmarkStart w:id="84" w:name="_Toc256000113"/>
      <w:r>
        <w:rPr>
          <w:rFonts w:ascii="黑体" w:hAnsi="黑体" w:eastAsia="黑体" w:cs="黑体"/>
          <w:b/>
          <w:spacing w:val="0"/>
        </w:rPr>
        <w:t>三、一般公共预算拨款支出决算情况说明</w:t>
      </w:r>
      <w:bookmarkEnd w:id="81"/>
      <w:bookmarkEnd w:id="82"/>
      <w:bookmarkEnd w:id="83"/>
      <w:bookmarkEnd w:id="84"/>
    </w:p>
    <w:p>
      <w:pPr>
        <w:pStyle w:val="25"/>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2024年一般公共预算支出3909.69万元，比上年决算数增加75.12万元，增长1.89%，具体情况如下(按</w:t>
      </w:r>
      <w:r>
        <w:rPr>
          <w:rStyle w:val="31"/>
          <w:rFonts w:ascii="仿宋" w:hAnsi="仿宋" w:eastAsia="仿宋" w:cs="仿宋"/>
          <w:spacing w:val="0"/>
          <w:kern w:val="0"/>
          <w:sz w:val="32"/>
          <w:szCs w:val="32"/>
        </w:rPr>
        <w:t>项级科目</w:t>
      </w:r>
      <w:r>
        <w:rPr>
          <w:rFonts w:ascii="仿宋" w:hAnsi="仿宋" w:eastAsia="仿宋" w:cs="仿宋"/>
          <w:spacing w:val="0"/>
          <w:kern w:val="0"/>
          <w:sz w:val="32"/>
          <w:szCs w:val="32"/>
        </w:rPr>
        <w:t>分类统计)：</w:t>
      </w:r>
    </w:p>
    <w:p>
      <w:pPr>
        <w:pStyle w:val="25"/>
        <w:keepNext w:val="0"/>
        <w:keepLines w:val="0"/>
        <w:pageBreakBefore w:val="0"/>
        <w:widowControl/>
        <w:kinsoku/>
        <w:wordWrap/>
        <w:overflowPunct/>
        <w:topLinePunct w:val="0"/>
        <w:autoSpaceDE/>
        <w:autoSpaceDN/>
        <w:bidi w:val="0"/>
        <w:adjustRightInd/>
        <w:snapToGrid/>
        <w:spacing w:before="100" w:after="100" w:line="600" w:lineRule="atLeast"/>
        <w:ind w:right="0" w:firstLine="640" w:firstLineChars="200"/>
        <w:jc w:val="left"/>
        <w:textAlignment w:val="auto"/>
        <w:rPr>
          <w:rFonts w:hint="eastAsia" w:ascii="仿宋" w:hAnsi="仿宋" w:eastAsia="仿宋" w:cs="仿宋"/>
          <w:spacing w:val="0"/>
          <w:kern w:val="0"/>
          <w:sz w:val="32"/>
          <w:szCs w:val="32"/>
          <w:lang w:val="en-US" w:eastAsia="zh-CN"/>
        </w:rPr>
      </w:pPr>
      <w:r>
        <w:rPr>
          <w:rFonts w:ascii="仿宋" w:hAnsi="仿宋" w:eastAsia="仿宋" w:cs="仿宋"/>
          <w:spacing w:val="0"/>
          <w:kern w:val="0"/>
          <w:sz w:val="32"/>
          <w:szCs w:val="32"/>
        </w:rPr>
        <w:t>（一）2049999 其他公共安全支出4.47万元，较上年决算数增加4.47万元，增长100%。主要原因是</w:t>
      </w:r>
      <w:r>
        <w:rPr>
          <w:rFonts w:hint="eastAsia" w:ascii="仿宋" w:hAnsi="仿宋" w:eastAsia="仿宋" w:cs="仿宋"/>
          <w:spacing w:val="0"/>
          <w:kern w:val="0"/>
          <w:sz w:val="32"/>
          <w:szCs w:val="32"/>
        </w:rPr>
        <w:t>学生交通安全提升行动计划</w:t>
      </w:r>
      <w:r>
        <w:rPr>
          <w:rFonts w:hint="eastAsia" w:ascii="仿宋" w:hAnsi="仿宋" w:eastAsia="仿宋" w:cs="仿宋"/>
          <w:spacing w:val="0"/>
          <w:kern w:val="0"/>
          <w:sz w:val="32"/>
          <w:szCs w:val="32"/>
          <w:lang w:val="en-US" w:eastAsia="zh-CN"/>
        </w:rPr>
        <w:t>经费增加。</w:t>
      </w:r>
      <w:r>
        <w:rPr>
          <w:rFonts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ascii="仿宋" w:hAnsi="仿宋" w:eastAsia="仿宋" w:cs="仿宋"/>
          <w:spacing w:val="0"/>
          <w:kern w:val="0"/>
          <w:sz w:val="32"/>
          <w:szCs w:val="32"/>
        </w:rPr>
        <w:t>（二）2050199 其他教育管理事务支出1.50万元，较上年决算数增加1.50万元，增长100%。主要原因是</w:t>
      </w:r>
      <w:r>
        <w:rPr>
          <w:rFonts w:hint="eastAsia" w:ascii="仿宋" w:hAnsi="仿宋" w:eastAsia="仿宋" w:cs="仿宋"/>
          <w:spacing w:val="0"/>
          <w:kern w:val="0"/>
          <w:sz w:val="32"/>
          <w:szCs w:val="32"/>
          <w:lang w:val="en-US" w:eastAsia="zh-CN"/>
        </w:rPr>
        <w:t>市级名师工作室经费增加。</w:t>
      </w:r>
      <w:r>
        <w:rPr>
          <w:rFonts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ascii="仿宋" w:hAnsi="仿宋" w:eastAsia="仿宋" w:cs="仿宋"/>
          <w:spacing w:val="0"/>
          <w:kern w:val="0"/>
          <w:sz w:val="32"/>
          <w:szCs w:val="32"/>
        </w:rPr>
        <w:t>（三）2050202 小学教育2,874.98万元，较上年决算数减少59.51万元，下降2.03%。主要原因是</w:t>
      </w:r>
      <w:r>
        <w:rPr>
          <w:rFonts w:hint="eastAsia" w:ascii="仿宋" w:hAnsi="仿宋" w:eastAsia="仿宋" w:cs="仿宋"/>
          <w:spacing w:val="0"/>
          <w:kern w:val="0"/>
          <w:sz w:val="32"/>
          <w:szCs w:val="32"/>
          <w:lang w:val="en-US" w:eastAsia="zh-CN"/>
        </w:rPr>
        <w:t>学生人数减少。</w:t>
      </w:r>
      <w:r>
        <w:rPr>
          <w:rFonts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ascii="仿宋" w:hAnsi="仿宋" w:eastAsia="仿宋" w:cs="仿宋"/>
          <w:spacing w:val="0"/>
          <w:kern w:val="0"/>
          <w:sz w:val="32"/>
          <w:szCs w:val="32"/>
        </w:rPr>
        <w:t>（四）2050299 其他普通教育支出237.06万元，较上年决算数增加12.75万元，增长5.68%。主要原因是</w:t>
      </w:r>
      <w:r>
        <w:rPr>
          <w:rFonts w:hint="eastAsia" w:ascii="仿宋" w:hAnsi="仿宋" w:eastAsia="仿宋" w:cs="仿宋"/>
          <w:color w:val="auto"/>
          <w:spacing w:val="0"/>
          <w:kern w:val="0"/>
          <w:sz w:val="32"/>
          <w:szCs w:val="32"/>
          <w:lang w:val="en-US" w:eastAsia="zh-CN"/>
        </w:rPr>
        <w:t>学生交通安全提升行动计划经费，小学片区教研活动经费增加</w:t>
      </w:r>
      <w:r>
        <w:rPr>
          <w:rFonts w:hint="eastAsia" w:ascii="仿宋" w:hAnsi="仿宋" w:eastAsia="仿宋" w:cs="仿宋"/>
          <w:spacing w:val="0"/>
          <w:kern w:val="0"/>
          <w:sz w:val="32"/>
          <w:szCs w:val="32"/>
          <w:lang w:val="en-US" w:eastAsia="zh-CN"/>
        </w:rPr>
        <w:t>。</w:t>
      </w:r>
      <w:r>
        <w:rPr>
          <w:rFonts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ascii="仿宋" w:hAnsi="仿宋" w:eastAsia="仿宋" w:cs="仿宋"/>
          <w:spacing w:val="0"/>
          <w:kern w:val="0"/>
          <w:sz w:val="32"/>
          <w:szCs w:val="32"/>
        </w:rPr>
        <w:t>（五）2050999 其他教育费附加安排的支出148.91万元，较上年决算数减少96.83万元，下降39.40%。主要原因是</w:t>
      </w:r>
      <w:r>
        <w:rPr>
          <w:rFonts w:hint="eastAsia" w:ascii="仿宋" w:hAnsi="仿宋" w:eastAsia="仿宋" w:cs="仿宋"/>
          <w:spacing w:val="0"/>
          <w:kern w:val="0"/>
          <w:sz w:val="32"/>
          <w:szCs w:val="32"/>
          <w:lang w:val="en-US" w:eastAsia="zh-CN"/>
        </w:rPr>
        <w:t>学校基建项目减少。</w:t>
      </w:r>
      <w:r>
        <w:rPr>
          <w:rFonts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ascii="仿宋" w:hAnsi="仿宋" w:eastAsia="仿宋" w:cs="仿宋"/>
          <w:spacing w:val="0"/>
          <w:kern w:val="0"/>
          <w:sz w:val="32"/>
          <w:szCs w:val="32"/>
        </w:rPr>
        <w:t>（六）2059999 其他教育支出0.30万元，较上年决算数减少0.18万元，下降37.50%。主要原因是</w:t>
      </w:r>
      <w:r>
        <w:rPr>
          <w:rFonts w:hint="eastAsia" w:ascii="仿宋" w:hAnsi="仿宋" w:eastAsia="仿宋" w:cs="仿宋"/>
          <w:spacing w:val="0"/>
          <w:kern w:val="0"/>
          <w:sz w:val="32"/>
          <w:szCs w:val="32"/>
        </w:rPr>
        <w:t>夏令营活动经费</w:t>
      </w:r>
      <w:r>
        <w:rPr>
          <w:rFonts w:hint="eastAsia" w:ascii="仿宋" w:hAnsi="仿宋" w:eastAsia="仿宋" w:cs="仿宋"/>
          <w:spacing w:val="0"/>
          <w:kern w:val="0"/>
          <w:sz w:val="32"/>
          <w:szCs w:val="32"/>
          <w:lang w:val="en-US" w:eastAsia="zh-CN"/>
        </w:rPr>
        <w:t>减少。</w:t>
      </w:r>
      <w:r>
        <w:rPr>
          <w:rFonts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ascii="仿宋" w:hAnsi="仿宋" w:eastAsia="仿宋" w:cs="仿宋"/>
          <w:spacing w:val="0"/>
          <w:kern w:val="0"/>
          <w:sz w:val="32"/>
          <w:szCs w:val="32"/>
        </w:rPr>
        <w:t>（七）2080502 事业单位离退休94.47万元，较上年决算数增加4.09万元，增长4.52%。主要原因是</w:t>
      </w:r>
      <w:r>
        <w:rPr>
          <w:rFonts w:hint="eastAsia" w:ascii="仿宋" w:hAnsi="仿宋" w:eastAsia="仿宋" w:cs="仿宋"/>
          <w:spacing w:val="0"/>
          <w:kern w:val="0"/>
          <w:sz w:val="32"/>
          <w:szCs w:val="32"/>
          <w:lang w:val="en-US" w:eastAsia="zh-CN"/>
        </w:rPr>
        <w:t>退休人员代发工资项目增加。</w:t>
      </w:r>
      <w:r>
        <w:rPr>
          <w:rFonts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ascii="仿宋" w:hAnsi="仿宋" w:eastAsia="仿宋" w:cs="仿宋"/>
          <w:spacing w:val="0"/>
          <w:kern w:val="0"/>
          <w:sz w:val="32"/>
          <w:szCs w:val="32"/>
        </w:rPr>
        <w:t>（八）2080505 机关事业单位基本养老保险缴费支出233.28万元，较上年决算数增加5.32万元，增长2.33%。主要原因是</w:t>
      </w:r>
      <w:r>
        <w:rPr>
          <w:rFonts w:hint="eastAsia" w:ascii="仿宋" w:hAnsi="仿宋" w:eastAsia="仿宋" w:cs="仿宋"/>
          <w:spacing w:val="0"/>
          <w:kern w:val="0"/>
          <w:sz w:val="32"/>
          <w:szCs w:val="32"/>
          <w:lang w:val="en-US" w:eastAsia="zh-CN"/>
        </w:rPr>
        <w:t>缴费基数增加。</w:t>
      </w:r>
      <w:r>
        <w:rPr>
          <w:rFonts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ascii="仿宋" w:hAnsi="仿宋" w:eastAsia="仿宋" w:cs="仿宋"/>
          <w:spacing w:val="0"/>
          <w:kern w:val="0"/>
          <w:sz w:val="32"/>
          <w:szCs w:val="32"/>
        </w:rPr>
        <w:t>（九）2080506 机关事业单位职业年金缴费支出125.47万元，较上年决算数增加11.49万元，增长10.08%。主要原因是</w:t>
      </w:r>
      <w:r>
        <w:rPr>
          <w:rFonts w:hint="eastAsia" w:ascii="仿宋" w:hAnsi="仿宋" w:eastAsia="仿宋" w:cs="仿宋"/>
          <w:spacing w:val="0"/>
          <w:kern w:val="0"/>
          <w:sz w:val="32"/>
          <w:szCs w:val="32"/>
          <w:lang w:val="en-US" w:eastAsia="zh-CN"/>
        </w:rPr>
        <w:t>缴费基数增加。</w:t>
      </w:r>
      <w:r>
        <w:rPr>
          <w:rFonts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ascii="仿宋" w:hAnsi="仿宋" w:eastAsia="仿宋" w:cs="仿宋"/>
          <w:spacing w:val="0"/>
          <w:kern w:val="0"/>
          <w:sz w:val="32"/>
          <w:szCs w:val="32"/>
        </w:rPr>
        <w:t>（十）2101102 事业单位医疗99.87万元，较上年决算数增加2.28万元，增长2.33%。主要原因是</w:t>
      </w:r>
      <w:r>
        <w:rPr>
          <w:rFonts w:hint="eastAsia" w:ascii="仿宋" w:hAnsi="仿宋" w:eastAsia="仿宋" w:cs="仿宋"/>
          <w:spacing w:val="0"/>
          <w:kern w:val="0"/>
          <w:sz w:val="32"/>
          <w:szCs w:val="32"/>
          <w:lang w:val="en-US" w:eastAsia="zh-CN"/>
        </w:rPr>
        <w:t>缴费基数增加。</w:t>
      </w:r>
    </w:p>
    <w:p>
      <w:pPr>
        <w:pStyle w:val="25"/>
        <w:keepNext w:val="0"/>
        <w:keepLines w:val="0"/>
        <w:pageBreakBefore w:val="0"/>
        <w:widowControl/>
        <w:kinsoku/>
        <w:wordWrap/>
        <w:overflowPunct/>
        <w:topLinePunct w:val="0"/>
        <w:autoSpaceDE/>
        <w:autoSpaceDN/>
        <w:bidi w:val="0"/>
        <w:adjustRightInd/>
        <w:snapToGrid/>
        <w:spacing w:before="100" w:after="100" w:line="600" w:lineRule="atLeast"/>
        <w:ind w:right="0" w:firstLine="640" w:firstLineChars="200"/>
        <w:jc w:val="left"/>
        <w:textAlignment w:val="auto"/>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（十一）</w:t>
      </w:r>
      <w:r>
        <w:rPr>
          <w:rFonts w:ascii="仿宋" w:hAnsi="仿宋" w:eastAsia="仿宋" w:cs="仿宋"/>
          <w:spacing w:val="0"/>
          <w:kern w:val="0"/>
          <w:sz w:val="32"/>
          <w:szCs w:val="32"/>
        </w:rPr>
        <w:t>2101199 其他行政事业单位医疗支出51.03万元，较上年决算数增加</w:t>
      </w:r>
      <w:r>
        <w:rPr>
          <w:rFonts w:hint="eastAsia" w:ascii="仿宋" w:hAnsi="仿宋" w:eastAsia="仿宋" w:cs="仿宋"/>
          <w:spacing w:val="0"/>
          <w:kern w:val="0"/>
          <w:sz w:val="32"/>
          <w:szCs w:val="32"/>
          <w:lang w:val="en-US" w:eastAsia="zh-CN"/>
        </w:rPr>
        <w:t>1.16</w:t>
      </w:r>
      <w:r>
        <w:rPr>
          <w:rFonts w:ascii="仿宋" w:hAnsi="仿宋" w:eastAsia="仿宋" w:cs="仿宋"/>
          <w:spacing w:val="0"/>
          <w:kern w:val="0"/>
          <w:sz w:val="32"/>
          <w:szCs w:val="32"/>
        </w:rPr>
        <w:t>万元，增长2.33%。主要原因是</w:t>
      </w:r>
      <w:r>
        <w:rPr>
          <w:rFonts w:hint="eastAsia" w:ascii="仿宋" w:hAnsi="仿宋" w:eastAsia="仿宋" w:cs="仿宋"/>
          <w:spacing w:val="0"/>
          <w:kern w:val="0"/>
          <w:sz w:val="32"/>
          <w:szCs w:val="32"/>
          <w:lang w:val="en-US" w:eastAsia="zh-CN"/>
        </w:rPr>
        <w:t>缴费基数增加。</w:t>
      </w:r>
    </w:p>
    <w:p>
      <w:pPr>
        <w:pStyle w:val="25"/>
        <w:keepNext w:val="0"/>
        <w:keepLines w:val="0"/>
        <w:pageBreakBefore w:val="0"/>
        <w:widowControl/>
        <w:kinsoku/>
        <w:wordWrap/>
        <w:overflowPunct/>
        <w:topLinePunct w:val="0"/>
        <w:autoSpaceDE/>
        <w:autoSpaceDN/>
        <w:bidi w:val="0"/>
        <w:adjustRightInd/>
        <w:snapToGrid/>
        <w:spacing w:before="100" w:after="100" w:line="600" w:lineRule="atLeast"/>
        <w:ind w:right="0" w:firstLine="640" w:firstLineChars="200"/>
        <w:jc w:val="left"/>
        <w:textAlignment w:val="auto"/>
        <w:rPr>
          <w:rFonts w:hint="default" w:ascii="仿宋" w:hAnsi="仿宋" w:eastAsia="仿宋" w:cs="仿宋"/>
          <w:spacing w:val="0"/>
          <w:kern w:val="0"/>
          <w:sz w:val="32"/>
          <w:szCs w:val="32"/>
          <w:lang w:val="en-US" w:eastAsia="zh-CN"/>
        </w:rPr>
      </w:pPr>
      <w:r>
        <w:rPr>
          <w:rFonts w:ascii="仿宋" w:hAnsi="仿宋" w:eastAsia="仿宋" w:cs="仿宋"/>
          <w:spacing w:val="0"/>
          <w:kern w:val="0"/>
          <w:sz w:val="32"/>
          <w:szCs w:val="32"/>
        </w:rPr>
        <w:t>（十</w:t>
      </w:r>
      <w:r>
        <w:rPr>
          <w:rFonts w:hint="eastAsia" w:ascii="仿宋" w:hAnsi="仿宋" w:eastAsia="仿宋" w:cs="仿宋"/>
          <w:spacing w:val="0"/>
          <w:kern w:val="0"/>
          <w:sz w:val="32"/>
          <w:szCs w:val="32"/>
          <w:lang w:val="en-US" w:eastAsia="zh-CN"/>
        </w:rPr>
        <w:t>二</w:t>
      </w:r>
      <w:r>
        <w:rPr>
          <w:rFonts w:ascii="仿宋" w:hAnsi="仿宋" w:eastAsia="仿宋" w:cs="仿宋"/>
          <w:spacing w:val="0"/>
          <w:kern w:val="0"/>
          <w:sz w:val="32"/>
          <w:szCs w:val="32"/>
        </w:rPr>
        <w:t>）2210203 购房补贴38.35万元，较上年决算数增加38.35万元，增长100%。主要原因是</w:t>
      </w:r>
      <w:r>
        <w:rPr>
          <w:rFonts w:hint="eastAsia" w:ascii="仿宋" w:hAnsi="仿宋" w:eastAsia="仿宋" w:cs="仿宋"/>
          <w:spacing w:val="0"/>
          <w:kern w:val="0"/>
          <w:sz w:val="32"/>
          <w:szCs w:val="32"/>
          <w:lang w:val="en-US" w:eastAsia="zh-CN"/>
        </w:rPr>
        <w:t>申请购房补贴的教职工人员增多。</w:t>
      </w:r>
    </w:p>
    <w:p>
      <w:pPr>
        <w:pStyle w:val="6"/>
        <w:spacing w:before="100" w:after="100" w:line="600" w:lineRule="atLeast"/>
        <w:ind w:left="0" w:right="0" w:firstLine="640" w:firstLineChars="0"/>
        <w:rPr>
          <w:rFonts w:ascii="Times New Roman" w:hAnsi="Times New Roman" w:eastAsia="Times New Roman" w:cs="Times New Roman"/>
          <w:b/>
          <w:bCs/>
          <w:kern w:val="0"/>
          <w:sz w:val="28"/>
          <w:szCs w:val="28"/>
        </w:rPr>
      </w:pPr>
      <w:bookmarkStart w:id="85" w:name="_Toc256000114"/>
      <w:bookmarkStart w:id="86" w:name="_Toc256000052"/>
      <w:bookmarkStart w:id="87" w:name="_Toc256000083"/>
      <w:bookmarkStart w:id="88" w:name="_Toc256000021"/>
      <w:r>
        <w:rPr>
          <w:rFonts w:ascii="黑体" w:hAnsi="黑体" w:eastAsia="黑体" w:cs="黑体"/>
          <w:b/>
          <w:spacing w:val="0"/>
        </w:rPr>
        <w:t>四、政府性基金预算财政拨款支出决算情况说明</w:t>
      </w:r>
      <w:bookmarkEnd w:id="85"/>
      <w:bookmarkEnd w:id="86"/>
      <w:bookmarkEnd w:id="87"/>
      <w:bookmarkEnd w:id="88"/>
    </w:p>
    <w:p>
      <w:pPr>
        <w:pStyle w:val="25"/>
        <w:keepNext w:val="0"/>
        <w:keepLines w:val="0"/>
        <w:pageBreakBefore w:val="0"/>
        <w:widowControl/>
        <w:kinsoku/>
        <w:wordWrap/>
        <w:overflowPunct/>
        <w:topLinePunct w:val="0"/>
        <w:autoSpaceDE/>
        <w:autoSpaceDN/>
        <w:bidi w:val="0"/>
        <w:adjustRightInd/>
        <w:snapToGrid/>
        <w:spacing w:before="100" w:after="100" w:line="520" w:lineRule="exact"/>
        <w:ind w:right="0" w:firstLine="640" w:firstLineChars="200"/>
        <w:jc w:val="left"/>
        <w:textAlignment w:val="auto"/>
        <w:rPr>
          <w:rFonts w:ascii="仿宋" w:hAnsi="仿宋" w:eastAsia="仿宋" w:cs="仿宋"/>
          <w:spacing w:val="0"/>
          <w:kern w:val="0"/>
          <w:sz w:val="32"/>
          <w:szCs w:val="32"/>
        </w:rPr>
      </w:pPr>
      <w:bookmarkStart w:id="89" w:name="_Toc256000022"/>
      <w:bookmarkStart w:id="90" w:name="_Toc256000084"/>
      <w:bookmarkStart w:id="91" w:name="_Toc256000115"/>
      <w:bookmarkStart w:id="92" w:name="_Toc256000053"/>
      <w:r>
        <w:rPr>
          <w:rFonts w:ascii="仿宋" w:hAnsi="仿宋" w:eastAsia="仿宋" w:cs="仿宋"/>
          <w:spacing w:val="0"/>
          <w:kern w:val="0"/>
          <w:sz w:val="32"/>
          <w:szCs w:val="32"/>
        </w:rPr>
        <w:t>2024年度政府性基金支出0万元，比上年决算数增加0万元，增长0%</w:t>
      </w:r>
      <w:r>
        <w:rPr>
          <w:rFonts w:hint="eastAsia" w:ascii="仿宋" w:hAnsi="仿宋" w:eastAsia="仿宋" w:cs="仿宋"/>
          <w:spacing w:val="0"/>
          <w:kern w:val="0"/>
          <w:sz w:val="32"/>
          <w:szCs w:val="32"/>
          <w:lang w:eastAsia="zh-CN"/>
        </w:rPr>
        <w:t>。</w:t>
      </w:r>
      <w:r>
        <w:rPr>
          <w:rFonts w:ascii="仿宋" w:hAnsi="仿宋" w:eastAsia="仿宋" w:cs="仿宋"/>
          <w:spacing w:val="0"/>
          <w:kern w:val="0"/>
          <w:sz w:val="32"/>
          <w:szCs w:val="32"/>
        </w:rPr>
        <w:t>本单位2024年度没有使用政府性基金预算拨款安排的支出。</w:t>
      </w:r>
    </w:p>
    <w:p>
      <w:pPr>
        <w:pStyle w:val="6"/>
        <w:spacing w:before="100" w:after="100" w:line="600" w:lineRule="atLeast"/>
        <w:ind w:left="0" w:right="0" w:firstLine="640" w:firstLineChars="0"/>
        <w:rPr>
          <w:rFonts w:ascii="Times New Roman" w:hAnsi="Times New Roman" w:eastAsia="Times New Roman" w:cs="Times New Roman"/>
          <w:b/>
          <w:bCs/>
          <w:kern w:val="0"/>
          <w:sz w:val="28"/>
          <w:szCs w:val="28"/>
        </w:rPr>
      </w:pPr>
      <w:r>
        <w:rPr>
          <w:rFonts w:ascii="黑体" w:hAnsi="黑体" w:eastAsia="黑体" w:cs="黑体"/>
          <w:b/>
          <w:spacing w:val="0"/>
        </w:rPr>
        <w:t>五、国有资本经营预算财政拨款支出决算情况说明</w:t>
      </w:r>
      <w:bookmarkEnd w:id="89"/>
      <w:bookmarkEnd w:id="90"/>
      <w:bookmarkEnd w:id="91"/>
      <w:bookmarkEnd w:id="92"/>
    </w:p>
    <w:p>
      <w:pPr>
        <w:pStyle w:val="25"/>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jc w:val="left"/>
        <w:textAlignment w:val="auto"/>
        <w:rPr>
          <w:rFonts w:hint="eastAsia" w:ascii="仿宋" w:hAnsi="仿宋" w:eastAsia="仿宋" w:cs="仿宋"/>
          <w:spacing w:val="0"/>
          <w:kern w:val="0"/>
          <w:sz w:val="32"/>
          <w:szCs w:val="32"/>
          <w:lang w:eastAsia="zh-CN"/>
        </w:rPr>
      </w:pPr>
      <w:bookmarkStart w:id="93" w:name="_Toc256000054"/>
      <w:bookmarkStart w:id="94" w:name="_Toc256000116"/>
      <w:bookmarkStart w:id="95" w:name="_Toc256000023"/>
      <w:bookmarkStart w:id="96" w:name="_Toc256000085"/>
      <w:r>
        <w:rPr>
          <w:rFonts w:ascii="仿宋" w:hAnsi="仿宋" w:eastAsia="仿宋" w:cs="仿宋"/>
          <w:spacing w:val="0"/>
          <w:kern w:val="0"/>
          <w:sz w:val="32"/>
          <w:szCs w:val="32"/>
        </w:rPr>
        <w:t>2024年度国有资本经营预算支出0万元，比上年决算数增加0万元，增长0%</w:t>
      </w:r>
      <w:r>
        <w:rPr>
          <w:rFonts w:hint="eastAsia" w:ascii="仿宋" w:hAnsi="仿宋" w:eastAsia="仿宋" w:cs="仿宋"/>
          <w:spacing w:val="0"/>
          <w:kern w:val="0"/>
          <w:sz w:val="32"/>
          <w:szCs w:val="32"/>
          <w:lang w:eastAsia="zh-CN"/>
        </w:rPr>
        <w:t>。</w:t>
      </w:r>
    </w:p>
    <w:p>
      <w:pPr>
        <w:pStyle w:val="25"/>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jc w:val="left"/>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本单位2024年度没有使用国有资本经营预算财政拨款安排的支出。</w:t>
      </w:r>
    </w:p>
    <w:p>
      <w:pPr>
        <w:pStyle w:val="6"/>
        <w:spacing w:before="100" w:after="100" w:line="600" w:lineRule="atLeast"/>
        <w:ind w:left="0" w:right="0" w:firstLine="640" w:firstLineChars="0"/>
        <w:rPr>
          <w:rFonts w:ascii="Times New Roman" w:hAnsi="Times New Roman" w:eastAsia="Times New Roman" w:cs="Times New Roman"/>
          <w:b/>
          <w:bCs/>
          <w:kern w:val="0"/>
          <w:sz w:val="28"/>
          <w:szCs w:val="28"/>
        </w:rPr>
      </w:pPr>
      <w:r>
        <w:rPr>
          <w:rFonts w:ascii="黑体" w:hAnsi="黑体" w:eastAsia="黑体" w:cs="黑体"/>
          <w:b/>
          <w:spacing w:val="0"/>
        </w:rPr>
        <w:t>六、一般公共预算财政拨款基本支出决算情况说明</w:t>
      </w:r>
      <w:bookmarkEnd w:id="93"/>
      <w:bookmarkEnd w:id="94"/>
      <w:bookmarkEnd w:id="95"/>
      <w:bookmarkEnd w:id="96"/>
    </w:p>
    <w:p>
      <w:pPr>
        <w:pStyle w:val="25"/>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2024年度一般公共预算财政拨款基本支出3594.67万元，其中：</w:t>
      </w:r>
    </w:p>
    <w:p>
      <w:pPr>
        <w:pStyle w:val="25"/>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一）人员经费3235.29万元，主要包括：基本工资、津贴补贴、奖金、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p>
    <w:p>
      <w:pPr>
        <w:pStyle w:val="25"/>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二）公用经费359.38万元，主要包括：办公费、印刷费、咨询费、手续费、水费、电费、邮电费、取暖费、物业管理费、差旅费、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赠与。</w:t>
      </w:r>
    </w:p>
    <w:p>
      <w:pPr>
        <w:pStyle w:val="6"/>
        <w:spacing w:before="100" w:after="100" w:line="600" w:lineRule="atLeast"/>
        <w:ind w:left="0" w:right="0" w:firstLine="640" w:firstLineChars="0"/>
        <w:rPr>
          <w:rFonts w:ascii="Times New Roman" w:hAnsi="Times New Roman" w:eastAsia="Times New Roman" w:cs="Times New Roman"/>
          <w:b/>
          <w:bCs/>
          <w:kern w:val="0"/>
          <w:sz w:val="28"/>
          <w:szCs w:val="28"/>
        </w:rPr>
      </w:pPr>
      <w:bookmarkStart w:id="97" w:name="_Toc256000055"/>
      <w:bookmarkStart w:id="98" w:name="_Toc256000024"/>
      <w:bookmarkStart w:id="99" w:name="_Toc256000086"/>
      <w:bookmarkStart w:id="100" w:name="_Toc256000117"/>
      <w:r>
        <w:rPr>
          <w:rFonts w:ascii="黑体" w:hAnsi="黑体" w:eastAsia="黑体" w:cs="黑体"/>
          <w:b/>
          <w:spacing w:val="0"/>
        </w:rPr>
        <w:t>七、一般公共预算拨款“三公”经费支出决算情况说明</w:t>
      </w:r>
      <w:bookmarkEnd w:id="97"/>
      <w:bookmarkEnd w:id="98"/>
      <w:bookmarkEnd w:id="99"/>
      <w:bookmarkEnd w:id="100"/>
    </w:p>
    <w:p>
      <w:pPr>
        <w:pStyle w:val="25"/>
        <w:widowControl/>
        <w:spacing w:before="100" w:after="100" w:line="600" w:lineRule="atLeast"/>
        <w:ind w:left="0" w:right="0" w:firstLine="704"/>
        <w:jc w:val="left"/>
        <w:rPr>
          <w:rFonts w:ascii="Times New Roman" w:hAnsi="Times New Roman" w:eastAsia="Times New Roman" w:cs="Times New Roman"/>
          <w:kern w:val="0"/>
          <w:sz w:val="24"/>
        </w:rPr>
      </w:pPr>
      <w:r>
        <w:rPr>
          <w:rFonts w:ascii="仿宋" w:hAnsi="仿宋" w:eastAsia="仿宋" w:cs="仿宋"/>
          <w:spacing w:val="0"/>
          <w:kern w:val="0"/>
          <w:sz w:val="32"/>
          <w:szCs w:val="32"/>
        </w:rPr>
        <w:t>2024年度一般公共预算拨款“三公”经费支出0万元，完成全年预算的 0%；较上年增加0万元，增长0%。主要原因是</w:t>
      </w:r>
      <w:r>
        <w:rPr>
          <w:rFonts w:hint="eastAsia" w:ascii="仿宋" w:hAnsi="仿宋" w:eastAsia="仿宋" w:cs="仿宋"/>
          <w:kern w:val="0"/>
          <w:sz w:val="32"/>
          <w:szCs w:val="32"/>
          <w:shd w:val="clear" w:color="auto" w:fill="FFFFFF"/>
          <w:lang w:eastAsia="zh-CN"/>
        </w:rPr>
        <w:t>本单位没有使用“三公”经费支出</w:t>
      </w:r>
      <w:r>
        <w:rPr>
          <w:rFonts w:ascii="仿宋" w:hAnsi="仿宋" w:eastAsia="仿宋" w:cs="仿宋"/>
          <w:spacing w:val="0"/>
          <w:kern w:val="0"/>
          <w:sz w:val="32"/>
          <w:szCs w:val="32"/>
        </w:rPr>
        <w:t>。具体情况如下：</w:t>
      </w:r>
    </w:p>
    <w:p>
      <w:pPr>
        <w:pStyle w:val="25"/>
        <w:widowControl/>
        <w:numPr>
          <w:ilvl w:val="0"/>
          <w:numId w:val="3"/>
        </w:numPr>
        <w:spacing w:before="100" w:after="100" w:line="600" w:lineRule="atLeast"/>
        <w:ind w:left="0" w:right="0" w:firstLine="704"/>
        <w:jc w:val="left"/>
        <w:rPr>
          <w:rFonts w:hint="eastAsia" w:ascii="仿宋" w:hAnsi="仿宋" w:eastAsia="仿宋" w:cs="仿宋"/>
          <w:spacing w:val="0"/>
          <w:kern w:val="0"/>
          <w:sz w:val="32"/>
          <w:szCs w:val="32"/>
          <w:lang w:val="en-US" w:eastAsia="zh-CN"/>
        </w:rPr>
      </w:pPr>
      <w:r>
        <w:rPr>
          <w:rFonts w:ascii="仿宋" w:hAnsi="仿宋" w:eastAsia="仿宋" w:cs="仿宋"/>
          <w:spacing w:val="0"/>
          <w:kern w:val="0"/>
          <w:sz w:val="32"/>
          <w:szCs w:val="32"/>
        </w:rPr>
        <w:t>因公出国（境）费支出0万元，完成全年预算的 0%；较上年增加0万元，增长0%。全年安排本单位组织的出国团组0 个，参加其他单位出国团组</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个；全年因公出国（境）累计0人次。主要是</w:t>
      </w:r>
      <w:r>
        <w:rPr>
          <w:rFonts w:hint="eastAsia" w:ascii="仿宋" w:hAnsi="仿宋" w:eastAsia="仿宋" w:cs="仿宋"/>
          <w:spacing w:val="0"/>
          <w:kern w:val="0"/>
          <w:sz w:val="32"/>
          <w:szCs w:val="32"/>
          <w:lang w:val="en-US" w:eastAsia="zh-CN"/>
        </w:rPr>
        <w:t>本单位没有组织出国团组及参加其他部</w:t>
      </w:r>
      <w:r>
        <w:rPr>
          <w:rFonts w:hint="default" w:ascii="仿宋" w:hAnsi="仿宋" w:eastAsia="仿宋" w:cs="仿宋"/>
          <w:spacing w:val="0"/>
          <w:kern w:val="0"/>
          <w:sz w:val="32"/>
          <w:szCs w:val="32"/>
          <w:lang w:val="en-US" w:eastAsia="zh-CN"/>
        </w:rPr>
        <w:t>门出国团组</w:t>
      </w:r>
      <w:r>
        <w:rPr>
          <w:rFonts w:hint="eastAsia" w:ascii="仿宋" w:hAnsi="仿宋" w:eastAsia="仿宋" w:cs="仿宋"/>
          <w:spacing w:val="0"/>
          <w:kern w:val="0"/>
          <w:sz w:val="32"/>
          <w:szCs w:val="32"/>
          <w:lang w:val="en-US" w:eastAsia="zh-CN"/>
        </w:rPr>
        <w:t>。</w:t>
      </w:r>
    </w:p>
    <w:p>
      <w:pPr>
        <w:pStyle w:val="25"/>
        <w:widowControl/>
        <w:numPr>
          <w:ilvl w:val="0"/>
          <w:numId w:val="0"/>
        </w:numPr>
        <w:spacing w:before="100" w:after="100" w:line="600" w:lineRule="atLeast"/>
        <w:ind w:right="0" w:rightChars="0"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（二）公务用车购置及运行费支出0.00万元，</w:t>
      </w:r>
      <w:r>
        <w:rPr>
          <w:rFonts w:hint="eastAsia" w:ascii="仿宋" w:hAnsi="仿宋" w:eastAsia="仿宋" w:cs="仿宋"/>
          <w:kern w:val="0"/>
          <w:sz w:val="32"/>
          <w:szCs w:val="32"/>
          <w:lang w:eastAsia="zh-CN"/>
        </w:rPr>
        <w:t>与</w:t>
      </w:r>
      <w:r>
        <w:rPr>
          <w:rFonts w:hint="eastAsia" w:ascii="仿宋" w:hAnsi="仿宋" w:eastAsia="仿宋" w:cs="仿宋"/>
          <w:kern w:val="0"/>
          <w:sz w:val="32"/>
          <w:szCs w:val="32"/>
        </w:rPr>
        <w:t>全年预算</w:t>
      </w:r>
      <w:r>
        <w:rPr>
          <w:rFonts w:hint="eastAsia" w:ascii="仿宋" w:hAnsi="仿宋" w:eastAsia="仿宋" w:cs="仿宋"/>
          <w:kern w:val="0"/>
          <w:sz w:val="32"/>
          <w:szCs w:val="32"/>
          <w:lang w:val="en-US" w:eastAsia="zh-CN"/>
        </w:rPr>
        <w:t>0.00万元持平，</w:t>
      </w:r>
      <w:r>
        <w:rPr>
          <w:rFonts w:hint="eastAsia" w:ascii="仿宋" w:hAnsi="仿宋" w:eastAsia="仿宋" w:cs="仿宋"/>
          <w:kern w:val="0"/>
          <w:sz w:val="32"/>
          <w:szCs w:val="32"/>
        </w:rPr>
        <w:t>较上年</w:t>
      </w:r>
      <w:r>
        <w:rPr>
          <w:rFonts w:hint="eastAsia" w:ascii="仿宋" w:hAnsi="仿宋" w:eastAsia="仿宋" w:cs="仿宋"/>
          <w:kern w:val="0"/>
          <w:sz w:val="32"/>
          <w:szCs w:val="32"/>
          <w:lang w:eastAsia="zh-CN"/>
        </w:rPr>
        <w:t>决算的</w:t>
      </w:r>
      <w:r>
        <w:rPr>
          <w:rFonts w:hint="eastAsia" w:ascii="仿宋" w:hAnsi="仿宋" w:eastAsia="仿宋" w:cs="仿宋"/>
          <w:kern w:val="0"/>
          <w:sz w:val="32"/>
          <w:szCs w:val="32"/>
          <w:lang w:val="en-US" w:eastAsia="zh-CN"/>
        </w:rPr>
        <w:t>0.00万元相比持平。</w:t>
      </w:r>
      <w:r>
        <w:rPr>
          <w:rFonts w:hint="eastAsia" w:ascii="仿宋" w:hAnsi="仿宋" w:eastAsia="仿宋" w:cs="仿宋"/>
          <w:kern w:val="0"/>
          <w:sz w:val="32"/>
          <w:szCs w:val="32"/>
          <w:shd w:val="clear" w:color="auto" w:fill="FFFFFF"/>
        </w:rPr>
        <w:t>主要是</w:t>
      </w:r>
      <w:r>
        <w:rPr>
          <w:rFonts w:hint="eastAsia" w:ascii="仿宋" w:hAnsi="仿宋" w:eastAsia="仿宋" w:cs="仿宋"/>
          <w:color w:val="000000"/>
          <w:kern w:val="0"/>
          <w:sz w:val="32"/>
          <w:szCs w:val="32"/>
          <w:lang w:val="en-US" w:eastAsia="zh-CN" w:bidi="ar"/>
        </w:rPr>
        <w:t>本单位没有购置</w:t>
      </w:r>
      <w:r>
        <w:rPr>
          <w:rFonts w:hint="default" w:ascii="仿宋" w:hAnsi="仿宋" w:eastAsia="仿宋" w:cs="仿宋"/>
          <w:color w:val="000000"/>
          <w:kern w:val="0"/>
          <w:sz w:val="32"/>
          <w:szCs w:val="32"/>
          <w:lang w:val="en-US" w:eastAsia="zh-CN" w:bidi="ar"/>
        </w:rPr>
        <w:t>公务用车及运行</w:t>
      </w:r>
      <w:r>
        <w:rPr>
          <w:rFonts w:hint="eastAsia" w:ascii="仿宋" w:hAnsi="仿宋" w:eastAsia="仿宋" w:cs="仿宋"/>
          <w:color w:val="000000"/>
          <w:kern w:val="0"/>
          <w:sz w:val="32"/>
          <w:szCs w:val="32"/>
          <w:lang w:val="en-US" w:eastAsia="zh-CN" w:bidi="ar"/>
        </w:rPr>
        <w:t>维护</w:t>
      </w:r>
      <w:r>
        <w:rPr>
          <w:rFonts w:hint="default" w:ascii="仿宋" w:hAnsi="仿宋" w:eastAsia="仿宋" w:cs="仿宋"/>
          <w:color w:val="000000"/>
          <w:kern w:val="0"/>
          <w:sz w:val="32"/>
          <w:szCs w:val="32"/>
          <w:lang w:val="en-US" w:eastAsia="zh-CN" w:bidi="ar"/>
        </w:rPr>
        <w:t>费支出。</w:t>
      </w:r>
      <w:r>
        <w:rPr>
          <w:rFonts w:hint="eastAsia" w:ascii="仿宋" w:hAnsi="仿宋" w:eastAsia="仿宋" w:cs="仿宋"/>
          <w:kern w:val="0"/>
          <w:sz w:val="32"/>
          <w:szCs w:val="32"/>
        </w:rPr>
        <w:t>其中：</w:t>
      </w:r>
    </w:p>
    <w:p>
      <w:pPr>
        <w:pStyle w:val="25"/>
        <w:keepNext w:val="0"/>
        <w:keepLines w:val="0"/>
        <w:pageBreakBefore w:val="0"/>
        <w:widowControl/>
        <w:numPr>
          <w:ilvl w:val="0"/>
          <w:numId w:val="0"/>
        </w:numPr>
        <w:kinsoku/>
        <w:wordWrap/>
        <w:overflowPunct/>
        <w:topLinePunct w:val="0"/>
        <w:autoSpaceDE/>
        <w:autoSpaceDN/>
        <w:bidi w:val="0"/>
        <w:adjustRightInd/>
        <w:snapToGrid/>
        <w:spacing w:before="240" w:after="240" w:line="520" w:lineRule="exact"/>
        <w:ind w:firstLine="640" w:firstLineChars="200"/>
        <w:jc w:val="both"/>
        <w:textAlignment w:val="auto"/>
        <w:rPr>
          <w:rFonts w:hint="default"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公务用车购置费支出0.00万元，与全年预算0.00万元持平，较上年决算的0.00万元相比持平。2024年公务用车购置0 辆。主要是本</w:t>
      </w:r>
      <w:r>
        <w:rPr>
          <w:rFonts w:hint="eastAsia" w:ascii="仿宋" w:hAnsi="仿宋" w:eastAsia="仿宋" w:cs="仿宋"/>
          <w:color w:val="000000"/>
          <w:kern w:val="0"/>
          <w:sz w:val="32"/>
          <w:szCs w:val="32"/>
          <w:lang w:val="en-US" w:eastAsia="zh-CN" w:bidi="ar"/>
        </w:rPr>
        <w:t>单位</w:t>
      </w:r>
      <w:r>
        <w:rPr>
          <w:rFonts w:hint="default" w:ascii="仿宋" w:hAnsi="仿宋" w:eastAsia="仿宋" w:cs="仿宋"/>
          <w:kern w:val="0"/>
          <w:sz w:val="32"/>
          <w:szCs w:val="32"/>
          <w:lang w:val="en-US" w:eastAsia="zh-CN"/>
        </w:rPr>
        <w:t>没有购置公务用车。</w:t>
      </w:r>
    </w:p>
    <w:p>
      <w:pPr>
        <w:pStyle w:val="25"/>
        <w:keepNext w:val="0"/>
        <w:keepLines w:val="0"/>
        <w:pageBreakBefore w:val="0"/>
        <w:widowControl/>
        <w:numPr>
          <w:ilvl w:val="0"/>
          <w:numId w:val="0"/>
        </w:numPr>
        <w:kinsoku/>
        <w:wordWrap/>
        <w:overflowPunct/>
        <w:topLinePunct w:val="0"/>
        <w:autoSpaceDE/>
        <w:autoSpaceDN/>
        <w:bidi w:val="0"/>
        <w:adjustRightInd/>
        <w:snapToGrid/>
        <w:spacing w:before="240" w:after="240" w:line="520" w:lineRule="exact"/>
        <w:ind w:firstLine="640" w:firstLineChars="200"/>
        <w:jc w:val="both"/>
        <w:textAlignment w:val="auto"/>
        <w:rPr>
          <w:rFonts w:hint="eastAsia" w:ascii="仿宋" w:hAnsi="仿宋" w:eastAsia="仿宋" w:cs="仿宋"/>
          <w:kern w:val="0"/>
          <w:sz w:val="32"/>
          <w:szCs w:val="32"/>
        </w:rPr>
      </w:pPr>
      <w:r>
        <w:rPr>
          <w:rFonts w:hint="eastAsia" w:ascii="仿宋" w:hAnsi="仿宋" w:eastAsia="仿宋" w:cs="仿宋"/>
          <w:kern w:val="0"/>
          <w:sz w:val="32"/>
          <w:szCs w:val="32"/>
        </w:rPr>
        <w:t>公务用车运行费支出0.00万元，</w:t>
      </w:r>
      <w:r>
        <w:rPr>
          <w:rFonts w:hint="eastAsia" w:ascii="仿宋" w:hAnsi="仿宋" w:eastAsia="仿宋" w:cs="仿宋"/>
          <w:kern w:val="0"/>
          <w:sz w:val="32"/>
          <w:szCs w:val="32"/>
          <w:lang w:eastAsia="zh-CN"/>
        </w:rPr>
        <w:t>与</w:t>
      </w:r>
      <w:r>
        <w:rPr>
          <w:rFonts w:hint="eastAsia" w:ascii="仿宋" w:hAnsi="仿宋" w:eastAsia="仿宋" w:cs="仿宋"/>
          <w:kern w:val="0"/>
          <w:sz w:val="32"/>
          <w:szCs w:val="32"/>
        </w:rPr>
        <w:t>全年预算</w:t>
      </w:r>
      <w:r>
        <w:rPr>
          <w:rFonts w:hint="eastAsia" w:ascii="仿宋" w:hAnsi="仿宋" w:eastAsia="仿宋" w:cs="仿宋"/>
          <w:kern w:val="0"/>
          <w:sz w:val="32"/>
          <w:szCs w:val="32"/>
          <w:lang w:val="en-US" w:eastAsia="zh-CN"/>
        </w:rPr>
        <w:t>0.00万元持平，</w:t>
      </w:r>
      <w:r>
        <w:rPr>
          <w:rFonts w:hint="eastAsia" w:ascii="仿宋" w:hAnsi="仿宋" w:eastAsia="仿宋" w:cs="仿宋"/>
          <w:kern w:val="0"/>
          <w:sz w:val="32"/>
          <w:szCs w:val="32"/>
        </w:rPr>
        <w:t>较上年</w:t>
      </w:r>
      <w:r>
        <w:rPr>
          <w:rFonts w:hint="eastAsia" w:ascii="仿宋" w:hAnsi="仿宋" w:eastAsia="仿宋" w:cs="仿宋"/>
          <w:kern w:val="0"/>
          <w:sz w:val="32"/>
          <w:szCs w:val="32"/>
          <w:lang w:eastAsia="zh-CN"/>
        </w:rPr>
        <w:t>决算的</w:t>
      </w:r>
      <w:r>
        <w:rPr>
          <w:rFonts w:hint="eastAsia" w:ascii="仿宋" w:hAnsi="仿宋" w:eastAsia="仿宋" w:cs="仿宋"/>
          <w:kern w:val="0"/>
          <w:sz w:val="32"/>
          <w:szCs w:val="32"/>
          <w:lang w:val="en-US" w:eastAsia="zh-CN"/>
        </w:rPr>
        <w:t>0.00万元相比持平。</w:t>
      </w:r>
      <w:r>
        <w:rPr>
          <w:rFonts w:hint="eastAsia" w:ascii="仿宋" w:hAnsi="仿宋" w:eastAsia="仿宋" w:cs="仿宋"/>
          <w:kern w:val="0"/>
          <w:sz w:val="32"/>
          <w:szCs w:val="32"/>
          <w:shd w:val="clear" w:color="auto" w:fill="FFFFFF"/>
        </w:rPr>
        <w:t>主要是</w:t>
      </w:r>
      <w:r>
        <w:rPr>
          <w:rFonts w:hint="eastAsia" w:ascii="仿宋" w:hAnsi="仿宋" w:eastAsia="仿宋" w:cs="仿宋"/>
          <w:color w:val="000000"/>
          <w:kern w:val="0"/>
          <w:sz w:val="32"/>
          <w:szCs w:val="32"/>
          <w:lang w:val="en-US" w:eastAsia="zh-CN" w:bidi="ar"/>
        </w:rPr>
        <w:t>本单位没有公务用车运行维护</w:t>
      </w:r>
      <w:r>
        <w:rPr>
          <w:rFonts w:hint="default" w:ascii="仿宋" w:hAnsi="仿宋" w:eastAsia="仿宋" w:cs="仿宋"/>
          <w:color w:val="000000"/>
          <w:kern w:val="0"/>
          <w:sz w:val="32"/>
          <w:szCs w:val="32"/>
          <w:lang w:val="en-US" w:eastAsia="zh-CN" w:bidi="ar"/>
        </w:rPr>
        <w:t>费的支出。</w:t>
      </w:r>
      <w:r>
        <w:rPr>
          <w:rFonts w:hint="eastAsia" w:ascii="仿宋" w:hAnsi="仿宋" w:eastAsia="仿宋" w:cs="仿宋"/>
          <w:kern w:val="0"/>
          <w:sz w:val="32"/>
          <w:szCs w:val="32"/>
        </w:rPr>
        <w:t>截至20</w:t>
      </w:r>
      <w:r>
        <w:rPr>
          <w:rFonts w:hint="eastAsia" w:ascii="仿宋" w:hAnsi="仿宋" w:eastAsia="仿宋" w:cs="仿宋"/>
          <w:kern w:val="0"/>
          <w:sz w:val="32"/>
          <w:szCs w:val="32"/>
          <w:lang w:val="en-US" w:eastAsia="zh-CN"/>
        </w:rPr>
        <w:t>24</w:t>
      </w:r>
      <w:r>
        <w:rPr>
          <w:rFonts w:hint="eastAsia" w:ascii="仿宋" w:hAnsi="仿宋" w:eastAsia="仿宋" w:cs="仿宋"/>
          <w:kern w:val="0"/>
          <w:sz w:val="32"/>
          <w:szCs w:val="32"/>
        </w:rPr>
        <w:t>年12月31日，本</w:t>
      </w:r>
      <w:r>
        <w:rPr>
          <w:rFonts w:hint="eastAsia" w:ascii="仿宋" w:hAnsi="仿宋" w:eastAsia="仿宋" w:cs="仿宋"/>
          <w:color w:val="000000"/>
          <w:kern w:val="0"/>
          <w:sz w:val="32"/>
          <w:szCs w:val="32"/>
          <w:lang w:val="en-US" w:eastAsia="zh-CN" w:bidi="ar"/>
        </w:rPr>
        <w:t>单位</w:t>
      </w:r>
      <w:r>
        <w:rPr>
          <w:rFonts w:hint="eastAsia" w:ascii="仿宋" w:hAnsi="仿宋" w:eastAsia="仿宋" w:cs="仿宋"/>
          <w:kern w:val="0"/>
          <w:sz w:val="32"/>
          <w:szCs w:val="32"/>
        </w:rPr>
        <w:t>公务用车保有量为0辆。</w:t>
      </w:r>
    </w:p>
    <w:p>
      <w:pPr>
        <w:pStyle w:val="25"/>
        <w:keepNext w:val="0"/>
        <w:keepLines w:val="0"/>
        <w:pageBreakBefore w:val="0"/>
        <w:widowControl/>
        <w:numPr>
          <w:ilvl w:val="0"/>
          <w:numId w:val="0"/>
        </w:numPr>
        <w:kinsoku/>
        <w:wordWrap/>
        <w:overflowPunct/>
        <w:topLinePunct w:val="0"/>
        <w:autoSpaceDE/>
        <w:autoSpaceDN/>
        <w:bidi w:val="0"/>
        <w:adjustRightInd/>
        <w:snapToGrid/>
        <w:spacing w:before="240" w:after="240" w:line="520" w:lineRule="exact"/>
        <w:ind w:firstLine="640" w:firstLineChars="20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（三）</w:t>
      </w:r>
      <w:r>
        <w:rPr>
          <w:rFonts w:hint="eastAsia" w:ascii="仿宋" w:hAnsi="仿宋" w:eastAsia="仿宋" w:cs="仿宋"/>
          <w:kern w:val="0"/>
          <w:sz w:val="32"/>
          <w:szCs w:val="32"/>
        </w:rPr>
        <w:t>公务接待费支出0.00万元，</w:t>
      </w:r>
      <w:r>
        <w:rPr>
          <w:rFonts w:hint="eastAsia" w:ascii="仿宋" w:hAnsi="仿宋" w:eastAsia="仿宋" w:cs="仿宋"/>
          <w:kern w:val="0"/>
          <w:sz w:val="32"/>
          <w:szCs w:val="32"/>
          <w:lang w:eastAsia="zh-CN"/>
        </w:rPr>
        <w:t>与</w:t>
      </w:r>
      <w:r>
        <w:rPr>
          <w:rFonts w:hint="eastAsia" w:ascii="仿宋" w:hAnsi="仿宋" w:eastAsia="仿宋" w:cs="仿宋"/>
          <w:kern w:val="0"/>
          <w:sz w:val="32"/>
          <w:szCs w:val="32"/>
        </w:rPr>
        <w:t>全年预算</w:t>
      </w:r>
      <w:r>
        <w:rPr>
          <w:rFonts w:hint="eastAsia" w:ascii="仿宋" w:hAnsi="仿宋" w:eastAsia="仿宋" w:cs="仿宋"/>
          <w:kern w:val="0"/>
          <w:sz w:val="32"/>
          <w:szCs w:val="32"/>
          <w:lang w:val="en-US" w:eastAsia="zh-CN"/>
        </w:rPr>
        <w:t>0.00万元持平，</w:t>
      </w:r>
      <w:r>
        <w:rPr>
          <w:rFonts w:hint="eastAsia" w:ascii="仿宋" w:hAnsi="仿宋" w:eastAsia="仿宋" w:cs="仿宋"/>
          <w:kern w:val="0"/>
          <w:sz w:val="32"/>
          <w:szCs w:val="32"/>
        </w:rPr>
        <w:t>较上年</w:t>
      </w:r>
      <w:r>
        <w:rPr>
          <w:rFonts w:hint="eastAsia" w:ascii="仿宋" w:hAnsi="仿宋" w:eastAsia="仿宋" w:cs="仿宋"/>
          <w:kern w:val="0"/>
          <w:sz w:val="32"/>
          <w:szCs w:val="32"/>
          <w:lang w:eastAsia="zh-CN"/>
        </w:rPr>
        <w:t>决算的</w:t>
      </w:r>
      <w:r>
        <w:rPr>
          <w:rFonts w:hint="eastAsia" w:ascii="仿宋" w:hAnsi="仿宋" w:eastAsia="仿宋" w:cs="仿宋"/>
          <w:kern w:val="0"/>
          <w:sz w:val="32"/>
          <w:szCs w:val="32"/>
          <w:lang w:val="en-US" w:eastAsia="zh-CN"/>
        </w:rPr>
        <w:t>0.00万元相比持平。</w:t>
      </w:r>
      <w:r>
        <w:rPr>
          <w:rFonts w:hint="eastAsia" w:ascii="仿宋" w:hAnsi="仿宋" w:eastAsia="仿宋" w:cs="仿宋"/>
          <w:kern w:val="0"/>
          <w:sz w:val="32"/>
          <w:szCs w:val="32"/>
          <w:shd w:val="clear" w:color="auto" w:fill="FFFFFF"/>
        </w:rPr>
        <w:t>主要是</w:t>
      </w:r>
      <w:r>
        <w:rPr>
          <w:rFonts w:hint="eastAsia" w:ascii="仿宋" w:hAnsi="仿宋" w:eastAsia="仿宋" w:cs="仿宋"/>
          <w:color w:val="000000"/>
          <w:kern w:val="0"/>
          <w:sz w:val="32"/>
          <w:szCs w:val="32"/>
          <w:lang w:val="en-US" w:eastAsia="zh-CN" w:bidi="ar"/>
        </w:rPr>
        <w:t>本单位没有公务接待活动。</w:t>
      </w:r>
      <w:r>
        <w:rPr>
          <w:rFonts w:hint="eastAsia" w:ascii="仿宋" w:hAnsi="仿宋" w:eastAsia="仿宋" w:cs="仿宋"/>
          <w:kern w:val="0"/>
          <w:sz w:val="32"/>
          <w:szCs w:val="32"/>
        </w:rPr>
        <w:t>累计接待0 批次、0人次。</w:t>
      </w:r>
    </w:p>
    <w:p>
      <w:pPr>
        <w:pStyle w:val="6"/>
        <w:spacing w:before="100" w:after="100" w:line="600" w:lineRule="atLeast"/>
        <w:ind w:left="0" w:right="0" w:firstLine="640" w:firstLineChars="0"/>
        <w:rPr>
          <w:rFonts w:ascii="Times New Roman" w:hAnsi="Times New Roman" w:eastAsia="Times New Roman" w:cs="Times New Roman"/>
          <w:b/>
          <w:bCs/>
          <w:kern w:val="0"/>
          <w:sz w:val="28"/>
          <w:szCs w:val="28"/>
        </w:rPr>
      </w:pPr>
      <w:bookmarkStart w:id="101" w:name="_Toc256000087"/>
      <w:bookmarkStart w:id="102" w:name="_Toc256000056"/>
      <w:bookmarkStart w:id="103" w:name="_Toc256000118"/>
      <w:bookmarkStart w:id="104" w:name="_Toc256000025"/>
      <w:r>
        <w:rPr>
          <w:rFonts w:ascii="黑体" w:hAnsi="黑体" w:eastAsia="黑体" w:cs="黑体"/>
          <w:b/>
          <w:spacing w:val="0"/>
        </w:rPr>
        <w:t>八、预算绩效情况说明</w:t>
      </w:r>
      <w:bookmarkEnd w:id="101"/>
      <w:bookmarkEnd w:id="102"/>
      <w:bookmarkEnd w:id="103"/>
      <w:bookmarkEnd w:id="104"/>
    </w:p>
    <w:p>
      <w:pPr>
        <w:pStyle w:val="25"/>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jc w:val="both"/>
        <w:textAlignment w:val="auto"/>
        <w:rPr>
          <w:rFonts w:ascii="Times New Roman" w:hAnsi="Times New Roman" w:eastAsia="Times New Roman" w:cs="Times New Roman"/>
          <w:kern w:val="0"/>
          <w:sz w:val="32"/>
          <w:szCs w:val="32"/>
        </w:rPr>
      </w:pPr>
      <w:bookmarkStart w:id="105" w:name="_Toc256000057"/>
      <w:bookmarkStart w:id="106" w:name="_Toc256000119"/>
      <w:bookmarkStart w:id="107" w:name="_Toc256000088"/>
      <w:bookmarkStart w:id="108" w:name="_Toc256000026"/>
      <w:r>
        <w:rPr>
          <w:rFonts w:ascii="仿宋" w:hAnsi="仿宋" w:eastAsia="仿宋" w:cs="仿宋"/>
          <w:spacing w:val="0"/>
          <w:kern w:val="0"/>
          <w:sz w:val="32"/>
          <w:szCs w:val="32"/>
        </w:rPr>
        <w:t>根据预算绩效管理要求，本单位组织对2024年度</w:t>
      </w:r>
      <w:r>
        <w:rPr>
          <w:rFonts w:hint="eastAsia" w:ascii="仿宋" w:hAnsi="仿宋" w:eastAsia="仿宋" w:cs="仿宋"/>
          <w:spacing w:val="0"/>
          <w:kern w:val="0"/>
          <w:sz w:val="32"/>
          <w:szCs w:val="32"/>
          <w:lang w:val="en-US" w:eastAsia="zh-CN"/>
        </w:rPr>
        <w:t>1</w:t>
      </w:r>
      <w:r>
        <w:rPr>
          <w:rFonts w:ascii="仿宋" w:hAnsi="仿宋" w:eastAsia="仿宋" w:cs="仿宋"/>
          <w:spacing w:val="0"/>
          <w:kern w:val="0"/>
          <w:sz w:val="32"/>
          <w:szCs w:val="32"/>
        </w:rPr>
        <w:t>个项目实施单位自评，</w:t>
      </w:r>
      <w:r>
        <w:rPr>
          <w:rFonts w:hint="eastAsia" w:ascii="仿宋" w:hAnsi="仿宋" w:eastAsia="仿宋" w:cs="仿宋"/>
          <w:spacing w:val="0"/>
          <w:kern w:val="0"/>
          <w:sz w:val="32"/>
          <w:szCs w:val="32"/>
          <w:lang w:eastAsia="zh-CN"/>
        </w:rPr>
        <w:t>项目名称为</w:t>
      </w:r>
      <w:r>
        <w:rPr>
          <w:rFonts w:hint="eastAsia" w:ascii="仿宋" w:hAnsi="仿宋" w:eastAsia="仿宋" w:cs="仿宋"/>
          <w:spacing w:val="0"/>
          <w:kern w:val="0"/>
          <w:sz w:val="32"/>
          <w:szCs w:val="32"/>
        </w:rPr>
        <w:t>义务教育阶段家庭经济困难学生营养餐补助</w:t>
      </w:r>
      <w:r>
        <w:rPr>
          <w:rFonts w:ascii="仿宋" w:hAnsi="仿宋" w:eastAsia="仿宋" w:cs="仿宋"/>
          <w:spacing w:val="0"/>
          <w:kern w:val="0"/>
          <w:sz w:val="32"/>
          <w:szCs w:val="32"/>
        </w:rPr>
        <w:t>，涉及财政拨款资金共计</w:t>
      </w:r>
      <w:r>
        <w:rPr>
          <w:rFonts w:hint="eastAsia" w:ascii="仿宋" w:hAnsi="仿宋" w:eastAsia="仿宋" w:cs="仿宋"/>
          <w:spacing w:val="0"/>
          <w:kern w:val="0"/>
          <w:sz w:val="32"/>
          <w:szCs w:val="32"/>
          <w:lang w:val="en-US" w:eastAsia="zh-CN"/>
        </w:rPr>
        <w:t>1.9854</w:t>
      </w:r>
      <w:r>
        <w:rPr>
          <w:rFonts w:ascii="仿宋" w:hAnsi="仿宋" w:eastAsia="仿宋" w:cs="仿宋"/>
          <w:spacing w:val="0"/>
          <w:kern w:val="0"/>
          <w:sz w:val="32"/>
          <w:szCs w:val="32"/>
        </w:rPr>
        <w:t>万元。（《项目支出绩效自评表》详见附件）</w:t>
      </w:r>
    </w:p>
    <w:p>
      <w:pPr>
        <w:pStyle w:val="6"/>
        <w:spacing w:before="100" w:after="100" w:line="600" w:lineRule="atLeast"/>
        <w:ind w:left="0" w:right="0" w:firstLine="640" w:firstLineChars="0"/>
        <w:rPr>
          <w:rFonts w:ascii="Times New Roman" w:hAnsi="Times New Roman" w:eastAsia="Times New Roman" w:cs="Times New Roman"/>
          <w:b/>
          <w:bCs/>
          <w:kern w:val="0"/>
          <w:sz w:val="28"/>
          <w:szCs w:val="28"/>
        </w:rPr>
      </w:pPr>
      <w:r>
        <w:rPr>
          <w:rFonts w:ascii="黑体" w:hAnsi="黑体" w:eastAsia="黑体" w:cs="黑体"/>
          <w:b/>
          <w:spacing w:val="0"/>
        </w:rPr>
        <w:t>九、其他重要事项说明</w:t>
      </w:r>
      <w:bookmarkEnd w:id="105"/>
      <w:bookmarkEnd w:id="106"/>
      <w:bookmarkEnd w:id="107"/>
      <w:bookmarkEnd w:id="108"/>
    </w:p>
    <w:p>
      <w:pPr>
        <w:pStyle w:val="25"/>
        <w:widowControl/>
        <w:spacing w:before="100" w:after="100" w:line="600" w:lineRule="atLeast"/>
        <w:ind w:left="0" w:right="0" w:firstLine="643"/>
        <w:jc w:val="left"/>
        <w:rPr>
          <w:rFonts w:ascii="Times New Roman" w:hAnsi="Times New Roman" w:eastAsia="Times New Roman" w:cs="Times New Roman"/>
          <w:kern w:val="0"/>
          <w:sz w:val="24"/>
        </w:rPr>
      </w:pPr>
      <w:r>
        <w:rPr>
          <w:rStyle w:val="31"/>
          <w:b/>
          <w:bCs/>
          <w:spacing w:val="0"/>
          <w:kern w:val="0"/>
          <w:sz w:val="32"/>
          <w:szCs w:val="32"/>
        </w:rPr>
        <w:t>（一）机关运行经费</w:t>
      </w:r>
      <w:r>
        <w:rPr>
          <w:rFonts w:ascii="宋体" w:hAnsi="宋体" w:cs="宋体"/>
          <w:spacing w:val="0"/>
          <w:kern w:val="0"/>
          <w:sz w:val="32"/>
          <w:szCs w:val="32"/>
        </w:rPr>
        <w:t> </w:t>
      </w:r>
    </w:p>
    <w:p>
      <w:pPr>
        <w:pStyle w:val="25"/>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2024年度机关运行经费支出0万元，比上年决算数增加（减少）</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万元，增长（下降）</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%，主要原因是:本单位为事业单位</w:t>
      </w:r>
      <w:r>
        <w:rPr>
          <w:rFonts w:hint="eastAsia" w:ascii="仿宋" w:hAnsi="仿宋" w:eastAsia="仿宋" w:cs="仿宋"/>
          <w:spacing w:val="0"/>
          <w:kern w:val="0"/>
          <w:sz w:val="32"/>
          <w:szCs w:val="32"/>
          <w:lang w:eastAsia="zh-CN"/>
        </w:rPr>
        <w:t>，</w:t>
      </w:r>
      <w:r>
        <w:rPr>
          <w:rFonts w:ascii="仿宋" w:hAnsi="仿宋" w:eastAsia="仿宋" w:cs="仿宋"/>
          <w:spacing w:val="0"/>
          <w:kern w:val="0"/>
          <w:sz w:val="32"/>
          <w:szCs w:val="32"/>
        </w:rPr>
        <w:t>没有机关运行经费。</w:t>
      </w:r>
    </w:p>
    <w:p>
      <w:pPr>
        <w:pStyle w:val="25"/>
        <w:widowControl/>
        <w:spacing w:before="100" w:after="100" w:line="600" w:lineRule="atLeast"/>
        <w:ind w:left="0" w:right="0" w:firstLine="643"/>
        <w:jc w:val="left"/>
        <w:rPr>
          <w:rFonts w:ascii="Times New Roman" w:hAnsi="Times New Roman" w:eastAsia="Times New Roman" w:cs="Times New Roman"/>
          <w:kern w:val="0"/>
          <w:sz w:val="24"/>
        </w:rPr>
      </w:pPr>
      <w:r>
        <w:rPr>
          <w:rStyle w:val="31"/>
          <w:b/>
          <w:bCs/>
          <w:spacing w:val="0"/>
          <w:kern w:val="0"/>
          <w:sz w:val="32"/>
          <w:szCs w:val="32"/>
        </w:rPr>
        <w:t>（二）政府采购情况</w:t>
      </w:r>
    </w:p>
    <w:p>
      <w:pPr>
        <w:pStyle w:val="25"/>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本单位2024年度政府采购支出总额0万元，其中：政府采购货物支出0万元、政府采购工程支出0万元、政府采购服务支出0万元。授予中小企业合同金额0万元，占政府采购支出总额的0%，其中：授予小微企业合同金额0万元，占授予中小企业合同金额的0%；货物采购授予中小企业合同金额占货物支出金额的</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%，工程采购授予中小企业合同金额占工程支出金额的</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%，服务采购授予中小企业合同金额占服务支出金额的</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w:t>
      </w:r>
    </w:p>
    <w:p>
      <w:pPr>
        <w:pStyle w:val="25"/>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本单位2024年度没有政府采购支出。</w:t>
      </w:r>
      <w:r>
        <w:rPr>
          <w:rFonts w:ascii="Calibri" w:hAnsi="Calibri" w:eastAsia="Calibri" w:cs="Calibri"/>
          <w:spacing w:val="0"/>
          <w:kern w:val="0"/>
          <w:sz w:val="32"/>
          <w:szCs w:val="32"/>
        </w:rPr>
        <w:t>   </w:t>
      </w:r>
    </w:p>
    <w:p>
      <w:pPr>
        <w:pStyle w:val="25"/>
        <w:widowControl/>
        <w:spacing w:before="100" w:after="100" w:line="600" w:lineRule="atLeast"/>
        <w:ind w:left="0" w:right="0" w:firstLine="707"/>
        <w:jc w:val="left"/>
        <w:rPr>
          <w:rFonts w:ascii="Times New Roman" w:hAnsi="Times New Roman" w:eastAsia="Times New Roman" w:cs="Times New Roman"/>
          <w:kern w:val="0"/>
          <w:sz w:val="24"/>
        </w:rPr>
      </w:pPr>
      <w:r>
        <w:rPr>
          <w:rStyle w:val="31"/>
          <w:b/>
          <w:bCs/>
          <w:spacing w:val="0"/>
          <w:kern w:val="0"/>
          <w:sz w:val="32"/>
          <w:szCs w:val="32"/>
        </w:rPr>
        <w:t>（三）国有资产占用使用情况</w:t>
      </w:r>
      <w:r>
        <w:rPr>
          <w:rFonts w:ascii="宋体" w:hAnsi="宋体" w:cs="宋体"/>
          <w:spacing w:val="0"/>
          <w:kern w:val="0"/>
          <w:sz w:val="32"/>
          <w:szCs w:val="32"/>
        </w:rPr>
        <w:t> </w:t>
      </w:r>
    </w:p>
    <w:p>
      <w:pPr>
        <w:pStyle w:val="25"/>
        <w:widowControl/>
        <w:spacing w:before="100" w:after="100" w:line="600" w:lineRule="atLeast"/>
        <w:ind w:left="0" w:right="0" w:firstLine="704"/>
        <w:jc w:val="left"/>
        <w:rPr>
          <w:rFonts w:ascii="Times New Roman" w:hAnsi="Times New Roman" w:eastAsia="Times New Roman" w:cs="Times New Roman"/>
          <w:kern w:val="0"/>
          <w:sz w:val="24"/>
        </w:rPr>
      </w:pPr>
      <w:r>
        <w:rPr>
          <w:rFonts w:ascii="仿宋" w:hAnsi="仿宋" w:eastAsia="仿宋" w:cs="仿宋"/>
          <w:spacing w:val="0"/>
          <w:kern w:val="0"/>
          <w:sz w:val="32"/>
          <w:szCs w:val="32"/>
        </w:rPr>
        <w:t>截至2024年12月31日，本单位共有车辆0 辆，其中：副部（省）级以上领导用车0 辆、主要领导干部用车0 辆、机要通信用车0辆、应急保障用车0辆、执法执勤用车0辆、特种专业技术用车0辆、离退休干部用车0辆、其他用车0辆；单位价值100万元以上设备（不含车辆）0台（套）。</w:t>
      </w:r>
      <w:r>
        <w:rPr>
          <w:rFonts w:ascii="宋体" w:hAnsi="宋体" w:cs="宋体"/>
          <w:spacing w:val="0"/>
          <w:kern w:val="0"/>
          <w:sz w:val="56"/>
          <w:szCs w:val="56"/>
        </w:rPr>
        <w:t xml:space="preserve"> </w:t>
      </w:r>
    </w:p>
    <w:p>
      <w:pPr>
        <w:pStyle w:val="25"/>
        <w:widowControl/>
        <w:spacing w:before="100" w:after="100"/>
        <w:ind w:left="0" w:right="0" w:firstLine="0"/>
        <w:jc w:val="left"/>
        <w:rPr>
          <w:rFonts w:ascii="Times New Roman" w:hAnsi="Times New Roman" w:eastAsia="Times New Roman" w:cs="Times New Roman"/>
          <w:kern w:val="0"/>
          <w:sz w:val="24"/>
        </w:rPr>
      </w:pPr>
    </w:p>
    <w:p>
      <w:pPr>
        <w:pStyle w:val="25"/>
        <w:widowControl/>
        <w:spacing w:before="100" w:after="100"/>
        <w:ind w:left="0" w:right="0" w:firstLine="0"/>
        <w:jc w:val="both"/>
        <w:rPr>
          <w:rFonts w:ascii="Times New Roman" w:hAnsi="Times New Roman" w:eastAsia="Times New Roman" w:cs="Times New Roman"/>
          <w:kern w:val="0"/>
          <w:sz w:val="24"/>
        </w:rPr>
      </w:pPr>
    </w:p>
    <w:p>
      <w:pPr>
        <w:pStyle w:val="4"/>
        <w:spacing w:before="100" w:after="100" w:line="240" w:lineRule="auto"/>
        <w:ind w:left="0" w:right="0" w:firstLine="0" w:firstLineChars="0"/>
        <w:jc w:val="center"/>
        <w:rPr>
          <w:rFonts w:ascii="Times New Roman" w:hAnsi="Times New Roman" w:eastAsia="Times New Roman" w:cs="Times New Roman"/>
          <w:kern w:val="0"/>
          <w:sz w:val="24"/>
        </w:rPr>
      </w:pPr>
      <w:bookmarkStart w:id="109" w:name="_Toc256000089"/>
      <w:bookmarkStart w:id="110" w:name="_Toc256000120"/>
      <w:bookmarkStart w:id="111" w:name="_Toc256000027"/>
      <w:bookmarkStart w:id="112" w:name="_Toc256000058"/>
      <w:r>
        <w:rPr>
          <w:rFonts w:ascii="黑体" w:hAnsi="黑体" w:eastAsia="黑体" w:cs="黑体"/>
          <w:b w:val="0"/>
          <w:bCs w:val="0"/>
          <w:spacing w:val="0"/>
          <w:sz w:val="36"/>
          <w:szCs w:val="36"/>
        </w:rPr>
        <w:t>第四部分</w:t>
      </w:r>
      <w:bookmarkEnd w:id="109"/>
      <w:bookmarkEnd w:id="110"/>
      <w:bookmarkEnd w:id="111"/>
      <w:bookmarkEnd w:id="112"/>
      <w:bookmarkStart w:id="113" w:name="_Toc256000028"/>
      <w:bookmarkStart w:id="114" w:name="_Toc256000121"/>
      <w:bookmarkStart w:id="115" w:name="_Toc256000090"/>
      <w:bookmarkStart w:id="116" w:name="_Toc256000059"/>
      <w:r>
        <w:rPr>
          <w:rFonts w:hint="eastAsia" w:ascii="黑体" w:hAnsi="黑体" w:eastAsia="黑体" w:cs="黑体"/>
          <w:b w:val="0"/>
          <w:bCs w:val="0"/>
          <w:spacing w:val="0"/>
          <w:sz w:val="36"/>
          <w:szCs w:val="36"/>
          <w:lang w:val="en-US" w:eastAsia="zh-CN"/>
        </w:rPr>
        <w:t xml:space="preserve">  </w:t>
      </w:r>
      <w:r>
        <w:rPr>
          <w:rFonts w:ascii="黑体" w:hAnsi="黑体" w:eastAsia="黑体" w:cs="黑体"/>
          <w:b w:val="0"/>
          <w:bCs w:val="0"/>
          <w:spacing w:val="0"/>
          <w:sz w:val="36"/>
          <w:szCs w:val="36"/>
        </w:rPr>
        <w:t>名词解释</w:t>
      </w:r>
      <w:bookmarkEnd w:id="113"/>
      <w:bookmarkEnd w:id="114"/>
      <w:bookmarkEnd w:id="115"/>
      <w:bookmarkEnd w:id="116"/>
    </w:p>
    <w:p>
      <w:pPr>
        <w:pStyle w:val="25"/>
        <w:widowControl/>
        <w:spacing w:before="100" w:after="100" w:line="600" w:lineRule="atLeast"/>
        <w:ind w:left="0" w:right="0" w:firstLine="710"/>
        <w:jc w:val="left"/>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一、财政拨款收入：</w:t>
      </w:r>
      <w:r>
        <w:rPr>
          <w:rFonts w:ascii="仿宋" w:hAnsi="仿宋" w:eastAsia="仿宋" w:cs="仿宋"/>
          <w:spacing w:val="0"/>
          <w:kern w:val="0"/>
          <w:sz w:val="32"/>
          <w:szCs w:val="32"/>
        </w:rPr>
        <w:t>指单位从本级财政单位取得的财政预算资金，包括一般公共预算财政拨款、政府性基金预算财政拨款和国有资本经营预算财政拨款。</w:t>
      </w:r>
    </w:p>
    <w:p>
      <w:pPr>
        <w:pStyle w:val="25"/>
        <w:widowControl/>
        <w:spacing w:before="100" w:after="100" w:line="600" w:lineRule="atLeast"/>
        <w:ind w:left="0" w:right="0" w:firstLine="710"/>
        <w:jc w:val="left"/>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二、事业收入：</w:t>
      </w:r>
      <w:r>
        <w:rPr>
          <w:rFonts w:ascii="仿宋" w:hAnsi="仿宋" w:eastAsia="仿宋" w:cs="仿宋"/>
          <w:spacing w:val="0"/>
          <w:kern w:val="0"/>
          <w:sz w:val="32"/>
          <w:szCs w:val="32"/>
        </w:rPr>
        <w:t>指事业单位开展专业业务活动及辅助活动所取得的收入。</w:t>
      </w:r>
    </w:p>
    <w:p>
      <w:pPr>
        <w:pStyle w:val="25"/>
        <w:widowControl/>
        <w:spacing w:before="100" w:after="100" w:line="600" w:lineRule="atLeast"/>
        <w:ind w:left="0" w:right="0" w:firstLine="710"/>
        <w:jc w:val="left"/>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三、经营收入：</w:t>
      </w:r>
      <w:r>
        <w:rPr>
          <w:rFonts w:ascii="仿宋" w:hAnsi="仿宋" w:eastAsia="仿宋" w:cs="仿宋"/>
          <w:spacing w:val="0"/>
          <w:kern w:val="0"/>
          <w:sz w:val="32"/>
          <w:szCs w:val="32"/>
        </w:rPr>
        <w:t>指事业单位在专业业务活动及其辅助活动之外开展非独立核算经营活动取得的收入。</w:t>
      </w:r>
    </w:p>
    <w:p>
      <w:pPr>
        <w:pStyle w:val="25"/>
        <w:widowControl/>
        <w:spacing w:before="100" w:after="100" w:line="600" w:lineRule="atLeast"/>
        <w:ind w:left="0" w:right="0" w:firstLine="710"/>
        <w:jc w:val="left"/>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四、其他收入：</w:t>
      </w:r>
      <w:r>
        <w:rPr>
          <w:rFonts w:ascii="仿宋" w:hAnsi="仿宋" w:eastAsia="仿宋" w:cs="仿宋"/>
          <w:spacing w:val="0"/>
          <w:kern w:val="0"/>
          <w:sz w:val="32"/>
          <w:szCs w:val="32"/>
        </w:rPr>
        <w:t>指除上述“财政拨款收入”“事业收入”</w:t>
      </w:r>
      <w:r>
        <w:rPr>
          <w:rFonts w:ascii="宋体" w:hAnsi="宋体" w:cs="宋体"/>
          <w:spacing w:val="0"/>
          <w:kern w:val="0"/>
          <w:szCs w:val="21"/>
        </w:rPr>
        <w:t> </w:t>
      </w:r>
      <w:r>
        <w:rPr>
          <w:rFonts w:ascii="仿宋" w:hAnsi="仿宋" w:eastAsia="仿宋" w:cs="仿宋"/>
          <w:spacing w:val="0"/>
          <w:kern w:val="0"/>
          <w:sz w:val="32"/>
          <w:szCs w:val="32"/>
        </w:rPr>
        <w:t>“上级补助收入”“附属单位上缴收入”“经营收入”等以外取得的各项收入。主要是事业单位固定资产出租收入等。</w:t>
      </w:r>
    </w:p>
    <w:p>
      <w:pPr>
        <w:pStyle w:val="25"/>
        <w:widowControl/>
        <w:spacing w:before="100" w:after="100" w:line="600" w:lineRule="atLeast"/>
        <w:ind w:left="0" w:right="0" w:firstLine="710"/>
        <w:jc w:val="left"/>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五、使用非财政拨款结余：</w:t>
      </w:r>
      <w:r>
        <w:rPr>
          <w:rFonts w:ascii="仿宋" w:hAnsi="仿宋" w:eastAsia="仿宋" w:cs="仿宋"/>
          <w:spacing w:val="0"/>
          <w:kern w:val="0"/>
          <w:sz w:val="32"/>
          <w:szCs w:val="32"/>
        </w:rPr>
        <w:t>指事业单位使用以前年度积累的非财政拨款结余弥补当年收支差额的金额。</w:t>
      </w:r>
    </w:p>
    <w:p>
      <w:pPr>
        <w:pStyle w:val="25"/>
        <w:widowControl/>
        <w:spacing w:before="100" w:after="100" w:line="600" w:lineRule="atLeast"/>
        <w:ind w:left="0" w:right="0" w:firstLine="710"/>
        <w:jc w:val="left"/>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六、年初结转和结余：</w:t>
      </w:r>
      <w:r>
        <w:rPr>
          <w:rFonts w:ascii="仿宋" w:hAnsi="仿宋" w:eastAsia="仿宋" w:cs="仿宋"/>
          <w:spacing w:val="0"/>
          <w:kern w:val="0"/>
          <w:sz w:val="32"/>
          <w:szCs w:val="32"/>
        </w:rPr>
        <w:t>指单位以前年度尚未完成、结转到本年仍按原规定用途继续使用的资金，或项目已完成等产生的结余资金。</w:t>
      </w:r>
    </w:p>
    <w:p>
      <w:pPr>
        <w:pStyle w:val="26"/>
        <w:widowControl/>
        <w:spacing w:before="100" w:after="100" w:line="600" w:lineRule="atLeast"/>
        <w:ind w:left="0" w:right="0" w:firstLine="640"/>
        <w:jc w:val="left"/>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七、结余分配：</w:t>
      </w:r>
      <w:r>
        <w:rPr>
          <w:rFonts w:ascii="仿宋" w:hAnsi="仿宋" w:eastAsia="仿宋" w:cs="仿宋"/>
          <w:spacing w:val="0"/>
          <w:kern w:val="0"/>
          <w:sz w:val="32"/>
          <w:szCs w:val="32"/>
        </w:rPr>
        <w:t>指事业单位按照会计制度规定缴纳的所得税、提取的专用结余以及转入非财政拨款结余的金额等。</w:t>
      </w:r>
    </w:p>
    <w:p>
      <w:pPr>
        <w:pStyle w:val="26"/>
        <w:widowControl/>
        <w:spacing w:before="100" w:after="100" w:line="600" w:lineRule="atLeast"/>
        <w:ind w:left="0" w:right="0" w:firstLine="640"/>
        <w:jc w:val="left"/>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八、年末结转和结余：</w:t>
      </w:r>
      <w:r>
        <w:rPr>
          <w:rFonts w:ascii="仿宋" w:hAnsi="仿宋" w:eastAsia="仿宋" w:cs="仿宋"/>
          <w:spacing w:val="0"/>
          <w:kern w:val="0"/>
          <w:sz w:val="32"/>
          <w:szCs w:val="32"/>
        </w:rPr>
        <w:t>指单位按有关规定结转到下年或以后年度继续使用的资金，或项目已完成等产生的结余资金。</w:t>
      </w:r>
    </w:p>
    <w:p>
      <w:pPr>
        <w:pStyle w:val="26"/>
        <w:widowControl/>
        <w:spacing w:before="100" w:after="100" w:line="600" w:lineRule="atLeast"/>
        <w:ind w:left="0" w:right="0" w:firstLine="640"/>
        <w:jc w:val="left"/>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九、基本支出：</w:t>
      </w:r>
      <w:r>
        <w:rPr>
          <w:rFonts w:ascii="仿宋" w:hAnsi="仿宋" w:eastAsia="仿宋" w:cs="仿宋"/>
          <w:spacing w:val="0"/>
          <w:kern w:val="0"/>
          <w:sz w:val="32"/>
          <w:szCs w:val="32"/>
        </w:rPr>
        <w:t>指为保障机构正常运转、完成日常工作任务而发生的人员支出和公用支出。</w:t>
      </w:r>
    </w:p>
    <w:p>
      <w:pPr>
        <w:pStyle w:val="26"/>
        <w:widowControl/>
        <w:spacing w:before="100" w:after="100" w:line="600" w:lineRule="atLeast"/>
        <w:ind w:left="0" w:right="0" w:firstLine="640"/>
        <w:jc w:val="left"/>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十、项目支出：</w:t>
      </w:r>
      <w:r>
        <w:rPr>
          <w:rFonts w:ascii="仿宋" w:hAnsi="仿宋" w:eastAsia="仿宋" w:cs="仿宋"/>
          <w:spacing w:val="0"/>
          <w:kern w:val="0"/>
          <w:sz w:val="32"/>
          <w:szCs w:val="32"/>
        </w:rPr>
        <w:t>指在基本支出之外为完成特定行政任务和事业发展目标所发生的支出。</w:t>
      </w:r>
    </w:p>
    <w:p>
      <w:pPr>
        <w:pStyle w:val="26"/>
        <w:widowControl/>
        <w:spacing w:before="100" w:after="100" w:line="600" w:lineRule="atLeast"/>
        <w:ind w:left="0" w:right="0" w:firstLine="640"/>
        <w:jc w:val="left"/>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十一、经营支出：</w:t>
      </w:r>
      <w:r>
        <w:rPr>
          <w:rFonts w:ascii="仿宋" w:hAnsi="仿宋" w:eastAsia="仿宋" w:cs="仿宋"/>
          <w:spacing w:val="0"/>
          <w:kern w:val="0"/>
          <w:sz w:val="32"/>
          <w:szCs w:val="32"/>
        </w:rPr>
        <w:t>指事业单位在专业业务活动及其辅助活动之外开展非独立核算经营活动发生的支出。</w:t>
      </w:r>
    </w:p>
    <w:p>
      <w:pPr>
        <w:pStyle w:val="26"/>
        <w:widowControl/>
        <w:spacing w:before="100" w:after="100" w:line="600" w:lineRule="atLeast"/>
        <w:ind w:left="0" w:right="0" w:firstLine="640"/>
        <w:jc w:val="left"/>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十二、“三公”经费：</w:t>
      </w:r>
      <w:r>
        <w:rPr>
          <w:rFonts w:ascii="仿宋" w:hAnsi="仿宋" w:eastAsia="仿宋" w:cs="仿宋"/>
          <w:spacing w:val="0"/>
          <w:kern w:val="0"/>
          <w:sz w:val="32"/>
          <w:szCs w:val="32"/>
        </w:rPr>
        <w:t>纳入本级财政预决算管理的“三公”经费，是指本级单位用一般公共预算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牌照费）及燃料费、维修费、过桥过路费、保险费、安全奖励费用等支出；公务接待费反映单位按规定开支的各类公务接待（含外宾接待）支出。</w:t>
      </w:r>
    </w:p>
    <w:p>
      <w:pPr>
        <w:pStyle w:val="26"/>
        <w:widowControl/>
        <w:spacing w:before="100" w:after="100" w:line="600" w:lineRule="atLeast"/>
        <w:ind w:left="0" w:right="0" w:firstLine="640"/>
        <w:jc w:val="left"/>
        <w:rPr>
          <w:rFonts w:ascii="仿宋" w:hAnsi="仿宋" w:eastAsia="仿宋" w:cs="仿宋"/>
          <w:spacing w:val="0"/>
          <w:kern w:val="0"/>
          <w:sz w:val="32"/>
          <w:szCs w:val="32"/>
        </w:rPr>
      </w:pPr>
      <w:r>
        <w:rPr>
          <w:rStyle w:val="31"/>
          <w:rFonts w:ascii="仿宋" w:hAnsi="仿宋" w:eastAsia="仿宋" w:cs="仿宋"/>
          <w:b/>
          <w:bCs/>
          <w:spacing w:val="0"/>
          <w:kern w:val="0"/>
          <w:sz w:val="32"/>
          <w:szCs w:val="32"/>
        </w:rPr>
        <w:t>十三、机关运行经费：</w:t>
      </w:r>
      <w:r>
        <w:rPr>
          <w:rFonts w:ascii="仿宋" w:hAnsi="仿宋" w:eastAsia="仿宋" w:cs="仿宋"/>
          <w:spacing w:val="0"/>
          <w:kern w:val="0"/>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6"/>
        <w:widowControl/>
        <w:spacing w:before="100" w:after="100" w:line="600" w:lineRule="atLeast"/>
        <w:ind w:left="0" w:right="0" w:firstLine="640"/>
        <w:jc w:val="left"/>
        <w:rPr>
          <w:rFonts w:ascii="仿宋" w:hAnsi="仿宋" w:eastAsia="仿宋" w:cs="仿宋"/>
          <w:spacing w:val="0"/>
          <w:kern w:val="0"/>
          <w:sz w:val="32"/>
          <w:szCs w:val="32"/>
        </w:rPr>
      </w:pPr>
    </w:p>
    <w:p>
      <w:pPr>
        <w:pStyle w:val="26"/>
        <w:widowControl/>
        <w:spacing w:before="100" w:after="100" w:line="600" w:lineRule="atLeast"/>
        <w:ind w:left="0" w:right="0" w:firstLine="640"/>
        <w:jc w:val="left"/>
        <w:rPr>
          <w:rFonts w:ascii="仿宋" w:hAnsi="仿宋" w:eastAsia="仿宋" w:cs="仿宋"/>
          <w:spacing w:val="0"/>
          <w:kern w:val="0"/>
          <w:sz w:val="32"/>
          <w:szCs w:val="32"/>
        </w:rPr>
      </w:pPr>
    </w:p>
    <w:p>
      <w:pPr>
        <w:pStyle w:val="26"/>
        <w:widowControl/>
        <w:spacing w:before="100" w:after="100" w:line="600" w:lineRule="atLeast"/>
        <w:ind w:left="0" w:right="0" w:firstLine="640"/>
        <w:jc w:val="left"/>
        <w:rPr>
          <w:rFonts w:ascii="仿宋" w:hAnsi="仿宋" w:eastAsia="仿宋" w:cs="仿宋"/>
          <w:spacing w:val="0"/>
          <w:kern w:val="0"/>
          <w:sz w:val="32"/>
          <w:szCs w:val="32"/>
        </w:rPr>
      </w:pPr>
    </w:p>
    <w:p>
      <w:pPr>
        <w:pStyle w:val="4"/>
        <w:spacing w:before="299" w:after="299" w:line="240" w:lineRule="auto"/>
        <w:ind w:firstLine="0" w:firstLineChars="0"/>
        <w:jc w:val="center"/>
        <w:rPr>
          <w:rFonts w:ascii="Times New Roman" w:hAnsi="Times New Roman" w:eastAsia="Times New Roman" w:cs="Times New Roman"/>
          <w:b w:val="0"/>
          <w:bCs w:val="0"/>
          <w:kern w:val="0"/>
          <w:sz w:val="44"/>
          <w:szCs w:val="44"/>
        </w:rPr>
      </w:pPr>
      <w:bookmarkStart w:id="117" w:name="_Toc256000091"/>
      <w:bookmarkStart w:id="118" w:name="_Toc256000060"/>
      <w:bookmarkStart w:id="119" w:name="_Toc256000122"/>
      <w:bookmarkStart w:id="120" w:name="_Toc256000029"/>
      <w:r>
        <w:rPr>
          <w:rFonts w:ascii="黑体" w:hAnsi="黑体" w:eastAsia="黑体" w:cs="黑体"/>
          <w:b w:val="0"/>
          <w:bCs w:val="0"/>
          <w:sz w:val="44"/>
          <w:szCs w:val="44"/>
        </w:rPr>
        <w:t>第五部分</w:t>
      </w:r>
      <w:bookmarkEnd w:id="117"/>
      <w:bookmarkEnd w:id="118"/>
      <w:bookmarkEnd w:id="119"/>
      <w:bookmarkEnd w:id="120"/>
      <w:bookmarkStart w:id="121" w:name="_Toc256000092"/>
      <w:bookmarkStart w:id="122" w:name="_Toc256000030"/>
      <w:bookmarkStart w:id="123" w:name="_Toc256000061"/>
      <w:bookmarkStart w:id="124" w:name="_Toc256000123"/>
      <w:r>
        <w:rPr>
          <w:rFonts w:hint="eastAsia" w:ascii="黑体" w:hAnsi="黑体" w:eastAsia="黑体" w:cs="黑体"/>
          <w:b w:val="0"/>
          <w:bCs w:val="0"/>
          <w:sz w:val="44"/>
          <w:szCs w:val="44"/>
          <w:lang w:val="en-US" w:eastAsia="zh-CN"/>
        </w:rPr>
        <w:t xml:space="preserve">  </w:t>
      </w:r>
      <w:r>
        <w:rPr>
          <w:rFonts w:ascii="黑体" w:hAnsi="黑体" w:eastAsia="黑体" w:cs="黑体"/>
          <w:b w:val="0"/>
          <w:bCs w:val="0"/>
          <w:sz w:val="44"/>
          <w:szCs w:val="44"/>
        </w:rPr>
        <w:t>附件</w:t>
      </w:r>
      <w:bookmarkEnd w:id="121"/>
      <w:bookmarkEnd w:id="122"/>
      <w:bookmarkEnd w:id="123"/>
      <w:bookmarkEnd w:id="124"/>
    </w:p>
    <w:tbl>
      <w:tblPr>
        <w:tblStyle w:val="23"/>
        <w:tblW w:w="9787" w:type="dxa"/>
        <w:jc w:val="center"/>
        <w:tblInd w:w="-49" w:type="dxa"/>
        <w:shd w:val="clear" w:color="auto" w:fill="auto"/>
        <w:tblLayout w:type="fixed"/>
        <w:tblCellMar>
          <w:top w:w="0" w:type="dxa"/>
          <w:left w:w="0" w:type="dxa"/>
          <w:bottom w:w="0" w:type="dxa"/>
          <w:right w:w="0" w:type="dxa"/>
        </w:tblCellMar>
      </w:tblPr>
      <w:tblGrid>
        <w:gridCol w:w="739"/>
        <w:gridCol w:w="1024"/>
        <w:gridCol w:w="1744"/>
        <w:gridCol w:w="1406"/>
        <w:gridCol w:w="674"/>
        <w:gridCol w:w="690"/>
        <w:gridCol w:w="750"/>
        <w:gridCol w:w="675"/>
        <w:gridCol w:w="675"/>
        <w:gridCol w:w="600"/>
        <w:gridCol w:w="810"/>
      </w:tblGrid>
      <w:tr>
        <w:tblPrEx>
          <w:shd w:val="clear" w:color="auto" w:fill="auto"/>
          <w:tblLayout w:type="fixed"/>
          <w:tblCellMar>
            <w:top w:w="0" w:type="dxa"/>
            <w:left w:w="0" w:type="dxa"/>
            <w:bottom w:w="0" w:type="dxa"/>
            <w:right w:w="0" w:type="dxa"/>
          </w:tblCellMar>
        </w:tblPrEx>
        <w:trPr>
          <w:trHeight w:val="520" w:hRule="atLeast"/>
          <w:jc w:val="center"/>
        </w:trPr>
        <w:tc>
          <w:tcPr>
            <w:tcW w:w="9787" w:type="dxa"/>
            <w:gridSpan w:val="11"/>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32"/>
                <w:szCs w:val="32"/>
                <w:u w:val="none"/>
                <w:lang w:val="en-US" w:eastAsia="zh-CN" w:bidi="ar"/>
              </w:rPr>
              <w:t>部门（单位）项目支出绩效自评表</w:t>
            </w:r>
          </w:p>
        </w:tc>
      </w:tr>
      <w:tr>
        <w:tblPrEx>
          <w:shd w:val="clear" w:color="auto" w:fill="auto"/>
          <w:tblLayout w:type="fixed"/>
          <w:tblCellMar>
            <w:top w:w="0" w:type="dxa"/>
            <w:left w:w="0" w:type="dxa"/>
            <w:bottom w:w="0" w:type="dxa"/>
            <w:right w:w="0" w:type="dxa"/>
          </w:tblCellMar>
        </w:tblPrEx>
        <w:trPr>
          <w:trHeight w:val="460" w:hRule="atLeast"/>
          <w:jc w:val="center"/>
        </w:trPr>
        <w:tc>
          <w:tcPr>
            <w:tcW w:w="9787" w:type="dxa"/>
            <w:gridSpan w:val="11"/>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（2024年度）</w:t>
            </w:r>
          </w:p>
        </w:tc>
      </w:tr>
      <w:tr>
        <w:tblPrEx>
          <w:shd w:val="clear" w:color="auto" w:fill="auto"/>
          <w:tblLayout w:type="fixed"/>
          <w:tblCellMar>
            <w:top w:w="0" w:type="dxa"/>
            <w:left w:w="0" w:type="dxa"/>
            <w:bottom w:w="0" w:type="dxa"/>
            <w:right w:w="0" w:type="dxa"/>
          </w:tblCellMar>
        </w:tblPrEx>
        <w:trPr>
          <w:trHeight w:val="480" w:hRule="atLeast"/>
          <w:jc w:val="center"/>
        </w:trPr>
        <w:tc>
          <w:tcPr>
            <w:tcW w:w="5587" w:type="dxa"/>
            <w:gridSpan w:val="5"/>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预算单位（盖章）：</w:t>
            </w:r>
            <w:r>
              <w:rPr>
                <w:rFonts w:hint="eastAsia" w:ascii="宋体" w:hAnsi="宋体" w:cs="宋体"/>
                <w:i w:val="0"/>
                <w:color w:val="000000"/>
                <w:kern w:val="0"/>
                <w:sz w:val="18"/>
                <w:szCs w:val="18"/>
                <w:u w:val="none"/>
                <w:lang w:val="en-US" w:eastAsia="zh-CN" w:bidi="ar"/>
              </w:rPr>
              <w:t>厦门市湖里区教师进修学校第二附属小学</w:t>
            </w:r>
            <w:r>
              <w:rPr>
                <w:rFonts w:hint="eastAsia" w:ascii="宋体" w:hAnsi="宋体" w:eastAsia="宋体" w:cs="宋体"/>
                <w:i w:val="0"/>
                <w:color w:val="000000"/>
                <w:kern w:val="0"/>
                <w:sz w:val="18"/>
                <w:szCs w:val="18"/>
                <w:u w:val="none"/>
                <w:lang w:val="en-US" w:eastAsia="zh-CN" w:bidi="ar"/>
              </w:rPr>
              <w:t xml:space="preserve">                                                                                                 </w:t>
            </w:r>
          </w:p>
        </w:tc>
        <w:tc>
          <w:tcPr>
            <w:tcW w:w="690" w:type="dxa"/>
            <w:tcBorders>
              <w:top w:val="nil"/>
              <w:left w:val="nil"/>
              <w:bottom w:val="single" w:color="000000" w:sz="4" w:space="0"/>
              <w:right w:val="nil"/>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50" w:type="dxa"/>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75" w:type="dxa"/>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2085" w:type="dxa"/>
            <w:gridSpan w:val="3"/>
            <w:tcBorders>
              <w:top w:val="nil"/>
              <w:left w:val="nil"/>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单位：万元</w:t>
            </w:r>
          </w:p>
        </w:tc>
      </w:tr>
      <w:tr>
        <w:tblPrEx>
          <w:shd w:val="clear" w:color="auto" w:fill="auto"/>
          <w:tblLayout w:type="fixed"/>
          <w:tblCellMar>
            <w:top w:w="0" w:type="dxa"/>
            <w:left w:w="0" w:type="dxa"/>
            <w:bottom w:w="0" w:type="dxa"/>
            <w:right w:w="0" w:type="dxa"/>
          </w:tblCellMar>
        </w:tblPrEx>
        <w:trPr>
          <w:trHeight w:val="600" w:hRule="atLeast"/>
          <w:jc w:val="center"/>
        </w:trPr>
        <w:tc>
          <w:tcPr>
            <w:tcW w:w="1763"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项目名称</w:t>
            </w:r>
          </w:p>
        </w:tc>
        <w:tc>
          <w:tcPr>
            <w:tcW w:w="4514" w:type="dxa"/>
            <w:gridSpan w:val="4"/>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义务教育阶段家庭经济困难学生营养餐补助</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自评</w:t>
            </w:r>
            <w:r>
              <w:rPr>
                <w:rFonts w:hint="eastAsia" w:ascii="宋体" w:hAnsi="宋体" w:eastAsia="宋体" w:cs="宋体"/>
                <w:b w:val="0"/>
                <w:bCs/>
                <w:i w:val="0"/>
                <w:color w:val="000000"/>
                <w:kern w:val="0"/>
                <w:sz w:val="18"/>
                <w:szCs w:val="18"/>
                <w:u w:val="none"/>
                <w:lang w:val="en-US" w:eastAsia="zh-CN" w:bidi="ar"/>
              </w:rPr>
              <w:br w:type="textWrapping"/>
            </w:r>
            <w:r>
              <w:rPr>
                <w:rFonts w:hint="eastAsia" w:ascii="宋体" w:hAnsi="宋体" w:eastAsia="宋体" w:cs="宋体"/>
                <w:b w:val="0"/>
                <w:bCs/>
                <w:i w:val="0"/>
                <w:color w:val="000000"/>
                <w:kern w:val="0"/>
                <w:sz w:val="18"/>
                <w:szCs w:val="18"/>
                <w:u w:val="none"/>
                <w:lang w:val="en-US" w:eastAsia="zh-CN" w:bidi="ar"/>
              </w:rPr>
              <w:t>年度</w:t>
            </w:r>
          </w:p>
        </w:tc>
        <w:tc>
          <w:tcPr>
            <w:tcW w:w="276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2024年1月1日-2024年12月31日</w:t>
            </w:r>
          </w:p>
        </w:tc>
      </w:tr>
      <w:tr>
        <w:tblPrEx>
          <w:shd w:val="clear" w:color="auto" w:fill="auto"/>
          <w:tblLayout w:type="fixed"/>
          <w:tblCellMar>
            <w:top w:w="0" w:type="dxa"/>
            <w:left w:w="0" w:type="dxa"/>
            <w:bottom w:w="0" w:type="dxa"/>
            <w:right w:w="0" w:type="dxa"/>
          </w:tblCellMar>
        </w:tblPrEx>
        <w:trPr>
          <w:trHeight w:val="450" w:hRule="atLeast"/>
          <w:jc w:val="center"/>
        </w:trPr>
        <w:tc>
          <w:tcPr>
            <w:tcW w:w="17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主管部门</w:t>
            </w:r>
          </w:p>
        </w:tc>
        <w:tc>
          <w:tcPr>
            <w:tcW w:w="451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湖里区教育局</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实施单位</w:t>
            </w:r>
          </w:p>
        </w:tc>
        <w:tc>
          <w:tcPr>
            <w:tcW w:w="276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厦门市湖里区教师进修学校第二附属小学</w:t>
            </w:r>
          </w:p>
        </w:tc>
      </w:tr>
      <w:tr>
        <w:tblPrEx>
          <w:shd w:val="clear" w:color="auto" w:fill="auto"/>
          <w:tblLayout w:type="fixed"/>
          <w:tblCellMar>
            <w:top w:w="0" w:type="dxa"/>
            <w:left w:w="0" w:type="dxa"/>
            <w:bottom w:w="0" w:type="dxa"/>
            <w:right w:w="0" w:type="dxa"/>
          </w:tblCellMar>
        </w:tblPrEx>
        <w:trPr>
          <w:trHeight w:val="675" w:hRule="atLeast"/>
          <w:jc w:val="center"/>
        </w:trPr>
        <w:tc>
          <w:tcPr>
            <w:tcW w:w="176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年度预算执行情况</w:t>
            </w:r>
          </w:p>
        </w:tc>
        <w:tc>
          <w:tcPr>
            <w:tcW w:w="1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b w:val="0"/>
                <w:bCs/>
                <w:i w:val="0"/>
                <w:color w:val="000000"/>
                <w:sz w:val="18"/>
                <w:szCs w:val="18"/>
                <w:u w:val="none"/>
              </w:rPr>
            </w:pPr>
          </w:p>
        </w:tc>
        <w:tc>
          <w:tcPr>
            <w:tcW w:w="14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年初预算数</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已调整数</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调整后预算数</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全年执行数</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执行率</w:t>
            </w:r>
          </w:p>
        </w:tc>
        <w:tc>
          <w:tcPr>
            <w:tcW w:w="67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设置分值</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得分</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存在问题及原因</w:t>
            </w:r>
          </w:p>
        </w:tc>
      </w:tr>
      <w:tr>
        <w:tblPrEx>
          <w:shd w:val="clear" w:color="auto" w:fill="auto"/>
          <w:tblLayout w:type="fixed"/>
          <w:tblCellMar>
            <w:top w:w="0" w:type="dxa"/>
            <w:left w:w="0" w:type="dxa"/>
            <w:bottom w:w="0" w:type="dxa"/>
            <w:right w:w="0" w:type="dxa"/>
          </w:tblCellMar>
        </w:tblPrEx>
        <w:trPr>
          <w:trHeight w:val="860" w:hRule="atLeast"/>
          <w:jc w:val="center"/>
        </w:trPr>
        <w:tc>
          <w:tcPr>
            <w:tcW w:w="176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i w:val="0"/>
                <w:color w:val="000000"/>
                <w:sz w:val="18"/>
                <w:szCs w:val="18"/>
                <w:u w:val="none"/>
              </w:rPr>
            </w:pPr>
          </w:p>
        </w:tc>
        <w:tc>
          <w:tcPr>
            <w:tcW w:w="1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年度资金总额</w:t>
            </w:r>
          </w:p>
        </w:tc>
        <w:tc>
          <w:tcPr>
            <w:tcW w:w="14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iCs w:val="0"/>
                <w:color w:val="000000"/>
                <w:kern w:val="0"/>
                <w:sz w:val="18"/>
                <w:szCs w:val="18"/>
                <w:u w:val="none"/>
                <w:lang w:val="en-US" w:eastAsia="zh-CN" w:bidi="ar"/>
              </w:rPr>
              <w:t>2.4</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iCs w:val="0"/>
                <w:color w:val="000000"/>
                <w:kern w:val="0"/>
                <w:sz w:val="18"/>
                <w:szCs w:val="18"/>
                <w:u w:val="none"/>
                <w:lang w:val="en-US" w:eastAsia="zh-CN" w:bidi="ar"/>
              </w:rPr>
              <w:t>0.1284</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iCs w:val="0"/>
                <w:color w:val="000000"/>
                <w:kern w:val="0"/>
                <w:sz w:val="18"/>
                <w:szCs w:val="18"/>
                <w:u w:val="none"/>
                <w:lang w:val="en-US" w:eastAsia="zh-CN" w:bidi="ar"/>
              </w:rPr>
              <w:t>2.5284</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iCs w:val="0"/>
                <w:color w:val="000000"/>
                <w:kern w:val="0"/>
                <w:sz w:val="18"/>
                <w:szCs w:val="18"/>
                <w:u w:val="none"/>
                <w:lang w:val="en-US" w:eastAsia="zh-CN" w:bidi="ar"/>
              </w:rPr>
              <w:t>1.9854</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iCs w:val="0"/>
                <w:color w:val="000000"/>
                <w:kern w:val="0"/>
                <w:sz w:val="18"/>
                <w:szCs w:val="18"/>
                <w:u w:val="none"/>
                <w:lang w:val="en-US" w:eastAsia="zh-CN" w:bidi="ar"/>
              </w:rPr>
              <w:t>78.52%</w:t>
            </w:r>
          </w:p>
        </w:tc>
        <w:tc>
          <w:tcPr>
            <w:tcW w:w="67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iCs w:val="0"/>
                <w:color w:val="000000"/>
                <w:kern w:val="0"/>
                <w:sz w:val="18"/>
                <w:szCs w:val="18"/>
                <w:u w:val="none"/>
                <w:lang w:val="en-US" w:eastAsia="zh-CN" w:bidi="ar"/>
              </w:rPr>
              <w:t>10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cs="宋体"/>
                <w:b w:val="0"/>
                <w:bCs/>
                <w:i w:val="0"/>
                <w:color w:val="000000"/>
                <w:kern w:val="0"/>
                <w:sz w:val="18"/>
                <w:szCs w:val="18"/>
                <w:u w:val="none"/>
                <w:lang w:val="en-US" w:eastAsia="zh-CN" w:bidi="ar"/>
              </w:rPr>
              <w:t>8</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困难学生未全部在校用餐</w:t>
            </w:r>
          </w:p>
        </w:tc>
      </w:tr>
      <w:tr>
        <w:tblPrEx>
          <w:shd w:val="clear" w:color="auto" w:fill="auto"/>
          <w:tblLayout w:type="fixed"/>
          <w:tblCellMar>
            <w:top w:w="0" w:type="dxa"/>
            <w:left w:w="0" w:type="dxa"/>
            <w:bottom w:w="0" w:type="dxa"/>
            <w:right w:w="0" w:type="dxa"/>
          </w:tblCellMar>
        </w:tblPrEx>
        <w:trPr>
          <w:trHeight w:val="270" w:hRule="atLeast"/>
          <w:jc w:val="center"/>
        </w:trPr>
        <w:tc>
          <w:tcPr>
            <w:tcW w:w="176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i w:val="0"/>
                <w:color w:val="000000"/>
                <w:sz w:val="18"/>
                <w:szCs w:val="18"/>
                <w:u w:val="none"/>
              </w:rPr>
            </w:pPr>
          </w:p>
        </w:tc>
        <w:tc>
          <w:tcPr>
            <w:tcW w:w="1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其中：当年财政拨款</w:t>
            </w:r>
          </w:p>
        </w:tc>
        <w:tc>
          <w:tcPr>
            <w:tcW w:w="14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iCs w:val="0"/>
                <w:color w:val="000000"/>
                <w:kern w:val="0"/>
                <w:sz w:val="18"/>
                <w:szCs w:val="18"/>
                <w:u w:val="none"/>
                <w:lang w:val="en-US" w:eastAsia="zh-CN" w:bidi="ar"/>
              </w:rPr>
              <w:t>2.4</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iCs w:val="0"/>
                <w:color w:val="000000"/>
                <w:kern w:val="0"/>
                <w:sz w:val="18"/>
                <w:szCs w:val="18"/>
                <w:u w:val="none"/>
                <w:lang w:val="en-US" w:eastAsia="zh-CN" w:bidi="ar"/>
              </w:rPr>
              <w:t>0.1284</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iCs w:val="0"/>
                <w:color w:val="000000"/>
                <w:kern w:val="0"/>
                <w:sz w:val="18"/>
                <w:szCs w:val="18"/>
                <w:u w:val="none"/>
                <w:lang w:val="en-US" w:eastAsia="zh-CN" w:bidi="ar"/>
              </w:rPr>
              <w:t>2.5284</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iCs w:val="0"/>
                <w:color w:val="000000"/>
                <w:kern w:val="0"/>
                <w:sz w:val="18"/>
                <w:szCs w:val="18"/>
                <w:u w:val="none"/>
                <w:lang w:val="en-US" w:eastAsia="zh-CN" w:bidi="ar"/>
              </w:rPr>
              <w:t>1.9854</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iCs w:val="0"/>
                <w:color w:val="000000"/>
                <w:kern w:val="0"/>
                <w:sz w:val="18"/>
                <w:szCs w:val="18"/>
                <w:u w:val="none"/>
                <w:lang w:val="en-US" w:eastAsia="zh-CN" w:bidi="ar"/>
              </w:rPr>
              <w:t>78.52%</w:t>
            </w:r>
          </w:p>
        </w:tc>
        <w:tc>
          <w:tcPr>
            <w:tcW w:w="67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iCs w:val="0"/>
                <w:color w:val="000000"/>
                <w:kern w:val="0"/>
                <w:sz w:val="18"/>
                <w:szCs w:val="18"/>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270" w:hRule="atLeast"/>
          <w:jc w:val="center"/>
        </w:trPr>
        <w:tc>
          <w:tcPr>
            <w:tcW w:w="176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i w:val="0"/>
                <w:color w:val="000000"/>
                <w:sz w:val="18"/>
                <w:szCs w:val="18"/>
                <w:u w:val="none"/>
              </w:rPr>
            </w:pPr>
          </w:p>
        </w:tc>
        <w:tc>
          <w:tcPr>
            <w:tcW w:w="1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 xml:space="preserve">     上年结转资金</w:t>
            </w:r>
          </w:p>
        </w:tc>
        <w:tc>
          <w:tcPr>
            <w:tcW w:w="14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i w:val="0"/>
                <w:color w:val="000000"/>
                <w:sz w:val="18"/>
                <w:szCs w:val="18"/>
                <w:u w:val="none"/>
              </w:rPr>
            </w:pP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i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i w:val="0"/>
                <w:color w:val="000000"/>
                <w:sz w:val="18"/>
                <w:szCs w:val="18"/>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i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i w:val="0"/>
                <w:color w:val="000000"/>
                <w:sz w:val="18"/>
                <w:szCs w:val="18"/>
                <w:u w:val="none"/>
              </w:rPr>
            </w:pPr>
          </w:p>
        </w:tc>
        <w:tc>
          <w:tcPr>
            <w:tcW w:w="67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b w:val="0"/>
                <w:bCs/>
                <w:i w:val="0"/>
                <w:color w:val="000000"/>
                <w:sz w:val="18"/>
                <w:szCs w:val="18"/>
                <w:u w:val="none"/>
              </w:rPr>
            </w:pPr>
          </w:p>
        </w:tc>
      </w:tr>
      <w:tr>
        <w:tblPrEx>
          <w:shd w:val="clear" w:color="auto" w:fill="auto"/>
          <w:tblLayout w:type="fixed"/>
          <w:tblCellMar>
            <w:top w:w="0" w:type="dxa"/>
            <w:left w:w="0" w:type="dxa"/>
            <w:bottom w:w="0" w:type="dxa"/>
            <w:right w:w="0" w:type="dxa"/>
          </w:tblCellMar>
        </w:tblPrEx>
        <w:trPr>
          <w:trHeight w:val="270" w:hRule="atLeast"/>
          <w:jc w:val="center"/>
        </w:trPr>
        <w:tc>
          <w:tcPr>
            <w:tcW w:w="176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i w:val="0"/>
                <w:color w:val="000000"/>
                <w:sz w:val="18"/>
                <w:szCs w:val="18"/>
                <w:u w:val="none"/>
              </w:rPr>
            </w:pPr>
          </w:p>
        </w:tc>
        <w:tc>
          <w:tcPr>
            <w:tcW w:w="1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 xml:space="preserve">     其他资金</w:t>
            </w:r>
          </w:p>
        </w:tc>
        <w:tc>
          <w:tcPr>
            <w:tcW w:w="14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b w:val="0"/>
                <w:bCs/>
                <w:i w:val="0"/>
                <w:color w:val="000000"/>
                <w:sz w:val="18"/>
                <w:szCs w:val="18"/>
                <w:u w:val="none"/>
              </w:rPr>
            </w:pP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b w:val="0"/>
                <w:bCs/>
                <w:i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i w:val="0"/>
                <w:color w:val="000000"/>
                <w:sz w:val="18"/>
                <w:szCs w:val="18"/>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b w:val="0"/>
                <w:bCs/>
                <w:i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i w:val="0"/>
                <w:color w:val="000000"/>
                <w:sz w:val="18"/>
                <w:szCs w:val="18"/>
                <w:u w:val="none"/>
              </w:rPr>
            </w:pPr>
          </w:p>
        </w:tc>
        <w:tc>
          <w:tcPr>
            <w:tcW w:w="67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b w:val="0"/>
                <w:bCs/>
                <w:i w:val="0"/>
                <w:color w:val="000000"/>
                <w:sz w:val="18"/>
                <w:szCs w:val="18"/>
                <w:u w:val="none"/>
              </w:rPr>
            </w:pPr>
          </w:p>
        </w:tc>
      </w:tr>
      <w:tr>
        <w:tblPrEx>
          <w:shd w:val="clear" w:color="auto" w:fill="auto"/>
          <w:tblLayout w:type="fixed"/>
          <w:tblCellMar>
            <w:top w:w="0" w:type="dxa"/>
            <w:left w:w="0" w:type="dxa"/>
            <w:bottom w:w="0" w:type="dxa"/>
            <w:right w:w="0" w:type="dxa"/>
          </w:tblCellMar>
        </w:tblPrEx>
        <w:trPr>
          <w:trHeight w:val="270" w:hRule="atLeast"/>
          <w:jc w:val="center"/>
        </w:trPr>
        <w:tc>
          <w:tcPr>
            <w:tcW w:w="73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年度</w:t>
            </w:r>
            <w:r>
              <w:rPr>
                <w:rFonts w:hint="eastAsia" w:ascii="宋体" w:hAnsi="宋体" w:eastAsia="宋体" w:cs="宋体"/>
                <w:b w:val="0"/>
                <w:bCs/>
                <w:i w:val="0"/>
                <w:color w:val="000000"/>
                <w:kern w:val="0"/>
                <w:sz w:val="18"/>
                <w:szCs w:val="18"/>
                <w:u w:val="none"/>
                <w:lang w:val="en-US" w:eastAsia="zh-CN" w:bidi="ar"/>
              </w:rPr>
              <w:br w:type="textWrapping"/>
            </w:r>
            <w:r>
              <w:rPr>
                <w:rFonts w:hint="eastAsia" w:ascii="宋体" w:hAnsi="宋体" w:eastAsia="宋体" w:cs="宋体"/>
                <w:b w:val="0"/>
                <w:bCs/>
                <w:i w:val="0"/>
                <w:color w:val="000000"/>
                <w:kern w:val="0"/>
                <w:sz w:val="18"/>
                <w:szCs w:val="18"/>
                <w:u w:val="none"/>
                <w:lang w:val="en-US" w:eastAsia="zh-CN" w:bidi="ar"/>
              </w:rPr>
              <w:t>总体</w:t>
            </w:r>
            <w:r>
              <w:rPr>
                <w:rFonts w:hint="eastAsia" w:ascii="宋体" w:hAnsi="宋体" w:eastAsia="宋体" w:cs="宋体"/>
                <w:b w:val="0"/>
                <w:bCs/>
                <w:i w:val="0"/>
                <w:color w:val="000000"/>
                <w:kern w:val="0"/>
                <w:sz w:val="18"/>
                <w:szCs w:val="18"/>
                <w:u w:val="none"/>
                <w:lang w:val="en-US" w:eastAsia="zh-CN" w:bidi="ar"/>
              </w:rPr>
              <w:br w:type="textWrapping"/>
            </w:r>
            <w:r>
              <w:rPr>
                <w:rFonts w:hint="eastAsia" w:ascii="宋体" w:hAnsi="宋体" w:eastAsia="宋体" w:cs="宋体"/>
                <w:b w:val="0"/>
                <w:bCs/>
                <w:i w:val="0"/>
                <w:color w:val="000000"/>
                <w:kern w:val="0"/>
                <w:sz w:val="18"/>
                <w:szCs w:val="18"/>
                <w:u w:val="none"/>
                <w:lang w:val="en-US" w:eastAsia="zh-CN" w:bidi="ar"/>
              </w:rPr>
              <w:t>目标</w:t>
            </w:r>
          </w:p>
        </w:tc>
        <w:tc>
          <w:tcPr>
            <w:tcW w:w="553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预期目标</w:t>
            </w:r>
          </w:p>
        </w:tc>
        <w:tc>
          <w:tcPr>
            <w:tcW w:w="351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实际完成情况</w:t>
            </w:r>
          </w:p>
        </w:tc>
      </w:tr>
      <w:tr>
        <w:tblPrEx>
          <w:shd w:val="clear" w:color="auto" w:fill="auto"/>
          <w:tblLayout w:type="fixed"/>
          <w:tblCellMar>
            <w:top w:w="0" w:type="dxa"/>
            <w:left w:w="0" w:type="dxa"/>
            <w:bottom w:w="0" w:type="dxa"/>
            <w:right w:w="0" w:type="dxa"/>
          </w:tblCellMar>
        </w:tblPrEx>
        <w:trPr>
          <w:trHeight w:val="312" w:hRule="atLeast"/>
          <w:jc w:val="center"/>
        </w:trPr>
        <w:tc>
          <w:tcPr>
            <w:tcW w:w="7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i w:val="0"/>
                <w:color w:val="000000"/>
                <w:sz w:val="18"/>
                <w:szCs w:val="18"/>
                <w:u w:val="none"/>
              </w:rPr>
            </w:pPr>
          </w:p>
        </w:tc>
        <w:tc>
          <w:tcPr>
            <w:tcW w:w="5538" w:type="dxa"/>
            <w:gridSpan w:val="5"/>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厦门市教育局等五部门关于印发《厦门市学生资助资金管理实施办法》的通知（厦教发〔2022〕83号）及厦门市教育局等八部门关于印发《厦门市家庭经济困难学生认定办法》的通知（厦教规【2022】3号）等文件，对义务教育阶段公办校（学校提供午餐）家庭经济困难学生营养餐补助，确保补助工作顺利实施。</w:t>
            </w:r>
          </w:p>
        </w:tc>
        <w:tc>
          <w:tcPr>
            <w:tcW w:w="3510" w:type="dxa"/>
            <w:gridSpan w:val="5"/>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2024年完成春、秋两季关于我区义务教育阶段公办校（学校提供午餐）家庭经济困难学生营养餐补助对象审核及资金下拨。</w:t>
            </w:r>
          </w:p>
        </w:tc>
      </w:tr>
      <w:tr>
        <w:tblPrEx>
          <w:shd w:val="clear" w:color="auto" w:fill="auto"/>
          <w:tblLayout w:type="fixed"/>
          <w:tblCellMar>
            <w:top w:w="0" w:type="dxa"/>
            <w:left w:w="0" w:type="dxa"/>
            <w:bottom w:w="0" w:type="dxa"/>
            <w:right w:w="0" w:type="dxa"/>
          </w:tblCellMar>
        </w:tblPrEx>
        <w:trPr>
          <w:trHeight w:val="1665" w:hRule="atLeast"/>
          <w:jc w:val="center"/>
        </w:trPr>
        <w:tc>
          <w:tcPr>
            <w:tcW w:w="7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i w:val="0"/>
                <w:color w:val="000000"/>
                <w:sz w:val="18"/>
                <w:szCs w:val="18"/>
                <w:u w:val="none"/>
              </w:rPr>
            </w:pPr>
          </w:p>
        </w:tc>
        <w:tc>
          <w:tcPr>
            <w:tcW w:w="5538"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b w:val="0"/>
                <w:bCs/>
                <w:i w:val="0"/>
                <w:color w:val="000000"/>
                <w:sz w:val="18"/>
                <w:szCs w:val="18"/>
                <w:u w:val="none"/>
              </w:rPr>
            </w:pPr>
          </w:p>
        </w:tc>
        <w:tc>
          <w:tcPr>
            <w:tcW w:w="351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b w:val="0"/>
                <w:bCs/>
                <w:i w:val="0"/>
                <w:color w:val="000000"/>
                <w:sz w:val="18"/>
                <w:szCs w:val="18"/>
                <w:u w:val="none"/>
              </w:rPr>
            </w:pPr>
          </w:p>
        </w:tc>
      </w:tr>
      <w:tr>
        <w:tblPrEx>
          <w:shd w:val="clear" w:color="auto" w:fill="auto"/>
          <w:tblLayout w:type="fixed"/>
          <w:tblCellMar>
            <w:top w:w="0" w:type="dxa"/>
            <w:left w:w="0" w:type="dxa"/>
            <w:bottom w:w="0" w:type="dxa"/>
            <w:right w:w="0" w:type="dxa"/>
          </w:tblCellMar>
        </w:tblPrEx>
        <w:trPr>
          <w:trHeight w:val="675" w:hRule="atLeast"/>
          <w:jc w:val="center"/>
        </w:trPr>
        <w:tc>
          <w:tcPr>
            <w:tcW w:w="7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b w:val="0"/>
                <w:bCs/>
                <w:i w:val="0"/>
                <w:color w:val="000000"/>
                <w:sz w:val="18"/>
                <w:szCs w:val="18"/>
                <w:u w:val="none"/>
              </w:rPr>
            </w:pPr>
          </w:p>
        </w:tc>
        <w:tc>
          <w:tcPr>
            <w:tcW w:w="10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一级指标</w:t>
            </w:r>
          </w:p>
        </w:tc>
        <w:tc>
          <w:tcPr>
            <w:tcW w:w="1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二级指标</w:t>
            </w:r>
          </w:p>
        </w:tc>
        <w:tc>
          <w:tcPr>
            <w:tcW w:w="14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三级指标</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指标类型</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绩效目标值</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实际完成值</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完成比例</w:t>
            </w:r>
          </w:p>
        </w:tc>
        <w:tc>
          <w:tcPr>
            <w:tcW w:w="67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设置分值</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得分</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存在问题及原因</w:t>
            </w:r>
          </w:p>
        </w:tc>
      </w:tr>
      <w:tr>
        <w:tblPrEx>
          <w:shd w:val="clear" w:color="auto" w:fill="auto"/>
          <w:tblLayout w:type="fixed"/>
          <w:tblCellMar>
            <w:top w:w="0" w:type="dxa"/>
            <w:left w:w="0" w:type="dxa"/>
            <w:bottom w:w="0" w:type="dxa"/>
            <w:right w:w="0" w:type="dxa"/>
          </w:tblCellMar>
        </w:tblPrEx>
        <w:trPr>
          <w:trHeight w:val="509" w:hRule="atLeast"/>
          <w:jc w:val="center"/>
        </w:trPr>
        <w:tc>
          <w:tcPr>
            <w:tcW w:w="739"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绩</w:t>
            </w:r>
            <w:r>
              <w:rPr>
                <w:rFonts w:hint="eastAsia" w:ascii="宋体" w:hAnsi="宋体" w:eastAsia="宋体" w:cs="宋体"/>
                <w:b w:val="0"/>
                <w:bCs/>
                <w:i w:val="0"/>
                <w:color w:val="000000"/>
                <w:kern w:val="0"/>
                <w:sz w:val="18"/>
                <w:szCs w:val="18"/>
                <w:u w:val="none"/>
                <w:lang w:val="en-US" w:eastAsia="zh-CN" w:bidi="ar"/>
              </w:rPr>
              <w:br w:type="textWrapping"/>
            </w:r>
            <w:r>
              <w:rPr>
                <w:rFonts w:hint="eastAsia" w:ascii="宋体" w:hAnsi="宋体" w:eastAsia="宋体" w:cs="宋体"/>
                <w:b w:val="0"/>
                <w:bCs/>
                <w:i w:val="0"/>
                <w:color w:val="000000"/>
                <w:kern w:val="0"/>
                <w:sz w:val="18"/>
                <w:szCs w:val="18"/>
                <w:u w:val="none"/>
                <w:lang w:val="en-US" w:eastAsia="zh-CN" w:bidi="ar"/>
              </w:rPr>
              <w:t>效</w:t>
            </w:r>
            <w:r>
              <w:rPr>
                <w:rFonts w:hint="eastAsia" w:ascii="宋体" w:hAnsi="宋体" w:eastAsia="宋体" w:cs="宋体"/>
                <w:b w:val="0"/>
                <w:bCs/>
                <w:i w:val="0"/>
                <w:color w:val="000000"/>
                <w:kern w:val="0"/>
                <w:sz w:val="18"/>
                <w:szCs w:val="18"/>
                <w:u w:val="none"/>
                <w:lang w:val="en-US" w:eastAsia="zh-CN" w:bidi="ar"/>
              </w:rPr>
              <w:br w:type="textWrapping"/>
            </w:r>
            <w:r>
              <w:rPr>
                <w:rFonts w:hint="eastAsia" w:ascii="宋体" w:hAnsi="宋体" w:eastAsia="宋体" w:cs="宋体"/>
                <w:b w:val="0"/>
                <w:bCs/>
                <w:i w:val="0"/>
                <w:color w:val="000000"/>
                <w:kern w:val="0"/>
                <w:sz w:val="18"/>
                <w:szCs w:val="18"/>
                <w:u w:val="none"/>
                <w:lang w:val="en-US" w:eastAsia="zh-CN" w:bidi="ar"/>
              </w:rPr>
              <w:t>指</w:t>
            </w:r>
            <w:r>
              <w:rPr>
                <w:rFonts w:hint="eastAsia" w:ascii="宋体" w:hAnsi="宋体" w:eastAsia="宋体" w:cs="宋体"/>
                <w:b w:val="0"/>
                <w:bCs/>
                <w:i w:val="0"/>
                <w:color w:val="000000"/>
                <w:kern w:val="0"/>
                <w:sz w:val="18"/>
                <w:szCs w:val="18"/>
                <w:u w:val="none"/>
                <w:lang w:val="en-US" w:eastAsia="zh-CN" w:bidi="ar"/>
              </w:rPr>
              <w:br w:type="textWrapping"/>
            </w:r>
            <w:r>
              <w:rPr>
                <w:rFonts w:hint="eastAsia" w:ascii="宋体" w:hAnsi="宋体" w:eastAsia="宋体" w:cs="宋体"/>
                <w:b w:val="0"/>
                <w:bCs/>
                <w:i w:val="0"/>
                <w:color w:val="000000"/>
                <w:kern w:val="0"/>
                <w:sz w:val="18"/>
                <w:szCs w:val="18"/>
                <w:u w:val="none"/>
                <w:lang w:val="en-US" w:eastAsia="zh-CN" w:bidi="ar"/>
              </w:rPr>
              <w:t>标</w:t>
            </w:r>
            <w:r>
              <w:rPr>
                <w:rFonts w:hint="eastAsia" w:ascii="宋体" w:hAnsi="宋体" w:eastAsia="宋体" w:cs="宋体"/>
                <w:b w:val="0"/>
                <w:bCs/>
                <w:i w:val="0"/>
                <w:color w:val="000000"/>
                <w:kern w:val="0"/>
                <w:sz w:val="18"/>
                <w:szCs w:val="18"/>
                <w:u w:val="none"/>
                <w:lang w:val="en-US" w:eastAsia="zh-CN" w:bidi="ar"/>
              </w:rPr>
              <w:br w:type="textWrapping"/>
            </w:r>
            <w:r>
              <w:rPr>
                <w:rFonts w:hint="eastAsia" w:ascii="宋体" w:hAnsi="宋体" w:eastAsia="宋体" w:cs="宋体"/>
                <w:b w:val="0"/>
                <w:bCs/>
                <w:i w:val="0"/>
                <w:color w:val="000000"/>
                <w:kern w:val="0"/>
                <w:sz w:val="18"/>
                <w:szCs w:val="18"/>
                <w:u w:val="none"/>
                <w:lang w:val="en-US" w:eastAsia="zh-CN" w:bidi="ar"/>
              </w:rPr>
              <w:t>完</w:t>
            </w:r>
            <w:r>
              <w:rPr>
                <w:rFonts w:hint="eastAsia" w:ascii="宋体" w:hAnsi="宋体" w:eastAsia="宋体" w:cs="宋体"/>
                <w:b w:val="0"/>
                <w:bCs/>
                <w:i w:val="0"/>
                <w:color w:val="000000"/>
                <w:kern w:val="0"/>
                <w:sz w:val="18"/>
                <w:szCs w:val="18"/>
                <w:u w:val="none"/>
                <w:lang w:val="en-US" w:eastAsia="zh-CN" w:bidi="ar"/>
              </w:rPr>
              <w:br w:type="textWrapping"/>
            </w:r>
            <w:r>
              <w:rPr>
                <w:rFonts w:hint="eastAsia" w:ascii="宋体" w:hAnsi="宋体" w:eastAsia="宋体" w:cs="宋体"/>
                <w:b w:val="0"/>
                <w:bCs/>
                <w:i w:val="0"/>
                <w:color w:val="000000"/>
                <w:kern w:val="0"/>
                <w:sz w:val="18"/>
                <w:szCs w:val="18"/>
                <w:u w:val="none"/>
                <w:lang w:val="en-US" w:eastAsia="zh-CN" w:bidi="ar"/>
              </w:rPr>
              <w:t>成</w:t>
            </w:r>
            <w:r>
              <w:rPr>
                <w:rFonts w:hint="eastAsia" w:ascii="宋体" w:hAnsi="宋体" w:eastAsia="宋体" w:cs="宋体"/>
                <w:b w:val="0"/>
                <w:bCs/>
                <w:i w:val="0"/>
                <w:color w:val="000000"/>
                <w:kern w:val="0"/>
                <w:sz w:val="18"/>
                <w:szCs w:val="18"/>
                <w:u w:val="none"/>
                <w:lang w:val="en-US" w:eastAsia="zh-CN" w:bidi="ar"/>
              </w:rPr>
              <w:br w:type="textWrapping"/>
            </w:r>
            <w:r>
              <w:rPr>
                <w:rFonts w:hint="eastAsia" w:ascii="宋体" w:hAnsi="宋体" w:eastAsia="宋体" w:cs="宋体"/>
                <w:b w:val="0"/>
                <w:bCs/>
                <w:i w:val="0"/>
                <w:color w:val="000000"/>
                <w:kern w:val="0"/>
                <w:sz w:val="18"/>
                <w:szCs w:val="18"/>
                <w:u w:val="none"/>
                <w:lang w:val="en-US" w:eastAsia="zh-CN" w:bidi="ar"/>
              </w:rPr>
              <w:t>情</w:t>
            </w:r>
            <w:r>
              <w:rPr>
                <w:rFonts w:hint="eastAsia" w:ascii="宋体" w:hAnsi="宋体" w:eastAsia="宋体" w:cs="宋体"/>
                <w:b w:val="0"/>
                <w:bCs/>
                <w:i w:val="0"/>
                <w:color w:val="000000"/>
                <w:kern w:val="0"/>
                <w:sz w:val="18"/>
                <w:szCs w:val="18"/>
                <w:u w:val="none"/>
                <w:lang w:val="en-US" w:eastAsia="zh-CN" w:bidi="ar"/>
              </w:rPr>
              <w:br w:type="textWrapping"/>
            </w:r>
            <w:r>
              <w:rPr>
                <w:rFonts w:hint="eastAsia" w:ascii="宋体" w:hAnsi="宋体" w:eastAsia="宋体" w:cs="宋体"/>
                <w:b w:val="0"/>
                <w:bCs/>
                <w:i w:val="0"/>
                <w:color w:val="000000"/>
                <w:kern w:val="0"/>
                <w:sz w:val="18"/>
                <w:szCs w:val="18"/>
                <w:u w:val="none"/>
                <w:lang w:val="en-US" w:eastAsia="zh-CN" w:bidi="ar"/>
              </w:rPr>
              <w:t>况</w:t>
            </w:r>
          </w:p>
        </w:tc>
        <w:tc>
          <w:tcPr>
            <w:tcW w:w="102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产出指标</w:t>
            </w:r>
          </w:p>
          <w:p>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p>
        </w:tc>
        <w:tc>
          <w:tcPr>
            <w:tcW w:w="1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数量指标</w:t>
            </w:r>
          </w:p>
        </w:tc>
        <w:tc>
          <w:tcPr>
            <w:tcW w:w="14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审核义务教育阶段受助学生</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定量</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大于等于40人</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40人</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100.00%</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15</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15</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450" w:hRule="atLeast"/>
          <w:jc w:val="center"/>
        </w:trPr>
        <w:tc>
          <w:tcPr>
            <w:tcW w:w="739"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i w:val="0"/>
                <w:color w:val="000000"/>
                <w:sz w:val="18"/>
                <w:szCs w:val="18"/>
                <w:u w:val="none"/>
              </w:rPr>
            </w:pPr>
          </w:p>
        </w:tc>
        <w:tc>
          <w:tcPr>
            <w:tcW w:w="102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p>
        </w:tc>
        <w:tc>
          <w:tcPr>
            <w:tcW w:w="1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数量指标</w:t>
            </w:r>
          </w:p>
        </w:tc>
        <w:tc>
          <w:tcPr>
            <w:tcW w:w="14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全年营养餐补助学生</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定量</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大于等于33人</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33人</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100.00%</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15</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15</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600" w:hRule="atLeast"/>
          <w:jc w:val="center"/>
        </w:trPr>
        <w:tc>
          <w:tcPr>
            <w:tcW w:w="739"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i w:val="0"/>
                <w:color w:val="000000"/>
                <w:sz w:val="18"/>
                <w:szCs w:val="18"/>
                <w:u w:val="none"/>
              </w:rPr>
            </w:pPr>
          </w:p>
        </w:tc>
        <w:tc>
          <w:tcPr>
            <w:tcW w:w="102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p>
        </w:tc>
        <w:tc>
          <w:tcPr>
            <w:tcW w:w="1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成本指标</w:t>
            </w:r>
          </w:p>
        </w:tc>
        <w:tc>
          <w:tcPr>
            <w:tcW w:w="14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营养餐发放标准</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定量</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6元/餐</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6元/餐</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100.00%</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10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10</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508" w:hRule="atLeast"/>
          <w:jc w:val="center"/>
        </w:trPr>
        <w:tc>
          <w:tcPr>
            <w:tcW w:w="739"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i w:val="0"/>
                <w:color w:val="000000"/>
                <w:sz w:val="18"/>
                <w:szCs w:val="18"/>
                <w:u w:val="none"/>
              </w:rPr>
            </w:pPr>
          </w:p>
        </w:tc>
        <w:tc>
          <w:tcPr>
            <w:tcW w:w="10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效益指标</w:t>
            </w:r>
          </w:p>
        </w:tc>
        <w:tc>
          <w:tcPr>
            <w:tcW w:w="1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时效指标</w:t>
            </w:r>
          </w:p>
        </w:tc>
        <w:tc>
          <w:tcPr>
            <w:tcW w:w="14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义务教育困难生资助资金下拨及时率</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定量</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100%</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100.00%</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10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10</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600" w:hRule="atLeast"/>
          <w:jc w:val="center"/>
        </w:trPr>
        <w:tc>
          <w:tcPr>
            <w:tcW w:w="739"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i w:val="0"/>
                <w:color w:val="000000"/>
                <w:sz w:val="18"/>
                <w:szCs w:val="18"/>
                <w:u w:val="none"/>
              </w:rPr>
            </w:pPr>
          </w:p>
        </w:tc>
        <w:tc>
          <w:tcPr>
            <w:tcW w:w="10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满意度</w:t>
            </w:r>
            <w:r>
              <w:rPr>
                <w:rFonts w:hint="eastAsia" w:ascii="宋体" w:hAnsi="宋体" w:eastAsia="宋体" w:cs="宋体"/>
                <w:b w:val="0"/>
                <w:bCs/>
                <w:i w:val="0"/>
                <w:color w:val="000000"/>
                <w:kern w:val="0"/>
                <w:sz w:val="18"/>
                <w:szCs w:val="18"/>
                <w:u w:val="none"/>
                <w:lang w:val="en-US" w:eastAsia="zh-CN" w:bidi="ar"/>
              </w:rPr>
              <w:br w:type="textWrapping"/>
            </w:r>
            <w:r>
              <w:rPr>
                <w:rFonts w:hint="eastAsia" w:ascii="宋体" w:hAnsi="宋体" w:eastAsia="宋体" w:cs="宋体"/>
                <w:b w:val="0"/>
                <w:bCs/>
                <w:i w:val="0"/>
                <w:color w:val="000000"/>
                <w:kern w:val="0"/>
                <w:sz w:val="18"/>
                <w:szCs w:val="18"/>
                <w:u w:val="none"/>
                <w:lang w:val="en-US" w:eastAsia="zh-CN" w:bidi="ar"/>
              </w:rPr>
              <w:t>指标</w:t>
            </w:r>
          </w:p>
        </w:tc>
        <w:tc>
          <w:tcPr>
            <w:tcW w:w="1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社会效益指标</w:t>
            </w:r>
          </w:p>
        </w:tc>
        <w:tc>
          <w:tcPr>
            <w:tcW w:w="14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改善受助学生学习生活质量</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定性</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有所改善</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有所改善</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100.00%</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30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30</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270" w:hRule="atLeast"/>
          <w:jc w:val="center"/>
        </w:trPr>
        <w:tc>
          <w:tcPr>
            <w:tcW w:w="770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总分</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97</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b w:val="0"/>
                <w:bCs/>
                <w:i w:val="0"/>
                <w:color w:val="000000"/>
                <w:sz w:val="18"/>
                <w:szCs w:val="18"/>
                <w:u w:val="none"/>
              </w:rPr>
            </w:pPr>
          </w:p>
        </w:tc>
      </w:tr>
      <w:tr>
        <w:tblPrEx>
          <w:shd w:val="clear" w:color="auto" w:fill="auto"/>
          <w:tblLayout w:type="fixed"/>
          <w:tblCellMar>
            <w:top w:w="0" w:type="dxa"/>
            <w:left w:w="0" w:type="dxa"/>
            <w:bottom w:w="0" w:type="dxa"/>
            <w:right w:w="0" w:type="dxa"/>
          </w:tblCellMar>
        </w:tblPrEx>
        <w:trPr>
          <w:trHeight w:val="1580" w:hRule="atLeast"/>
          <w:jc w:val="center"/>
        </w:trPr>
        <w:tc>
          <w:tcPr>
            <w:tcW w:w="9787"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填表说明：1.年度总体目标和绩效指标中的“具体指标”“年度指标值”按照部门预算批复的绩效目标填写，必须有量化指标。</w:t>
            </w:r>
          </w:p>
          <w:p>
            <w:pPr>
              <w:keepNext w:val="0"/>
              <w:keepLines w:val="0"/>
              <w:widowControl/>
              <w:suppressLineNumbers w:val="0"/>
              <w:jc w:val="left"/>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 xml:space="preserve">         2.设置分值原则：预算执行率和一级指标权重统一设置为：预算执行率10%、产出指标50%、效益指标30%、服务对象满意度指标10%。如有特殊情况，一级指标权重可做适当调整。二、三级指标应当根据指标重要程度等因素综合确定，准确反映项目的产出和效益。</w:t>
            </w:r>
          </w:p>
          <w:p>
            <w:pPr>
              <w:keepNext w:val="0"/>
              <w:keepLines w:val="0"/>
              <w:widowControl/>
              <w:suppressLineNumbers w:val="0"/>
              <w:jc w:val="lef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 xml:space="preserve">         3.存在问题及原因主要针对进度是否滞后，管理制度是否健全，是否违反财务管理制度，绩效目标完成情况是否明显偏离，以及其他资金使用及管理方面的问题进行阐述，并分析产生问题的原因。</w:t>
            </w:r>
          </w:p>
        </w:tc>
      </w:tr>
    </w:tbl>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widowControl/>
        <w:spacing w:before="240" w:after="240"/>
        <w:jc w:val="left"/>
        <w:rPr>
          <w:rFonts w:ascii="Times New Roman" w:hAnsi="Times New Roman" w:eastAsia="Times New Roman" w:cs="Times New Roman"/>
          <w:kern w:val="0"/>
          <w:sz w:val="24"/>
        </w:rPr>
      </w:pPr>
    </w:p>
    <w:bookmarkEnd w:id="0"/>
    <w:p>
      <w:pPr>
        <w:tabs>
          <w:tab w:val="left" w:pos="8415"/>
        </w:tabs>
      </w:pPr>
    </w:p>
    <w:p>
      <w:pPr>
        <w:widowControl w:val="0"/>
        <w:tabs>
          <w:tab w:val="left" w:pos="8415"/>
        </w:tabs>
        <w:wordWrap/>
        <w:adjustRightInd/>
        <w:snapToGrid/>
        <w:textAlignment w:val="auto"/>
      </w:pPr>
    </w:p>
    <w:sectPr>
      <w:footerReference r:id="rId9" w:type="default"/>
      <w:pgSz w:w="11906" w:h="16838"/>
      <w:pgMar w:top="1984" w:right="1083" w:bottom="1984" w:left="1083" w:header="0" w:footer="720" w:gutter="0"/>
      <w:cols w:space="72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2FF" w:usb1="400004FF"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2000000000000000000"/>
    <w:charset w:val="86"/>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w:t>
    </w:r>
    <w:r>
      <w:rPr>
        <w:rFonts w:ascii="宋体" w:hAnsi="宋体" w:eastAsia="宋体" w:cs="宋体"/>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3</w:t>
    </w:r>
    <w:r>
      <w:rPr>
        <w:rFonts w:ascii="宋体" w:hAnsi="宋体" w:eastAsia="宋体" w:cs="宋体"/>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23</w:t>
    </w:r>
    <w:r>
      <w:rPr>
        <w:rFonts w:ascii="宋体" w:hAnsi="宋体" w:eastAsia="宋体" w:cs="宋体"/>
        <w:sz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29</w:t>
    </w:r>
    <w:r>
      <w:rPr>
        <w:rFonts w:ascii="宋体" w:hAnsi="宋体" w:eastAsia="宋体" w:cs="宋体"/>
        <w:sz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31</w:t>
    </w:r>
    <w:r>
      <w:rPr>
        <w:rFonts w:ascii="宋体" w:hAnsi="宋体" w:eastAsia="宋体" w:cs="宋体"/>
        <w:sz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26</w:t>
    </w:r>
    <w:r>
      <w:rPr>
        <w:rFonts w:ascii="宋体" w:hAnsi="宋体" w:eastAsia="宋体" w:cs="宋体"/>
        <w:sz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45</w:t>
    </w:r>
    <w:r>
      <w:rPr>
        <w:rFonts w:ascii="宋体" w:hAnsi="宋体" w:eastAsia="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6888DD"/>
    <w:multiLevelType w:val="multilevel"/>
    <w:tmpl w:val="CF6888DD"/>
    <w:lvl w:ilvl="0" w:tentative="0">
      <w:start w:val="1"/>
      <w:numFmt w:val="chineseCounting"/>
      <w:suff w:val="nothing"/>
      <w:lvlText w:val="（%1）"/>
      <w:lvlJc w:val="left"/>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abstractNum w:abstractNumId="1">
    <w:nsid w:val="DB96F2AF"/>
    <w:multiLevelType w:val="singleLevel"/>
    <w:tmpl w:val="DB96F2AF"/>
    <w:lvl w:ilvl="0" w:tentative="0">
      <w:start w:val="1"/>
      <w:numFmt w:val="chineseCounting"/>
      <w:suff w:val="nothing"/>
      <w:lvlText w:val="（%1）"/>
      <w:lvlJc w:val="left"/>
      <w:rPr>
        <w:rFonts w:hint="eastAsia"/>
      </w:rPr>
    </w:lvl>
  </w:abstractNum>
  <w:abstractNum w:abstractNumId="2">
    <w:nsid w:val="EEE4D6A2"/>
    <w:multiLevelType w:val="singleLevel"/>
    <w:tmpl w:val="EEE4D6A2"/>
    <w:lvl w:ilvl="0" w:tentative="0">
      <w:start w:val="2"/>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00644D26"/>
    <w:rsid w:val="00A97848"/>
    <w:rsid w:val="01A06E9D"/>
    <w:rsid w:val="029F7154"/>
    <w:rsid w:val="034F4A3D"/>
    <w:rsid w:val="046D0DF0"/>
    <w:rsid w:val="05AF6431"/>
    <w:rsid w:val="05C07B0D"/>
    <w:rsid w:val="05EF3F4F"/>
    <w:rsid w:val="06846D8D"/>
    <w:rsid w:val="083E11BD"/>
    <w:rsid w:val="0889068B"/>
    <w:rsid w:val="0922463B"/>
    <w:rsid w:val="0B1D155E"/>
    <w:rsid w:val="0B93537C"/>
    <w:rsid w:val="0C083FBC"/>
    <w:rsid w:val="0C2661F0"/>
    <w:rsid w:val="0CA21AA3"/>
    <w:rsid w:val="0D404204"/>
    <w:rsid w:val="0F2C1D70"/>
    <w:rsid w:val="104430E9"/>
    <w:rsid w:val="136E2550"/>
    <w:rsid w:val="13E470BD"/>
    <w:rsid w:val="14D811F7"/>
    <w:rsid w:val="17B12025"/>
    <w:rsid w:val="17FE1DB5"/>
    <w:rsid w:val="1A134258"/>
    <w:rsid w:val="1A805FE6"/>
    <w:rsid w:val="1B306F48"/>
    <w:rsid w:val="1B811695"/>
    <w:rsid w:val="1DDC0E05"/>
    <w:rsid w:val="1DDE4B7D"/>
    <w:rsid w:val="1E0F4D36"/>
    <w:rsid w:val="1E4D585F"/>
    <w:rsid w:val="1ECB5101"/>
    <w:rsid w:val="213845A4"/>
    <w:rsid w:val="231D7EF5"/>
    <w:rsid w:val="233B65CE"/>
    <w:rsid w:val="239C17C4"/>
    <w:rsid w:val="23F06E31"/>
    <w:rsid w:val="249917FE"/>
    <w:rsid w:val="24B623B0"/>
    <w:rsid w:val="263712CE"/>
    <w:rsid w:val="27C052F3"/>
    <w:rsid w:val="27F875EA"/>
    <w:rsid w:val="283C0E1E"/>
    <w:rsid w:val="28F809DF"/>
    <w:rsid w:val="29EF0D77"/>
    <w:rsid w:val="2B77216D"/>
    <w:rsid w:val="2BE617CC"/>
    <w:rsid w:val="2BE95BAE"/>
    <w:rsid w:val="2C5C1A8E"/>
    <w:rsid w:val="2D0B5263"/>
    <w:rsid w:val="2EF37D5C"/>
    <w:rsid w:val="2FA1205B"/>
    <w:rsid w:val="305D2AC0"/>
    <w:rsid w:val="31DD5822"/>
    <w:rsid w:val="32EF28BB"/>
    <w:rsid w:val="33294694"/>
    <w:rsid w:val="33371647"/>
    <w:rsid w:val="34256C0A"/>
    <w:rsid w:val="34D2003B"/>
    <w:rsid w:val="36E7464B"/>
    <w:rsid w:val="379C7F1A"/>
    <w:rsid w:val="393D2C48"/>
    <w:rsid w:val="396E2E01"/>
    <w:rsid w:val="3A2D4A6A"/>
    <w:rsid w:val="3B742225"/>
    <w:rsid w:val="3E927592"/>
    <w:rsid w:val="4042620C"/>
    <w:rsid w:val="406E1FF0"/>
    <w:rsid w:val="42544D8E"/>
    <w:rsid w:val="42824EF1"/>
    <w:rsid w:val="43236A0A"/>
    <w:rsid w:val="47363715"/>
    <w:rsid w:val="4A331C29"/>
    <w:rsid w:val="4A413C69"/>
    <w:rsid w:val="4B9E3B27"/>
    <w:rsid w:val="4C3677AE"/>
    <w:rsid w:val="4CBB5F06"/>
    <w:rsid w:val="4EE2777A"/>
    <w:rsid w:val="50BB4726"/>
    <w:rsid w:val="511856D5"/>
    <w:rsid w:val="51217989"/>
    <w:rsid w:val="51B07D23"/>
    <w:rsid w:val="53730FEA"/>
    <w:rsid w:val="53C27B7A"/>
    <w:rsid w:val="54302D35"/>
    <w:rsid w:val="54DB5397"/>
    <w:rsid w:val="54FB584B"/>
    <w:rsid w:val="55677CCF"/>
    <w:rsid w:val="56073F6A"/>
    <w:rsid w:val="56705FB3"/>
    <w:rsid w:val="580764A3"/>
    <w:rsid w:val="595F71CA"/>
    <w:rsid w:val="5A2570B4"/>
    <w:rsid w:val="5A3A490E"/>
    <w:rsid w:val="5AC95A6F"/>
    <w:rsid w:val="5C660B5A"/>
    <w:rsid w:val="5C8A31FF"/>
    <w:rsid w:val="5DAD3649"/>
    <w:rsid w:val="5E7F54EB"/>
    <w:rsid w:val="5F176BCD"/>
    <w:rsid w:val="5FBF2D09"/>
    <w:rsid w:val="61112140"/>
    <w:rsid w:val="615A5895"/>
    <w:rsid w:val="61BA50CC"/>
    <w:rsid w:val="61E82EA1"/>
    <w:rsid w:val="62D404DA"/>
    <w:rsid w:val="655E7F47"/>
    <w:rsid w:val="65764C68"/>
    <w:rsid w:val="67DC7953"/>
    <w:rsid w:val="68906041"/>
    <w:rsid w:val="68B95597"/>
    <w:rsid w:val="69D72179"/>
    <w:rsid w:val="69E50BCD"/>
    <w:rsid w:val="69E77EE2"/>
    <w:rsid w:val="69FF7C8A"/>
    <w:rsid w:val="6A8676FB"/>
    <w:rsid w:val="6B596BBE"/>
    <w:rsid w:val="6D3B1432"/>
    <w:rsid w:val="6E110330"/>
    <w:rsid w:val="706F60B9"/>
    <w:rsid w:val="717B3E15"/>
    <w:rsid w:val="72D8486C"/>
    <w:rsid w:val="7309711B"/>
    <w:rsid w:val="74447A7E"/>
    <w:rsid w:val="78041D8E"/>
    <w:rsid w:val="7AFF401B"/>
    <w:rsid w:val="7B005ABE"/>
    <w:rsid w:val="7F315A30"/>
    <w:rsid w:val="7F3572F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rFonts w:eastAsia="仿宋"/>
      <w:bCs/>
      <w:kern w:val="44"/>
      <w:sz w:val="32"/>
      <w:szCs w:val="44"/>
    </w:rPr>
  </w:style>
  <w:style w:type="paragraph" w:styleId="4">
    <w:name w:val="heading 2"/>
    <w:basedOn w:val="5"/>
    <w:next w:val="5"/>
    <w:qFormat/>
    <w:uiPriority w:val="0"/>
    <w:pPr>
      <w:keepNext/>
      <w:keepLines/>
      <w:spacing w:before="260" w:after="260" w:line="416" w:lineRule="auto"/>
      <w:outlineLvl w:val="1"/>
    </w:pPr>
    <w:rPr>
      <w:rFonts w:ascii="Arial" w:hAnsi="Arial" w:eastAsia="仿宋"/>
      <w:bCs/>
      <w:sz w:val="32"/>
      <w:szCs w:val="32"/>
    </w:rPr>
  </w:style>
  <w:style w:type="paragraph" w:styleId="6">
    <w:name w:val="heading 3"/>
    <w:basedOn w:val="5"/>
    <w:next w:val="5"/>
    <w:link w:val="30"/>
    <w:qFormat/>
    <w:uiPriority w:val="0"/>
    <w:pPr>
      <w:keepNext/>
      <w:keepLines/>
      <w:spacing w:before="260" w:after="260" w:line="416" w:lineRule="auto"/>
      <w:outlineLvl w:val="2"/>
    </w:pPr>
    <w:rPr>
      <w:rFonts w:eastAsia="仿宋"/>
      <w:bCs/>
      <w:sz w:val="32"/>
      <w:szCs w:val="32"/>
    </w:rPr>
  </w:style>
  <w:style w:type="paragraph" w:styleId="7">
    <w:name w:val="heading 4"/>
    <w:basedOn w:val="5"/>
    <w:next w:val="5"/>
    <w:link w:val="27"/>
    <w:qFormat/>
    <w:uiPriority w:val="0"/>
    <w:pPr>
      <w:keepNext/>
      <w:keepLines/>
      <w:spacing w:before="280" w:after="290" w:line="376" w:lineRule="auto"/>
      <w:outlineLvl w:val="3"/>
    </w:pPr>
    <w:rPr>
      <w:rFonts w:ascii="Cambria" w:hAnsi="Cambria" w:eastAsia="仿宋"/>
      <w:bCs/>
      <w:sz w:val="32"/>
      <w:szCs w:val="28"/>
    </w:rPr>
  </w:style>
  <w:style w:type="character" w:default="1" w:styleId="20">
    <w:name w:val="Default Paragraph Font"/>
    <w:semiHidden/>
    <w:unhideWhenUsed/>
    <w:qFormat/>
    <w:uiPriority w:val="1"/>
  </w:style>
  <w:style w:type="table" w:default="1" w:styleId="23">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1.正文"/>
    <w:basedOn w:val="1"/>
    <w:unhideWhenUsed/>
    <w:qFormat/>
    <w:uiPriority w:val="99"/>
    <w:rPr>
      <w:rFonts w:hint="eastAsia" w:hAnsi="Times New Roman"/>
      <w:sz w:val="24"/>
      <w:szCs w:val="24"/>
    </w:rPr>
  </w:style>
  <w:style w:type="paragraph" w:customStyle="1" w:styleId="5">
    <w:name w:val="No Spacing"/>
    <w:link w:val="28"/>
    <w:qFormat/>
    <w:uiPriority w:val="0"/>
    <w:pPr>
      <w:ind w:firstLine="200" w:firstLineChars="200"/>
    </w:pPr>
    <w:rPr>
      <w:rFonts w:ascii="Times New Roman" w:hAnsi="Times New Roman" w:eastAsia="仿宋_GB2312" w:cs="Times New Roman"/>
      <w:sz w:val="30"/>
      <w:szCs w:val="22"/>
      <w:lang w:val="en-US" w:eastAsia="zh-CN" w:bidi="ar-SA"/>
    </w:rPr>
  </w:style>
  <w:style w:type="paragraph" w:styleId="8">
    <w:name w:val="toc 7"/>
    <w:basedOn w:val="1"/>
    <w:next w:val="1"/>
    <w:qFormat/>
    <w:uiPriority w:val="0"/>
    <w:pPr>
      <w:ind w:left="1260"/>
      <w:jc w:val="left"/>
    </w:pPr>
    <w:rPr>
      <w:sz w:val="20"/>
      <w:szCs w:val="20"/>
    </w:rPr>
  </w:style>
  <w:style w:type="paragraph" w:styleId="9">
    <w:name w:val="Document Map"/>
    <w:basedOn w:val="1"/>
    <w:qFormat/>
    <w:uiPriority w:val="0"/>
    <w:pPr>
      <w:shd w:val="clear" w:color="auto" w:fill="000080"/>
    </w:pPr>
  </w:style>
  <w:style w:type="paragraph" w:styleId="10">
    <w:name w:val="toc 5"/>
    <w:basedOn w:val="1"/>
    <w:next w:val="1"/>
    <w:qFormat/>
    <w:uiPriority w:val="0"/>
    <w:pPr>
      <w:ind w:left="840"/>
      <w:jc w:val="left"/>
    </w:pPr>
    <w:rPr>
      <w:sz w:val="20"/>
      <w:szCs w:val="20"/>
    </w:rPr>
  </w:style>
  <w:style w:type="paragraph" w:styleId="11">
    <w:name w:val="toc 3"/>
    <w:next w:val="6"/>
    <w:qFormat/>
    <w:uiPriority w:val="0"/>
    <w:pPr>
      <w:adjustRightInd w:val="0"/>
      <w:snapToGrid w:val="0"/>
      <w:spacing w:line="360" w:lineRule="auto"/>
      <w:ind w:firstLine="400" w:firstLineChars="400"/>
      <w:jc w:val="left"/>
    </w:pPr>
    <w:rPr>
      <w:rFonts w:ascii="Times New Roman" w:hAnsi="Times New Roman" w:eastAsia="仿宋" w:cs="Times New Roman"/>
      <w:sz w:val="32"/>
      <w:szCs w:val="20"/>
      <w:lang w:val="en-US" w:eastAsia="zh-CN" w:bidi="ar-SA"/>
    </w:rPr>
  </w:style>
  <w:style w:type="paragraph" w:styleId="12">
    <w:name w:val="toc 8"/>
    <w:basedOn w:val="1"/>
    <w:next w:val="1"/>
    <w:qFormat/>
    <w:uiPriority w:val="0"/>
    <w:pPr>
      <w:ind w:left="1470"/>
      <w:jc w:val="left"/>
    </w:pPr>
    <w:rPr>
      <w:sz w:val="20"/>
      <w:szCs w:val="20"/>
    </w:rPr>
  </w:style>
  <w:style w:type="paragraph" w:styleId="13">
    <w:name w:val="footer"/>
    <w:basedOn w:val="1"/>
    <w:link w:val="29"/>
    <w:qFormat/>
    <w:uiPriority w:val="0"/>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toc 1"/>
    <w:next w:val="5"/>
    <w:qFormat/>
    <w:uiPriority w:val="0"/>
    <w:pPr>
      <w:adjustRightInd w:val="0"/>
      <w:snapToGrid w:val="0"/>
      <w:spacing w:line="360" w:lineRule="auto"/>
      <w:jc w:val="left"/>
    </w:pPr>
    <w:rPr>
      <w:rFonts w:ascii="Times New Roman" w:hAnsi="Times New Roman" w:eastAsia="仿宋" w:cs="Times New Roman"/>
      <w:bCs/>
      <w:sz w:val="32"/>
      <w:szCs w:val="20"/>
      <w:lang w:val="en-US" w:eastAsia="zh-CN" w:bidi="ar-SA"/>
    </w:rPr>
  </w:style>
  <w:style w:type="paragraph" w:styleId="16">
    <w:name w:val="toc 4"/>
    <w:basedOn w:val="1"/>
    <w:next w:val="1"/>
    <w:qFormat/>
    <w:uiPriority w:val="0"/>
    <w:pPr>
      <w:ind w:left="630"/>
      <w:jc w:val="left"/>
    </w:pPr>
    <w:rPr>
      <w:sz w:val="20"/>
      <w:szCs w:val="20"/>
    </w:rPr>
  </w:style>
  <w:style w:type="paragraph" w:styleId="17">
    <w:name w:val="toc 6"/>
    <w:basedOn w:val="1"/>
    <w:next w:val="1"/>
    <w:qFormat/>
    <w:uiPriority w:val="0"/>
    <w:pPr>
      <w:ind w:left="1050"/>
      <w:jc w:val="left"/>
    </w:pPr>
    <w:rPr>
      <w:sz w:val="20"/>
      <w:szCs w:val="20"/>
    </w:rPr>
  </w:style>
  <w:style w:type="paragraph" w:styleId="18">
    <w:name w:val="toc 2"/>
    <w:next w:val="5"/>
    <w:qFormat/>
    <w:uiPriority w:val="0"/>
    <w:pPr>
      <w:adjustRightInd w:val="0"/>
      <w:snapToGrid w:val="0"/>
      <w:spacing w:line="360" w:lineRule="auto"/>
      <w:ind w:firstLine="200" w:firstLineChars="200"/>
      <w:jc w:val="left"/>
    </w:pPr>
    <w:rPr>
      <w:rFonts w:ascii="Times New Roman" w:hAnsi="Times New Roman" w:eastAsia="仿宋" w:cs="Times New Roman"/>
      <w:iCs/>
      <w:sz w:val="32"/>
      <w:szCs w:val="20"/>
      <w:lang w:val="en-US" w:eastAsia="zh-CN" w:bidi="ar-SA"/>
    </w:rPr>
  </w:style>
  <w:style w:type="paragraph" w:styleId="19">
    <w:name w:val="toc 9"/>
    <w:basedOn w:val="1"/>
    <w:next w:val="1"/>
    <w:qFormat/>
    <w:uiPriority w:val="0"/>
    <w:pPr>
      <w:ind w:left="1680"/>
      <w:jc w:val="left"/>
    </w:pPr>
    <w:rPr>
      <w:sz w:val="20"/>
      <w:szCs w:val="20"/>
    </w:rPr>
  </w:style>
  <w:style w:type="character" w:styleId="21">
    <w:name w:val="page number"/>
    <w:basedOn w:val="20"/>
    <w:qFormat/>
    <w:uiPriority w:val="0"/>
  </w:style>
  <w:style w:type="character" w:styleId="22">
    <w:name w:val="Hyperlink"/>
    <w:qFormat/>
    <w:uiPriority w:val="0"/>
    <w:rPr>
      <w:rFonts w:ascii="宋体" w:hAnsi="宋体" w:eastAsia="仿宋" w:cs="Times New Roman"/>
      <w:kern w:val="2"/>
      <w:sz w:val="32"/>
      <w:szCs w:val="32"/>
      <w:lang w:val="en-US" w:eastAsia="zh-CN" w:bidi="ar-SA"/>
    </w:rPr>
  </w:style>
  <w:style w:type="paragraph" w:customStyle="1" w:styleId="24">
    <w:name w:val="List Paragraph"/>
    <w:basedOn w:val="1"/>
    <w:qFormat/>
    <w:uiPriority w:val="0"/>
    <w:pPr>
      <w:ind w:firstLine="420" w:firstLineChars="200"/>
    </w:pPr>
  </w:style>
  <w:style w:type="paragraph" w:customStyle="1" w:styleId="25">
    <w:name w:val="MsoNormal"/>
    <w:basedOn w:val="1"/>
    <w:qFormat/>
    <w:uiPriority w:val="0"/>
  </w:style>
  <w:style w:type="paragraph" w:customStyle="1" w:styleId="26">
    <w:name w:val="p"/>
    <w:basedOn w:val="1"/>
    <w:qFormat/>
    <w:uiPriority w:val="0"/>
  </w:style>
  <w:style w:type="character" w:customStyle="1" w:styleId="27">
    <w:name w:val="标题 4 字符"/>
    <w:basedOn w:val="20"/>
    <w:link w:val="7"/>
    <w:qFormat/>
    <w:uiPriority w:val="0"/>
    <w:rPr>
      <w:rFonts w:ascii="Cambria" w:hAnsi="Cambria" w:eastAsia="仿宋"/>
      <w:bCs/>
      <w:kern w:val="2"/>
      <w:sz w:val="32"/>
      <w:szCs w:val="28"/>
    </w:rPr>
  </w:style>
  <w:style w:type="character" w:customStyle="1" w:styleId="28">
    <w:name w:val="无间隔 字符"/>
    <w:link w:val="5"/>
    <w:qFormat/>
    <w:locked/>
    <w:uiPriority w:val="0"/>
    <w:rPr>
      <w:rFonts w:eastAsia="仿宋_GB2312"/>
      <w:sz w:val="30"/>
      <w:szCs w:val="22"/>
      <w:lang w:bidi="ar-SA"/>
    </w:rPr>
  </w:style>
  <w:style w:type="character" w:customStyle="1" w:styleId="29">
    <w:name w:val="页脚 字符"/>
    <w:basedOn w:val="20"/>
    <w:link w:val="13"/>
    <w:qFormat/>
    <w:uiPriority w:val="0"/>
    <w:rPr>
      <w:kern w:val="2"/>
      <w:sz w:val="18"/>
      <w:szCs w:val="18"/>
    </w:rPr>
  </w:style>
  <w:style w:type="character" w:customStyle="1" w:styleId="30">
    <w:name w:val="标题 3 字符"/>
    <w:basedOn w:val="20"/>
    <w:link w:val="6"/>
    <w:qFormat/>
    <w:uiPriority w:val="0"/>
    <w:rPr>
      <w:rFonts w:eastAsia="仿宋"/>
      <w:bCs/>
      <w:kern w:val="2"/>
      <w:sz w:val="32"/>
      <w:szCs w:val="32"/>
    </w:rPr>
  </w:style>
  <w:style w:type="character" w:customStyle="1" w:styleId="31">
    <w:name w:val="15"/>
    <w:basedOn w:val="20"/>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25</Pages>
  <Words>7492</Words>
  <Characters>9856</Characters>
  <Lines>1</Lines>
  <Paragraphs>1</Paragraphs>
  <TotalTime>0</TotalTime>
  <ScaleCrop>false</ScaleCrop>
  <LinksUpToDate>false</LinksUpToDate>
  <CharactersWithSpaces>10645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2022-03-23T12:40:00Z</dcterms:created>
  <dc:creator>Administrator</dc:creator>
  <cp:lastModifiedBy>Administrator</cp:lastModifiedBy>
  <cp:lastPrinted>2021-04-16T00:45:00Z</cp:lastPrinted>
  <dcterms:modified xsi:type="dcterms:W3CDTF">2025-09-16T04:57:17Z</dcterms:modified>
  <dc:title>××年度××部门/单位</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51EA75710E61423394694D1476351CDD_13</vt:lpwstr>
  </property>
  <property fmtid="{D5CDD505-2E9C-101B-9397-08002B2CF9AE}" pid="3" name="KSOProductBuildVer">
    <vt:lpwstr>2052-11.8.2.8053</vt:lpwstr>
  </property>
  <property fmtid="{D5CDD505-2E9C-101B-9397-08002B2CF9AE}" pid="4" name="KSOTemplateDocerSaveRecord">
    <vt:lpwstr>eyJoZGlkIjoiMTcwNDJjNWEyMGVjOThkYzhjZTdmNGZmZjY1MzM3ODAiLCJ1c2VySWQiOiIxMDU5OTcwNzI1In0=</vt:lpwstr>
  </property>
</Properties>
</file>