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widowControl/>
        <w:jc w:val="center"/>
        <w:rPr>
          <w:sz w:val="32"/>
          <w:szCs w:val="32"/>
          <w:highlight w:val="none"/>
        </w:rPr>
      </w:pPr>
    </w:p>
    <w:p>
      <w:pPr>
        <w:widowControl/>
        <w:jc w:val="both"/>
        <w:rPr>
          <w:sz w:val="84"/>
          <w:szCs w:val="84"/>
          <w:highlight w:val="none"/>
        </w:rPr>
      </w:pPr>
    </w:p>
    <w:p>
      <w:pPr>
        <w:keepNext w:val="0"/>
        <w:keepLines w:val="0"/>
        <w:widowControl/>
        <w:suppressLineNumbers w:val="0"/>
        <w:shd w:val="clear" w:fill="FFFFFF"/>
        <w:spacing w:before="240" w:beforeAutospacing="0" w:after="240" w:afterAutospacing="0"/>
        <w:ind w:left="0" w:right="0"/>
        <w:jc w:val="center"/>
        <w:rPr>
          <w:rFonts w:hint="eastAsia" w:ascii="黑体" w:hAnsi="宋体" w:eastAsia="黑体" w:cs="黑体"/>
          <w:kern w:val="0"/>
          <w:sz w:val="44"/>
          <w:szCs w:val="44"/>
          <w:shd w:val="clear" w:fill="FFFFFF"/>
          <w:lang w:val="en-US" w:eastAsia="zh-CN" w:bidi="ar"/>
        </w:rPr>
      </w:pPr>
    </w:p>
    <w:p>
      <w:pPr>
        <w:keepNext w:val="0"/>
        <w:keepLines w:val="0"/>
        <w:widowControl/>
        <w:suppressLineNumbers w:val="0"/>
        <w:shd w:val="clear" w:fill="FFFFFF"/>
        <w:spacing w:before="240" w:beforeAutospacing="0" w:after="240" w:afterAutospacing="0"/>
        <w:ind w:left="0" w:right="0"/>
        <w:jc w:val="center"/>
        <w:rPr>
          <w:rFonts w:hint="eastAsia" w:ascii="黑体" w:hAnsi="宋体" w:eastAsia="黑体" w:cs="黑体"/>
          <w:kern w:val="0"/>
          <w:sz w:val="44"/>
          <w:szCs w:val="44"/>
          <w:shd w:val="clear" w:fill="FFFFFF"/>
          <w:lang w:val="en-US" w:eastAsia="zh-CN" w:bidi="ar"/>
        </w:rPr>
      </w:pPr>
      <w:r>
        <w:rPr>
          <w:rFonts w:hint="eastAsia" w:ascii="黑体" w:hAnsi="宋体" w:eastAsia="黑体" w:cs="黑体"/>
          <w:kern w:val="0"/>
          <w:sz w:val="44"/>
          <w:szCs w:val="44"/>
          <w:shd w:val="clear" w:fill="FFFFFF"/>
          <w:lang w:val="en-US" w:eastAsia="zh-CN" w:bidi="ar"/>
        </w:rPr>
        <w:t>2024年度</w:t>
      </w:r>
    </w:p>
    <w:p>
      <w:pPr>
        <w:keepNext w:val="0"/>
        <w:keepLines w:val="0"/>
        <w:widowControl/>
        <w:suppressLineNumbers w:val="0"/>
        <w:shd w:val="clear" w:fill="FFFFFF"/>
        <w:spacing w:before="240" w:beforeAutospacing="0" w:after="240" w:afterAutospacing="0"/>
        <w:ind w:left="0" w:right="0"/>
        <w:jc w:val="center"/>
        <w:rPr>
          <w:rFonts w:hint="eastAsia" w:ascii="黑体" w:hAnsi="宋体" w:eastAsia="黑体" w:cs="黑体"/>
          <w:kern w:val="0"/>
          <w:sz w:val="44"/>
          <w:szCs w:val="44"/>
          <w:shd w:val="clear" w:fill="FFFFFF"/>
          <w:lang w:val="en-US" w:eastAsia="zh-CN" w:bidi="ar"/>
        </w:rPr>
        <w:sectPr>
          <w:footerReference r:id="rId3" w:type="default"/>
          <w:pgSz w:w="11906" w:h="16838"/>
          <w:pgMar w:top="1440" w:right="1083" w:bottom="1440" w:left="1083" w:header="0" w:footer="720" w:gutter="0"/>
          <w:pgBorders>
            <w:top w:val="none" w:sz="0" w:space="0"/>
            <w:left w:val="none" w:sz="0" w:space="0"/>
            <w:bottom w:val="none" w:sz="0" w:space="0"/>
            <w:right w:val="none" w:sz="0" w:space="0"/>
          </w:pgBorders>
          <w:pgNumType w:fmt="decimal"/>
          <w:cols w:space="0" w:num="1"/>
          <w:rtlGutter w:val="0"/>
          <w:docGrid w:type="lines" w:linePitch="317" w:charSpace="0"/>
        </w:sectPr>
      </w:pPr>
      <w:r>
        <w:rPr>
          <w:rFonts w:hint="eastAsia" w:ascii="黑体" w:hAnsi="宋体" w:eastAsia="黑体" w:cs="黑体"/>
          <w:kern w:val="0"/>
          <w:sz w:val="44"/>
          <w:szCs w:val="44"/>
          <w:shd w:val="clear" w:fill="FFFFFF"/>
          <w:lang w:val="en-US" w:eastAsia="zh-CN" w:bidi="ar"/>
        </w:rPr>
        <w:t>厦门市湖里区教师进修学校附属小学单位决算</w:t>
      </w:r>
    </w:p>
    <w:sdt>
      <w:sdtPr>
        <w:rPr>
          <w:rFonts w:hint="eastAsia" w:ascii="仿宋" w:hAnsi="仿宋" w:eastAsia="仿宋" w:cs="仿宋"/>
          <w:b/>
          <w:bCs/>
          <w:kern w:val="0"/>
          <w:sz w:val="32"/>
          <w:szCs w:val="32"/>
          <w:lang w:val="en-US" w:eastAsia="zh-CN"/>
        </w:rPr>
        <w:id w:val="147456983"/>
        <w15:color w:val="DBDBDB"/>
        <w:docPartObj>
          <w:docPartGallery w:val="Table of Contents"/>
          <w:docPartUnique/>
        </w:docPartObj>
      </w:sdtPr>
      <w:sdtEndPr>
        <w:rPr>
          <w:rFonts w:hint="eastAsia" w:ascii="宋体" w:hAnsi="宋体" w:eastAsia="宋体" w:cs="Times New Roman"/>
          <w:b/>
          <w:bCs/>
          <w:kern w:val="2"/>
          <w:sz w:val="32"/>
          <w:szCs w:val="32"/>
          <w:lang w:val="en-US" w:eastAsia="zh-CN" w:bidi="ar-SA"/>
        </w:rPr>
      </w:sdtEndPr>
      <w:sdtContent>
        <w:p>
          <w:pPr>
            <w:widowControl/>
            <w:spacing w:before="0" w:beforeLines="0" w:after="0" w:afterLines="0" w:line="240" w:lineRule="auto"/>
            <w:ind w:left="0" w:leftChars="0" w:right="0" w:rightChars="0" w:firstLine="0" w:firstLineChars="0"/>
            <w:jc w:val="center"/>
            <w:rPr>
              <w:rFonts w:hint="eastAsia" w:ascii="仿宋" w:hAnsi="仿宋" w:eastAsia="仿宋" w:cs="仿宋"/>
              <w:b/>
              <w:bCs/>
              <w:kern w:val="0"/>
              <w:sz w:val="32"/>
              <w:szCs w:val="32"/>
            </w:rPr>
          </w:pPr>
          <w:r>
            <w:rPr>
              <w:rFonts w:hint="eastAsia" w:ascii="仿宋" w:hAnsi="仿宋" w:eastAsia="仿宋" w:cs="仿宋"/>
              <w:b/>
              <w:bCs/>
              <w:kern w:val="0"/>
              <w:sz w:val="32"/>
              <w:szCs w:val="32"/>
            </w:rPr>
            <w:t>目录</w:t>
          </w:r>
        </w:p>
        <w:p>
          <w:pPr>
            <w:pStyle w:val="18"/>
            <w:tabs>
              <w:tab w:val="right" w:leader="dot" w:pos="9730"/>
            </w:tabs>
            <w:rPr>
              <w:rFonts w:asciiTheme="minorHAnsi" w:hAnsiTheme="minorHAnsi"/>
              <w:sz w:val="22"/>
            </w:rPr>
          </w:pPr>
          <w:r>
            <w:rPr>
              <w:rFonts w:hint="eastAsia" w:ascii="仿宋" w:hAnsi="仿宋" w:eastAsia="仿宋" w:cs="仿宋"/>
              <w:b w:val="0"/>
              <w:bCs/>
              <w:kern w:val="2"/>
              <w:sz w:val="32"/>
              <w:szCs w:val="32"/>
              <w:lang w:val="en-US" w:eastAsia="zh-CN" w:bidi="ar-SA"/>
            </w:rPr>
            <w:fldChar w:fldCharType="begin"/>
          </w:r>
          <w:r>
            <w:rPr>
              <w:rFonts w:hint="eastAsia" w:ascii="仿宋" w:hAnsi="仿宋" w:eastAsia="仿宋" w:cs="仿宋"/>
              <w:b w:val="0"/>
              <w:bCs/>
              <w:kern w:val="2"/>
              <w:sz w:val="32"/>
              <w:szCs w:val="32"/>
              <w:lang w:val="en-US" w:eastAsia="zh-CN" w:bidi="ar-SA"/>
            </w:rPr>
            <w:instrText xml:space="preserve">TOC \o "1-3" \h \u </w:instrText>
          </w:r>
          <w:r>
            <w:rPr>
              <w:rFonts w:hint="eastAsia" w:ascii="仿宋" w:hAnsi="仿宋" w:eastAsia="仿宋" w:cs="仿宋"/>
              <w:b w:val="0"/>
              <w:bCs/>
              <w:kern w:val="2"/>
              <w:sz w:val="32"/>
              <w:szCs w:val="32"/>
              <w:lang w:val="en-US" w:eastAsia="zh-CN" w:bidi="ar-SA"/>
            </w:rPr>
            <w:fldChar w:fldCharType="separate"/>
          </w:r>
          <w:r>
            <w:fldChar w:fldCharType="begin"/>
          </w:r>
          <w:r>
            <w:instrText xml:space="preserve"> HYPERLINK \l "_Toc256000093" </w:instrText>
          </w:r>
          <w:r>
            <w:fldChar w:fldCharType="separate"/>
          </w:r>
          <w:r>
            <w:rPr>
              <w:rStyle w:val="22"/>
              <w:rFonts w:ascii="黑体" w:hAnsi="黑体" w:eastAsia="黑体" w:cs="黑体"/>
            </w:rPr>
            <w:t>第一部分</w:t>
          </w:r>
          <w:r>
            <w:tab/>
          </w:r>
          <w:r>
            <w:fldChar w:fldCharType="begin"/>
          </w:r>
          <w:r>
            <w:instrText xml:space="preserve"> PAGEREF _Toc256000093 \h </w:instrText>
          </w:r>
          <w:r>
            <w:fldChar w:fldCharType="separate"/>
          </w:r>
          <w:r>
            <w:t>4</w:t>
          </w:r>
          <w:r>
            <w:fldChar w:fldCharType="end"/>
          </w:r>
          <w:r>
            <w:fldChar w:fldCharType="end"/>
          </w:r>
        </w:p>
        <w:p>
          <w:pPr>
            <w:pStyle w:val="18"/>
            <w:tabs>
              <w:tab w:val="right" w:leader="dot" w:pos="9730"/>
            </w:tabs>
            <w:rPr>
              <w:rFonts w:asciiTheme="minorHAnsi" w:hAnsiTheme="minorHAnsi"/>
              <w:sz w:val="22"/>
            </w:rPr>
          </w:pPr>
          <w:r>
            <w:fldChar w:fldCharType="begin"/>
          </w:r>
          <w:r>
            <w:instrText xml:space="preserve"> HYPERLINK \l "_Toc256000094" </w:instrText>
          </w:r>
          <w:r>
            <w:fldChar w:fldCharType="separate"/>
          </w:r>
          <w:r>
            <w:rPr>
              <w:rStyle w:val="22"/>
              <w:rFonts w:ascii="黑体" w:hAnsi="黑体" w:eastAsia="黑体" w:cs="黑体"/>
            </w:rPr>
            <w:t>单位概况</w:t>
          </w:r>
          <w:r>
            <w:tab/>
          </w:r>
          <w:r>
            <w:fldChar w:fldCharType="begin"/>
          </w:r>
          <w:r>
            <w:instrText xml:space="preserve"> PAGEREF _Toc256000094 \h </w:instrText>
          </w:r>
          <w:r>
            <w:fldChar w:fldCharType="separate"/>
          </w:r>
          <w:r>
            <w:t>4</w:t>
          </w:r>
          <w:r>
            <w:fldChar w:fldCharType="end"/>
          </w:r>
          <w:r>
            <w:fldChar w:fldCharType="end"/>
          </w:r>
        </w:p>
        <w:p>
          <w:pPr>
            <w:pStyle w:val="11"/>
            <w:tabs>
              <w:tab w:val="right" w:leader="dot" w:pos="9730"/>
            </w:tabs>
            <w:rPr>
              <w:rFonts w:asciiTheme="minorHAnsi" w:hAnsiTheme="minorHAnsi"/>
              <w:sz w:val="22"/>
            </w:rPr>
          </w:pPr>
          <w:r>
            <w:fldChar w:fldCharType="begin"/>
          </w:r>
          <w:r>
            <w:instrText xml:space="preserve"> HYPERLINK \l "_Toc256000095" </w:instrText>
          </w:r>
          <w:r>
            <w:fldChar w:fldCharType="separate"/>
          </w:r>
          <w:r>
            <w:rPr>
              <w:rStyle w:val="22"/>
              <w:rFonts w:ascii="黑体" w:hAnsi="黑体" w:eastAsia="黑体" w:cs="黑体"/>
            </w:rPr>
            <w:t>一、单位主要职责</w:t>
          </w:r>
          <w:r>
            <w:tab/>
          </w:r>
          <w:r>
            <w:fldChar w:fldCharType="begin"/>
          </w:r>
          <w:r>
            <w:instrText xml:space="preserve"> PAGEREF _Toc256000095 \h </w:instrText>
          </w:r>
          <w:r>
            <w:fldChar w:fldCharType="separate"/>
          </w:r>
          <w:r>
            <w:t>4</w:t>
          </w:r>
          <w:r>
            <w:fldChar w:fldCharType="end"/>
          </w:r>
          <w:r>
            <w:fldChar w:fldCharType="end"/>
          </w:r>
        </w:p>
        <w:p>
          <w:pPr>
            <w:pStyle w:val="11"/>
            <w:tabs>
              <w:tab w:val="right" w:leader="dot" w:pos="9730"/>
            </w:tabs>
            <w:rPr>
              <w:rFonts w:asciiTheme="minorHAnsi" w:hAnsiTheme="minorHAnsi"/>
              <w:sz w:val="22"/>
            </w:rPr>
          </w:pPr>
          <w:r>
            <w:fldChar w:fldCharType="begin"/>
          </w:r>
          <w:r>
            <w:instrText xml:space="preserve"> HYPERLINK \l "_Toc256000096" </w:instrText>
          </w:r>
          <w:r>
            <w:fldChar w:fldCharType="separate"/>
          </w:r>
          <w:r>
            <w:rPr>
              <w:rStyle w:val="22"/>
              <w:rFonts w:ascii="黑体" w:hAnsi="黑体" w:eastAsia="黑体" w:cs="黑体"/>
            </w:rPr>
            <w:t>二、单位基本情况</w:t>
          </w:r>
          <w:r>
            <w:tab/>
          </w:r>
          <w:r>
            <w:fldChar w:fldCharType="begin"/>
          </w:r>
          <w:r>
            <w:instrText xml:space="preserve"> PAGEREF _Toc256000096 \h </w:instrText>
          </w:r>
          <w:r>
            <w:fldChar w:fldCharType="separate"/>
          </w:r>
          <w:r>
            <w:t>4</w:t>
          </w:r>
          <w:r>
            <w:fldChar w:fldCharType="end"/>
          </w:r>
          <w:r>
            <w:fldChar w:fldCharType="end"/>
          </w:r>
        </w:p>
        <w:p>
          <w:pPr>
            <w:pStyle w:val="11"/>
            <w:tabs>
              <w:tab w:val="right" w:leader="dot" w:pos="9730"/>
            </w:tabs>
            <w:rPr>
              <w:rFonts w:asciiTheme="minorHAnsi" w:hAnsiTheme="minorHAnsi"/>
              <w:sz w:val="22"/>
            </w:rPr>
          </w:pPr>
          <w:r>
            <w:fldChar w:fldCharType="begin"/>
          </w:r>
          <w:r>
            <w:instrText xml:space="preserve"> HYPERLINK \l "_Toc256000097" </w:instrText>
          </w:r>
          <w:r>
            <w:fldChar w:fldCharType="separate"/>
          </w:r>
          <w:r>
            <w:rPr>
              <w:rStyle w:val="22"/>
              <w:rFonts w:ascii="黑体" w:hAnsi="黑体" w:eastAsia="黑体" w:cs="黑体"/>
            </w:rPr>
            <w:t>三、单位主要工作总结</w:t>
          </w:r>
          <w:r>
            <w:tab/>
          </w:r>
          <w:r>
            <w:fldChar w:fldCharType="begin"/>
          </w:r>
          <w:r>
            <w:instrText xml:space="preserve"> PAGEREF _Toc256000097 \h </w:instrText>
          </w:r>
          <w:r>
            <w:fldChar w:fldCharType="separate"/>
          </w:r>
          <w:r>
            <w:t>4</w:t>
          </w:r>
          <w:r>
            <w:fldChar w:fldCharType="end"/>
          </w:r>
          <w:r>
            <w:fldChar w:fldCharType="end"/>
          </w:r>
        </w:p>
        <w:p>
          <w:pPr>
            <w:pStyle w:val="18"/>
            <w:tabs>
              <w:tab w:val="right" w:leader="dot" w:pos="9730"/>
            </w:tabs>
            <w:rPr>
              <w:rFonts w:asciiTheme="minorHAnsi" w:hAnsiTheme="minorHAnsi"/>
              <w:sz w:val="22"/>
            </w:rPr>
          </w:pPr>
          <w:r>
            <w:fldChar w:fldCharType="begin"/>
          </w:r>
          <w:r>
            <w:instrText xml:space="preserve"> HYPERLINK \l "_Toc256000098" </w:instrText>
          </w:r>
          <w:r>
            <w:fldChar w:fldCharType="separate"/>
          </w:r>
          <w:r>
            <w:rPr>
              <w:rStyle w:val="22"/>
              <w:rFonts w:ascii="黑体" w:hAnsi="黑体" w:eastAsia="黑体" w:cs="黑体"/>
            </w:rPr>
            <w:t>第二部分</w:t>
          </w:r>
          <w:r>
            <w:tab/>
          </w:r>
          <w:r>
            <w:fldChar w:fldCharType="begin"/>
          </w:r>
          <w:r>
            <w:instrText xml:space="preserve"> PAGEREF _Toc256000098 \h </w:instrText>
          </w:r>
          <w:r>
            <w:fldChar w:fldCharType="separate"/>
          </w:r>
          <w:r>
            <w:t>6</w:t>
          </w:r>
          <w:r>
            <w:fldChar w:fldCharType="end"/>
          </w:r>
          <w:r>
            <w:fldChar w:fldCharType="end"/>
          </w:r>
        </w:p>
        <w:p>
          <w:pPr>
            <w:pStyle w:val="18"/>
            <w:tabs>
              <w:tab w:val="right" w:leader="dot" w:pos="9730"/>
            </w:tabs>
            <w:rPr>
              <w:rFonts w:asciiTheme="minorHAnsi" w:hAnsiTheme="minorHAnsi"/>
              <w:sz w:val="22"/>
            </w:rPr>
          </w:pPr>
          <w:r>
            <w:fldChar w:fldCharType="begin"/>
          </w:r>
          <w:r>
            <w:instrText xml:space="preserve"> HYPERLINK \l "_Toc256000099" </w:instrText>
          </w:r>
          <w:r>
            <w:fldChar w:fldCharType="separate"/>
          </w:r>
          <w:r>
            <w:rPr>
              <w:rStyle w:val="22"/>
              <w:rFonts w:ascii="黑体" w:hAnsi="黑体" w:eastAsia="黑体" w:cs="黑体"/>
            </w:rPr>
            <w:t>2024年度决算表</w:t>
          </w:r>
          <w:r>
            <w:tab/>
          </w:r>
          <w:r>
            <w:fldChar w:fldCharType="begin"/>
          </w:r>
          <w:r>
            <w:instrText xml:space="preserve"> PAGEREF _Toc256000099 \h </w:instrText>
          </w:r>
          <w:r>
            <w:fldChar w:fldCharType="separate"/>
          </w:r>
          <w:r>
            <w:t>6</w:t>
          </w:r>
          <w:r>
            <w:fldChar w:fldCharType="end"/>
          </w:r>
          <w:r>
            <w:fldChar w:fldCharType="end"/>
          </w:r>
        </w:p>
        <w:p>
          <w:pPr>
            <w:pStyle w:val="11"/>
            <w:tabs>
              <w:tab w:val="right" w:leader="dot" w:pos="9730"/>
            </w:tabs>
            <w:rPr>
              <w:rFonts w:hint="eastAsia" w:eastAsia="仿宋" w:asciiTheme="minorHAnsi" w:hAnsiTheme="minorHAnsi"/>
              <w:sz w:val="22"/>
              <w:lang w:val="en-US" w:eastAsia="zh-CN"/>
            </w:rPr>
          </w:pPr>
          <w:r>
            <w:fldChar w:fldCharType="begin"/>
          </w:r>
          <w:r>
            <w:instrText xml:space="preserve"> HYPERLINK \l "_Toc256000100" </w:instrText>
          </w:r>
          <w:r>
            <w:fldChar w:fldCharType="separate"/>
          </w:r>
          <w:r>
            <w:rPr>
              <w:rStyle w:val="22"/>
              <w:rFonts w:ascii="黑体" w:hAnsi="黑体" w:eastAsia="黑体" w:cs="黑体"/>
            </w:rPr>
            <w:t>一、收入支出决算总表</w:t>
          </w:r>
          <w:r>
            <w:tab/>
          </w:r>
          <w:r>
            <w:rPr>
              <w:rFonts w:hint="eastAsia"/>
              <w:lang w:val="en-US" w:eastAsia="zh-CN"/>
            </w:rPr>
            <w:t>.</w:t>
          </w:r>
          <w:r>
            <w:fldChar w:fldCharType="end"/>
          </w:r>
          <w:r>
            <w:rPr>
              <w:rFonts w:hint="eastAsia"/>
              <w:lang w:val="en-US" w:eastAsia="zh-CN"/>
            </w:rPr>
            <w:t>6</w:t>
          </w:r>
        </w:p>
        <w:p>
          <w:pPr>
            <w:pStyle w:val="11"/>
            <w:tabs>
              <w:tab w:val="right" w:leader="dot" w:pos="9730"/>
            </w:tabs>
            <w:rPr>
              <w:rFonts w:hint="eastAsia" w:eastAsia="仿宋" w:asciiTheme="minorHAnsi" w:hAnsiTheme="minorHAnsi"/>
              <w:sz w:val="22"/>
              <w:lang w:val="en-US" w:eastAsia="zh-CN"/>
            </w:rPr>
          </w:pPr>
          <w:r>
            <w:fldChar w:fldCharType="begin"/>
          </w:r>
          <w:r>
            <w:instrText xml:space="preserve"> HYPERLINK \l "_Toc256000101" </w:instrText>
          </w:r>
          <w:r>
            <w:fldChar w:fldCharType="separate"/>
          </w:r>
          <w:r>
            <w:rPr>
              <w:rStyle w:val="22"/>
              <w:rFonts w:ascii="黑体" w:hAnsi="黑体" w:eastAsia="黑体" w:cs="黑体"/>
            </w:rPr>
            <w:t>二、收入决算表</w:t>
          </w:r>
          <w:r>
            <w:tab/>
          </w:r>
          <w:r>
            <w:rPr>
              <w:rFonts w:hint="eastAsia"/>
              <w:lang w:val="en-US" w:eastAsia="zh-CN"/>
            </w:rPr>
            <w:t>.</w:t>
          </w:r>
          <w:r>
            <w:fldChar w:fldCharType="end"/>
          </w:r>
          <w:r>
            <w:rPr>
              <w:rFonts w:hint="eastAsia"/>
              <w:lang w:val="en-US" w:eastAsia="zh-CN"/>
            </w:rPr>
            <w:t>8</w:t>
          </w:r>
        </w:p>
        <w:p>
          <w:pPr>
            <w:pStyle w:val="11"/>
            <w:tabs>
              <w:tab w:val="right" w:leader="dot" w:pos="9730"/>
            </w:tabs>
            <w:rPr>
              <w:rFonts w:hint="eastAsia" w:eastAsia="仿宋" w:asciiTheme="minorHAnsi" w:hAnsiTheme="minorHAnsi"/>
              <w:sz w:val="22"/>
              <w:lang w:val="en-US" w:eastAsia="zh-CN"/>
            </w:rPr>
          </w:pPr>
          <w:r>
            <w:fldChar w:fldCharType="begin"/>
          </w:r>
          <w:r>
            <w:instrText xml:space="preserve"> HYPERLINK \l "_Toc256000102" </w:instrText>
          </w:r>
          <w:r>
            <w:fldChar w:fldCharType="separate"/>
          </w:r>
          <w:r>
            <w:rPr>
              <w:rStyle w:val="22"/>
              <w:rFonts w:ascii="黑体" w:hAnsi="黑体" w:eastAsia="黑体" w:cs="黑体"/>
            </w:rPr>
            <w:t>三、支出决算表</w:t>
          </w:r>
          <w:r>
            <w:tab/>
          </w:r>
          <w:r>
            <w:rPr>
              <w:rFonts w:hint="eastAsia"/>
              <w:lang w:val="en-US" w:eastAsia="zh-CN"/>
            </w:rPr>
            <w:t>.</w:t>
          </w:r>
          <w:r>
            <w:fldChar w:fldCharType="end"/>
          </w:r>
          <w:r>
            <w:rPr>
              <w:rFonts w:hint="eastAsia"/>
              <w:lang w:val="en-US" w:eastAsia="zh-CN"/>
            </w:rPr>
            <w:t>9</w:t>
          </w:r>
        </w:p>
        <w:p>
          <w:pPr>
            <w:pStyle w:val="11"/>
            <w:tabs>
              <w:tab w:val="right" w:leader="dot" w:pos="9730"/>
            </w:tabs>
            <w:rPr>
              <w:rFonts w:hint="default" w:eastAsia="仿宋" w:asciiTheme="minorHAnsi" w:hAnsiTheme="minorHAnsi"/>
              <w:sz w:val="22"/>
              <w:lang w:val="en-US" w:eastAsia="zh-CN"/>
            </w:rPr>
          </w:pPr>
          <w:r>
            <w:fldChar w:fldCharType="begin"/>
          </w:r>
          <w:r>
            <w:instrText xml:space="preserve"> HYPERLINK \l "_Toc256000103" </w:instrText>
          </w:r>
          <w:r>
            <w:fldChar w:fldCharType="separate"/>
          </w:r>
          <w:r>
            <w:rPr>
              <w:rStyle w:val="22"/>
              <w:rFonts w:ascii="黑体" w:hAnsi="黑体" w:eastAsia="黑体" w:cs="黑体"/>
            </w:rPr>
            <w:t>四、财政拨款收入支出决算总表</w:t>
          </w:r>
          <w:r>
            <w:tab/>
          </w:r>
          <w:r>
            <w:rPr>
              <w:rFonts w:hint="eastAsia"/>
              <w:lang w:val="en-US" w:eastAsia="zh-CN"/>
            </w:rPr>
            <w:t>.</w:t>
          </w:r>
          <w:r>
            <w:fldChar w:fldCharType="end"/>
          </w:r>
          <w:r>
            <w:rPr>
              <w:rFonts w:hint="eastAsia"/>
              <w:lang w:val="en-US" w:eastAsia="zh-CN"/>
            </w:rPr>
            <w:t>10</w:t>
          </w:r>
        </w:p>
        <w:p>
          <w:pPr>
            <w:pStyle w:val="11"/>
            <w:tabs>
              <w:tab w:val="right" w:leader="dot" w:pos="9730"/>
            </w:tabs>
            <w:rPr>
              <w:rFonts w:hint="default" w:eastAsia="仿宋" w:asciiTheme="minorHAnsi" w:hAnsiTheme="minorHAnsi"/>
              <w:sz w:val="22"/>
              <w:lang w:val="en-US" w:eastAsia="zh-CN"/>
            </w:rPr>
          </w:pPr>
          <w:r>
            <w:fldChar w:fldCharType="begin"/>
          </w:r>
          <w:r>
            <w:instrText xml:space="preserve"> HYPERLINK \l "_Toc256000104" </w:instrText>
          </w:r>
          <w:r>
            <w:fldChar w:fldCharType="separate"/>
          </w:r>
          <w:r>
            <w:rPr>
              <w:rStyle w:val="22"/>
              <w:rFonts w:ascii="黑体" w:hAnsi="黑体" w:eastAsia="黑体" w:cs="黑体"/>
            </w:rPr>
            <w:t>五、一般公共预算财政拨款支出决算表</w:t>
          </w:r>
          <w:r>
            <w:rPr>
              <w:rFonts w:hint="eastAsia" w:eastAsia="黑体"/>
              <w:lang w:val="en-US" w:eastAsia="zh-CN"/>
            </w:rPr>
            <w:t>.</w:t>
          </w:r>
          <w:r>
            <w:fldChar w:fldCharType="end"/>
          </w:r>
          <w:r>
            <w:rPr>
              <w:rFonts w:hint="eastAsia"/>
              <w:lang w:val="en-US" w:eastAsia="zh-CN"/>
            </w:rPr>
            <w:t>................................11</w:t>
          </w:r>
        </w:p>
        <w:p>
          <w:pPr>
            <w:pStyle w:val="11"/>
            <w:tabs>
              <w:tab w:val="right" w:leader="dot" w:pos="9730"/>
            </w:tabs>
            <w:rPr>
              <w:rFonts w:hint="default" w:eastAsia="仿宋" w:asciiTheme="minorHAnsi" w:hAnsiTheme="minorHAnsi"/>
              <w:sz w:val="22"/>
              <w:lang w:val="en-US" w:eastAsia="zh-CN"/>
            </w:rPr>
          </w:pPr>
          <w:r>
            <w:fldChar w:fldCharType="begin"/>
          </w:r>
          <w:r>
            <w:instrText xml:space="preserve"> HYPERLINK \l "_Toc256000105" </w:instrText>
          </w:r>
          <w:r>
            <w:fldChar w:fldCharType="separate"/>
          </w:r>
          <w:r>
            <w:rPr>
              <w:rStyle w:val="22"/>
              <w:rFonts w:ascii="黑体" w:hAnsi="黑体" w:eastAsia="黑体" w:cs="黑体"/>
            </w:rPr>
            <w:t>六、一般公共预算财政拨款基本支出决算表</w:t>
          </w:r>
          <w:r>
            <w:rPr>
              <w:rFonts w:hint="eastAsia" w:eastAsia="黑体"/>
              <w:lang w:val="en-US" w:eastAsia="zh-CN"/>
            </w:rPr>
            <w:t>.</w:t>
          </w:r>
          <w:r>
            <w:fldChar w:fldCharType="end"/>
          </w:r>
          <w:r>
            <w:rPr>
              <w:rFonts w:hint="eastAsia"/>
              <w:lang w:val="en-US" w:eastAsia="zh-CN"/>
            </w:rPr>
            <w:t>........................12</w:t>
          </w:r>
        </w:p>
        <w:p>
          <w:pPr>
            <w:pStyle w:val="11"/>
            <w:tabs>
              <w:tab w:val="right" w:leader="dot" w:pos="9730"/>
            </w:tabs>
            <w:rPr>
              <w:rFonts w:hint="default" w:eastAsia="仿宋" w:asciiTheme="minorHAnsi" w:hAnsiTheme="minorHAnsi"/>
              <w:sz w:val="22"/>
              <w:lang w:val="en-US" w:eastAsia="zh-CN"/>
            </w:rPr>
          </w:pPr>
          <w:r>
            <w:fldChar w:fldCharType="begin"/>
          </w:r>
          <w:r>
            <w:instrText xml:space="preserve"> HYPERLINK \l "_Toc256000106" </w:instrText>
          </w:r>
          <w:r>
            <w:fldChar w:fldCharType="separate"/>
          </w:r>
          <w:r>
            <w:rPr>
              <w:rStyle w:val="22"/>
              <w:rFonts w:ascii="黑体" w:hAnsi="黑体" w:eastAsia="黑体" w:cs="黑体"/>
            </w:rPr>
            <w:t>七、一般公共预算财政拨款“三公”经费支出决算表</w:t>
          </w:r>
          <w:r>
            <w:rPr>
              <w:rFonts w:hint="eastAsia" w:eastAsia="黑体"/>
              <w:lang w:val="en-US" w:eastAsia="zh-CN"/>
            </w:rPr>
            <w:t>.</w:t>
          </w:r>
          <w:r>
            <w:fldChar w:fldCharType="end"/>
          </w:r>
          <w:r>
            <w:rPr>
              <w:rFonts w:hint="eastAsia"/>
              <w:lang w:val="en-US" w:eastAsia="zh-CN"/>
            </w:rPr>
            <w:t>........14</w:t>
          </w:r>
        </w:p>
        <w:p>
          <w:pPr>
            <w:pStyle w:val="11"/>
            <w:tabs>
              <w:tab w:val="right" w:leader="dot" w:pos="9730"/>
            </w:tabs>
            <w:rPr>
              <w:rFonts w:hint="default" w:eastAsia="仿宋" w:asciiTheme="minorHAnsi" w:hAnsiTheme="minorHAnsi"/>
              <w:sz w:val="22"/>
              <w:lang w:val="en-US" w:eastAsia="zh-CN"/>
            </w:rPr>
          </w:pPr>
          <w:r>
            <w:fldChar w:fldCharType="begin"/>
          </w:r>
          <w:r>
            <w:instrText xml:space="preserve"> HYPERLINK \l "_Toc256000107" </w:instrText>
          </w:r>
          <w:r>
            <w:fldChar w:fldCharType="separate"/>
          </w:r>
          <w:r>
            <w:rPr>
              <w:rStyle w:val="22"/>
              <w:rFonts w:ascii="黑体" w:hAnsi="黑体" w:eastAsia="黑体" w:cs="黑体"/>
            </w:rPr>
            <w:t>八、政府性基金预算财政拨款收入支出决算表</w:t>
          </w:r>
          <w:r>
            <w:rPr>
              <w:rFonts w:hint="eastAsia" w:eastAsia="黑体"/>
              <w:lang w:val="en-US" w:eastAsia="zh-CN"/>
            </w:rPr>
            <w:t>.</w:t>
          </w:r>
          <w:r>
            <w:fldChar w:fldCharType="end"/>
          </w:r>
          <w:r>
            <w:rPr>
              <w:rFonts w:hint="eastAsia"/>
              <w:lang w:val="en-US" w:eastAsia="zh-CN"/>
            </w:rPr>
            <w:t>....................14</w:t>
          </w:r>
        </w:p>
        <w:p>
          <w:pPr>
            <w:pStyle w:val="11"/>
            <w:tabs>
              <w:tab w:val="right" w:leader="dot" w:pos="9730"/>
            </w:tabs>
            <w:rPr>
              <w:rFonts w:hint="default" w:eastAsia="仿宋" w:asciiTheme="minorHAnsi" w:hAnsiTheme="minorHAnsi"/>
              <w:sz w:val="22"/>
              <w:lang w:val="en-US" w:eastAsia="zh-CN"/>
            </w:rPr>
          </w:pPr>
          <w:r>
            <w:fldChar w:fldCharType="begin"/>
          </w:r>
          <w:r>
            <w:instrText xml:space="preserve"> HYPERLINK \l "_Toc256000108" </w:instrText>
          </w:r>
          <w:r>
            <w:fldChar w:fldCharType="separate"/>
          </w:r>
          <w:r>
            <w:rPr>
              <w:rStyle w:val="22"/>
              <w:rFonts w:ascii="黑体" w:hAnsi="黑体" w:eastAsia="黑体" w:cs="黑体"/>
            </w:rPr>
            <w:t>九、国有资本经营预算财政拨款支出决算表</w:t>
          </w:r>
          <w:r>
            <w:rPr>
              <w:rFonts w:hint="eastAsia" w:eastAsia="黑体"/>
              <w:lang w:val="en-US" w:eastAsia="zh-CN"/>
            </w:rPr>
            <w:t>.</w:t>
          </w:r>
          <w:r>
            <w:fldChar w:fldCharType="end"/>
          </w:r>
          <w:r>
            <w:rPr>
              <w:rFonts w:hint="eastAsia"/>
              <w:lang w:val="en-US" w:eastAsia="zh-CN"/>
            </w:rPr>
            <w:t>........................15</w:t>
          </w:r>
        </w:p>
        <w:p>
          <w:pPr>
            <w:pStyle w:val="18"/>
            <w:tabs>
              <w:tab w:val="right" w:leader="dot" w:pos="9730"/>
            </w:tabs>
            <w:rPr>
              <w:rFonts w:hint="default" w:eastAsia="仿宋" w:asciiTheme="minorHAnsi" w:hAnsiTheme="minorHAnsi"/>
              <w:sz w:val="22"/>
              <w:lang w:val="en-US" w:eastAsia="zh-CN"/>
            </w:rPr>
          </w:pPr>
          <w:r>
            <w:fldChar w:fldCharType="begin"/>
          </w:r>
          <w:r>
            <w:instrText xml:space="preserve"> HYPERLINK \l "_Toc256000109" </w:instrText>
          </w:r>
          <w:r>
            <w:fldChar w:fldCharType="separate"/>
          </w:r>
          <w:r>
            <w:rPr>
              <w:rStyle w:val="22"/>
              <w:rFonts w:ascii="黑体" w:hAnsi="黑体" w:eastAsia="黑体" w:cs="黑体"/>
            </w:rPr>
            <w:t>第三部分</w:t>
          </w:r>
          <w:r>
            <w:tab/>
          </w:r>
          <w:r>
            <w:rPr>
              <w:rFonts w:hint="eastAsia"/>
              <w:lang w:val="en-US" w:eastAsia="zh-CN"/>
            </w:rPr>
            <w:t>..</w:t>
          </w:r>
          <w:r>
            <w:fldChar w:fldCharType="end"/>
          </w:r>
          <w:r>
            <w:rPr>
              <w:rFonts w:hint="eastAsia"/>
              <w:lang w:val="en-US" w:eastAsia="zh-CN"/>
            </w:rPr>
            <w:t>16</w:t>
          </w:r>
        </w:p>
        <w:p>
          <w:pPr>
            <w:pStyle w:val="18"/>
            <w:tabs>
              <w:tab w:val="right" w:leader="dot" w:pos="9730"/>
            </w:tabs>
            <w:rPr>
              <w:rFonts w:hint="default" w:eastAsia="仿宋" w:asciiTheme="minorHAnsi" w:hAnsiTheme="minorHAnsi"/>
              <w:sz w:val="22"/>
              <w:lang w:val="en-US" w:eastAsia="zh-CN"/>
            </w:rPr>
          </w:pPr>
          <w:r>
            <w:fldChar w:fldCharType="begin"/>
          </w:r>
          <w:r>
            <w:instrText xml:space="preserve"> HYPERLINK \l "_Toc256000110" </w:instrText>
          </w:r>
          <w:r>
            <w:fldChar w:fldCharType="separate"/>
          </w:r>
          <w:r>
            <w:rPr>
              <w:rStyle w:val="22"/>
              <w:rFonts w:ascii="黑体" w:hAnsi="黑体" w:eastAsia="黑体" w:cs="黑体"/>
            </w:rPr>
            <w:t>2024年度决算情况说明</w:t>
          </w:r>
          <w:r>
            <w:tab/>
          </w:r>
          <w:r>
            <w:rPr>
              <w:rFonts w:hint="eastAsia"/>
              <w:lang w:val="en-US" w:eastAsia="zh-CN"/>
            </w:rPr>
            <w:t>.</w:t>
          </w:r>
          <w:r>
            <w:fldChar w:fldCharType="end"/>
          </w:r>
          <w:r>
            <w:rPr>
              <w:rFonts w:hint="eastAsia"/>
              <w:lang w:val="en-US" w:eastAsia="zh-CN"/>
            </w:rPr>
            <w:t>16</w:t>
          </w:r>
        </w:p>
        <w:p>
          <w:pPr>
            <w:pStyle w:val="11"/>
            <w:tabs>
              <w:tab w:val="right" w:leader="dot" w:pos="9730"/>
            </w:tabs>
            <w:rPr>
              <w:rFonts w:hint="eastAsia" w:eastAsia="仿宋" w:asciiTheme="minorHAnsi" w:hAnsiTheme="minorHAnsi"/>
              <w:sz w:val="22"/>
              <w:lang w:val="en-US" w:eastAsia="zh-CN"/>
            </w:rPr>
          </w:pPr>
          <w:r>
            <w:fldChar w:fldCharType="begin"/>
          </w:r>
          <w:r>
            <w:instrText xml:space="preserve"> HYPERLINK \l "_Toc256000111" </w:instrText>
          </w:r>
          <w:r>
            <w:fldChar w:fldCharType="separate"/>
          </w:r>
          <w:r>
            <w:rPr>
              <w:rStyle w:val="22"/>
              <w:rFonts w:ascii="黑体" w:hAnsi="黑体" w:eastAsia="黑体" w:cs="黑体"/>
            </w:rPr>
            <w:t>一、收入支出决算总体情况说明</w:t>
          </w:r>
          <w:r>
            <w:tab/>
          </w:r>
          <w:r>
            <w:fldChar w:fldCharType="begin"/>
          </w:r>
          <w:r>
            <w:instrText xml:space="preserve"> PAGEREF _Toc256000111 \h </w:instrText>
          </w:r>
          <w:r>
            <w:fldChar w:fldCharType="separate"/>
          </w:r>
          <w:r>
            <w:t>16</w:t>
          </w:r>
          <w:r>
            <w:fldChar w:fldCharType="end"/>
          </w:r>
          <w:r>
            <w:fldChar w:fldCharType="end"/>
          </w:r>
        </w:p>
        <w:p>
          <w:pPr>
            <w:pStyle w:val="11"/>
            <w:tabs>
              <w:tab w:val="right" w:leader="dot" w:pos="9730"/>
            </w:tabs>
            <w:rPr>
              <w:rFonts w:hint="eastAsia" w:eastAsia="仿宋" w:asciiTheme="minorHAnsi" w:hAnsiTheme="minorHAnsi"/>
              <w:sz w:val="22"/>
              <w:lang w:val="en-US" w:eastAsia="zh-CN"/>
            </w:rPr>
          </w:pPr>
          <w:r>
            <w:fldChar w:fldCharType="begin"/>
          </w:r>
          <w:r>
            <w:instrText xml:space="preserve"> HYPERLINK \l "_Toc256000112" </w:instrText>
          </w:r>
          <w:r>
            <w:fldChar w:fldCharType="separate"/>
          </w:r>
          <w:r>
            <w:rPr>
              <w:rStyle w:val="22"/>
              <w:rFonts w:ascii="黑体" w:hAnsi="黑体" w:eastAsia="黑体" w:cs="黑体"/>
            </w:rPr>
            <w:t>二、财政拨款收入支出决算总体情况说明</w:t>
          </w:r>
          <w:r>
            <w:tab/>
          </w:r>
          <w:r>
            <w:fldChar w:fldCharType="begin"/>
          </w:r>
          <w:r>
            <w:instrText xml:space="preserve"> PAGEREF _Toc256000112 \h </w:instrText>
          </w:r>
          <w:r>
            <w:fldChar w:fldCharType="separate"/>
          </w:r>
          <w:r>
            <w:t>17</w:t>
          </w:r>
          <w:r>
            <w:fldChar w:fldCharType="end"/>
          </w:r>
          <w:r>
            <w:fldChar w:fldCharType="end"/>
          </w:r>
        </w:p>
        <w:p>
          <w:pPr>
            <w:pStyle w:val="11"/>
            <w:tabs>
              <w:tab w:val="right" w:leader="dot" w:pos="9730"/>
            </w:tabs>
            <w:rPr>
              <w:rFonts w:asciiTheme="minorHAnsi" w:hAnsiTheme="minorHAnsi"/>
              <w:sz w:val="22"/>
            </w:rPr>
          </w:pPr>
          <w:r>
            <w:fldChar w:fldCharType="begin"/>
          </w:r>
          <w:r>
            <w:instrText xml:space="preserve"> HYPERLINK \l "_Toc256000113" </w:instrText>
          </w:r>
          <w:r>
            <w:fldChar w:fldCharType="separate"/>
          </w:r>
          <w:r>
            <w:rPr>
              <w:rStyle w:val="22"/>
              <w:rFonts w:ascii="黑体" w:hAnsi="黑体" w:eastAsia="黑体" w:cs="黑体"/>
            </w:rPr>
            <w:t>三、一般公共预算拨款支出决算情况说明</w:t>
          </w:r>
          <w:r>
            <w:tab/>
          </w:r>
          <w:r>
            <w:fldChar w:fldCharType="begin"/>
          </w:r>
          <w:r>
            <w:instrText xml:space="preserve"> PAGEREF _Toc256000113 \h </w:instrText>
          </w:r>
          <w:r>
            <w:fldChar w:fldCharType="separate"/>
          </w:r>
          <w:r>
            <w:t>17</w:t>
          </w:r>
          <w:r>
            <w:fldChar w:fldCharType="end"/>
          </w:r>
          <w:r>
            <w:fldChar w:fldCharType="end"/>
          </w:r>
        </w:p>
        <w:p>
          <w:pPr>
            <w:pStyle w:val="11"/>
            <w:tabs>
              <w:tab w:val="right" w:leader="dot" w:pos="9730"/>
            </w:tabs>
            <w:rPr>
              <w:rFonts w:hint="eastAsia" w:eastAsia="仿宋" w:asciiTheme="minorHAnsi" w:hAnsiTheme="minorHAnsi"/>
              <w:sz w:val="22"/>
              <w:lang w:val="en-US" w:eastAsia="zh-CN"/>
            </w:rPr>
          </w:pPr>
          <w:r>
            <w:fldChar w:fldCharType="begin"/>
          </w:r>
          <w:r>
            <w:instrText xml:space="preserve"> HYPERLINK \l "_Toc256000114" </w:instrText>
          </w:r>
          <w:r>
            <w:fldChar w:fldCharType="separate"/>
          </w:r>
          <w:r>
            <w:rPr>
              <w:rStyle w:val="22"/>
              <w:rFonts w:ascii="黑体" w:hAnsi="黑体" w:eastAsia="黑体" w:cs="黑体"/>
            </w:rPr>
            <w:t>四、政府性基金预算财政拨款支出决算情况说明</w:t>
          </w:r>
          <w:r>
            <w:tab/>
          </w:r>
          <w:r>
            <w:rPr>
              <w:rFonts w:hint="eastAsia"/>
              <w:lang w:val="en-US" w:eastAsia="zh-CN"/>
            </w:rPr>
            <w:t>1</w:t>
          </w:r>
          <w:r>
            <w:fldChar w:fldCharType="end"/>
          </w:r>
          <w:r>
            <w:rPr>
              <w:rFonts w:hint="eastAsia"/>
              <w:lang w:val="en-US" w:eastAsia="zh-CN"/>
            </w:rPr>
            <w:t>9</w:t>
          </w:r>
        </w:p>
        <w:p>
          <w:pPr>
            <w:pStyle w:val="11"/>
            <w:tabs>
              <w:tab w:val="right" w:leader="dot" w:pos="9730"/>
            </w:tabs>
            <w:rPr>
              <w:rFonts w:hint="eastAsia" w:eastAsia="仿宋" w:asciiTheme="minorHAnsi" w:hAnsiTheme="minorHAnsi"/>
              <w:sz w:val="22"/>
              <w:lang w:val="en-US" w:eastAsia="zh-CN"/>
            </w:rPr>
          </w:pPr>
          <w:r>
            <w:fldChar w:fldCharType="begin"/>
          </w:r>
          <w:r>
            <w:instrText xml:space="preserve"> HYPERLINK \l "_Toc256000115" </w:instrText>
          </w:r>
          <w:r>
            <w:fldChar w:fldCharType="separate"/>
          </w:r>
          <w:r>
            <w:rPr>
              <w:rStyle w:val="22"/>
              <w:rFonts w:ascii="黑体" w:hAnsi="黑体" w:eastAsia="黑体" w:cs="黑体"/>
            </w:rPr>
            <w:t>五、国有资本经营预算财政拨款支出决算情况说明</w:t>
          </w:r>
          <w:r>
            <w:tab/>
          </w:r>
          <w:r>
            <w:rPr>
              <w:rFonts w:hint="eastAsia"/>
              <w:lang w:val="en-US" w:eastAsia="zh-CN"/>
            </w:rPr>
            <w:t>1</w:t>
          </w:r>
          <w:r>
            <w:fldChar w:fldCharType="end"/>
          </w:r>
          <w:r>
            <w:rPr>
              <w:rFonts w:hint="eastAsia"/>
              <w:lang w:val="en-US" w:eastAsia="zh-CN"/>
            </w:rPr>
            <w:t>9</w:t>
          </w:r>
        </w:p>
        <w:p>
          <w:pPr>
            <w:pStyle w:val="11"/>
            <w:tabs>
              <w:tab w:val="right" w:leader="dot" w:pos="9730"/>
            </w:tabs>
            <w:rPr>
              <w:rFonts w:hint="eastAsia" w:eastAsia="仿宋" w:asciiTheme="minorHAnsi" w:hAnsiTheme="minorHAnsi"/>
              <w:sz w:val="22"/>
              <w:lang w:val="en-US" w:eastAsia="zh-CN"/>
            </w:rPr>
          </w:pPr>
          <w:r>
            <w:fldChar w:fldCharType="begin"/>
          </w:r>
          <w:r>
            <w:instrText xml:space="preserve"> HYPERLINK \l "_Toc256000116" </w:instrText>
          </w:r>
          <w:r>
            <w:fldChar w:fldCharType="separate"/>
          </w:r>
          <w:r>
            <w:rPr>
              <w:rStyle w:val="22"/>
              <w:rFonts w:ascii="黑体" w:hAnsi="黑体" w:eastAsia="黑体" w:cs="黑体"/>
            </w:rPr>
            <w:t>六、一般公共预算财政拨款基本支出决算情况说明</w:t>
          </w:r>
          <w:r>
            <w:tab/>
          </w:r>
          <w:r>
            <w:rPr>
              <w:rFonts w:hint="eastAsia"/>
              <w:lang w:val="en-US" w:eastAsia="zh-CN"/>
            </w:rPr>
            <w:t>1</w:t>
          </w:r>
          <w:r>
            <w:fldChar w:fldCharType="end"/>
          </w:r>
          <w:r>
            <w:rPr>
              <w:rFonts w:hint="eastAsia"/>
              <w:lang w:val="en-US" w:eastAsia="zh-CN"/>
            </w:rPr>
            <w:t>9</w:t>
          </w:r>
        </w:p>
        <w:p>
          <w:pPr>
            <w:pStyle w:val="11"/>
            <w:tabs>
              <w:tab w:val="right" w:leader="dot" w:pos="9730"/>
            </w:tabs>
            <w:rPr>
              <w:rFonts w:hint="eastAsia" w:eastAsia="仿宋" w:asciiTheme="minorHAnsi" w:hAnsiTheme="minorHAnsi"/>
              <w:sz w:val="22"/>
              <w:lang w:val="en-US" w:eastAsia="zh-CN"/>
            </w:rPr>
          </w:pPr>
          <w:r>
            <w:fldChar w:fldCharType="begin"/>
          </w:r>
          <w:r>
            <w:instrText xml:space="preserve"> HYPERLINK \l "_Toc256000117" </w:instrText>
          </w:r>
          <w:r>
            <w:fldChar w:fldCharType="separate"/>
          </w:r>
          <w:r>
            <w:rPr>
              <w:rStyle w:val="22"/>
              <w:rFonts w:ascii="黑体" w:hAnsi="黑体" w:eastAsia="黑体" w:cs="黑体"/>
            </w:rPr>
            <w:t>七、一般公共预算拨款“三公”经费支出决算情况说明</w:t>
          </w:r>
          <w:r>
            <w:tab/>
          </w:r>
          <w:r>
            <w:fldChar w:fldCharType="begin"/>
          </w:r>
          <w:r>
            <w:instrText xml:space="preserve"> PAGEREF _Toc256000117 \h </w:instrText>
          </w:r>
          <w:r>
            <w:fldChar w:fldCharType="separate"/>
          </w:r>
          <w:r>
            <w:t>20</w:t>
          </w:r>
          <w:r>
            <w:fldChar w:fldCharType="end"/>
          </w:r>
          <w:r>
            <w:fldChar w:fldCharType="end"/>
          </w:r>
        </w:p>
        <w:p>
          <w:pPr>
            <w:pStyle w:val="11"/>
            <w:tabs>
              <w:tab w:val="right" w:leader="dot" w:pos="9730"/>
            </w:tabs>
            <w:rPr>
              <w:rFonts w:hint="eastAsia" w:eastAsia="仿宋" w:asciiTheme="minorHAnsi" w:hAnsiTheme="minorHAnsi"/>
              <w:sz w:val="22"/>
              <w:lang w:val="en-US" w:eastAsia="zh-CN"/>
            </w:rPr>
          </w:pPr>
          <w:r>
            <w:fldChar w:fldCharType="begin"/>
          </w:r>
          <w:r>
            <w:instrText xml:space="preserve"> HYPERLINK \l "_Toc256000118" </w:instrText>
          </w:r>
          <w:r>
            <w:fldChar w:fldCharType="separate"/>
          </w:r>
          <w:r>
            <w:rPr>
              <w:rStyle w:val="22"/>
              <w:rFonts w:ascii="黑体" w:hAnsi="黑体" w:eastAsia="黑体" w:cs="黑体"/>
            </w:rPr>
            <w:t>八、预算绩效情况说明</w:t>
          </w:r>
          <w:r>
            <w:tab/>
          </w:r>
          <w:r>
            <w:fldChar w:fldCharType="begin"/>
          </w:r>
          <w:r>
            <w:instrText xml:space="preserve"> PAGEREF _Toc256000118 \h </w:instrText>
          </w:r>
          <w:r>
            <w:fldChar w:fldCharType="separate"/>
          </w:r>
          <w:r>
            <w:t>21</w:t>
          </w:r>
          <w:r>
            <w:fldChar w:fldCharType="end"/>
          </w:r>
          <w:r>
            <w:fldChar w:fldCharType="end"/>
          </w:r>
        </w:p>
        <w:p>
          <w:pPr>
            <w:pStyle w:val="11"/>
            <w:tabs>
              <w:tab w:val="right" w:leader="dot" w:pos="9730"/>
            </w:tabs>
            <w:rPr>
              <w:rFonts w:hint="eastAsia" w:eastAsia="仿宋" w:asciiTheme="minorHAnsi" w:hAnsiTheme="minorHAnsi"/>
              <w:sz w:val="22"/>
              <w:lang w:val="en-US" w:eastAsia="zh-CN"/>
            </w:rPr>
          </w:pPr>
          <w:r>
            <w:fldChar w:fldCharType="begin"/>
          </w:r>
          <w:r>
            <w:instrText xml:space="preserve"> HYPERLINK \l "_Toc256000119" </w:instrText>
          </w:r>
          <w:r>
            <w:fldChar w:fldCharType="separate"/>
          </w:r>
          <w:r>
            <w:rPr>
              <w:rStyle w:val="22"/>
              <w:rFonts w:ascii="黑体" w:hAnsi="黑体" w:eastAsia="黑体" w:cs="黑体"/>
            </w:rPr>
            <w:t>九、其他重要事项说明</w:t>
          </w:r>
          <w:r>
            <w:tab/>
          </w:r>
          <w:r>
            <w:fldChar w:fldCharType="begin"/>
          </w:r>
          <w:r>
            <w:instrText xml:space="preserve"> PAGEREF _Toc256000119 \h </w:instrText>
          </w:r>
          <w:r>
            <w:fldChar w:fldCharType="separate"/>
          </w:r>
          <w:r>
            <w:t>21</w:t>
          </w:r>
          <w:r>
            <w:fldChar w:fldCharType="end"/>
          </w:r>
          <w:r>
            <w:fldChar w:fldCharType="end"/>
          </w:r>
        </w:p>
        <w:p>
          <w:pPr>
            <w:pStyle w:val="18"/>
            <w:tabs>
              <w:tab w:val="right" w:leader="dot" w:pos="9730"/>
            </w:tabs>
            <w:rPr>
              <w:rFonts w:hint="default" w:eastAsia="仿宋" w:asciiTheme="minorHAnsi" w:hAnsiTheme="minorHAnsi"/>
              <w:sz w:val="22"/>
              <w:lang w:val="en-US" w:eastAsia="zh-CN"/>
            </w:rPr>
          </w:pPr>
          <w:r>
            <w:fldChar w:fldCharType="begin"/>
          </w:r>
          <w:r>
            <w:instrText xml:space="preserve"> HYPERLINK \l "_Toc256000120" </w:instrText>
          </w:r>
          <w:r>
            <w:fldChar w:fldCharType="separate"/>
          </w:r>
          <w:r>
            <w:rPr>
              <w:rStyle w:val="22"/>
              <w:rFonts w:ascii="黑体" w:hAnsi="黑体" w:eastAsia="黑体" w:cs="黑体"/>
            </w:rPr>
            <w:t>第四部分</w:t>
          </w:r>
          <w:r>
            <w:tab/>
          </w:r>
          <w:r>
            <w:fldChar w:fldCharType="end"/>
          </w:r>
          <w:r>
            <w:rPr>
              <w:rFonts w:hint="eastAsia"/>
              <w:lang w:val="en-US" w:eastAsia="zh-CN"/>
            </w:rPr>
            <w:t>22</w:t>
          </w:r>
        </w:p>
        <w:p>
          <w:pPr>
            <w:pStyle w:val="18"/>
            <w:tabs>
              <w:tab w:val="right" w:leader="dot" w:pos="9730"/>
            </w:tabs>
            <w:rPr>
              <w:rFonts w:hint="default" w:eastAsia="仿宋" w:asciiTheme="minorHAnsi" w:hAnsiTheme="minorHAnsi"/>
              <w:sz w:val="22"/>
              <w:lang w:val="en-US" w:eastAsia="zh-CN"/>
            </w:rPr>
          </w:pPr>
          <w:r>
            <w:fldChar w:fldCharType="begin"/>
          </w:r>
          <w:r>
            <w:instrText xml:space="preserve"> HYPERLINK \l "_Toc256000121" </w:instrText>
          </w:r>
          <w:r>
            <w:fldChar w:fldCharType="separate"/>
          </w:r>
          <w:r>
            <w:rPr>
              <w:rStyle w:val="22"/>
              <w:rFonts w:ascii="黑体" w:hAnsi="黑体" w:eastAsia="黑体" w:cs="黑体"/>
            </w:rPr>
            <w:t>名词解释</w:t>
          </w:r>
          <w:r>
            <w:tab/>
          </w:r>
          <w:r>
            <w:rPr>
              <w:rFonts w:hint="eastAsia"/>
              <w:lang w:val="en-US" w:eastAsia="zh-CN"/>
            </w:rPr>
            <w:t>.</w:t>
          </w:r>
          <w:r>
            <w:fldChar w:fldCharType="end"/>
          </w:r>
          <w:r>
            <w:rPr>
              <w:rFonts w:hint="eastAsia"/>
              <w:lang w:val="en-US" w:eastAsia="zh-CN"/>
            </w:rPr>
            <w:t>23</w:t>
          </w:r>
        </w:p>
        <w:p>
          <w:pPr>
            <w:pStyle w:val="18"/>
            <w:tabs>
              <w:tab w:val="right" w:leader="dot" w:pos="9730"/>
            </w:tabs>
            <w:rPr>
              <w:rFonts w:hint="eastAsia" w:eastAsia="仿宋" w:asciiTheme="minorHAnsi" w:hAnsiTheme="minorHAnsi"/>
              <w:sz w:val="22"/>
              <w:lang w:val="en-US" w:eastAsia="zh-CN"/>
            </w:rPr>
          </w:pPr>
          <w:r>
            <w:fldChar w:fldCharType="begin"/>
          </w:r>
          <w:r>
            <w:instrText xml:space="preserve"> HYPERLINK \l "_Toc256000122" </w:instrText>
          </w:r>
          <w:r>
            <w:fldChar w:fldCharType="separate"/>
          </w:r>
          <w:r>
            <w:rPr>
              <w:rStyle w:val="22"/>
              <w:rFonts w:ascii="黑体" w:hAnsi="黑体" w:eastAsia="黑体" w:cs="黑体"/>
            </w:rPr>
            <w:t>第五部分</w:t>
          </w:r>
          <w:r>
            <w:tab/>
          </w:r>
          <w:r>
            <w:fldChar w:fldCharType="begin"/>
          </w:r>
          <w:r>
            <w:instrText xml:space="preserve"> PAGEREF _Toc256000122 \h </w:instrText>
          </w:r>
          <w:r>
            <w:fldChar w:fldCharType="separate"/>
          </w:r>
          <w:r>
            <w:t>26</w:t>
          </w:r>
          <w:r>
            <w:fldChar w:fldCharType="end"/>
          </w:r>
          <w:r>
            <w:fldChar w:fldCharType="end"/>
          </w:r>
        </w:p>
        <w:p>
          <w:pPr>
            <w:pStyle w:val="18"/>
            <w:tabs>
              <w:tab w:val="right" w:leader="dot" w:pos="9730"/>
            </w:tabs>
            <w:rPr>
              <w:rFonts w:hint="eastAsia" w:eastAsia="仿宋" w:asciiTheme="minorHAnsi" w:hAnsiTheme="minorHAnsi"/>
              <w:sz w:val="22"/>
              <w:lang w:val="en-US" w:eastAsia="zh-CN"/>
            </w:rPr>
          </w:pPr>
          <w:r>
            <w:fldChar w:fldCharType="begin"/>
          </w:r>
          <w:r>
            <w:instrText xml:space="preserve"> HYPERLINK \l "_Toc256000123" </w:instrText>
          </w:r>
          <w:r>
            <w:fldChar w:fldCharType="separate"/>
          </w:r>
          <w:r>
            <w:rPr>
              <w:rStyle w:val="22"/>
              <w:rFonts w:ascii="黑体" w:hAnsi="黑体" w:eastAsia="黑体" w:cs="黑体"/>
            </w:rPr>
            <w:t>附件</w:t>
          </w:r>
          <w:r>
            <w:tab/>
          </w:r>
          <w:r>
            <w:fldChar w:fldCharType="begin"/>
          </w:r>
          <w:r>
            <w:instrText xml:space="preserve"> PAGEREF _Toc256000123 \h </w:instrText>
          </w:r>
          <w:r>
            <w:fldChar w:fldCharType="separate"/>
          </w:r>
          <w:r>
            <w:t>26</w:t>
          </w:r>
          <w:r>
            <w:fldChar w:fldCharType="end"/>
          </w:r>
          <w:r>
            <w:fldChar w:fldCharType="end"/>
          </w:r>
        </w:p>
        <w:p>
          <w:pPr>
            <w:adjustRightInd w:val="0"/>
            <w:snapToGrid w:val="0"/>
            <w:rPr>
              <w:rFonts w:hint="eastAsia" w:ascii="仿宋" w:hAnsi="仿宋" w:eastAsia="仿宋" w:cs="仿宋"/>
              <w:b w:val="0"/>
              <w:bCs/>
              <w:kern w:val="2"/>
              <w:sz w:val="32"/>
              <w:szCs w:val="32"/>
              <w:lang w:val="en-US" w:eastAsia="zh-CN" w:bidi="ar-SA"/>
            </w:rPr>
            <w:sectPr>
              <w:footerReference r:id="rId4" w:type="default"/>
              <w:pgSz w:w="11906" w:h="16838"/>
              <w:pgMar w:top="1440" w:right="1083" w:bottom="1440" w:left="1083" w:header="0" w:footer="720" w:gutter="0"/>
              <w:cols w:space="0" w:num="1"/>
              <w:rtlGutter w:val="0"/>
              <w:docGrid w:type="lines" w:linePitch="317" w:charSpace="0"/>
            </w:sectPr>
          </w:pPr>
          <w:r>
            <w:rPr>
              <w:rFonts w:hint="eastAsia" w:ascii="仿宋" w:hAnsi="仿宋" w:eastAsia="仿宋" w:cs="仿宋"/>
              <w:b w:val="0"/>
              <w:bCs/>
              <w:kern w:val="2"/>
              <w:sz w:val="32"/>
              <w:szCs w:val="32"/>
              <w:lang w:val="en-US" w:eastAsia="zh-CN" w:bidi="ar-SA"/>
            </w:rPr>
            <w:fldChar w:fldCharType="end"/>
          </w:r>
        </w:p>
      </w:sdtContent>
    </w:sdt>
    <w:p>
      <w:pPr>
        <w:pStyle w:val="29"/>
        <w:widowControl/>
        <w:spacing w:before="100" w:after="100"/>
        <w:ind w:left="0" w:right="0" w:firstLine="0"/>
        <w:jc w:val="center"/>
        <w:rPr>
          <w:rFonts w:hint="eastAsia" w:ascii="黑体" w:hAnsi="宋体" w:eastAsia="黑体" w:cs="黑体"/>
          <w:b/>
          <w:bCs/>
          <w:kern w:val="0"/>
          <w:sz w:val="36"/>
          <w:szCs w:val="36"/>
          <w:shd w:val="clear" w:fill="FFFFFF"/>
          <w:lang w:bidi="ar"/>
        </w:rPr>
      </w:pPr>
      <w:bookmarkStart w:id="0" w:name="_Toc256000093"/>
      <w:bookmarkStart w:id="1" w:name="_Toc256000031"/>
      <w:bookmarkStart w:id="2" w:name="_Toc256000062"/>
      <w:bookmarkStart w:id="3" w:name="_Toc256000000"/>
      <w:bookmarkStart w:id="4" w:name="a000"/>
      <w:r>
        <w:rPr>
          <w:rFonts w:hint="eastAsia" w:ascii="黑体" w:hAnsi="宋体" w:eastAsia="黑体" w:cs="黑体"/>
          <w:b/>
          <w:bCs/>
          <w:kern w:val="0"/>
          <w:sz w:val="36"/>
          <w:szCs w:val="36"/>
          <w:shd w:val="clear" w:fill="FFFFFF"/>
          <w:lang w:bidi="ar"/>
        </w:rPr>
        <w:t>第一部分</w:t>
      </w:r>
      <w:bookmarkEnd w:id="0"/>
      <w:bookmarkEnd w:id="1"/>
      <w:bookmarkEnd w:id="2"/>
      <w:bookmarkEnd w:id="3"/>
      <w:r>
        <w:rPr>
          <w:rFonts w:hint="eastAsia" w:ascii="黑体" w:hAnsi="宋体" w:eastAsia="黑体" w:cs="黑体"/>
          <w:b/>
          <w:bCs/>
          <w:kern w:val="0"/>
          <w:sz w:val="36"/>
          <w:szCs w:val="36"/>
          <w:shd w:val="clear" w:fill="FFFFFF"/>
          <w:lang w:bidi="ar"/>
        </w:rPr>
        <w:t> </w:t>
      </w:r>
      <w:bookmarkStart w:id="5" w:name="_Toc256000032"/>
      <w:bookmarkStart w:id="6" w:name="_Toc256000094"/>
      <w:bookmarkStart w:id="7" w:name="_Toc256000001"/>
      <w:bookmarkStart w:id="8" w:name="_Toc256000063"/>
      <w:r>
        <w:rPr>
          <w:rFonts w:hint="eastAsia" w:ascii="黑体" w:hAnsi="宋体" w:eastAsia="黑体" w:cs="黑体"/>
          <w:b/>
          <w:bCs/>
          <w:kern w:val="0"/>
          <w:sz w:val="36"/>
          <w:szCs w:val="36"/>
          <w:shd w:val="clear" w:fill="FFFFFF"/>
          <w:lang w:bidi="ar"/>
        </w:rPr>
        <w:t>单位概况</w:t>
      </w:r>
      <w:bookmarkEnd w:id="5"/>
      <w:bookmarkEnd w:id="6"/>
      <w:bookmarkEnd w:id="7"/>
      <w:bookmarkEnd w:id="8"/>
    </w:p>
    <w:p>
      <w:pPr>
        <w:pStyle w:val="30"/>
        <w:widowControl/>
        <w:spacing w:before="100" w:after="100"/>
        <w:ind w:left="0" w:right="0" w:firstLine="0"/>
        <w:jc w:val="center"/>
        <w:rPr>
          <w:rFonts w:ascii="Times New Roman" w:hAnsi="Times New Roman" w:eastAsia="Times New Roman" w:cs="Times New Roman"/>
          <w:b/>
          <w:bCs/>
          <w:kern w:val="0"/>
          <w:sz w:val="24"/>
        </w:rPr>
      </w:pPr>
    </w:p>
    <w:p>
      <w:pPr>
        <w:pStyle w:val="6"/>
        <w:keepNext w:val="0"/>
        <w:keepLines w:val="0"/>
        <w:spacing w:before="100" w:after="100" w:line="240" w:lineRule="auto"/>
        <w:ind w:left="0" w:right="0" w:firstLine="0" w:firstLineChars="0"/>
        <w:jc w:val="both"/>
        <w:rPr>
          <w:rFonts w:hint="eastAsia" w:ascii="黑体" w:hAnsi="宋体" w:eastAsia="黑体" w:cs="黑体"/>
          <w:b/>
          <w:bCs/>
          <w:kern w:val="0"/>
          <w:sz w:val="32"/>
          <w:szCs w:val="32"/>
          <w:shd w:val="clear" w:fill="FFFFFF"/>
          <w:lang w:val="en-US" w:eastAsia="zh-CN" w:bidi="ar-SA"/>
        </w:rPr>
      </w:pPr>
      <w:r>
        <w:rPr>
          <w:rFonts w:ascii="黑体" w:hAnsi="黑体" w:eastAsia="黑体" w:cs="黑体"/>
          <w:b/>
          <w:bCs/>
          <w:spacing w:val="0"/>
        </w:rPr>
        <w:t xml:space="preserve"> </w:t>
      </w:r>
      <w:bookmarkStart w:id="9" w:name="_Toc256000095"/>
      <w:bookmarkStart w:id="10" w:name="_Toc256000064"/>
      <w:bookmarkStart w:id="11" w:name="_Toc256000033"/>
      <w:bookmarkStart w:id="12" w:name="_Toc256000002"/>
      <w:r>
        <w:rPr>
          <w:rFonts w:hint="eastAsia" w:ascii="黑体" w:hAnsi="宋体" w:eastAsia="黑体" w:cs="黑体"/>
          <w:b/>
          <w:bCs/>
          <w:kern w:val="0"/>
          <w:sz w:val="32"/>
          <w:szCs w:val="32"/>
          <w:shd w:val="clear" w:fill="FFFFFF"/>
          <w:lang w:val="en-US" w:eastAsia="zh-CN" w:bidi="ar-SA"/>
        </w:rPr>
        <w:t>一、单位主要职责</w:t>
      </w:r>
      <w:bookmarkEnd w:id="9"/>
      <w:bookmarkEnd w:id="10"/>
      <w:bookmarkEnd w:id="11"/>
      <w:bookmarkEnd w:id="12"/>
    </w:p>
    <w:p>
      <w:pPr>
        <w:pStyle w:val="29"/>
        <w:widowControl/>
        <w:spacing w:before="100" w:after="100" w:line="600" w:lineRule="atLeast"/>
        <w:ind w:right="0" w:firstLine="640" w:firstLineChars="200"/>
        <w:jc w:val="both"/>
        <w:rPr>
          <w:rFonts w:ascii="仿宋" w:hAnsi="仿宋" w:eastAsia="仿宋" w:cs="仿宋"/>
          <w:spacing w:val="0"/>
          <w:kern w:val="0"/>
          <w:sz w:val="32"/>
          <w:szCs w:val="32"/>
        </w:rPr>
      </w:pPr>
      <w:r>
        <w:rPr>
          <w:rFonts w:ascii="仿宋" w:hAnsi="仿宋" w:eastAsia="仿宋" w:cs="仿宋"/>
          <w:spacing w:val="0"/>
          <w:kern w:val="0"/>
          <w:sz w:val="32"/>
          <w:szCs w:val="32"/>
        </w:rPr>
        <w:t>厦门市湖里区教师进修学校附属小学单位的主要职责是：</w:t>
      </w:r>
    </w:p>
    <w:p>
      <w:pPr>
        <w:keepNext w:val="0"/>
        <w:keepLines w:val="0"/>
        <w:widowControl/>
        <w:numPr>
          <w:ilvl w:val="0"/>
          <w:numId w:val="0"/>
        </w:numPr>
        <w:suppressLineNumbers w:val="0"/>
        <w:ind w:firstLine="600" w:firstLineChars="200"/>
        <w:jc w:val="both"/>
        <w:rPr>
          <w:rFonts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（一）</w:t>
      </w:r>
      <w:r>
        <w:rPr>
          <w:rFonts w:ascii="仿宋" w:hAnsi="仿宋" w:eastAsia="仿宋" w:cs="仿宋"/>
          <w:color w:val="000000"/>
          <w:kern w:val="0"/>
          <w:sz w:val="30"/>
          <w:szCs w:val="30"/>
          <w:lang w:val="en-US" w:eastAsia="zh-CN" w:bidi="ar"/>
        </w:rPr>
        <w:t>实施小学义务教育。</w:t>
      </w:r>
    </w:p>
    <w:p>
      <w:pPr>
        <w:keepNext w:val="0"/>
        <w:keepLines w:val="0"/>
        <w:widowControl/>
        <w:numPr>
          <w:ilvl w:val="0"/>
          <w:numId w:val="0"/>
        </w:numPr>
        <w:suppressLineNumbers w:val="0"/>
        <w:jc w:val="both"/>
      </w:pPr>
      <w:r>
        <w:rPr>
          <w:rFonts w:ascii="仿宋" w:hAnsi="仿宋" w:eastAsia="仿宋" w:cs="仿宋"/>
          <w:color w:val="000000"/>
          <w:kern w:val="0"/>
          <w:sz w:val="30"/>
          <w:szCs w:val="30"/>
          <w:lang w:val="en-US" w:eastAsia="zh-CN" w:bidi="ar"/>
        </w:rPr>
        <w:t xml:space="preserve"> </w:t>
      </w:r>
    </w:p>
    <w:p>
      <w:pPr>
        <w:keepNext w:val="0"/>
        <w:keepLines w:val="0"/>
        <w:widowControl/>
        <w:numPr>
          <w:ilvl w:val="0"/>
          <w:numId w:val="0"/>
        </w:numPr>
        <w:suppressLineNumbers w:val="0"/>
        <w:ind w:leftChars="0" w:firstLine="600" w:firstLineChars="200"/>
        <w:jc w:val="both"/>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（二）促进基础教育发展。</w:t>
      </w:r>
    </w:p>
    <w:p>
      <w:pPr>
        <w:keepNext w:val="0"/>
        <w:keepLines w:val="0"/>
        <w:widowControl/>
        <w:numPr>
          <w:ilvl w:val="0"/>
          <w:numId w:val="0"/>
        </w:numPr>
        <w:suppressLineNumbers w:val="0"/>
        <w:ind w:leftChars="0"/>
        <w:jc w:val="both"/>
      </w:pPr>
      <w:r>
        <w:rPr>
          <w:rFonts w:hint="eastAsia" w:ascii="仿宋" w:hAnsi="仿宋" w:eastAsia="仿宋" w:cs="仿宋"/>
          <w:color w:val="000000"/>
          <w:kern w:val="0"/>
          <w:sz w:val="30"/>
          <w:szCs w:val="30"/>
          <w:lang w:val="en-US" w:eastAsia="zh-CN" w:bidi="ar"/>
        </w:rPr>
        <w:t xml:space="preserve"> </w:t>
      </w:r>
    </w:p>
    <w:p>
      <w:pPr>
        <w:keepNext w:val="0"/>
        <w:keepLines w:val="0"/>
        <w:widowControl/>
        <w:suppressLineNumbers w:val="0"/>
        <w:ind w:firstLine="600" w:firstLineChars="200"/>
        <w:jc w:val="both"/>
      </w:pPr>
      <w:r>
        <w:rPr>
          <w:rFonts w:hint="eastAsia" w:ascii="仿宋" w:hAnsi="仿宋" w:eastAsia="仿宋" w:cs="仿宋"/>
          <w:color w:val="000000"/>
          <w:kern w:val="0"/>
          <w:sz w:val="30"/>
          <w:szCs w:val="30"/>
          <w:lang w:val="en-US" w:eastAsia="zh-CN" w:bidi="ar"/>
        </w:rPr>
        <w:t>（三）促进小学学历教育。</w:t>
      </w:r>
    </w:p>
    <w:p>
      <w:pPr>
        <w:pStyle w:val="30"/>
        <w:widowControl/>
        <w:spacing w:before="100" w:after="100"/>
        <w:ind w:left="0" w:right="0" w:firstLine="0"/>
        <w:jc w:val="both"/>
        <w:rPr>
          <w:rFonts w:ascii="Times New Roman" w:hAnsi="Times New Roman" w:eastAsia="Times New Roman" w:cs="Times New Roman"/>
          <w:kern w:val="0"/>
          <w:sz w:val="24"/>
        </w:rPr>
      </w:pPr>
    </w:p>
    <w:p>
      <w:pPr>
        <w:pStyle w:val="30"/>
        <w:widowControl/>
        <w:spacing w:before="100" w:after="100"/>
        <w:ind w:left="0" w:right="0" w:firstLine="321" w:firstLineChars="100"/>
        <w:jc w:val="both"/>
        <w:rPr>
          <w:rFonts w:hint="eastAsia" w:ascii="黑体" w:hAnsi="宋体" w:eastAsia="黑体" w:cs="黑体"/>
          <w:b/>
          <w:bCs/>
          <w:kern w:val="0"/>
          <w:sz w:val="32"/>
          <w:szCs w:val="32"/>
          <w:shd w:val="clear" w:fill="FFFFFF"/>
          <w:lang w:val="en-US" w:eastAsia="zh-CN" w:bidi="ar-SA"/>
        </w:rPr>
      </w:pPr>
      <w:bookmarkStart w:id="13" w:name="_Toc256000003"/>
      <w:bookmarkStart w:id="14" w:name="_Toc256000096"/>
      <w:bookmarkStart w:id="15" w:name="_Toc256000034"/>
      <w:bookmarkStart w:id="16" w:name="_Toc256000065"/>
      <w:r>
        <w:rPr>
          <w:rFonts w:hint="eastAsia" w:ascii="黑体" w:hAnsi="宋体" w:eastAsia="黑体" w:cs="黑体"/>
          <w:b/>
          <w:bCs/>
          <w:kern w:val="0"/>
          <w:sz w:val="32"/>
          <w:szCs w:val="32"/>
          <w:shd w:val="clear" w:fill="FFFFFF"/>
          <w:lang w:val="en-US" w:eastAsia="zh-CN" w:bidi="ar-SA"/>
        </w:rPr>
        <w:t>二、单位基本情况</w:t>
      </w:r>
      <w:bookmarkEnd w:id="13"/>
      <w:bookmarkEnd w:id="14"/>
      <w:bookmarkEnd w:id="15"/>
      <w:bookmarkEnd w:id="16"/>
    </w:p>
    <w:p>
      <w:pPr>
        <w:pStyle w:val="29"/>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color w:val="auto"/>
          <w:spacing w:val="0"/>
          <w:kern w:val="0"/>
          <w:sz w:val="32"/>
          <w:szCs w:val="32"/>
        </w:rPr>
        <w:t>从决算单位构成看，本单位包括</w:t>
      </w:r>
      <w:r>
        <w:rPr>
          <w:rFonts w:hint="eastAsia" w:ascii="仿宋" w:hAnsi="仿宋" w:eastAsia="仿宋" w:cs="仿宋"/>
          <w:color w:val="auto"/>
          <w:spacing w:val="0"/>
          <w:kern w:val="0"/>
          <w:sz w:val="32"/>
          <w:szCs w:val="32"/>
          <w:lang w:val="en-US" w:eastAsia="zh-CN"/>
        </w:rPr>
        <w:t>5</w:t>
      </w:r>
      <w:r>
        <w:rPr>
          <w:rFonts w:ascii="仿宋" w:hAnsi="仿宋" w:eastAsia="仿宋" w:cs="仿宋"/>
          <w:color w:val="auto"/>
          <w:spacing w:val="0"/>
          <w:kern w:val="0"/>
          <w:sz w:val="32"/>
          <w:szCs w:val="32"/>
        </w:rPr>
        <w:t>个内设机构，其中：列入2024年决算编制范围的单位详细情况见下表</w:t>
      </w:r>
      <w:r>
        <w:rPr>
          <w:rFonts w:ascii="仿宋" w:hAnsi="仿宋" w:eastAsia="仿宋" w:cs="仿宋"/>
          <w:spacing w:val="0"/>
          <w:kern w:val="0"/>
          <w:sz w:val="32"/>
          <w:szCs w:val="32"/>
        </w:rPr>
        <w:t>:</w:t>
      </w:r>
    </w:p>
    <w:tbl>
      <w:tblPr>
        <w:tblStyle w:val="23"/>
        <w:tblpPr w:leftFromText="180" w:rightFromText="180" w:vertAnchor="text" w:horzAnchor="page" w:tblpX="1874" w:tblpY="703"/>
        <w:tblOverlap w:val="never"/>
        <w:tblW w:w="799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2460"/>
        <w:gridCol w:w="5535"/>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2460" w:type="dxa"/>
            <w:tcBorders>
              <w:bottom w:val="single" w:color="auto" w:sz="4" w:space="0"/>
              <w:right w:val="inset" w:color="80808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line="600" w:lineRule="atLeast"/>
              <w:ind w:left="0" w:right="0"/>
              <w:jc w:val="center"/>
              <w:rPr>
                <w:rFonts w:hint="eastAsia" w:ascii="仿宋" w:hAnsi="仿宋" w:eastAsia="仿宋" w:cs="仿宋"/>
                <w:kern w:val="0"/>
                <w:sz w:val="32"/>
                <w:szCs w:val="32"/>
                <w:shd w:val="clear" w:fill="FFFFFF"/>
              </w:rPr>
            </w:pPr>
            <w:r>
              <w:rPr>
                <w:rFonts w:hint="eastAsia" w:ascii="仿宋" w:hAnsi="仿宋" w:eastAsia="仿宋" w:cs="仿宋"/>
                <w:kern w:val="0"/>
                <w:sz w:val="32"/>
                <w:szCs w:val="32"/>
                <w:shd w:val="clear" w:fill="FFFFFF"/>
              </w:rPr>
              <w:t>序号</w:t>
            </w:r>
          </w:p>
        </w:tc>
        <w:tc>
          <w:tcPr>
            <w:tcW w:w="5535" w:type="dxa"/>
            <w:tcBorders>
              <w:left w:val="inset" w:color="808080" w:sz="6" w:space="0"/>
              <w:bottom w:val="single" w:color="auto" w:sz="4"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line="600" w:lineRule="atLeast"/>
              <w:ind w:left="0" w:right="0"/>
              <w:jc w:val="center"/>
              <w:rPr>
                <w:rFonts w:hint="eastAsia" w:ascii="仿宋" w:hAnsi="仿宋" w:eastAsia="仿宋" w:cs="仿宋"/>
                <w:kern w:val="0"/>
                <w:sz w:val="32"/>
                <w:szCs w:val="32"/>
                <w:shd w:val="clear" w:fill="FFFFFF"/>
              </w:rPr>
            </w:pPr>
            <w:r>
              <w:rPr>
                <w:rFonts w:hint="eastAsia" w:ascii="仿宋" w:hAnsi="仿宋" w:eastAsia="仿宋" w:cs="仿宋"/>
                <w:kern w:val="0"/>
                <w:sz w:val="32"/>
                <w:szCs w:val="32"/>
                <w:shd w:val="clear" w:fill="FFFFFF"/>
              </w:rPr>
              <w:t>单位名称</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2460" w:type="dxa"/>
            <w:tcBorders>
              <w:top w:val="single" w:color="auto" w:sz="4" w:space="0"/>
              <w:right w:val="inset" w:color="80808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line="600" w:lineRule="atLeast"/>
              <w:ind w:left="0" w:right="0"/>
              <w:jc w:val="center"/>
              <w:rPr>
                <w:rFonts w:hint="eastAsia" w:ascii="仿宋" w:hAnsi="仿宋" w:eastAsia="仿宋" w:cs="仿宋"/>
                <w:kern w:val="0"/>
                <w:sz w:val="32"/>
                <w:szCs w:val="32"/>
                <w:shd w:val="clear" w:fill="FFFFFF"/>
                <w:lang w:val="en-US" w:eastAsia="zh-CN"/>
              </w:rPr>
            </w:pPr>
            <w:bookmarkStart w:id="17" w:name="_Toc256000097"/>
            <w:bookmarkStart w:id="18" w:name="_Toc256000035"/>
            <w:bookmarkStart w:id="19" w:name="_Toc256000066"/>
            <w:bookmarkStart w:id="20" w:name="_Toc256000004"/>
            <w:r>
              <w:rPr>
                <w:rFonts w:hint="eastAsia" w:ascii="仿宋" w:hAnsi="仿宋" w:eastAsia="仿宋" w:cs="仿宋"/>
                <w:kern w:val="0"/>
                <w:sz w:val="32"/>
                <w:szCs w:val="32"/>
                <w:shd w:val="clear" w:fill="FFFFFF"/>
                <w:lang w:val="en-US" w:eastAsia="zh-CN"/>
              </w:rPr>
              <w:t>1</w:t>
            </w:r>
          </w:p>
        </w:tc>
        <w:tc>
          <w:tcPr>
            <w:tcW w:w="5535" w:type="dxa"/>
            <w:tcBorders>
              <w:top w:val="single" w:color="auto" w:sz="4" w:space="0"/>
              <w:left w:val="inset" w:color="80808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line="600" w:lineRule="atLeast"/>
              <w:ind w:left="0" w:right="0"/>
              <w:jc w:val="center"/>
              <w:rPr>
                <w:rFonts w:hint="default" w:ascii="仿宋" w:hAnsi="仿宋" w:eastAsia="仿宋" w:cs="仿宋"/>
                <w:kern w:val="0"/>
                <w:sz w:val="32"/>
                <w:szCs w:val="32"/>
                <w:shd w:val="clear" w:fill="FFFFFF"/>
                <w:lang w:val="en-US" w:eastAsia="zh-CN"/>
              </w:rPr>
            </w:pPr>
            <w:r>
              <w:rPr>
                <w:rFonts w:hint="eastAsia" w:ascii="仿宋" w:hAnsi="仿宋" w:eastAsia="仿宋" w:cs="仿宋"/>
                <w:kern w:val="0"/>
                <w:sz w:val="32"/>
                <w:szCs w:val="32"/>
                <w:shd w:val="clear" w:fill="FFFFFF"/>
                <w:lang w:val="en-US" w:eastAsia="zh-CN"/>
              </w:rPr>
              <w:t>厦门市湖里区教师进修学校附属小学</w:t>
            </w:r>
          </w:p>
        </w:tc>
      </w:tr>
    </w:tbl>
    <w:p>
      <w:pPr>
        <w:pStyle w:val="30"/>
        <w:widowControl/>
        <w:spacing w:before="100" w:after="100"/>
        <w:ind w:left="0" w:right="0" w:firstLine="321" w:firstLineChars="100"/>
        <w:jc w:val="both"/>
        <w:rPr>
          <w:rFonts w:hint="eastAsia" w:ascii="黑体" w:hAnsi="宋体" w:eastAsia="黑体" w:cs="黑体"/>
          <w:b/>
          <w:bCs/>
          <w:kern w:val="0"/>
          <w:sz w:val="32"/>
          <w:szCs w:val="32"/>
          <w:shd w:val="clear" w:fill="FFFFFF"/>
          <w:lang w:val="en-US" w:eastAsia="zh-CN" w:bidi="ar-SA"/>
        </w:rPr>
      </w:pPr>
      <w:r>
        <w:rPr>
          <w:rFonts w:hint="eastAsia" w:ascii="黑体" w:hAnsi="宋体" w:eastAsia="黑体" w:cs="黑体"/>
          <w:b/>
          <w:bCs/>
          <w:kern w:val="0"/>
          <w:sz w:val="32"/>
          <w:szCs w:val="32"/>
          <w:shd w:val="clear" w:fill="FFFFFF"/>
          <w:lang w:val="en-US" w:eastAsia="zh-CN" w:bidi="ar-SA"/>
        </w:rPr>
        <w:t>三、单位主要工作总结</w:t>
      </w:r>
      <w:bookmarkEnd w:id="17"/>
      <w:bookmarkEnd w:id="18"/>
      <w:bookmarkEnd w:id="19"/>
      <w:bookmarkEnd w:id="20"/>
    </w:p>
    <w:p>
      <w:pPr>
        <w:pStyle w:val="29"/>
        <w:widowControl/>
        <w:spacing w:before="100" w:after="100" w:line="600" w:lineRule="atLeast"/>
        <w:ind w:left="0" w:right="0" w:firstLine="640"/>
        <w:jc w:val="both"/>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2024年，厦门市湖里区教师进修学校附属小学单位主要任务是：</w:t>
      </w:r>
    </w:p>
    <w:p>
      <w:pPr>
        <w:pStyle w:val="29"/>
        <w:widowControl/>
        <w:spacing w:before="100" w:after="100" w:line="600" w:lineRule="atLeast"/>
        <w:ind w:left="0" w:right="0" w:firstLine="640"/>
        <w:jc w:val="both"/>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 xml:space="preserve">（一）党建工作。持续深化文明校园创建，结合工会、共青团、少先队开展的各项工作，以党建凝聚合力，营造良好温暖氛围，不断提高教师队伍的整体水平。 </w:t>
      </w:r>
    </w:p>
    <w:p>
      <w:pPr>
        <w:pStyle w:val="29"/>
        <w:widowControl/>
        <w:spacing w:before="100" w:after="100" w:line="600" w:lineRule="atLeast"/>
        <w:ind w:left="0" w:right="0" w:firstLine="640"/>
        <w:jc w:val="both"/>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 xml:space="preserve">（二）德育工作。依托家长发展学校，加强学校、家庭、社会德育合力建设。 </w:t>
      </w:r>
    </w:p>
    <w:p>
      <w:pPr>
        <w:pStyle w:val="29"/>
        <w:widowControl/>
        <w:spacing w:before="100" w:after="100" w:line="600" w:lineRule="atLeast"/>
        <w:ind w:left="0" w:right="0" w:firstLine="640"/>
        <w:jc w:val="both"/>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 xml:space="preserve">（三）教学工作。减负增效，提升质量。 </w:t>
      </w:r>
    </w:p>
    <w:p>
      <w:pPr>
        <w:pStyle w:val="29"/>
        <w:widowControl/>
        <w:spacing w:before="100" w:after="100" w:line="600" w:lineRule="atLeast"/>
        <w:ind w:left="0" w:right="0" w:firstLine="640"/>
        <w:jc w:val="both"/>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 xml:space="preserve">（四）科研工作。继续推进目标问题双导向，深化学习共同体课堂教学改革。 </w:t>
      </w:r>
    </w:p>
    <w:p>
      <w:pPr>
        <w:pStyle w:val="29"/>
        <w:widowControl/>
        <w:spacing w:before="100" w:after="100" w:line="600" w:lineRule="atLeast"/>
        <w:ind w:left="0" w:right="0" w:firstLine="640"/>
        <w:jc w:val="both"/>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 xml:space="preserve">（五）总务处工作。提升校园环境，做好后勤保障。 </w:t>
      </w:r>
    </w:p>
    <w:p>
      <w:pPr>
        <w:pStyle w:val="29"/>
        <w:widowControl/>
        <w:spacing w:before="100" w:after="100" w:line="600" w:lineRule="atLeast"/>
        <w:ind w:left="0" w:right="0" w:firstLine="640"/>
        <w:jc w:val="both"/>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（六）工会工作。积极组织各项工会活动，关心教职工生活。</w:t>
      </w:r>
    </w:p>
    <w:p>
      <w:pPr>
        <w:pStyle w:val="29"/>
        <w:widowControl/>
        <w:spacing w:before="100" w:after="100" w:line="600" w:lineRule="atLeast"/>
        <w:ind w:left="0" w:right="0" w:firstLine="640"/>
        <w:jc w:val="left"/>
        <w:rPr>
          <w:rFonts w:hint="eastAsia" w:ascii="仿宋" w:hAnsi="仿宋" w:eastAsia="仿宋" w:cs="仿宋"/>
          <w:spacing w:val="0"/>
          <w:kern w:val="0"/>
          <w:sz w:val="32"/>
          <w:szCs w:val="32"/>
          <w:lang w:val="en-US" w:eastAsia="zh-CN"/>
        </w:rPr>
        <w:sectPr>
          <w:footerReference r:id="rId5" w:type="default"/>
          <w:pgSz w:w="11906" w:h="16838"/>
          <w:pgMar w:top="1440" w:right="1587" w:bottom="1440" w:left="1587" w:header="720" w:footer="720" w:gutter="0"/>
          <w:cols w:space="720" w:num="1"/>
        </w:sect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keepNext w:val="0"/>
        <w:keepLines w:val="0"/>
        <w:pageBreakBefore w:val="0"/>
        <w:widowControl/>
        <w:suppressLineNumbers w:val="0"/>
        <w:shd w:val="clear" w:fill="FFFFFF"/>
        <w:kinsoku/>
        <w:wordWrap/>
        <w:overflowPunct/>
        <w:topLinePunct w:val="0"/>
        <w:autoSpaceDE/>
        <w:autoSpaceDN/>
        <w:bidi w:val="0"/>
        <w:adjustRightInd/>
        <w:snapToGrid/>
        <w:spacing w:before="240" w:beforeAutospacing="0" w:after="240" w:afterAutospacing="0" w:line="240" w:lineRule="auto"/>
        <w:ind w:left="0" w:right="0"/>
        <w:jc w:val="center"/>
        <w:textAlignment w:val="auto"/>
        <w:rPr>
          <w:rFonts w:hint="eastAsia" w:ascii="黑体" w:hAnsi="宋体" w:eastAsia="黑体" w:cs="黑体"/>
          <w:b/>
          <w:bCs/>
          <w:kern w:val="0"/>
          <w:sz w:val="36"/>
          <w:szCs w:val="36"/>
          <w:shd w:val="clear" w:fill="FFFFFF"/>
          <w:lang w:bidi="ar"/>
        </w:rPr>
      </w:pPr>
      <w:bookmarkStart w:id="21" w:name="_Toc256000067"/>
      <w:bookmarkStart w:id="22" w:name="_Toc256000036"/>
      <w:bookmarkStart w:id="23" w:name="_Toc256000098"/>
      <w:bookmarkStart w:id="24" w:name="_Toc256000005"/>
      <w:r>
        <w:rPr>
          <w:rFonts w:hint="eastAsia" w:ascii="黑体" w:hAnsi="宋体" w:eastAsia="黑体" w:cs="黑体"/>
          <w:b/>
          <w:bCs/>
          <w:kern w:val="0"/>
          <w:sz w:val="36"/>
          <w:szCs w:val="36"/>
          <w:shd w:val="clear" w:fill="FFFFFF"/>
          <w:lang w:bidi="ar"/>
        </w:rPr>
        <w:t>第二部分</w:t>
      </w:r>
      <w:bookmarkEnd w:id="21"/>
      <w:bookmarkEnd w:id="22"/>
      <w:bookmarkEnd w:id="23"/>
      <w:bookmarkEnd w:id="24"/>
      <w:r>
        <w:rPr>
          <w:rFonts w:hint="eastAsia" w:ascii="黑体" w:hAnsi="宋体" w:eastAsia="黑体" w:cs="黑体"/>
          <w:b/>
          <w:bCs/>
          <w:kern w:val="0"/>
          <w:sz w:val="36"/>
          <w:szCs w:val="36"/>
          <w:shd w:val="clear" w:fill="FFFFFF"/>
          <w:lang w:bidi="ar"/>
        </w:rPr>
        <w:t> </w:t>
      </w:r>
      <w:bookmarkStart w:id="25" w:name="_Toc256000037"/>
      <w:bookmarkStart w:id="26" w:name="_Toc256000099"/>
      <w:bookmarkStart w:id="27" w:name="_Toc256000068"/>
      <w:bookmarkStart w:id="28" w:name="_Toc256000006"/>
      <w:r>
        <w:rPr>
          <w:rFonts w:hint="eastAsia" w:ascii="黑体" w:hAnsi="宋体" w:eastAsia="黑体" w:cs="黑体"/>
          <w:b/>
          <w:bCs/>
          <w:kern w:val="0"/>
          <w:sz w:val="36"/>
          <w:szCs w:val="36"/>
          <w:shd w:val="clear" w:fill="FFFFFF"/>
          <w:lang w:bidi="ar"/>
        </w:rPr>
        <w:t>2024年度决算表</w:t>
      </w:r>
      <w:bookmarkEnd w:id="25"/>
      <w:bookmarkEnd w:id="26"/>
      <w:bookmarkEnd w:id="27"/>
      <w:bookmarkEnd w:id="28"/>
    </w:p>
    <w:p>
      <w:pPr>
        <w:pStyle w:val="2"/>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一、收入支出决算总表</w:t>
      </w:r>
    </w:p>
    <w:tbl>
      <w:tblPr>
        <w:tblStyle w:val="23"/>
        <w:tblpPr w:leftFromText="180" w:rightFromText="180" w:vertAnchor="text" w:horzAnchor="page" w:tblpX="619" w:tblpY="875"/>
        <w:tblOverlap w:val="never"/>
        <w:tblW w:w="10120" w:type="dxa"/>
        <w:tblInd w:w="0" w:type="dxa"/>
        <w:tblLayout w:type="fixed"/>
        <w:tblCellMar>
          <w:top w:w="15" w:type="dxa"/>
          <w:left w:w="15" w:type="dxa"/>
          <w:bottom w:w="15" w:type="dxa"/>
          <w:right w:w="15" w:type="dxa"/>
        </w:tblCellMar>
      </w:tblPr>
      <w:tblGrid>
        <w:gridCol w:w="3555"/>
        <w:gridCol w:w="493"/>
        <w:gridCol w:w="924"/>
        <w:gridCol w:w="3344"/>
        <w:gridCol w:w="620"/>
        <w:gridCol w:w="1184"/>
      </w:tblGrid>
      <w:tr>
        <w:tblPrEx>
          <w:tblLayout w:type="fixed"/>
          <w:tblCellMar>
            <w:top w:w="15" w:type="dxa"/>
            <w:left w:w="15" w:type="dxa"/>
            <w:bottom w:w="15" w:type="dxa"/>
            <w:right w:w="15" w:type="dxa"/>
          </w:tblCellMar>
        </w:tblPrEx>
        <w:trPr>
          <w:tblHeader/>
        </w:trPr>
        <w:tc>
          <w:tcPr>
            <w:tcW w:w="10120" w:type="dxa"/>
            <w:gridSpan w:val="6"/>
            <w:noWrap w:val="0"/>
            <w:tcMar>
              <w:top w:w="20" w:type="dxa"/>
              <w:left w:w="20" w:type="dxa"/>
              <w:bottom w:w="20" w:type="dxa"/>
              <w:right w:w="20" w:type="dxa"/>
            </w:tcMar>
            <w:vAlign w:val="center"/>
          </w:tcPr>
          <w:p>
            <w:pPr>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line="240" w:lineRule="auto"/>
              <w:ind w:left="0" w:right="0"/>
              <w:jc w:val="center"/>
              <w:textAlignment w:val="auto"/>
              <w:rPr>
                <w:rFonts w:ascii="Times New Roman" w:hAnsi="Times New Roman" w:eastAsia="Times New Roman" w:cs="Times New Roman"/>
                <w:b w:val="0"/>
                <w:bCs w:val="0"/>
                <w:i w:val="0"/>
                <w:iCs w:val="0"/>
                <w:smallCaps w:val="0"/>
                <w:color w:val="000000"/>
                <w:kern w:val="0"/>
                <w:sz w:val="27"/>
                <w:szCs w:val="27"/>
              </w:rPr>
            </w:pPr>
            <w:r>
              <w:rPr>
                <w:rFonts w:hint="eastAsia" w:ascii="黑体" w:hAnsi="宋体" w:eastAsia="黑体" w:cs="黑体"/>
                <w:color w:val="000000"/>
                <w:kern w:val="0"/>
                <w:sz w:val="36"/>
                <w:szCs w:val="36"/>
                <w:shd w:val="clear" w:fill="FFFFFF"/>
                <w:lang w:bidi="ar"/>
              </w:rPr>
              <w:t>收入支出决算总表</w:t>
            </w:r>
          </w:p>
        </w:tc>
      </w:tr>
      <w:tr>
        <w:tblPrEx>
          <w:tblLayout w:type="fixed"/>
          <w:tblCellMar>
            <w:top w:w="15" w:type="dxa"/>
            <w:left w:w="15" w:type="dxa"/>
            <w:bottom w:w="15" w:type="dxa"/>
            <w:right w:w="15" w:type="dxa"/>
          </w:tblCellMar>
        </w:tblPrEx>
        <w:tc>
          <w:tcPr>
            <w:tcW w:w="4972" w:type="dxa"/>
            <w:gridSpan w:val="3"/>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/单位：厦门市湖里区教师进修学校附属小学</w:t>
            </w:r>
          </w:p>
        </w:tc>
        <w:tc>
          <w:tcPr>
            <w:tcW w:w="334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2024年度</w:t>
            </w:r>
          </w:p>
        </w:tc>
        <w:tc>
          <w:tcPr>
            <w:tcW w:w="1804"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金额单位：万元</w:t>
            </w:r>
          </w:p>
        </w:tc>
      </w:tr>
      <w:tr>
        <w:tblPrEx>
          <w:tblLayout w:type="fixed"/>
          <w:tblCellMar>
            <w:top w:w="15" w:type="dxa"/>
            <w:left w:w="15" w:type="dxa"/>
            <w:bottom w:w="15" w:type="dxa"/>
            <w:right w:w="15" w:type="dxa"/>
          </w:tblCellMar>
        </w:tblPrEx>
        <w:tc>
          <w:tcPr>
            <w:tcW w:w="497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收入</w:t>
            </w:r>
          </w:p>
        </w:tc>
        <w:tc>
          <w:tcPr>
            <w:tcW w:w="514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支出</w:t>
            </w:r>
          </w:p>
        </w:tc>
      </w:tr>
      <w:tr>
        <w:tblPrEx>
          <w:tblLayout w:type="fixed"/>
          <w:tblCellMar>
            <w:top w:w="15" w:type="dxa"/>
            <w:left w:w="15" w:type="dxa"/>
            <w:bottom w:w="15" w:type="dxa"/>
            <w:right w:w="15" w:type="dxa"/>
          </w:tblCellMar>
        </w:tblPrEx>
        <w:tc>
          <w:tcPr>
            <w:tcW w:w="35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项目</w:t>
            </w:r>
          </w:p>
        </w:tc>
        <w:tc>
          <w:tcPr>
            <w:tcW w:w="4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行次</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金额</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项目</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行次</w:t>
            </w:r>
          </w:p>
        </w:tc>
        <w:tc>
          <w:tcPr>
            <w:tcW w:w="11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金额</w:t>
            </w:r>
          </w:p>
        </w:tc>
      </w:tr>
      <w:tr>
        <w:tblPrEx>
          <w:tblLayout w:type="fixed"/>
          <w:tblCellMar>
            <w:top w:w="15" w:type="dxa"/>
            <w:left w:w="15" w:type="dxa"/>
            <w:bottom w:w="15" w:type="dxa"/>
            <w:right w:w="15" w:type="dxa"/>
          </w:tblCellMar>
        </w:tblPrEx>
        <w:tc>
          <w:tcPr>
            <w:tcW w:w="35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栏次</w:t>
            </w:r>
          </w:p>
        </w:tc>
        <w:tc>
          <w:tcPr>
            <w:tcW w:w="4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栏次</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w:t>
            </w:r>
          </w:p>
        </w:tc>
      </w:tr>
      <w:tr>
        <w:tblPrEx>
          <w:tblLayout w:type="fixed"/>
          <w:tblCellMar>
            <w:top w:w="15" w:type="dxa"/>
            <w:left w:w="15" w:type="dxa"/>
            <w:bottom w:w="15" w:type="dxa"/>
            <w:right w:w="15" w:type="dxa"/>
          </w:tblCellMar>
        </w:tblPrEx>
        <w:tc>
          <w:tcPr>
            <w:tcW w:w="35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一、一般公共预算财政拨款收入</w:t>
            </w:r>
          </w:p>
        </w:tc>
        <w:tc>
          <w:tcPr>
            <w:tcW w:w="4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4,023.38</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一、一般公共服务支出</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32</w:t>
            </w:r>
          </w:p>
        </w:tc>
        <w:tc>
          <w:tcPr>
            <w:tcW w:w="11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35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二、政府性基金预算财政拨款收入</w:t>
            </w:r>
          </w:p>
        </w:tc>
        <w:tc>
          <w:tcPr>
            <w:tcW w:w="4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xml:space="preserve">二、外交支出 </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33</w:t>
            </w:r>
          </w:p>
        </w:tc>
        <w:tc>
          <w:tcPr>
            <w:tcW w:w="11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35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三、国有资本经营预算财政拨款收入</w:t>
            </w:r>
          </w:p>
        </w:tc>
        <w:tc>
          <w:tcPr>
            <w:tcW w:w="4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三、国防支出</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34</w:t>
            </w:r>
          </w:p>
        </w:tc>
        <w:tc>
          <w:tcPr>
            <w:tcW w:w="11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35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四、上级补助收入</w:t>
            </w:r>
          </w:p>
        </w:tc>
        <w:tc>
          <w:tcPr>
            <w:tcW w:w="4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四、公共安全支出</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35</w:t>
            </w:r>
          </w:p>
        </w:tc>
        <w:tc>
          <w:tcPr>
            <w:tcW w:w="11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35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五、事业收入</w:t>
            </w:r>
          </w:p>
        </w:tc>
        <w:tc>
          <w:tcPr>
            <w:tcW w:w="4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五、教育支出</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36</w:t>
            </w:r>
          </w:p>
        </w:tc>
        <w:tc>
          <w:tcPr>
            <w:tcW w:w="11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3,403.17</w:t>
            </w:r>
          </w:p>
        </w:tc>
      </w:tr>
      <w:tr>
        <w:tblPrEx>
          <w:tblLayout w:type="fixed"/>
          <w:tblCellMar>
            <w:top w:w="15" w:type="dxa"/>
            <w:left w:w="15" w:type="dxa"/>
            <w:bottom w:w="15" w:type="dxa"/>
            <w:right w:w="15" w:type="dxa"/>
          </w:tblCellMar>
        </w:tblPrEx>
        <w:tc>
          <w:tcPr>
            <w:tcW w:w="35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六、经营收入</w:t>
            </w:r>
          </w:p>
        </w:tc>
        <w:tc>
          <w:tcPr>
            <w:tcW w:w="4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六、科学技术支出</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37</w:t>
            </w:r>
          </w:p>
        </w:tc>
        <w:tc>
          <w:tcPr>
            <w:tcW w:w="11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35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七、附属单位上缴收入</w:t>
            </w:r>
          </w:p>
        </w:tc>
        <w:tc>
          <w:tcPr>
            <w:tcW w:w="4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7</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七、文化旅游体育与传媒支出</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38</w:t>
            </w:r>
          </w:p>
        </w:tc>
        <w:tc>
          <w:tcPr>
            <w:tcW w:w="11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35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八、其他收入</w:t>
            </w:r>
          </w:p>
        </w:tc>
        <w:tc>
          <w:tcPr>
            <w:tcW w:w="4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8</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八、社会保障和就业支出</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39</w:t>
            </w:r>
          </w:p>
        </w:tc>
        <w:tc>
          <w:tcPr>
            <w:tcW w:w="11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412.67</w:t>
            </w:r>
          </w:p>
        </w:tc>
      </w:tr>
      <w:tr>
        <w:tblPrEx>
          <w:tblLayout w:type="fixed"/>
          <w:tblCellMar>
            <w:top w:w="15" w:type="dxa"/>
            <w:left w:w="15" w:type="dxa"/>
            <w:bottom w:w="15" w:type="dxa"/>
            <w:right w:w="15" w:type="dxa"/>
          </w:tblCellMar>
        </w:tblPrEx>
        <w:tc>
          <w:tcPr>
            <w:tcW w:w="35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4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9</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九、卫生健康支出</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40</w:t>
            </w:r>
          </w:p>
        </w:tc>
        <w:tc>
          <w:tcPr>
            <w:tcW w:w="11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162.04</w:t>
            </w:r>
          </w:p>
        </w:tc>
      </w:tr>
      <w:tr>
        <w:tblPrEx>
          <w:tblLayout w:type="fixed"/>
          <w:tblCellMar>
            <w:top w:w="15" w:type="dxa"/>
            <w:left w:w="15" w:type="dxa"/>
            <w:bottom w:w="15" w:type="dxa"/>
            <w:right w:w="15" w:type="dxa"/>
          </w:tblCellMar>
        </w:tblPrEx>
        <w:tc>
          <w:tcPr>
            <w:tcW w:w="35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4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10</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十、节能环保支出</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41</w:t>
            </w:r>
          </w:p>
        </w:tc>
        <w:tc>
          <w:tcPr>
            <w:tcW w:w="11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35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4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11</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十一、城乡社区支出</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42</w:t>
            </w:r>
          </w:p>
        </w:tc>
        <w:tc>
          <w:tcPr>
            <w:tcW w:w="11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35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4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12</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十二、农林水支出</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43</w:t>
            </w:r>
          </w:p>
        </w:tc>
        <w:tc>
          <w:tcPr>
            <w:tcW w:w="11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35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4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13</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十三、交通运输支出</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44</w:t>
            </w:r>
          </w:p>
        </w:tc>
        <w:tc>
          <w:tcPr>
            <w:tcW w:w="11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35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4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十四、资源勘探工业信息等支出</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45</w:t>
            </w:r>
          </w:p>
        </w:tc>
        <w:tc>
          <w:tcPr>
            <w:tcW w:w="11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35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4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15</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十五、商业服务业等支出</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46</w:t>
            </w:r>
          </w:p>
        </w:tc>
        <w:tc>
          <w:tcPr>
            <w:tcW w:w="11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35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4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16</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十六、金融支出</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47</w:t>
            </w:r>
          </w:p>
        </w:tc>
        <w:tc>
          <w:tcPr>
            <w:tcW w:w="11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35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4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17</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十七、援助其他地区支出</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48</w:t>
            </w:r>
          </w:p>
        </w:tc>
        <w:tc>
          <w:tcPr>
            <w:tcW w:w="11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35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4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18</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十八、自然资源海洋气象等支出</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49</w:t>
            </w:r>
          </w:p>
        </w:tc>
        <w:tc>
          <w:tcPr>
            <w:tcW w:w="11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35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4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19</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十九、住房保障支出</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50</w:t>
            </w:r>
          </w:p>
        </w:tc>
        <w:tc>
          <w:tcPr>
            <w:tcW w:w="11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45.5</w:t>
            </w:r>
          </w:p>
        </w:tc>
      </w:tr>
      <w:tr>
        <w:tblPrEx>
          <w:tblLayout w:type="fixed"/>
          <w:tblCellMar>
            <w:top w:w="15" w:type="dxa"/>
            <w:left w:w="15" w:type="dxa"/>
            <w:bottom w:w="15" w:type="dxa"/>
            <w:right w:w="15" w:type="dxa"/>
          </w:tblCellMar>
        </w:tblPrEx>
        <w:tc>
          <w:tcPr>
            <w:tcW w:w="35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4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二十、粮油物资储备支出</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51</w:t>
            </w:r>
          </w:p>
        </w:tc>
        <w:tc>
          <w:tcPr>
            <w:tcW w:w="11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35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4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二十一、国有资本经营预算支出</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52</w:t>
            </w:r>
          </w:p>
        </w:tc>
        <w:tc>
          <w:tcPr>
            <w:tcW w:w="11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35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4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22</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二十二、灾害防治及应急管理支出</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53</w:t>
            </w:r>
          </w:p>
        </w:tc>
        <w:tc>
          <w:tcPr>
            <w:tcW w:w="11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35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4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23</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二十三、其他支出</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54</w:t>
            </w:r>
          </w:p>
        </w:tc>
        <w:tc>
          <w:tcPr>
            <w:tcW w:w="11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w:t>
            </w:r>
          </w:p>
        </w:tc>
      </w:tr>
      <w:tr>
        <w:tblPrEx>
          <w:tblLayout w:type="fixed"/>
          <w:tblCellMar>
            <w:top w:w="15" w:type="dxa"/>
            <w:left w:w="15" w:type="dxa"/>
            <w:bottom w:w="15" w:type="dxa"/>
            <w:right w:w="15" w:type="dxa"/>
          </w:tblCellMar>
        </w:tblPrEx>
        <w:tc>
          <w:tcPr>
            <w:tcW w:w="35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4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24</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二十四、债务还本支出</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55</w:t>
            </w:r>
          </w:p>
        </w:tc>
        <w:tc>
          <w:tcPr>
            <w:tcW w:w="11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35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4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25</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二十五、债务付息支出</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56</w:t>
            </w:r>
          </w:p>
        </w:tc>
        <w:tc>
          <w:tcPr>
            <w:tcW w:w="11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35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4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26</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二十六、抗疫特别国债安排的支出</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57</w:t>
            </w:r>
          </w:p>
        </w:tc>
        <w:tc>
          <w:tcPr>
            <w:tcW w:w="11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35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本年收入合计</w:t>
            </w:r>
          </w:p>
        </w:tc>
        <w:tc>
          <w:tcPr>
            <w:tcW w:w="4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27</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4,024.78</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本年支出合计</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58</w:t>
            </w:r>
          </w:p>
        </w:tc>
        <w:tc>
          <w:tcPr>
            <w:tcW w:w="11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4,024.78</w:t>
            </w:r>
          </w:p>
        </w:tc>
      </w:tr>
      <w:tr>
        <w:tblPrEx>
          <w:tblLayout w:type="fixed"/>
          <w:tblCellMar>
            <w:top w:w="15" w:type="dxa"/>
            <w:left w:w="15" w:type="dxa"/>
            <w:bottom w:w="15" w:type="dxa"/>
            <w:right w:w="15" w:type="dxa"/>
          </w:tblCellMar>
        </w:tblPrEx>
        <w:tc>
          <w:tcPr>
            <w:tcW w:w="35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使用非财政拨款结余（含专用结余）</w:t>
            </w:r>
          </w:p>
        </w:tc>
        <w:tc>
          <w:tcPr>
            <w:tcW w:w="4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28</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结余分配</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59</w:t>
            </w:r>
          </w:p>
        </w:tc>
        <w:tc>
          <w:tcPr>
            <w:tcW w:w="11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35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xml:space="preserve">年初结转和结余 </w:t>
            </w:r>
          </w:p>
        </w:tc>
        <w:tc>
          <w:tcPr>
            <w:tcW w:w="4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29</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xml:space="preserve">年末结转和结余 </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60</w:t>
            </w:r>
          </w:p>
        </w:tc>
        <w:tc>
          <w:tcPr>
            <w:tcW w:w="11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35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4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61</w:t>
            </w:r>
          </w:p>
        </w:tc>
        <w:tc>
          <w:tcPr>
            <w:tcW w:w="11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35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总计</w:t>
            </w:r>
          </w:p>
        </w:tc>
        <w:tc>
          <w:tcPr>
            <w:tcW w:w="4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4,024.78</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总计</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62</w:t>
            </w:r>
          </w:p>
        </w:tc>
        <w:tc>
          <w:tcPr>
            <w:tcW w:w="11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4,024.78</w:t>
            </w:r>
          </w:p>
        </w:tc>
      </w:tr>
      <w:tr>
        <w:tblPrEx>
          <w:tblLayout w:type="fixed"/>
          <w:tblCellMar>
            <w:top w:w="15" w:type="dxa"/>
            <w:left w:w="15" w:type="dxa"/>
            <w:bottom w:w="15" w:type="dxa"/>
            <w:right w:w="15" w:type="dxa"/>
          </w:tblCellMar>
        </w:tblPrEx>
        <w:tc>
          <w:tcPr>
            <w:tcW w:w="10120" w:type="dxa"/>
            <w:gridSpan w:val="6"/>
            <w:noWrap w:val="0"/>
            <w:tcMar>
              <w:top w:w="20" w:type="dxa"/>
              <w:left w:w="20" w:type="dxa"/>
              <w:bottom w:w="20" w:type="dxa"/>
              <w:right w:w="20"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注：1.本表反映</w:t>
            </w: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本年度的总收支和年末结转结余情况。</w:t>
            </w:r>
          </w:p>
        </w:tc>
      </w:tr>
      <w:tr>
        <w:tblPrEx>
          <w:tblLayout w:type="fixed"/>
          <w:tblCellMar>
            <w:top w:w="15" w:type="dxa"/>
            <w:left w:w="15" w:type="dxa"/>
            <w:bottom w:w="15" w:type="dxa"/>
            <w:right w:w="15" w:type="dxa"/>
          </w:tblCellMar>
        </w:tblPrEx>
        <w:tc>
          <w:tcPr>
            <w:tcW w:w="10120" w:type="dxa"/>
            <w:gridSpan w:val="6"/>
            <w:noWrap w:val="0"/>
            <w:tcMar>
              <w:top w:w="20" w:type="dxa"/>
              <w:left w:w="485" w:type="dxa"/>
              <w:bottom w:w="20" w:type="dxa"/>
              <w:right w:w="20"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2.本套报表金额单位转换时可能存在尾数误差。</w:t>
            </w:r>
          </w:p>
        </w:tc>
      </w:tr>
    </w:tbl>
    <w:p>
      <w:pPr>
        <w:pStyle w:val="2"/>
        <w:rPr>
          <w:rFonts w:hint="eastAsia" w:ascii="黑体" w:hAnsi="宋体" w:eastAsia="黑体" w:cs="黑体"/>
          <w:kern w:val="0"/>
          <w:sz w:val="36"/>
          <w:szCs w:val="36"/>
          <w:shd w:val="clear" w:fill="FFFFFF"/>
          <w:lang w:bidi="ar"/>
        </w:rPr>
      </w:pPr>
    </w:p>
    <w:p>
      <w:pPr>
        <w:pStyle w:val="2"/>
        <w:rPr>
          <w:rFonts w:hint="eastAsia" w:ascii="黑体" w:hAnsi="黑体" w:eastAsia="黑体" w:cs="黑体"/>
          <w:sz w:val="32"/>
          <w:szCs w:val="32"/>
          <w:lang w:eastAsia="zh-CN"/>
        </w:rPr>
      </w:pPr>
      <w:r>
        <w:rPr>
          <w:rFonts w:hint="eastAsia" w:ascii="黑体" w:hAnsi="黑体" w:eastAsia="黑体" w:cs="黑体"/>
          <w:sz w:val="32"/>
          <w:szCs w:val="32"/>
          <w:lang w:eastAsia="zh-CN"/>
        </w:rPr>
        <w:t>二、收入决算表</w:t>
      </w:r>
    </w:p>
    <w:tbl>
      <w:tblPr>
        <w:tblStyle w:val="23"/>
        <w:tblpPr w:leftFromText="180" w:rightFromText="180" w:vertAnchor="text" w:horzAnchor="page" w:tblpX="619" w:tblpY="1057"/>
        <w:tblOverlap w:val="never"/>
        <w:tblW w:w="10506" w:type="dxa"/>
        <w:tblInd w:w="0" w:type="dxa"/>
        <w:tblLayout w:type="fixed"/>
        <w:tblCellMar>
          <w:top w:w="15" w:type="dxa"/>
          <w:left w:w="15" w:type="dxa"/>
          <w:bottom w:w="15" w:type="dxa"/>
          <w:right w:w="15" w:type="dxa"/>
        </w:tblCellMar>
      </w:tblPr>
      <w:tblGrid>
        <w:gridCol w:w="953"/>
        <w:gridCol w:w="3425"/>
        <w:gridCol w:w="1161"/>
        <w:gridCol w:w="1161"/>
        <w:gridCol w:w="856"/>
        <w:gridCol w:w="619"/>
        <w:gridCol w:w="619"/>
        <w:gridCol w:w="1093"/>
        <w:gridCol w:w="619"/>
      </w:tblGrid>
      <w:tr>
        <w:tblPrEx>
          <w:tblLayout w:type="fixed"/>
          <w:tblCellMar>
            <w:top w:w="15" w:type="dxa"/>
            <w:left w:w="15" w:type="dxa"/>
            <w:bottom w:w="15" w:type="dxa"/>
            <w:right w:w="15" w:type="dxa"/>
          </w:tblCellMar>
        </w:tblPrEx>
        <w:trPr>
          <w:tblHeader/>
        </w:trPr>
        <w:tc>
          <w:tcPr>
            <w:tcW w:w="10506" w:type="dxa"/>
            <w:gridSpan w:val="9"/>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7"/>
                <w:szCs w:val="27"/>
              </w:rPr>
            </w:pPr>
            <w:r>
              <w:rPr>
                <w:rFonts w:hint="eastAsia" w:ascii="黑体" w:hAnsi="宋体" w:eastAsia="黑体" w:cs="黑体"/>
                <w:color w:val="000000"/>
                <w:kern w:val="0"/>
                <w:sz w:val="36"/>
                <w:szCs w:val="36"/>
                <w:shd w:val="clear" w:fill="FFFFFF"/>
                <w:lang w:bidi="ar"/>
              </w:rPr>
              <w:t>收入决算表</w:t>
            </w:r>
          </w:p>
        </w:tc>
      </w:tr>
      <w:tr>
        <w:tblPrEx>
          <w:tblLayout w:type="fixed"/>
          <w:tblCellMar>
            <w:top w:w="15" w:type="dxa"/>
            <w:left w:w="15" w:type="dxa"/>
            <w:bottom w:w="15" w:type="dxa"/>
            <w:right w:w="15" w:type="dxa"/>
          </w:tblCellMar>
        </w:tblPrEx>
        <w:tc>
          <w:tcPr>
            <w:tcW w:w="6700" w:type="dxa"/>
            <w:gridSpan w:val="4"/>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left"/>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/单位：厦门市湖里区教师进修学校附属小学</w:t>
            </w:r>
          </w:p>
        </w:tc>
        <w:tc>
          <w:tcPr>
            <w:tcW w:w="2094" w:type="dxa"/>
            <w:gridSpan w:val="3"/>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left"/>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2024年度</w:t>
            </w:r>
          </w:p>
        </w:tc>
        <w:tc>
          <w:tcPr>
            <w:tcW w:w="1712"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金额单位：万元</w:t>
            </w:r>
          </w:p>
        </w:tc>
      </w:tr>
      <w:tr>
        <w:tblPrEx>
          <w:tblLayout w:type="fixed"/>
          <w:tblCellMar>
            <w:top w:w="15" w:type="dxa"/>
            <w:left w:w="15" w:type="dxa"/>
            <w:bottom w:w="15" w:type="dxa"/>
            <w:right w:w="15" w:type="dxa"/>
          </w:tblCellMar>
        </w:tblPrEx>
        <w:trPr>
          <w:tblHeader/>
        </w:trPr>
        <w:tc>
          <w:tcPr>
            <w:tcW w:w="437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项目</w:t>
            </w:r>
          </w:p>
        </w:tc>
        <w:tc>
          <w:tcPr>
            <w:tcW w:w="1161"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本年收入合计</w:t>
            </w:r>
          </w:p>
        </w:tc>
        <w:tc>
          <w:tcPr>
            <w:tcW w:w="1161"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xml:space="preserve">财政拨款收入 </w:t>
            </w:r>
          </w:p>
        </w:tc>
        <w:tc>
          <w:tcPr>
            <w:tcW w:w="856"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上级补助收入</w:t>
            </w:r>
          </w:p>
        </w:tc>
        <w:tc>
          <w:tcPr>
            <w:tcW w:w="619"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事业收入</w:t>
            </w:r>
          </w:p>
        </w:tc>
        <w:tc>
          <w:tcPr>
            <w:tcW w:w="619"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经营收入</w:t>
            </w:r>
          </w:p>
        </w:tc>
        <w:tc>
          <w:tcPr>
            <w:tcW w:w="109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附属单位上缴收入</w:t>
            </w:r>
          </w:p>
        </w:tc>
        <w:tc>
          <w:tcPr>
            <w:tcW w:w="619"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其他收入</w:t>
            </w:r>
          </w:p>
        </w:tc>
      </w:tr>
      <w:tr>
        <w:tblPrEx>
          <w:tblLayout w:type="fixed"/>
          <w:tblCellMar>
            <w:top w:w="15" w:type="dxa"/>
            <w:left w:w="15" w:type="dxa"/>
            <w:bottom w:w="15" w:type="dxa"/>
            <w:right w:w="15" w:type="dxa"/>
          </w:tblCellMar>
        </w:tblPrEx>
        <w:trPr>
          <w:tblHeader/>
        </w:trPr>
        <w:tc>
          <w:tcPr>
            <w:tcW w:w="95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科目代码</w:t>
            </w:r>
          </w:p>
        </w:tc>
        <w:tc>
          <w:tcPr>
            <w:tcW w:w="342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科目名称</w:t>
            </w:r>
          </w:p>
        </w:tc>
        <w:tc>
          <w:tcPr>
            <w:tcW w:w="1161"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161"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856"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19"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19"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93"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19"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blHeader/>
        </w:trPr>
        <w:tc>
          <w:tcPr>
            <w:tcW w:w="953"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425"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161"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161"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856"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19"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19"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93"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19"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437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栏次</w:t>
            </w:r>
          </w:p>
        </w:tc>
        <w:tc>
          <w:tcPr>
            <w:tcW w:w="11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w:t>
            </w:r>
          </w:p>
        </w:tc>
        <w:tc>
          <w:tcPr>
            <w:tcW w:w="11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w:t>
            </w:r>
          </w:p>
        </w:tc>
        <w:tc>
          <w:tcPr>
            <w:tcW w:w="8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w:t>
            </w:r>
          </w:p>
        </w:tc>
        <w:tc>
          <w:tcPr>
            <w:tcW w:w="10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7</w:t>
            </w:r>
          </w:p>
        </w:tc>
      </w:tr>
      <w:tr>
        <w:tblPrEx>
          <w:tblLayout w:type="fixed"/>
          <w:tblCellMar>
            <w:top w:w="15" w:type="dxa"/>
            <w:left w:w="15" w:type="dxa"/>
            <w:bottom w:w="15" w:type="dxa"/>
            <w:right w:w="15" w:type="dxa"/>
          </w:tblCellMar>
        </w:tblPrEx>
        <w:tc>
          <w:tcPr>
            <w:tcW w:w="437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合计</w:t>
            </w:r>
          </w:p>
        </w:tc>
        <w:tc>
          <w:tcPr>
            <w:tcW w:w="11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4,024.78</w:t>
            </w:r>
          </w:p>
        </w:tc>
        <w:tc>
          <w:tcPr>
            <w:tcW w:w="11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4,024.78</w:t>
            </w:r>
          </w:p>
        </w:tc>
        <w:tc>
          <w:tcPr>
            <w:tcW w:w="8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w:t>
            </w:r>
          </w:p>
        </w:tc>
        <w:tc>
          <w:tcPr>
            <w:tcW w:w="34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教育支出</w:t>
            </w:r>
          </w:p>
        </w:tc>
        <w:tc>
          <w:tcPr>
            <w:tcW w:w="11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3,403.17</w:t>
            </w:r>
          </w:p>
        </w:tc>
        <w:tc>
          <w:tcPr>
            <w:tcW w:w="11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3,403.17</w:t>
            </w:r>
          </w:p>
        </w:tc>
        <w:tc>
          <w:tcPr>
            <w:tcW w:w="8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20502</w:t>
            </w:r>
          </w:p>
        </w:tc>
        <w:tc>
          <w:tcPr>
            <w:tcW w:w="34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普通教育</w:t>
            </w:r>
          </w:p>
        </w:tc>
        <w:tc>
          <w:tcPr>
            <w:tcW w:w="11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3,206.01</w:t>
            </w:r>
          </w:p>
        </w:tc>
        <w:tc>
          <w:tcPr>
            <w:tcW w:w="11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3,206.01</w:t>
            </w:r>
          </w:p>
        </w:tc>
        <w:tc>
          <w:tcPr>
            <w:tcW w:w="8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2050202</w:t>
            </w:r>
          </w:p>
        </w:tc>
        <w:tc>
          <w:tcPr>
            <w:tcW w:w="34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小学教育</w:t>
            </w:r>
          </w:p>
        </w:tc>
        <w:tc>
          <w:tcPr>
            <w:tcW w:w="11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2,997.47</w:t>
            </w:r>
          </w:p>
        </w:tc>
        <w:tc>
          <w:tcPr>
            <w:tcW w:w="11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2,997.47</w:t>
            </w:r>
          </w:p>
        </w:tc>
        <w:tc>
          <w:tcPr>
            <w:tcW w:w="8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2050299</w:t>
            </w:r>
          </w:p>
        </w:tc>
        <w:tc>
          <w:tcPr>
            <w:tcW w:w="34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其他普通教育支出</w:t>
            </w:r>
          </w:p>
        </w:tc>
        <w:tc>
          <w:tcPr>
            <w:tcW w:w="11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208.55</w:t>
            </w:r>
          </w:p>
        </w:tc>
        <w:tc>
          <w:tcPr>
            <w:tcW w:w="11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208.55</w:t>
            </w:r>
          </w:p>
        </w:tc>
        <w:tc>
          <w:tcPr>
            <w:tcW w:w="8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20509</w:t>
            </w:r>
          </w:p>
        </w:tc>
        <w:tc>
          <w:tcPr>
            <w:tcW w:w="34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教育费附加安排的支出</w:t>
            </w:r>
          </w:p>
        </w:tc>
        <w:tc>
          <w:tcPr>
            <w:tcW w:w="11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197.16</w:t>
            </w:r>
          </w:p>
        </w:tc>
        <w:tc>
          <w:tcPr>
            <w:tcW w:w="11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197.16</w:t>
            </w:r>
          </w:p>
        </w:tc>
        <w:tc>
          <w:tcPr>
            <w:tcW w:w="8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2050999</w:t>
            </w:r>
          </w:p>
        </w:tc>
        <w:tc>
          <w:tcPr>
            <w:tcW w:w="34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其他教育费附加安排的支出</w:t>
            </w:r>
          </w:p>
        </w:tc>
        <w:tc>
          <w:tcPr>
            <w:tcW w:w="11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197.16</w:t>
            </w:r>
          </w:p>
        </w:tc>
        <w:tc>
          <w:tcPr>
            <w:tcW w:w="11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197.16</w:t>
            </w:r>
          </w:p>
        </w:tc>
        <w:tc>
          <w:tcPr>
            <w:tcW w:w="8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w:t>
            </w:r>
          </w:p>
        </w:tc>
        <w:tc>
          <w:tcPr>
            <w:tcW w:w="34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社会保障和就业支出</w:t>
            </w:r>
          </w:p>
        </w:tc>
        <w:tc>
          <w:tcPr>
            <w:tcW w:w="11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412.67</w:t>
            </w:r>
          </w:p>
        </w:tc>
        <w:tc>
          <w:tcPr>
            <w:tcW w:w="11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412.67</w:t>
            </w:r>
          </w:p>
        </w:tc>
        <w:tc>
          <w:tcPr>
            <w:tcW w:w="8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20805</w:t>
            </w:r>
          </w:p>
        </w:tc>
        <w:tc>
          <w:tcPr>
            <w:tcW w:w="34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行政事业单位养老支出</w:t>
            </w:r>
          </w:p>
        </w:tc>
        <w:tc>
          <w:tcPr>
            <w:tcW w:w="11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412.67</w:t>
            </w:r>
          </w:p>
        </w:tc>
        <w:tc>
          <w:tcPr>
            <w:tcW w:w="11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412.67</w:t>
            </w:r>
          </w:p>
        </w:tc>
        <w:tc>
          <w:tcPr>
            <w:tcW w:w="8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2080502</w:t>
            </w:r>
          </w:p>
        </w:tc>
        <w:tc>
          <w:tcPr>
            <w:tcW w:w="34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事业单位离退休</w:t>
            </w:r>
          </w:p>
        </w:tc>
        <w:tc>
          <w:tcPr>
            <w:tcW w:w="11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15.22</w:t>
            </w:r>
          </w:p>
        </w:tc>
        <w:tc>
          <w:tcPr>
            <w:tcW w:w="11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15.22</w:t>
            </w:r>
          </w:p>
        </w:tc>
        <w:tc>
          <w:tcPr>
            <w:tcW w:w="8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2080505</w:t>
            </w:r>
          </w:p>
        </w:tc>
        <w:tc>
          <w:tcPr>
            <w:tcW w:w="34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机关事业单位基本养老保险缴费支出</w:t>
            </w:r>
          </w:p>
        </w:tc>
        <w:tc>
          <w:tcPr>
            <w:tcW w:w="11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250.5</w:t>
            </w:r>
          </w:p>
        </w:tc>
        <w:tc>
          <w:tcPr>
            <w:tcW w:w="11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250.5</w:t>
            </w:r>
          </w:p>
        </w:tc>
        <w:tc>
          <w:tcPr>
            <w:tcW w:w="8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2080506</w:t>
            </w:r>
          </w:p>
        </w:tc>
        <w:tc>
          <w:tcPr>
            <w:tcW w:w="34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机关事业单位职业年金缴费支出</w:t>
            </w:r>
          </w:p>
        </w:tc>
        <w:tc>
          <w:tcPr>
            <w:tcW w:w="11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146.95</w:t>
            </w:r>
          </w:p>
        </w:tc>
        <w:tc>
          <w:tcPr>
            <w:tcW w:w="11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146.95</w:t>
            </w:r>
          </w:p>
        </w:tc>
        <w:tc>
          <w:tcPr>
            <w:tcW w:w="8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210</w:t>
            </w:r>
          </w:p>
        </w:tc>
        <w:tc>
          <w:tcPr>
            <w:tcW w:w="34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卫生健康支出</w:t>
            </w:r>
          </w:p>
        </w:tc>
        <w:tc>
          <w:tcPr>
            <w:tcW w:w="11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162.04</w:t>
            </w:r>
          </w:p>
        </w:tc>
        <w:tc>
          <w:tcPr>
            <w:tcW w:w="11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162.04</w:t>
            </w:r>
          </w:p>
        </w:tc>
        <w:tc>
          <w:tcPr>
            <w:tcW w:w="8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21011</w:t>
            </w:r>
          </w:p>
        </w:tc>
        <w:tc>
          <w:tcPr>
            <w:tcW w:w="34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行政事业单位医疗</w:t>
            </w:r>
          </w:p>
        </w:tc>
        <w:tc>
          <w:tcPr>
            <w:tcW w:w="11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162.04</w:t>
            </w:r>
          </w:p>
        </w:tc>
        <w:tc>
          <w:tcPr>
            <w:tcW w:w="11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162.04</w:t>
            </w:r>
          </w:p>
        </w:tc>
        <w:tc>
          <w:tcPr>
            <w:tcW w:w="8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2101102</w:t>
            </w:r>
          </w:p>
        </w:tc>
        <w:tc>
          <w:tcPr>
            <w:tcW w:w="34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事业单位医疗</w:t>
            </w:r>
          </w:p>
        </w:tc>
        <w:tc>
          <w:tcPr>
            <w:tcW w:w="11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107.25</w:t>
            </w:r>
          </w:p>
        </w:tc>
        <w:tc>
          <w:tcPr>
            <w:tcW w:w="11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107.25</w:t>
            </w:r>
          </w:p>
        </w:tc>
        <w:tc>
          <w:tcPr>
            <w:tcW w:w="8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2101199</w:t>
            </w:r>
          </w:p>
        </w:tc>
        <w:tc>
          <w:tcPr>
            <w:tcW w:w="34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其他行政事业单位医疗支出</w:t>
            </w:r>
          </w:p>
        </w:tc>
        <w:tc>
          <w:tcPr>
            <w:tcW w:w="11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54.8</w:t>
            </w:r>
          </w:p>
        </w:tc>
        <w:tc>
          <w:tcPr>
            <w:tcW w:w="11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54.8</w:t>
            </w:r>
          </w:p>
        </w:tc>
        <w:tc>
          <w:tcPr>
            <w:tcW w:w="8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221</w:t>
            </w:r>
          </w:p>
        </w:tc>
        <w:tc>
          <w:tcPr>
            <w:tcW w:w="34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住房保障支出</w:t>
            </w:r>
          </w:p>
        </w:tc>
        <w:tc>
          <w:tcPr>
            <w:tcW w:w="11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45.5</w:t>
            </w:r>
          </w:p>
        </w:tc>
        <w:tc>
          <w:tcPr>
            <w:tcW w:w="11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45.5</w:t>
            </w:r>
          </w:p>
        </w:tc>
        <w:tc>
          <w:tcPr>
            <w:tcW w:w="8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22102</w:t>
            </w:r>
          </w:p>
        </w:tc>
        <w:tc>
          <w:tcPr>
            <w:tcW w:w="34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住房改革支出</w:t>
            </w:r>
          </w:p>
        </w:tc>
        <w:tc>
          <w:tcPr>
            <w:tcW w:w="11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45.5</w:t>
            </w:r>
          </w:p>
        </w:tc>
        <w:tc>
          <w:tcPr>
            <w:tcW w:w="11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45.5</w:t>
            </w:r>
          </w:p>
        </w:tc>
        <w:tc>
          <w:tcPr>
            <w:tcW w:w="8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2210203</w:t>
            </w:r>
          </w:p>
        </w:tc>
        <w:tc>
          <w:tcPr>
            <w:tcW w:w="34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购房补贴</w:t>
            </w:r>
          </w:p>
        </w:tc>
        <w:tc>
          <w:tcPr>
            <w:tcW w:w="11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45.5</w:t>
            </w:r>
          </w:p>
        </w:tc>
        <w:tc>
          <w:tcPr>
            <w:tcW w:w="11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45.5</w:t>
            </w:r>
          </w:p>
        </w:tc>
        <w:tc>
          <w:tcPr>
            <w:tcW w:w="8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229</w:t>
            </w:r>
          </w:p>
        </w:tc>
        <w:tc>
          <w:tcPr>
            <w:tcW w:w="34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其他支出</w:t>
            </w:r>
          </w:p>
        </w:tc>
        <w:tc>
          <w:tcPr>
            <w:tcW w:w="11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w:t>
            </w:r>
          </w:p>
        </w:tc>
        <w:tc>
          <w:tcPr>
            <w:tcW w:w="11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w:t>
            </w:r>
          </w:p>
        </w:tc>
        <w:tc>
          <w:tcPr>
            <w:tcW w:w="8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22960</w:t>
            </w:r>
          </w:p>
        </w:tc>
        <w:tc>
          <w:tcPr>
            <w:tcW w:w="34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彩票公益金安排的支出</w:t>
            </w:r>
          </w:p>
        </w:tc>
        <w:tc>
          <w:tcPr>
            <w:tcW w:w="11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w:t>
            </w:r>
          </w:p>
        </w:tc>
        <w:tc>
          <w:tcPr>
            <w:tcW w:w="11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w:t>
            </w:r>
          </w:p>
        </w:tc>
        <w:tc>
          <w:tcPr>
            <w:tcW w:w="8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2296003</w:t>
            </w:r>
          </w:p>
        </w:tc>
        <w:tc>
          <w:tcPr>
            <w:tcW w:w="34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用于体育事业的彩票公益金支出</w:t>
            </w:r>
          </w:p>
        </w:tc>
        <w:tc>
          <w:tcPr>
            <w:tcW w:w="11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w:t>
            </w:r>
          </w:p>
        </w:tc>
        <w:tc>
          <w:tcPr>
            <w:tcW w:w="11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w:t>
            </w:r>
          </w:p>
        </w:tc>
        <w:tc>
          <w:tcPr>
            <w:tcW w:w="8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0506" w:type="dxa"/>
            <w:gridSpan w:val="9"/>
            <w:noWrap w:val="0"/>
            <w:tcMar>
              <w:top w:w="20" w:type="dxa"/>
              <w:left w:w="20" w:type="dxa"/>
              <w:bottom w:w="20" w:type="dxa"/>
              <w:right w:w="20"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注：本表反映</w:t>
            </w: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本年度取得的各项收入情况。</w:t>
            </w:r>
          </w:p>
        </w:tc>
      </w:tr>
    </w:tbl>
    <w:p>
      <w:pPr>
        <w:pStyle w:val="2"/>
        <w:rPr>
          <w:rFonts w:hint="eastAsia" w:ascii="黑体" w:hAnsi="宋体" w:eastAsia="黑体" w:cs="黑体"/>
          <w:kern w:val="0"/>
          <w:sz w:val="36"/>
          <w:szCs w:val="36"/>
          <w:shd w:val="clear" w:fill="FFFFFF"/>
          <w:lang w:bidi="ar"/>
        </w:rPr>
      </w:pPr>
    </w:p>
    <w:p>
      <w:pPr>
        <w:keepNext w:val="0"/>
        <w:keepLines w:val="0"/>
        <w:widowControl/>
        <w:numPr>
          <w:ilvl w:val="0"/>
          <w:numId w:val="0"/>
        </w:numPr>
        <w:suppressLineNumbers w:val="0"/>
        <w:shd w:val="clear" w:fill="FFFFFF"/>
        <w:spacing w:before="0" w:beforeAutospacing="1" w:after="0" w:afterAutospacing="1"/>
        <w:ind w:right="0" w:rightChars="0"/>
        <w:jc w:val="left"/>
        <w:rPr>
          <w:rFonts w:hint="eastAsia" w:ascii="黑体" w:hAnsi="宋体" w:eastAsia="黑体" w:cs="黑体"/>
          <w:kern w:val="0"/>
          <w:sz w:val="36"/>
          <w:szCs w:val="36"/>
          <w:shd w:val="clear" w:fill="FFFFFF"/>
          <w:lang w:bidi="ar"/>
        </w:rPr>
      </w:pPr>
      <w:r>
        <w:rPr>
          <w:rFonts w:hint="eastAsia" w:ascii="黑体" w:hAnsi="黑体" w:eastAsia="黑体" w:cs="黑体"/>
          <w:sz w:val="32"/>
          <w:szCs w:val="32"/>
          <w:lang w:eastAsia="zh-CN"/>
        </w:rPr>
        <w:t>三、支出决算表</w:t>
      </w:r>
    </w:p>
    <w:tbl>
      <w:tblPr>
        <w:tblStyle w:val="23"/>
        <w:tblpPr w:leftFromText="180" w:rightFromText="180" w:vertAnchor="text" w:horzAnchor="page" w:tblpX="724" w:tblpY="640"/>
        <w:tblOverlap w:val="never"/>
        <w:tblW w:w="10544" w:type="dxa"/>
        <w:tblInd w:w="0" w:type="dxa"/>
        <w:tblLayout w:type="fixed"/>
        <w:tblCellMar>
          <w:top w:w="15" w:type="dxa"/>
          <w:left w:w="15" w:type="dxa"/>
          <w:bottom w:w="15" w:type="dxa"/>
          <w:right w:w="15" w:type="dxa"/>
        </w:tblCellMar>
      </w:tblPr>
      <w:tblGrid>
        <w:gridCol w:w="899"/>
        <w:gridCol w:w="2814"/>
        <w:gridCol w:w="1582"/>
        <w:gridCol w:w="1035"/>
        <w:gridCol w:w="795"/>
        <w:gridCol w:w="913"/>
        <w:gridCol w:w="774"/>
        <w:gridCol w:w="1732"/>
      </w:tblGrid>
      <w:tr>
        <w:tblPrEx>
          <w:tblLayout w:type="fixed"/>
          <w:tblCellMar>
            <w:top w:w="15" w:type="dxa"/>
            <w:left w:w="15" w:type="dxa"/>
            <w:bottom w:w="15" w:type="dxa"/>
            <w:right w:w="15" w:type="dxa"/>
          </w:tblCellMar>
        </w:tblPrEx>
        <w:trPr>
          <w:tblHeader/>
        </w:trPr>
        <w:tc>
          <w:tcPr>
            <w:tcW w:w="10544" w:type="dxa"/>
            <w:gridSpan w:val="8"/>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7"/>
                <w:szCs w:val="27"/>
              </w:rPr>
            </w:pPr>
            <w:r>
              <w:rPr>
                <w:rFonts w:hint="eastAsia" w:ascii="黑体" w:hAnsi="宋体" w:eastAsia="黑体" w:cs="黑体"/>
                <w:color w:val="000000"/>
                <w:kern w:val="0"/>
                <w:sz w:val="36"/>
                <w:szCs w:val="36"/>
                <w:shd w:val="clear" w:fill="FFFFFF"/>
                <w:lang w:bidi="ar"/>
              </w:rPr>
              <w:t>支出决算表</w:t>
            </w:r>
          </w:p>
        </w:tc>
      </w:tr>
      <w:tr>
        <w:tblPrEx>
          <w:tblLayout w:type="fixed"/>
          <w:tblCellMar>
            <w:top w:w="15" w:type="dxa"/>
            <w:left w:w="15" w:type="dxa"/>
            <w:bottom w:w="15" w:type="dxa"/>
            <w:right w:w="15" w:type="dxa"/>
          </w:tblCellMar>
        </w:tblPrEx>
        <w:tc>
          <w:tcPr>
            <w:tcW w:w="5295" w:type="dxa"/>
            <w:gridSpan w:val="3"/>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left"/>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/单位：厦门市湖里区教师进修学校附属小学</w:t>
            </w:r>
          </w:p>
        </w:tc>
        <w:tc>
          <w:tcPr>
            <w:tcW w:w="2743" w:type="dxa"/>
            <w:gridSpan w:val="3"/>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left"/>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2024年度</w:t>
            </w:r>
          </w:p>
        </w:tc>
        <w:tc>
          <w:tcPr>
            <w:tcW w:w="250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keepNext w:val="0"/>
              <w:keepLines w:val="0"/>
              <w:widowControl/>
              <w:suppressLineNumbers w:val="0"/>
              <w:shd w:val="clear" w:fill="FFFFFF"/>
              <w:spacing w:before="0" w:beforeAutospacing="1" w:after="0" w:afterAutospacing="1"/>
              <w:ind w:left="0" w:right="0"/>
              <w:jc w:val="right"/>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金额单位：万元</w:t>
            </w:r>
          </w:p>
        </w:tc>
      </w:tr>
      <w:tr>
        <w:tblPrEx>
          <w:tblLayout w:type="fixed"/>
          <w:tblCellMar>
            <w:top w:w="15" w:type="dxa"/>
            <w:left w:w="15" w:type="dxa"/>
            <w:bottom w:w="15" w:type="dxa"/>
            <w:right w:w="15" w:type="dxa"/>
          </w:tblCellMar>
        </w:tblPrEx>
        <w:trPr>
          <w:tblHeader/>
        </w:trPr>
        <w:tc>
          <w:tcPr>
            <w:tcW w:w="3713"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项目</w:t>
            </w:r>
          </w:p>
        </w:tc>
        <w:tc>
          <w:tcPr>
            <w:tcW w:w="158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本年支出合计</w:t>
            </w:r>
          </w:p>
        </w:tc>
        <w:tc>
          <w:tcPr>
            <w:tcW w:w="103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基本支出</w:t>
            </w:r>
          </w:p>
        </w:tc>
        <w:tc>
          <w:tcPr>
            <w:tcW w:w="79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项目支出</w:t>
            </w:r>
          </w:p>
        </w:tc>
        <w:tc>
          <w:tcPr>
            <w:tcW w:w="91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上缴上级支出</w:t>
            </w:r>
          </w:p>
        </w:tc>
        <w:tc>
          <w:tcPr>
            <w:tcW w:w="77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经营支出</w:t>
            </w:r>
          </w:p>
        </w:tc>
        <w:tc>
          <w:tcPr>
            <w:tcW w:w="173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对附属单位补助支出</w:t>
            </w:r>
          </w:p>
        </w:tc>
      </w:tr>
      <w:tr>
        <w:tblPrEx>
          <w:tblLayout w:type="fixed"/>
          <w:tblCellMar>
            <w:top w:w="15" w:type="dxa"/>
            <w:left w:w="15" w:type="dxa"/>
            <w:bottom w:w="15" w:type="dxa"/>
            <w:right w:w="15" w:type="dxa"/>
          </w:tblCellMar>
        </w:tblPrEx>
        <w:trPr>
          <w:tblHeader/>
        </w:trPr>
        <w:tc>
          <w:tcPr>
            <w:tcW w:w="899"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科目代码</w:t>
            </w:r>
          </w:p>
        </w:tc>
        <w:tc>
          <w:tcPr>
            <w:tcW w:w="281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科目名称</w:t>
            </w:r>
          </w:p>
        </w:tc>
        <w:tc>
          <w:tcPr>
            <w:tcW w:w="1582"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35"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95"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913"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74"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732"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blHeader/>
        </w:trPr>
        <w:tc>
          <w:tcPr>
            <w:tcW w:w="899"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2814"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582"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35"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95"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913"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74"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732"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713"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栏次</w:t>
            </w:r>
          </w:p>
        </w:tc>
        <w:tc>
          <w:tcPr>
            <w:tcW w:w="15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w:t>
            </w:r>
          </w:p>
        </w:tc>
        <w:tc>
          <w:tcPr>
            <w:tcW w:w="10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w:t>
            </w:r>
          </w:p>
        </w:tc>
        <w:tc>
          <w:tcPr>
            <w:tcW w:w="9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w:t>
            </w:r>
          </w:p>
        </w:tc>
        <w:tc>
          <w:tcPr>
            <w:tcW w:w="17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w:t>
            </w:r>
          </w:p>
        </w:tc>
      </w:tr>
      <w:tr>
        <w:tblPrEx>
          <w:tblLayout w:type="fixed"/>
          <w:tblCellMar>
            <w:top w:w="15" w:type="dxa"/>
            <w:left w:w="15" w:type="dxa"/>
            <w:bottom w:w="15" w:type="dxa"/>
            <w:right w:w="15" w:type="dxa"/>
          </w:tblCellMar>
        </w:tblPrEx>
        <w:tc>
          <w:tcPr>
            <w:tcW w:w="3713"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合计</w:t>
            </w:r>
          </w:p>
        </w:tc>
        <w:tc>
          <w:tcPr>
            <w:tcW w:w="15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4,024.78</w:t>
            </w:r>
          </w:p>
        </w:tc>
        <w:tc>
          <w:tcPr>
            <w:tcW w:w="10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3,693.26</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331.52</w:t>
            </w:r>
          </w:p>
        </w:tc>
        <w:tc>
          <w:tcPr>
            <w:tcW w:w="9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7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8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w:t>
            </w:r>
          </w:p>
        </w:tc>
        <w:tc>
          <w:tcPr>
            <w:tcW w:w="2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教育支出</w:t>
            </w:r>
          </w:p>
        </w:tc>
        <w:tc>
          <w:tcPr>
            <w:tcW w:w="15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3,403.17</w:t>
            </w:r>
          </w:p>
        </w:tc>
        <w:tc>
          <w:tcPr>
            <w:tcW w:w="10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3,073.05</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330.12</w:t>
            </w:r>
          </w:p>
        </w:tc>
        <w:tc>
          <w:tcPr>
            <w:tcW w:w="9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7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8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20502</w:t>
            </w:r>
          </w:p>
        </w:tc>
        <w:tc>
          <w:tcPr>
            <w:tcW w:w="2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普通教育</w:t>
            </w:r>
          </w:p>
        </w:tc>
        <w:tc>
          <w:tcPr>
            <w:tcW w:w="15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3,206.01</w:t>
            </w:r>
          </w:p>
        </w:tc>
        <w:tc>
          <w:tcPr>
            <w:tcW w:w="10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3,073.05</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132.96</w:t>
            </w:r>
          </w:p>
        </w:tc>
        <w:tc>
          <w:tcPr>
            <w:tcW w:w="9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7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8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2050202</w:t>
            </w:r>
          </w:p>
        </w:tc>
        <w:tc>
          <w:tcPr>
            <w:tcW w:w="2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小学教育</w:t>
            </w:r>
          </w:p>
        </w:tc>
        <w:tc>
          <w:tcPr>
            <w:tcW w:w="15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2,997.47</w:t>
            </w:r>
          </w:p>
        </w:tc>
        <w:tc>
          <w:tcPr>
            <w:tcW w:w="10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2,997.47</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9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7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8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2050299</w:t>
            </w:r>
          </w:p>
        </w:tc>
        <w:tc>
          <w:tcPr>
            <w:tcW w:w="2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其他普通教育支出</w:t>
            </w:r>
          </w:p>
        </w:tc>
        <w:tc>
          <w:tcPr>
            <w:tcW w:w="15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208.55</w:t>
            </w:r>
          </w:p>
        </w:tc>
        <w:tc>
          <w:tcPr>
            <w:tcW w:w="10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75.58</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132.96</w:t>
            </w:r>
          </w:p>
        </w:tc>
        <w:tc>
          <w:tcPr>
            <w:tcW w:w="9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7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8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20509</w:t>
            </w:r>
          </w:p>
        </w:tc>
        <w:tc>
          <w:tcPr>
            <w:tcW w:w="2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教育费附加安排的支出</w:t>
            </w:r>
          </w:p>
        </w:tc>
        <w:tc>
          <w:tcPr>
            <w:tcW w:w="15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197.16</w:t>
            </w:r>
          </w:p>
        </w:tc>
        <w:tc>
          <w:tcPr>
            <w:tcW w:w="10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197.16</w:t>
            </w:r>
          </w:p>
        </w:tc>
        <w:tc>
          <w:tcPr>
            <w:tcW w:w="9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7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8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2050999</w:t>
            </w:r>
          </w:p>
        </w:tc>
        <w:tc>
          <w:tcPr>
            <w:tcW w:w="2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其他教育费附加安排的支出</w:t>
            </w:r>
          </w:p>
        </w:tc>
        <w:tc>
          <w:tcPr>
            <w:tcW w:w="15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197.16</w:t>
            </w:r>
          </w:p>
        </w:tc>
        <w:tc>
          <w:tcPr>
            <w:tcW w:w="10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197.16</w:t>
            </w:r>
          </w:p>
        </w:tc>
        <w:tc>
          <w:tcPr>
            <w:tcW w:w="9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7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8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w:t>
            </w:r>
          </w:p>
        </w:tc>
        <w:tc>
          <w:tcPr>
            <w:tcW w:w="2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社会保障和就业支出</w:t>
            </w:r>
          </w:p>
        </w:tc>
        <w:tc>
          <w:tcPr>
            <w:tcW w:w="15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412.67</w:t>
            </w:r>
          </w:p>
        </w:tc>
        <w:tc>
          <w:tcPr>
            <w:tcW w:w="10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412.67</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9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7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8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20805</w:t>
            </w:r>
          </w:p>
        </w:tc>
        <w:tc>
          <w:tcPr>
            <w:tcW w:w="2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行政事业单位养老支出</w:t>
            </w:r>
          </w:p>
        </w:tc>
        <w:tc>
          <w:tcPr>
            <w:tcW w:w="15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412.67</w:t>
            </w:r>
          </w:p>
        </w:tc>
        <w:tc>
          <w:tcPr>
            <w:tcW w:w="10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412.67</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9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7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8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2080502</w:t>
            </w:r>
          </w:p>
        </w:tc>
        <w:tc>
          <w:tcPr>
            <w:tcW w:w="2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事业单位离退休</w:t>
            </w:r>
          </w:p>
        </w:tc>
        <w:tc>
          <w:tcPr>
            <w:tcW w:w="15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15.22</w:t>
            </w:r>
          </w:p>
        </w:tc>
        <w:tc>
          <w:tcPr>
            <w:tcW w:w="10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15.22</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9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7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8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2080505</w:t>
            </w:r>
          </w:p>
        </w:tc>
        <w:tc>
          <w:tcPr>
            <w:tcW w:w="2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机关事业单位基本养老保险缴费支出</w:t>
            </w:r>
          </w:p>
        </w:tc>
        <w:tc>
          <w:tcPr>
            <w:tcW w:w="15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250.5</w:t>
            </w:r>
          </w:p>
        </w:tc>
        <w:tc>
          <w:tcPr>
            <w:tcW w:w="10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250.5</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9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7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8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2080506</w:t>
            </w:r>
          </w:p>
        </w:tc>
        <w:tc>
          <w:tcPr>
            <w:tcW w:w="2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机关事业单位职业年金缴费支出</w:t>
            </w:r>
          </w:p>
        </w:tc>
        <w:tc>
          <w:tcPr>
            <w:tcW w:w="15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146.95</w:t>
            </w:r>
          </w:p>
        </w:tc>
        <w:tc>
          <w:tcPr>
            <w:tcW w:w="10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146.95</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9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7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8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210</w:t>
            </w:r>
          </w:p>
        </w:tc>
        <w:tc>
          <w:tcPr>
            <w:tcW w:w="2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卫生健康支出</w:t>
            </w:r>
          </w:p>
        </w:tc>
        <w:tc>
          <w:tcPr>
            <w:tcW w:w="15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162.04</w:t>
            </w:r>
          </w:p>
        </w:tc>
        <w:tc>
          <w:tcPr>
            <w:tcW w:w="10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162.04</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9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7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8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21011</w:t>
            </w:r>
          </w:p>
        </w:tc>
        <w:tc>
          <w:tcPr>
            <w:tcW w:w="2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行政事业单位医疗</w:t>
            </w:r>
          </w:p>
        </w:tc>
        <w:tc>
          <w:tcPr>
            <w:tcW w:w="15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162.04</w:t>
            </w:r>
          </w:p>
        </w:tc>
        <w:tc>
          <w:tcPr>
            <w:tcW w:w="10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162.04</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9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7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8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2101102</w:t>
            </w:r>
          </w:p>
        </w:tc>
        <w:tc>
          <w:tcPr>
            <w:tcW w:w="2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事业单位医疗</w:t>
            </w:r>
          </w:p>
        </w:tc>
        <w:tc>
          <w:tcPr>
            <w:tcW w:w="15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107.25</w:t>
            </w:r>
          </w:p>
        </w:tc>
        <w:tc>
          <w:tcPr>
            <w:tcW w:w="10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107.25</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9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7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8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2101199</w:t>
            </w:r>
          </w:p>
        </w:tc>
        <w:tc>
          <w:tcPr>
            <w:tcW w:w="2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其他行政事业单位医疗支出</w:t>
            </w:r>
          </w:p>
        </w:tc>
        <w:tc>
          <w:tcPr>
            <w:tcW w:w="15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54.8</w:t>
            </w:r>
          </w:p>
        </w:tc>
        <w:tc>
          <w:tcPr>
            <w:tcW w:w="10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54.8</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9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7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8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221</w:t>
            </w:r>
          </w:p>
        </w:tc>
        <w:tc>
          <w:tcPr>
            <w:tcW w:w="2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住房保障支出</w:t>
            </w:r>
          </w:p>
        </w:tc>
        <w:tc>
          <w:tcPr>
            <w:tcW w:w="15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45.5</w:t>
            </w:r>
          </w:p>
        </w:tc>
        <w:tc>
          <w:tcPr>
            <w:tcW w:w="10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45.5</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9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7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8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22102</w:t>
            </w:r>
          </w:p>
        </w:tc>
        <w:tc>
          <w:tcPr>
            <w:tcW w:w="2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住房改革支出</w:t>
            </w:r>
          </w:p>
        </w:tc>
        <w:tc>
          <w:tcPr>
            <w:tcW w:w="15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45.5</w:t>
            </w:r>
          </w:p>
        </w:tc>
        <w:tc>
          <w:tcPr>
            <w:tcW w:w="10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45.5</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9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7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8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2210203</w:t>
            </w:r>
          </w:p>
        </w:tc>
        <w:tc>
          <w:tcPr>
            <w:tcW w:w="2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购房补贴</w:t>
            </w:r>
          </w:p>
        </w:tc>
        <w:tc>
          <w:tcPr>
            <w:tcW w:w="15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45.5</w:t>
            </w:r>
          </w:p>
        </w:tc>
        <w:tc>
          <w:tcPr>
            <w:tcW w:w="10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45.5</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9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7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8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229</w:t>
            </w:r>
          </w:p>
        </w:tc>
        <w:tc>
          <w:tcPr>
            <w:tcW w:w="2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其他支出</w:t>
            </w:r>
          </w:p>
        </w:tc>
        <w:tc>
          <w:tcPr>
            <w:tcW w:w="15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w:t>
            </w:r>
          </w:p>
        </w:tc>
        <w:tc>
          <w:tcPr>
            <w:tcW w:w="10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w:t>
            </w:r>
          </w:p>
        </w:tc>
        <w:tc>
          <w:tcPr>
            <w:tcW w:w="9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7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8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22960</w:t>
            </w:r>
          </w:p>
        </w:tc>
        <w:tc>
          <w:tcPr>
            <w:tcW w:w="2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彩票公益金安排的支出</w:t>
            </w:r>
          </w:p>
        </w:tc>
        <w:tc>
          <w:tcPr>
            <w:tcW w:w="15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w:t>
            </w:r>
          </w:p>
        </w:tc>
        <w:tc>
          <w:tcPr>
            <w:tcW w:w="10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w:t>
            </w:r>
          </w:p>
        </w:tc>
        <w:tc>
          <w:tcPr>
            <w:tcW w:w="9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7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8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2296003</w:t>
            </w:r>
          </w:p>
        </w:tc>
        <w:tc>
          <w:tcPr>
            <w:tcW w:w="2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用于体育事业的彩票公益金支出</w:t>
            </w:r>
          </w:p>
        </w:tc>
        <w:tc>
          <w:tcPr>
            <w:tcW w:w="15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w:t>
            </w:r>
          </w:p>
        </w:tc>
        <w:tc>
          <w:tcPr>
            <w:tcW w:w="10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w:t>
            </w:r>
          </w:p>
        </w:tc>
        <w:tc>
          <w:tcPr>
            <w:tcW w:w="9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7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0544" w:type="dxa"/>
            <w:gridSpan w:val="8"/>
            <w:noWrap w:val="0"/>
            <w:tcMar>
              <w:top w:w="20" w:type="dxa"/>
              <w:left w:w="20" w:type="dxa"/>
              <w:bottom w:w="20" w:type="dxa"/>
              <w:right w:w="20"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注：本表反映</w:t>
            </w: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本年度各项支出情况。</w:t>
            </w:r>
          </w:p>
        </w:tc>
      </w:tr>
    </w:tbl>
    <w:p>
      <w:pPr>
        <w:pStyle w:val="2"/>
        <w:rPr>
          <w:rFonts w:hint="eastAsia" w:ascii="黑体" w:hAnsi="宋体" w:eastAsia="黑体" w:cs="黑体"/>
          <w:kern w:val="0"/>
          <w:sz w:val="36"/>
          <w:szCs w:val="36"/>
          <w:shd w:val="clear" w:fill="FFFFFF"/>
          <w:lang w:bidi="ar"/>
        </w:rPr>
      </w:pPr>
    </w:p>
    <w:p>
      <w:pPr>
        <w:pStyle w:val="6"/>
        <w:keepNext w:val="0"/>
        <w:keepLines w:val="0"/>
        <w:spacing w:before="100" w:after="100" w:line="240" w:lineRule="auto"/>
        <w:ind w:left="0" w:leftChars="0" w:right="0" w:firstLine="0" w:firstLineChars="0"/>
        <w:rPr>
          <w:rFonts w:hint="eastAsia" w:ascii="黑体" w:hAnsi="宋体" w:eastAsia="黑体" w:cs="黑体"/>
          <w:kern w:val="0"/>
          <w:sz w:val="36"/>
          <w:szCs w:val="36"/>
          <w:shd w:val="clear" w:fill="FFFFFF"/>
          <w:lang w:bidi="ar"/>
        </w:rPr>
      </w:pPr>
      <w:r>
        <w:rPr>
          <w:rFonts w:hint="eastAsia" w:ascii="黑体" w:hAnsi="黑体" w:eastAsia="黑体" w:cs="黑体"/>
          <w:bCs w:val="0"/>
          <w:kern w:val="2"/>
          <w:sz w:val="32"/>
          <w:szCs w:val="32"/>
          <w:lang w:val="en-US" w:eastAsia="zh-CN" w:bidi="ar-SA"/>
        </w:rPr>
        <w:t>四、财政拨款收入支出决算总表</w:t>
      </w:r>
    </w:p>
    <w:tbl>
      <w:tblPr>
        <w:tblStyle w:val="23"/>
        <w:tblpPr w:leftFromText="180" w:rightFromText="180" w:vertAnchor="text" w:horzAnchor="page" w:tblpX="709" w:tblpY="465"/>
        <w:tblOverlap w:val="never"/>
        <w:tblW w:w="10506" w:type="dxa"/>
        <w:tblInd w:w="0" w:type="dxa"/>
        <w:tblLayout w:type="fixed"/>
        <w:tblCellMar>
          <w:top w:w="15" w:type="dxa"/>
          <w:left w:w="15" w:type="dxa"/>
          <w:bottom w:w="15" w:type="dxa"/>
          <w:right w:w="15" w:type="dxa"/>
        </w:tblCellMar>
      </w:tblPr>
      <w:tblGrid>
        <w:gridCol w:w="1712"/>
        <w:gridCol w:w="366"/>
        <w:gridCol w:w="924"/>
        <w:gridCol w:w="1948"/>
        <w:gridCol w:w="281"/>
        <w:gridCol w:w="946"/>
        <w:gridCol w:w="1593"/>
        <w:gridCol w:w="1346"/>
        <w:gridCol w:w="1390"/>
      </w:tblGrid>
      <w:tr>
        <w:tblPrEx>
          <w:tblLayout w:type="fixed"/>
          <w:tblCellMar>
            <w:top w:w="15" w:type="dxa"/>
            <w:left w:w="15" w:type="dxa"/>
            <w:bottom w:w="15" w:type="dxa"/>
            <w:right w:w="15" w:type="dxa"/>
          </w:tblCellMar>
        </w:tblPrEx>
        <w:trPr>
          <w:tblHeader/>
        </w:trPr>
        <w:tc>
          <w:tcPr>
            <w:tcW w:w="10506" w:type="dxa"/>
            <w:gridSpan w:val="9"/>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7"/>
                <w:szCs w:val="27"/>
              </w:rPr>
            </w:pPr>
            <w:r>
              <w:rPr>
                <w:rFonts w:hint="eastAsia" w:ascii="黑体" w:hAnsi="宋体" w:eastAsia="黑体" w:cs="黑体"/>
                <w:color w:val="000000"/>
                <w:kern w:val="0"/>
                <w:sz w:val="36"/>
                <w:szCs w:val="36"/>
                <w:shd w:val="clear" w:fill="FFFFFF"/>
                <w:lang w:bidi="ar"/>
              </w:rPr>
              <w:t>财政拨款收入支出决算总表</w:t>
            </w:r>
          </w:p>
        </w:tc>
      </w:tr>
      <w:tr>
        <w:tblPrEx>
          <w:tblLayout w:type="fixed"/>
          <w:tblCellMar>
            <w:top w:w="15" w:type="dxa"/>
            <w:left w:w="15" w:type="dxa"/>
            <w:bottom w:w="15" w:type="dxa"/>
            <w:right w:w="15" w:type="dxa"/>
          </w:tblCellMar>
        </w:tblPrEx>
        <w:tc>
          <w:tcPr>
            <w:tcW w:w="4950" w:type="dxa"/>
            <w:gridSpan w:val="4"/>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left"/>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/单位：厦门市湖里区教师进修学校附属小学</w:t>
            </w:r>
          </w:p>
        </w:tc>
        <w:tc>
          <w:tcPr>
            <w:tcW w:w="2820" w:type="dxa"/>
            <w:gridSpan w:val="3"/>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left"/>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2024年度</w:t>
            </w:r>
          </w:p>
        </w:tc>
        <w:tc>
          <w:tcPr>
            <w:tcW w:w="273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keepNext w:val="0"/>
              <w:keepLines w:val="0"/>
              <w:widowControl/>
              <w:suppressLineNumbers w:val="0"/>
              <w:shd w:val="clear" w:fill="FFFFFF"/>
              <w:spacing w:before="0" w:beforeAutospacing="1" w:after="0" w:afterAutospacing="1"/>
              <w:ind w:left="0" w:right="0"/>
              <w:jc w:val="right"/>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金额单位：万元</w:t>
            </w:r>
          </w:p>
        </w:tc>
      </w:tr>
      <w:tr>
        <w:tblPrEx>
          <w:tblLayout w:type="fixed"/>
          <w:tblCellMar>
            <w:top w:w="15" w:type="dxa"/>
            <w:left w:w="15" w:type="dxa"/>
            <w:bottom w:w="15" w:type="dxa"/>
            <w:right w:w="15" w:type="dxa"/>
          </w:tblCellMar>
        </w:tblPrEx>
        <w:tc>
          <w:tcPr>
            <w:tcW w:w="300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收入</w:t>
            </w:r>
          </w:p>
        </w:tc>
        <w:tc>
          <w:tcPr>
            <w:tcW w:w="7504" w:type="dxa"/>
            <w:gridSpan w:val="6"/>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支出</w:t>
            </w:r>
          </w:p>
        </w:tc>
      </w:tr>
      <w:tr>
        <w:tblPrEx>
          <w:tblLayout w:type="fixed"/>
          <w:tblCellMar>
            <w:top w:w="15" w:type="dxa"/>
            <w:left w:w="15" w:type="dxa"/>
            <w:bottom w:w="15" w:type="dxa"/>
            <w:right w:w="15" w:type="dxa"/>
          </w:tblCellMar>
        </w:tblPrEx>
        <w:tc>
          <w:tcPr>
            <w:tcW w:w="17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xml:space="preserve">项目 </w:t>
            </w:r>
          </w:p>
        </w:tc>
        <w:tc>
          <w:tcPr>
            <w:tcW w:w="3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行次</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金额</w:t>
            </w:r>
          </w:p>
        </w:tc>
        <w:tc>
          <w:tcPr>
            <w:tcW w:w="19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项目</w:t>
            </w:r>
          </w:p>
        </w:tc>
        <w:tc>
          <w:tcPr>
            <w:tcW w:w="2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行次</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合计</w:t>
            </w:r>
          </w:p>
        </w:tc>
        <w:tc>
          <w:tcPr>
            <w:tcW w:w="15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一般公共预算财政拨款</w:t>
            </w: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政府性基金预算财政拨款</w:t>
            </w:r>
          </w:p>
        </w:tc>
        <w:tc>
          <w:tcPr>
            <w:tcW w:w="13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国有资本经营预算财政拨款</w:t>
            </w:r>
          </w:p>
        </w:tc>
      </w:tr>
      <w:tr>
        <w:tblPrEx>
          <w:tblLayout w:type="fixed"/>
          <w:tblCellMar>
            <w:top w:w="15" w:type="dxa"/>
            <w:left w:w="15" w:type="dxa"/>
            <w:bottom w:w="15" w:type="dxa"/>
            <w:right w:w="15" w:type="dxa"/>
          </w:tblCellMar>
        </w:tblPrEx>
        <w:tc>
          <w:tcPr>
            <w:tcW w:w="17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栏次</w:t>
            </w:r>
          </w:p>
        </w:tc>
        <w:tc>
          <w:tcPr>
            <w:tcW w:w="3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w:t>
            </w:r>
          </w:p>
        </w:tc>
        <w:tc>
          <w:tcPr>
            <w:tcW w:w="19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栏次</w:t>
            </w:r>
          </w:p>
        </w:tc>
        <w:tc>
          <w:tcPr>
            <w:tcW w:w="2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w:t>
            </w:r>
          </w:p>
        </w:tc>
        <w:tc>
          <w:tcPr>
            <w:tcW w:w="15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w:t>
            </w: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w:t>
            </w:r>
          </w:p>
        </w:tc>
        <w:tc>
          <w:tcPr>
            <w:tcW w:w="13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w:t>
            </w:r>
          </w:p>
        </w:tc>
      </w:tr>
      <w:tr>
        <w:tblPrEx>
          <w:tblLayout w:type="fixed"/>
          <w:tblCellMar>
            <w:top w:w="15" w:type="dxa"/>
            <w:left w:w="15" w:type="dxa"/>
            <w:bottom w:w="15" w:type="dxa"/>
            <w:right w:w="15" w:type="dxa"/>
          </w:tblCellMar>
        </w:tblPrEx>
        <w:tc>
          <w:tcPr>
            <w:tcW w:w="17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xml:space="preserve">一、一般公共预算财政拨款 </w:t>
            </w:r>
          </w:p>
        </w:tc>
        <w:tc>
          <w:tcPr>
            <w:tcW w:w="3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4,023.38</w:t>
            </w:r>
          </w:p>
        </w:tc>
        <w:tc>
          <w:tcPr>
            <w:tcW w:w="19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一、一般公共服务支出</w:t>
            </w:r>
          </w:p>
        </w:tc>
        <w:tc>
          <w:tcPr>
            <w:tcW w:w="2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33</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3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二、政府性基金预算财政拨款</w:t>
            </w:r>
          </w:p>
        </w:tc>
        <w:tc>
          <w:tcPr>
            <w:tcW w:w="3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w:t>
            </w:r>
          </w:p>
        </w:tc>
        <w:tc>
          <w:tcPr>
            <w:tcW w:w="19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二、外交支出</w:t>
            </w:r>
          </w:p>
        </w:tc>
        <w:tc>
          <w:tcPr>
            <w:tcW w:w="2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34</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3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三、国有资本经营预算财政拨款</w:t>
            </w:r>
          </w:p>
        </w:tc>
        <w:tc>
          <w:tcPr>
            <w:tcW w:w="3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9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三、国防支出</w:t>
            </w:r>
          </w:p>
        </w:tc>
        <w:tc>
          <w:tcPr>
            <w:tcW w:w="2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35</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3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9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四、公共安全支出</w:t>
            </w:r>
          </w:p>
        </w:tc>
        <w:tc>
          <w:tcPr>
            <w:tcW w:w="2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36</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3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9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五、教育支出</w:t>
            </w:r>
          </w:p>
        </w:tc>
        <w:tc>
          <w:tcPr>
            <w:tcW w:w="2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37</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3,403.17</w:t>
            </w:r>
          </w:p>
        </w:tc>
        <w:tc>
          <w:tcPr>
            <w:tcW w:w="15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3,403.17</w:t>
            </w: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3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9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六、科学技术支出</w:t>
            </w:r>
          </w:p>
        </w:tc>
        <w:tc>
          <w:tcPr>
            <w:tcW w:w="2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38</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3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7</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9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七、文化旅游体育与传媒支出</w:t>
            </w:r>
          </w:p>
        </w:tc>
        <w:tc>
          <w:tcPr>
            <w:tcW w:w="2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39</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3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8</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9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八、社会保障和就业支出</w:t>
            </w:r>
          </w:p>
        </w:tc>
        <w:tc>
          <w:tcPr>
            <w:tcW w:w="2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40</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412.67</w:t>
            </w:r>
          </w:p>
        </w:tc>
        <w:tc>
          <w:tcPr>
            <w:tcW w:w="15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412.67</w:t>
            </w: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3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9</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9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九、卫生健康支出</w:t>
            </w:r>
          </w:p>
        </w:tc>
        <w:tc>
          <w:tcPr>
            <w:tcW w:w="2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41</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162.04</w:t>
            </w:r>
          </w:p>
        </w:tc>
        <w:tc>
          <w:tcPr>
            <w:tcW w:w="15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162.04</w:t>
            </w: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3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10</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9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十、节能环保支出</w:t>
            </w:r>
          </w:p>
        </w:tc>
        <w:tc>
          <w:tcPr>
            <w:tcW w:w="2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42</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3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11</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9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十一、城乡社区支出</w:t>
            </w:r>
          </w:p>
        </w:tc>
        <w:tc>
          <w:tcPr>
            <w:tcW w:w="2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43</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3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12</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9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十二、农林水支出</w:t>
            </w:r>
          </w:p>
        </w:tc>
        <w:tc>
          <w:tcPr>
            <w:tcW w:w="2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44</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3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13</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9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十三、交通运输支出</w:t>
            </w:r>
          </w:p>
        </w:tc>
        <w:tc>
          <w:tcPr>
            <w:tcW w:w="2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45</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3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9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十四、资源勘探工业信息等支出</w:t>
            </w:r>
          </w:p>
        </w:tc>
        <w:tc>
          <w:tcPr>
            <w:tcW w:w="2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46</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3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15</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9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十五、商业服务业等支出</w:t>
            </w:r>
          </w:p>
        </w:tc>
        <w:tc>
          <w:tcPr>
            <w:tcW w:w="2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47</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3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16</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9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十六、金融支出</w:t>
            </w:r>
          </w:p>
        </w:tc>
        <w:tc>
          <w:tcPr>
            <w:tcW w:w="2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48</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3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17</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9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十七、援助其他地区支出</w:t>
            </w:r>
          </w:p>
        </w:tc>
        <w:tc>
          <w:tcPr>
            <w:tcW w:w="2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49</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3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18</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9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十八、自然资源海洋气象等支出</w:t>
            </w:r>
          </w:p>
        </w:tc>
        <w:tc>
          <w:tcPr>
            <w:tcW w:w="2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50</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3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19</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9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十九、住房保障支出</w:t>
            </w:r>
          </w:p>
        </w:tc>
        <w:tc>
          <w:tcPr>
            <w:tcW w:w="2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51</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45.5</w:t>
            </w:r>
          </w:p>
        </w:tc>
        <w:tc>
          <w:tcPr>
            <w:tcW w:w="15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45.5</w:t>
            </w: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3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9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二十、粮油物资储备支出</w:t>
            </w:r>
          </w:p>
        </w:tc>
        <w:tc>
          <w:tcPr>
            <w:tcW w:w="2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52</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3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9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二十一、国有资本经营预算支出</w:t>
            </w:r>
          </w:p>
        </w:tc>
        <w:tc>
          <w:tcPr>
            <w:tcW w:w="2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53</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3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22</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9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二十二、灾害防治及应急管理支出</w:t>
            </w:r>
          </w:p>
        </w:tc>
        <w:tc>
          <w:tcPr>
            <w:tcW w:w="2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54</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3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23</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9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二十三、其他支出</w:t>
            </w:r>
          </w:p>
        </w:tc>
        <w:tc>
          <w:tcPr>
            <w:tcW w:w="2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55</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w:t>
            </w:r>
          </w:p>
        </w:tc>
        <w:tc>
          <w:tcPr>
            <w:tcW w:w="15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w:t>
            </w:r>
          </w:p>
        </w:tc>
        <w:tc>
          <w:tcPr>
            <w:tcW w:w="13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24</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9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二十四、债务还本支出</w:t>
            </w:r>
          </w:p>
        </w:tc>
        <w:tc>
          <w:tcPr>
            <w:tcW w:w="2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56</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3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25</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9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二十五、债务付息支出</w:t>
            </w:r>
          </w:p>
        </w:tc>
        <w:tc>
          <w:tcPr>
            <w:tcW w:w="2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57</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3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26</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9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二十六、抗疫特别国债安排的支出</w:t>
            </w:r>
          </w:p>
        </w:tc>
        <w:tc>
          <w:tcPr>
            <w:tcW w:w="2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58</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3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本年收入合计</w:t>
            </w:r>
          </w:p>
        </w:tc>
        <w:tc>
          <w:tcPr>
            <w:tcW w:w="3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27</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4,024.78</w:t>
            </w:r>
          </w:p>
        </w:tc>
        <w:tc>
          <w:tcPr>
            <w:tcW w:w="19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本年支出合计</w:t>
            </w:r>
          </w:p>
        </w:tc>
        <w:tc>
          <w:tcPr>
            <w:tcW w:w="2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59</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4,024.78</w:t>
            </w:r>
          </w:p>
        </w:tc>
        <w:tc>
          <w:tcPr>
            <w:tcW w:w="15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4,023.38</w:t>
            </w: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w:t>
            </w:r>
          </w:p>
        </w:tc>
        <w:tc>
          <w:tcPr>
            <w:tcW w:w="13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xml:space="preserve">年初财政拨款结转和结余 </w:t>
            </w:r>
          </w:p>
        </w:tc>
        <w:tc>
          <w:tcPr>
            <w:tcW w:w="3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28</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9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xml:space="preserve">年末财政拨款结转和结余 </w:t>
            </w:r>
          </w:p>
        </w:tc>
        <w:tc>
          <w:tcPr>
            <w:tcW w:w="2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60</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3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一、一般公共预算财政拨款</w:t>
            </w:r>
          </w:p>
        </w:tc>
        <w:tc>
          <w:tcPr>
            <w:tcW w:w="3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29</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9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2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61</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3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二、政府性基金预算财政拨款</w:t>
            </w:r>
          </w:p>
        </w:tc>
        <w:tc>
          <w:tcPr>
            <w:tcW w:w="3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9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2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62</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3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三、国有资本经营预算财政拨款</w:t>
            </w:r>
          </w:p>
        </w:tc>
        <w:tc>
          <w:tcPr>
            <w:tcW w:w="3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9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2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63</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3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xml:space="preserve">总计 </w:t>
            </w:r>
          </w:p>
        </w:tc>
        <w:tc>
          <w:tcPr>
            <w:tcW w:w="3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32</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4,024.78</w:t>
            </w:r>
          </w:p>
        </w:tc>
        <w:tc>
          <w:tcPr>
            <w:tcW w:w="19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xml:space="preserve">总计 </w:t>
            </w:r>
          </w:p>
        </w:tc>
        <w:tc>
          <w:tcPr>
            <w:tcW w:w="2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64</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4,024.78</w:t>
            </w:r>
          </w:p>
        </w:tc>
        <w:tc>
          <w:tcPr>
            <w:tcW w:w="15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4,023.38</w:t>
            </w: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w:t>
            </w:r>
          </w:p>
        </w:tc>
        <w:tc>
          <w:tcPr>
            <w:tcW w:w="13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0506" w:type="dxa"/>
            <w:gridSpan w:val="9"/>
            <w:noWrap w:val="0"/>
            <w:tcMar>
              <w:top w:w="20" w:type="dxa"/>
              <w:left w:w="20" w:type="dxa"/>
              <w:bottom w:w="20" w:type="dxa"/>
              <w:right w:w="20"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注：本表反映</w:t>
            </w: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本年度一般公共预算财政拨款、政府性基金预算财政拨款和国有资本经营预算财政拨款的总收支和年末结转结余情况。</w:t>
            </w:r>
          </w:p>
        </w:tc>
      </w:tr>
    </w:tbl>
    <w:p>
      <w:pPr>
        <w:pStyle w:val="2"/>
        <w:rPr>
          <w:rFonts w:hint="eastAsia" w:ascii="黑体" w:hAnsi="宋体" w:eastAsia="黑体" w:cs="黑体"/>
          <w:kern w:val="0"/>
          <w:sz w:val="36"/>
          <w:szCs w:val="36"/>
          <w:shd w:val="clear" w:fill="FFFFFF"/>
          <w:lang w:bidi="ar"/>
        </w:rPr>
      </w:pPr>
    </w:p>
    <w:p>
      <w:pPr>
        <w:keepNext w:val="0"/>
        <w:keepLines w:val="0"/>
        <w:widowControl/>
        <w:numPr>
          <w:ilvl w:val="0"/>
          <w:numId w:val="0"/>
        </w:numPr>
        <w:suppressLineNumbers w:val="0"/>
        <w:shd w:val="clear" w:fill="FFFFFF"/>
        <w:spacing w:before="0" w:beforeAutospacing="1" w:after="0" w:afterAutospacing="1"/>
        <w:ind w:leftChars="0" w:right="0" w:rightChars="0"/>
        <w:jc w:val="left"/>
        <w:rPr>
          <w:rFonts w:hint="eastAsia" w:ascii="黑体" w:hAnsi="黑体" w:eastAsia="黑体" w:cs="黑体"/>
          <w:sz w:val="32"/>
          <w:szCs w:val="32"/>
          <w:lang w:eastAsia="zh-CN"/>
        </w:rPr>
      </w:pPr>
      <w:r>
        <w:rPr>
          <w:rFonts w:hint="eastAsia" w:ascii="黑体" w:hAnsi="黑体" w:eastAsia="黑体" w:cs="黑体"/>
          <w:sz w:val="32"/>
          <w:szCs w:val="32"/>
          <w:lang w:eastAsia="zh-CN"/>
        </w:rPr>
        <w:t>五、一般公共预算财政拨款支出决算表</w:t>
      </w:r>
    </w:p>
    <w:p>
      <w:pPr>
        <w:pStyle w:val="2"/>
        <w:rPr>
          <w:rFonts w:hint="eastAsia" w:ascii="黑体" w:hAnsi="宋体" w:eastAsia="黑体" w:cs="黑体"/>
          <w:kern w:val="0"/>
          <w:sz w:val="36"/>
          <w:szCs w:val="36"/>
          <w:shd w:val="clear" w:fill="FFFFFF"/>
          <w:lang w:bidi="ar"/>
        </w:rPr>
      </w:pPr>
    </w:p>
    <w:tbl>
      <w:tblPr>
        <w:tblStyle w:val="23"/>
        <w:tblpPr w:leftFromText="180" w:rightFromText="180" w:vertAnchor="text" w:horzAnchor="page" w:tblpX="1399" w:tblpY="251"/>
        <w:tblOverlap w:val="never"/>
        <w:tblW w:w="9015" w:type="dxa"/>
        <w:tblInd w:w="0" w:type="dxa"/>
        <w:tblLayout w:type="fixed"/>
        <w:tblCellMar>
          <w:top w:w="15" w:type="dxa"/>
          <w:left w:w="15" w:type="dxa"/>
          <w:bottom w:w="15" w:type="dxa"/>
          <w:right w:w="15" w:type="dxa"/>
        </w:tblCellMar>
      </w:tblPr>
      <w:tblGrid>
        <w:gridCol w:w="924"/>
        <w:gridCol w:w="3564"/>
        <w:gridCol w:w="924"/>
        <w:gridCol w:w="1923"/>
        <w:gridCol w:w="1680"/>
      </w:tblGrid>
      <w:tr>
        <w:tblPrEx>
          <w:tblLayout w:type="fixed"/>
          <w:tblCellMar>
            <w:top w:w="15" w:type="dxa"/>
            <w:left w:w="15" w:type="dxa"/>
            <w:bottom w:w="15" w:type="dxa"/>
            <w:right w:w="15" w:type="dxa"/>
          </w:tblCellMar>
        </w:tblPrEx>
        <w:trPr>
          <w:tblHeader/>
        </w:trPr>
        <w:tc>
          <w:tcPr>
            <w:tcW w:w="9015" w:type="dxa"/>
            <w:gridSpan w:val="5"/>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7"/>
                <w:szCs w:val="27"/>
              </w:rPr>
            </w:pPr>
            <w:r>
              <w:rPr>
                <w:rFonts w:hint="eastAsia" w:ascii="黑体" w:hAnsi="宋体" w:eastAsia="黑体" w:cs="黑体"/>
                <w:color w:val="000000"/>
                <w:kern w:val="0"/>
                <w:sz w:val="36"/>
                <w:szCs w:val="36"/>
                <w:shd w:val="clear" w:fill="FFFFFF"/>
                <w:lang w:bidi="ar"/>
              </w:rPr>
              <w:t>一般公共预算财政拨款支出决算表</w:t>
            </w:r>
          </w:p>
        </w:tc>
      </w:tr>
      <w:tr>
        <w:tblPrEx>
          <w:tblLayout w:type="fixed"/>
          <w:tblCellMar>
            <w:top w:w="15" w:type="dxa"/>
            <w:left w:w="15" w:type="dxa"/>
            <w:bottom w:w="15" w:type="dxa"/>
            <w:right w:w="15" w:type="dxa"/>
          </w:tblCellMar>
        </w:tblPrEx>
        <w:tc>
          <w:tcPr>
            <w:tcW w:w="5412" w:type="dxa"/>
            <w:gridSpan w:val="3"/>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left"/>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/单位：厦门市湖里区教师进修学校附属小学</w:t>
            </w:r>
          </w:p>
        </w:tc>
        <w:tc>
          <w:tcPr>
            <w:tcW w:w="192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left"/>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2024年度</w:t>
            </w:r>
          </w:p>
        </w:tc>
        <w:tc>
          <w:tcPr>
            <w:tcW w:w="168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金额单位：万元</w:t>
            </w:r>
          </w:p>
        </w:tc>
      </w:tr>
      <w:tr>
        <w:tblPrEx>
          <w:tblLayout w:type="fixed"/>
          <w:tblCellMar>
            <w:top w:w="15" w:type="dxa"/>
            <w:left w:w="15" w:type="dxa"/>
            <w:bottom w:w="15" w:type="dxa"/>
            <w:right w:w="15" w:type="dxa"/>
          </w:tblCellMar>
        </w:tblPrEx>
        <w:tc>
          <w:tcPr>
            <w:tcW w:w="448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项目</w:t>
            </w:r>
          </w:p>
        </w:tc>
        <w:tc>
          <w:tcPr>
            <w:tcW w:w="452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本年支出</w:t>
            </w:r>
          </w:p>
        </w:tc>
      </w:tr>
      <w:tr>
        <w:tblPrEx>
          <w:tblLayout w:type="fixed"/>
          <w:tblCellMar>
            <w:top w:w="15" w:type="dxa"/>
            <w:left w:w="15" w:type="dxa"/>
            <w:bottom w:w="15" w:type="dxa"/>
            <w:right w:w="15" w:type="dxa"/>
          </w:tblCellMar>
        </w:tblPrEx>
        <w:trPr>
          <w:tblHeader/>
        </w:trPr>
        <w:tc>
          <w:tcPr>
            <w:tcW w:w="92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科目代码</w:t>
            </w:r>
          </w:p>
        </w:tc>
        <w:tc>
          <w:tcPr>
            <w:tcW w:w="356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科目名称</w:t>
            </w:r>
          </w:p>
        </w:tc>
        <w:tc>
          <w:tcPr>
            <w:tcW w:w="92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小计</w:t>
            </w:r>
          </w:p>
        </w:tc>
        <w:tc>
          <w:tcPr>
            <w:tcW w:w="192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基本支出</w:t>
            </w:r>
          </w:p>
        </w:tc>
        <w:tc>
          <w:tcPr>
            <w:tcW w:w="168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项目支出</w:t>
            </w:r>
          </w:p>
        </w:tc>
      </w:tr>
      <w:tr>
        <w:tblPrEx>
          <w:tblLayout w:type="fixed"/>
          <w:tblCellMar>
            <w:top w:w="15" w:type="dxa"/>
            <w:left w:w="15" w:type="dxa"/>
            <w:bottom w:w="15" w:type="dxa"/>
            <w:right w:w="15" w:type="dxa"/>
          </w:tblCellMar>
        </w:tblPrEx>
        <w:trPr>
          <w:tblHeader/>
        </w:trPr>
        <w:tc>
          <w:tcPr>
            <w:tcW w:w="924"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564"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924"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923"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680"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blHeader/>
        </w:trPr>
        <w:tc>
          <w:tcPr>
            <w:tcW w:w="924"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564"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w:t>
            </w:r>
          </w:p>
        </w:tc>
        <w:tc>
          <w:tcPr>
            <w:tcW w:w="1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w:t>
            </w:r>
          </w:p>
        </w:tc>
        <w:tc>
          <w:tcPr>
            <w:tcW w:w="16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w:t>
            </w:r>
          </w:p>
        </w:tc>
      </w:tr>
      <w:tr>
        <w:tblPrEx>
          <w:tblLayout w:type="fixed"/>
          <w:tblCellMar>
            <w:top w:w="15" w:type="dxa"/>
            <w:left w:w="15" w:type="dxa"/>
            <w:bottom w:w="15" w:type="dxa"/>
            <w:right w:w="15" w:type="dxa"/>
          </w:tblCellMar>
        </w:tblPrEx>
        <w:tc>
          <w:tcPr>
            <w:tcW w:w="448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合计</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4,023.38</w:t>
            </w:r>
          </w:p>
        </w:tc>
        <w:tc>
          <w:tcPr>
            <w:tcW w:w="1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3,693.26</w:t>
            </w:r>
          </w:p>
        </w:tc>
        <w:tc>
          <w:tcPr>
            <w:tcW w:w="16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330.12</w:t>
            </w:r>
          </w:p>
        </w:tc>
      </w:tr>
      <w:tr>
        <w:tblPrEx>
          <w:tblLayout w:type="fixed"/>
          <w:tblCellMar>
            <w:top w:w="15" w:type="dxa"/>
            <w:left w:w="15" w:type="dxa"/>
            <w:bottom w:w="15" w:type="dxa"/>
            <w:right w:w="15" w:type="dxa"/>
          </w:tblCellMar>
        </w:tblPrEx>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w:t>
            </w:r>
          </w:p>
        </w:tc>
        <w:tc>
          <w:tcPr>
            <w:tcW w:w="35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教育支出</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3,403.17</w:t>
            </w:r>
          </w:p>
        </w:tc>
        <w:tc>
          <w:tcPr>
            <w:tcW w:w="1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3,073.05</w:t>
            </w:r>
          </w:p>
        </w:tc>
        <w:tc>
          <w:tcPr>
            <w:tcW w:w="16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330.12</w:t>
            </w:r>
          </w:p>
        </w:tc>
      </w:tr>
      <w:tr>
        <w:tblPrEx>
          <w:tblLayout w:type="fixed"/>
          <w:tblCellMar>
            <w:top w:w="15" w:type="dxa"/>
            <w:left w:w="15" w:type="dxa"/>
            <w:bottom w:w="15" w:type="dxa"/>
            <w:right w:w="15" w:type="dxa"/>
          </w:tblCellMar>
        </w:tblPrEx>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20502</w:t>
            </w:r>
          </w:p>
        </w:tc>
        <w:tc>
          <w:tcPr>
            <w:tcW w:w="35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普通教育</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3,206.01</w:t>
            </w:r>
          </w:p>
        </w:tc>
        <w:tc>
          <w:tcPr>
            <w:tcW w:w="1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3,073.05</w:t>
            </w:r>
          </w:p>
        </w:tc>
        <w:tc>
          <w:tcPr>
            <w:tcW w:w="16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132.96</w:t>
            </w:r>
          </w:p>
        </w:tc>
      </w:tr>
      <w:tr>
        <w:tblPrEx>
          <w:tblLayout w:type="fixed"/>
          <w:tblCellMar>
            <w:top w:w="15" w:type="dxa"/>
            <w:left w:w="15" w:type="dxa"/>
            <w:bottom w:w="15" w:type="dxa"/>
            <w:right w:w="15" w:type="dxa"/>
          </w:tblCellMar>
        </w:tblPrEx>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2050202</w:t>
            </w:r>
          </w:p>
        </w:tc>
        <w:tc>
          <w:tcPr>
            <w:tcW w:w="35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小学教育</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2,997.47</w:t>
            </w:r>
          </w:p>
        </w:tc>
        <w:tc>
          <w:tcPr>
            <w:tcW w:w="1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2,997.47</w:t>
            </w:r>
          </w:p>
        </w:tc>
        <w:tc>
          <w:tcPr>
            <w:tcW w:w="16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2050299</w:t>
            </w:r>
          </w:p>
        </w:tc>
        <w:tc>
          <w:tcPr>
            <w:tcW w:w="35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其他普通教育支出</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208.55</w:t>
            </w:r>
          </w:p>
        </w:tc>
        <w:tc>
          <w:tcPr>
            <w:tcW w:w="1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75.58</w:t>
            </w:r>
          </w:p>
        </w:tc>
        <w:tc>
          <w:tcPr>
            <w:tcW w:w="16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132.96</w:t>
            </w:r>
          </w:p>
        </w:tc>
      </w:tr>
      <w:tr>
        <w:tblPrEx>
          <w:tblLayout w:type="fixed"/>
          <w:tblCellMar>
            <w:top w:w="15" w:type="dxa"/>
            <w:left w:w="15" w:type="dxa"/>
            <w:bottom w:w="15" w:type="dxa"/>
            <w:right w:w="15" w:type="dxa"/>
          </w:tblCellMar>
        </w:tblPrEx>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20509</w:t>
            </w:r>
          </w:p>
        </w:tc>
        <w:tc>
          <w:tcPr>
            <w:tcW w:w="35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教育费附加安排的支出</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197.16</w:t>
            </w:r>
          </w:p>
        </w:tc>
        <w:tc>
          <w:tcPr>
            <w:tcW w:w="1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197.16</w:t>
            </w:r>
          </w:p>
        </w:tc>
      </w:tr>
      <w:tr>
        <w:tblPrEx>
          <w:tblLayout w:type="fixed"/>
          <w:tblCellMar>
            <w:top w:w="15" w:type="dxa"/>
            <w:left w:w="15" w:type="dxa"/>
            <w:bottom w:w="15" w:type="dxa"/>
            <w:right w:w="15" w:type="dxa"/>
          </w:tblCellMar>
        </w:tblPrEx>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2050999</w:t>
            </w:r>
          </w:p>
        </w:tc>
        <w:tc>
          <w:tcPr>
            <w:tcW w:w="35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其他教育费附加安排的支出</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197.16</w:t>
            </w:r>
          </w:p>
        </w:tc>
        <w:tc>
          <w:tcPr>
            <w:tcW w:w="1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197.16</w:t>
            </w:r>
          </w:p>
        </w:tc>
      </w:tr>
      <w:tr>
        <w:tblPrEx>
          <w:tblLayout w:type="fixed"/>
          <w:tblCellMar>
            <w:top w:w="15" w:type="dxa"/>
            <w:left w:w="15" w:type="dxa"/>
            <w:bottom w:w="15" w:type="dxa"/>
            <w:right w:w="15" w:type="dxa"/>
          </w:tblCellMar>
        </w:tblPrEx>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w:t>
            </w:r>
          </w:p>
        </w:tc>
        <w:tc>
          <w:tcPr>
            <w:tcW w:w="35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社会保障和就业支出</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412.67</w:t>
            </w:r>
          </w:p>
        </w:tc>
        <w:tc>
          <w:tcPr>
            <w:tcW w:w="1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412.67</w:t>
            </w:r>
          </w:p>
        </w:tc>
        <w:tc>
          <w:tcPr>
            <w:tcW w:w="16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20805</w:t>
            </w:r>
          </w:p>
        </w:tc>
        <w:tc>
          <w:tcPr>
            <w:tcW w:w="35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行政事业单位养老支出</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412.67</w:t>
            </w:r>
          </w:p>
        </w:tc>
        <w:tc>
          <w:tcPr>
            <w:tcW w:w="1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412.67</w:t>
            </w:r>
          </w:p>
        </w:tc>
        <w:tc>
          <w:tcPr>
            <w:tcW w:w="16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2080502</w:t>
            </w:r>
          </w:p>
        </w:tc>
        <w:tc>
          <w:tcPr>
            <w:tcW w:w="35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事业单位离退休</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15.22</w:t>
            </w:r>
          </w:p>
        </w:tc>
        <w:tc>
          <w:tcPr>
            <w:tcW w:w="1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15.22</w:t>
            </w:r>
          </w:p>
        </w:tc>
        <w:tc>
          <w:tcPr>
            <w:tcW w:w="16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2080505</w:t>
            </w:r>
          </w:p>
        </w:tc>
        <w:tc>
          <w:tcPr>
            <w:tcW w:w="35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机关事业单位基本养老保险缴费支出</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250.5</w:t>
            </w:r>
          </w:p>
        </w:tc>
        <w:tc>
          <w:tcPr>
            <w:tcW w:w="1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250.5</w:t>
            </w:r>
          </w:p>
        </w:tc>
        <w:tc>
          <w:tcPr>
            <w:tcW w:w="16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2080506</w:t>
            </w:r>
          </w:p>
        </w:tc>
        <w:tc>
          <w:tcPr>
            <w:tcW w:w="35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机关事业单位职业年金缴费支出</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146.95</w:t>
            </w:r>
          </w:p>
        </w:tc>
        <w:tc>
          <w:tcPr>
            <w:tcW w:w="1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146.95</w:t>
            </w:r>
          </w:p>
        </w:tc>
        <w:tc>
          <w:tcPr>
            <w:tcW w:w="16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210</w:t>
            </w:r>
          </w:p>
        </w:tc>
        <w:tc>
          <w:tcPr>
            <w:tcW w:w="35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卫生健康支出</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162.04</w:t>
            </w:r>
          </w:p>
        </w:tc>
        <w:tc>
          <w:tcPr>
            <w:tcW w:w="1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162.04</w:t>
            </w:r>
          </w:p>
        </w:tc>
        <w:tc>
          <w:tcPr>
            <w:tcW w:w="16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21011</w:t>
            </w:r>
          </w:p>
        </w:tc>
        <w:tc>
          <w:tcPr>
            <w:tcW w:w="35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行政事业单位医疗</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162.04</w:t>
            </w:r>
          </w:p>
        </w:tc>
        <w:tc>
          <w:tcPr>
            <w:tcW w:w="1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162.04</w:t>
            </w:r>
          </w:p>
        </w:tc>
        <w:tc>
          <w:tcPr>
            <w:tcW w:w="16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2101102</w:t>
            </w:r>
          </w:p>
        </w:tc>
        <w:tc>
          <w:tcPr>
            <w:tcW w:w="35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事业单位医疗</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107.25</w:t>
            </w:r>
          </w:p>
        </w:tc>
        <w:tc>
          <w:tcPr>
            <w:tcW w:w="1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107.25</w:t>
            </w:r>
          </w:p>
        </w:tc>
        <w:tc>
          <w:tcPr>
            <w:tcW w:w="16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2101199</w:t>
            </w:r>
          </w:p>
        </w:tc>
        <w:tc>
          <w:tcPr>
            <w:tcW w:w="35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其他行政事业单位医疗支出</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54.8</w:t>
            </w:r>
          </w:p>
        </w:tc>
        <w:tc>
          <w:tcPr>
            <w:tcW w:w="1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54.8</w:t>
            </w:r>
          </w:p>
        </w:tc>
        <w:tc>
          <w:tcPr>
            <w:tcW w:w="16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221</w:t>
            </w:r>
          </w:p>
        </w:tc>
        <w:tc>
          <w:tcPr>
            <w:tcW w:w="35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住房保障支出</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45.5</w:t>
            </w:r>
          </w:p>
        </w:tc>
        <w:tc>
          <w:tcPr>
            <w:tcW w:w="1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45.5</w:t>
            </w:r>
          </w:p>
        </w:tc>
        <w:tc>
          <w:tcPr>
            <w:tcW w:w="16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22102</w:t>
            </w:r>
          </w:p>
        </w:tc>
        <w:tc>
          <w:tcPr>
            <w:tcW w:w="35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住房改革支出</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45.5</w:t>
            </w:r>
          </w:p>
        </w:tc>
        <w:tc>
          <w:tcPr>
            <w:tcW w:w="1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45.5</w:t>
            </w:r>
          </w:p>
        </w:tc>
        <w:tc>
          <w:tcPr>
            <w:tcW w:w="16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2210203</w:t>
            </w:r>
          </w:p>
        </w:tc>
        <w:tc>
          <w:tcPr>
            <w:tcW w:w="35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购房补贴</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45.5</w:t>
            </w:r>
          </w:p>
        </w:tc>
        <w:tc>
          <w:tcPr>
            <w:tcW w:w="1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45.5</w:t>
            </w:r>
          </w:p>
        </w:tc>
        <w:tc>
          <w:tcPr>
            <w:tcW w:w="16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015" w:type="dxa"/>
            <w:gridSpan w:val="5"/>
            <w:noWrap w:val="0"/>
            <w:tcMar>
              <w:top w:w="20" w:type="dxa"/>
              <w:left w:w="20" w:type="dxa"/>
              <w:bottom w:w="20" w:type="dxa"/>
              <w:right w:w="20"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注：本表反映</w:t>
            </w: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本年度一般公共预算财政拨款支出情况。</w:t>
            </w:r>
          </w:p>
        </w:tc>
      </w:tr>
    </w:tbl>
    <w:p>
      <w:pPr>
        <w:pStyle w:val="2"/>
        <w:rPr>
          <w:rFonts w:hint="eastAsia" w:ascii="黑体" w:hAnsi="宋体" w:eastAsia="黑体" w:cs="黑体"/>
          <w:kern w:val="0"/>
          <w:sz w:val="36"/>
          <w:szCs w:val="36"/>
          <w:shd w:val="clear" w:fill="FFFFFF"/>
          <w:lang w:bidi="ar"/>
        </w:rPr>
      </w:pPr>
    </w:p>
    <w:p>
      <w:pPr>
        <w:keepNext w:val="0"/>
        <w:keepLines w:val="0"/>
        <w:widowControl/>
        <w:numPr>
          <w:ilvl w:val="0"/>
          <w:numId w:val="0"/>
        </w:numPr>
        <w:suppressLineNumbers w:val="0"/>
        <w:shd w:val="clear" w:fill="FFFFFF"/>
        <w:spacing w:before="0" w:beforeAutospacing="1" w:after="0" w:afterAutospacing="1"/>
        <w:ind w:leftChars="0" w:right="0" w:rightChars="0"/>
        <w:jc w:val="left"/>
        <w:rPr>
          <w:rFonts w:hint="eastAsia" w:ascii="黑体" w:hAnsi="黑体" w:eastAsia="黑体" w:cs="黑体"/>
          <w:sz w:val="32"/>
          <w:szCs w:val="32"/>
          <w:lang w:eastAsia="zh-CN"/>
        </w:rPr>
      </w:pPr>
      <w:r>
        <w:rPr>
          <w:rFonts w:hint="eastAsia" w:ascii="黑体" w:hAnsi="黑体" w:eastAsia="黑体" w:cs="黑体"/>
          <w:sz w:val="32"/>
          <w:szCs w:val="32"/>
          <w:lang w:eastAsia="zh-CN"/>
        </w:rPr>
        <w:t>六、一般公共预算财政拨款基本支出决算表</w:t>
      </w:r>
    </w:p>
    <w:tbl>
      <w:tblPr>
        <w:tblStyle w:val="23"/>
        <w:tblpPr w:leftFromText="180" w:rightFromText="180" w:vertAnchor="text" w:horzAnchor="page" w:tblpX="694" w:tblpY="214"/>
        <w:tblOverlap w:val="never"/>
        <w:tblW w:w="10506" w:type="dxa"/>
        <w:tblInd w:w="0" w:type="dxa"/>
        <w:tblLayout w:type="fixed"/>
        <w:tblCellMar>
          <w:top w:w="15" w:type="dxa"/>
          <w:left w:w="15" w:type="dxa"/>
          <w:bottom w:w="15" w:type="dxa"/>
          <w:right w:w="15" w:type="dxa"/>
        </w:tblCellMar>
      </w:tblPr>
      <w:tblGrid>
        <w:gridCol w:w="1077"/>
        <w:gridCol w:w="1670"/>
        <w:gridCol w:w="924"/>
        <w:gridCol w:w="1077"/>
        <w:gridCol w:w="1231"/>
        <w:gridCol w:w="704"/>
        <w:gridCol w:w="1077"/>
        <w:gridCol w:w="1757"/>
        <w:gridCol w:w="989"/>
      </w:tblGrid>
      <w:tr>
        <w:tblPrEx>
          <w:tblLayout w:type="fixed"/>
          <w:tblCellMar>
            <w:top w:w="15" w:type="dxa"/>
            <w:left w:w="15" w:type="dxa"/>
            <w:bottom w:w="15" w:type="dxa"/>
            <w:right w:w="15" w:type="dxa"/>
          </w:tblCellMar>
        </w:tblPrEx>
        <w:trPr>
          <w:trHeight w:val="90" w:hRule="atLeast"/>
          <w:tblHeader/>
        </w:trPr>
        <w:tc>
          <w:tcPr>
            <w:tcW w:w="10506" w:type="dxa"/>
            <w:gridSpan w:val="9"/>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7"/>
                <w:szCs w:val="27"/>
              </w:rPr>
            </w:pPr>
            <w:r>
              <w:rPr>
                <w:rFonts w:hint="eastAsia" w:ascii="黑体" w:hAnsi="宋体" w:eastAsia="黑体" w:cs="黑体"/>
                <w:color w:val="000000"/>
                <w:kern w:val="0"/>
                <w:sz w:val="36"/>
                <w:szCs w:val="36"/>
                <w:shd w:val="clear" w:fill="FFFFFF"/>
                <w:lang w:bidi="ar"/>
              </w:rPr>
              <w:t>一般公共预算财政拨款基本支出决算表</w:t>
            </w:r>
          </w:p>
        </w:tc>
      </w:tr>
      <w:tr>
        <w:tblPrEx>
          <w:tblLayout w:type="fixed"/>
          <w:tblCellMar>
            <w:top w:w="15" w:type="dxa"/>
            <w:left w:w="15" w:type="dxa"/>
            <w:bottom w:w="15" w:type="dxa"/>
            <w:right w:w="15" w:type="dxa"/>
          </w:tblCellMar>
        </w:tblPrEx>
        <w:trPr>
          <w:tblHeader/>
        </w:trPr>
        <w:tc>
          <w:tcPr>
            <w:tcW w:w="4748" w:type="dxa"/>
            <w:gridSpan w:val="4"/>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0"/>
                <w:szCs w:val="20"/>
                <w:shd w:val="clear" w:fill="FFFFFF"/>
                <w:lang w:eastAsia="zh-CN" w:bidi="ar"/>
              </w:rPr>
              <w:t>单位</w:t>
            </w:r>
            <w:r>
              <w:rPr>
                <w:rFonts w:hint="eastAsia" w:ascii="宋体" w:hAnsi="宋体" w:eastAsia="宋体" w:cs="宋体"/>
                <w:color w:val="000000"/>
                <w:kern w:val="0"/>
                <w:sz w:val="20"/>
                <w:szCs w:val="20"/>
                <w:shd w:val="clear" w:fill="FFFFFF"/>
                <w:lang w:bidi="ar"/>
              </w:rPr>
              <w:t>/单位：厦门市湖里区教师进修学校附属小学</w:t>
            </w:r>
          </w:p>
        </w:tc>
        <w:tc>
          <w:tcPr>
            <w:tcW w:w="123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2024年度</w:t>
            </w:r>
          </w:p>
        </w:tc>
        <w:tc>
          <w:tcPr>
            <w:tcW w:w="70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7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75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989"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金额单位：万元</w:t>
            </w:r>
          </w:p>
        </w:tc>
      </w:tr>
      <w:tr>
        <w:tblPrEx>
          <w:tblLayout w:type="fixed"/>
          <w:tblCellMar>
            <w:top w:w="15" w:type="dxa"/>
            <w:left w:w="15" w:type="dxa"/>
            <w:bottom w:w="15" w:type="dxa"/>
            <w:right w:w="15" w:type="dxa"/>
          </w:tblCellMar>
        </w:tblPrEx>
        <w:trPr>
          <w:tblHeader/>
        </w:trPr>
        <w:tc>
          <w:tcPr>
            <w:tcW w:w="107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经济分类科目编码</w:t>
            </w:r>
          </w:p>
        </w:tc>
        <w:tc>
          <w:tcPr>
            <w:tcW w:w="167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科目名称</w:t>
            </w:r>
          </w:p>
        </w:tc>
        <w:tc>
          <w:tcPr>
            <w:tcW w:w="92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金额</w:t>
            </w:r>
          </w:p>
        </w:tc>
        <w:tc>
          <w:tcPr>
            <w:tcW w:w="107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经济分类科目编码</w:t>
            </w:r>
          </w:p>
        </w:tc>
        <w:tc>
          <w:tcPr>
            <w:tcW w:w="1231"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科目名称</w:t>
            </w:r>
          </w:p>
        </w:tc>
        <w:tc>
          <w:tcPr>
            <w:tcW w:w="70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金额</w:t>
            </w:r>
          </w:p>
        </w:tc>
        <w:tc>
          <w:tcPr>
            <w:tcW w:w="107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经济分类科目编码</w:t>
            </w:r>
          </w:p>
        </w:tc>
        <w:tc>
          <w:tcPr>
            <w:tcW w:w="175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科目名称</w:t>
            </w:r>
          </w:p>
        </w:tc>
        <w:tc>
          <w:tcPr>
            <w:tcW w:w="989"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金额</w:t>
            </w:r>
          </w:p>
        </w:tc>
      </w:tr>
      <w:tr>
        <w:tblPrEx>
          <w:tblLayout w:type="fixed"/>
          <w:tblCellMar>
            <w:top w:w="15" w:type="dxa"/>
            <w:left w:w="15" w:type="dxa"/>
            <w:bottom w:w="15" w:type="dxa"/>
            <w:right w:w="15" w:type="dxa"/>
          </w:tblCellMar>
        </w:tblPrEx>
        <w:trPr>
          <w:tblHeader/>
        </w:trPr>
        <w:tc>
          <w:tcPr>
            <w:tcW w:w="1077"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670"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924"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77"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231"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04"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77"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757"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989"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blHeader/>
        </w:trPr>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301</w:t>
            </w:r>
          </w:p>
        </w:tc>
        <w:tc>
          <w:tcPr>
            <w:tcW w:w="16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工资福利支出</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3,327.83</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商品和服务支出</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307.16</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30703</w:t>
            </w:r>
          </w:p>
        </w:tc>
        <w:tc>
          <w:tcPr>
            <w:tcW w:w="17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国内债务发行费用</w:t>
            </w:r>
          </w:p>
        </w:tc>
        <w:tc>
          <w:tcPr>
            <w:tcW w:w="9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30101</w:t>
            </w:r>
          </w:p>
        </w:tc>
        <w:tc>
          <w:tcPr>
            <w:tcW w:w="16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基本工资</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449.45</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30201</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办公费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133.37</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30704</w:t>
            </w:r>
          </w:p>
        </w:tc>
        <w:tc>
          <w:tcPr>
            <w:tcW w:w="17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国外债务发行费用</w:t>
            </w:r>
          </w:p>
        </w:tc>
        <w:tc>
          <w:tcPr>
            <w:tcW w:w="9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30102</w:t>
            </w:r>
          </w:p>
        </w:tc>
        <w:tc>
          <w:tcPr>
            <w:tcW w:w="16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津贴补贴</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639.65</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30202</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印刷费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310</w:t>
            </w:r>
          </w:p>
        </w:tc>
        <w:tc>
          <w:tcPr>
            <w:tcW w:w="17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资本性支出</w:t>
            </w:r>
          </w:p>
        </w:tc>
        <w:tc>
          <w:tcPr>
            <w:tcW w:w="9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26.83</w:t>
            </w:r>
          </w:p>
        </w:tc>
      </w:tr>
      <w:tr>
        <w:tblPrEx>
          <w:tblLayout w:type="fixed"/>
          <w:tblCellMar>
            <w:top w:w="15" w:type="dxa"/>
            <w:left w:w="15" w:type="dxa"/>
            <w:bottom w:w="15" w:type="dxa"/>
            <w:right w:w="15" w:type="dxa"/>
          </w:tblCellMar>
        </w:tblPrEx>
        <w:trPr>
          <w:tblHeader/>
        </w:trPr>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30103</w:t>
            </w:r>
          </w:p>
        </w:tc>
        <w:tc>
          <w:tcPr>
            <w:tcW w:w="16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奖金</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1,033.11</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30203</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咨询费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31001</w:t>
            </w:r>
          </w:p>
        </w:tc>
        <w:tc>
          <w:tcPr>
            <w:tcW w:w="17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房屋建筑物购建</w:t>
            </w:r>
          </w:p>
        </w:tc>
        <w:tc>
          <w:tcPr>
            <w:tcW w:w="9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30106</w:t>
            </w:r>
          </w:p>
        </w:tc>
        <w:tc>
          <w:tcPr>
            <w:tcW w:w="16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伙食补助费</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30204</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手续费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31002</w:t>
            </w:r>
          </w:p>
        </w:tc>
        <w:tc>
          <w:tcPr>
            <w:tcW w:w="17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办公设备购置</w:t>
            </w:r>
          </w:p>
        </w:tc>
        <w:tc>
          <w:tcPr>
            <w:tcW w:w="9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26.83</w:t>
            </w:r>
          </w:p>
        </w:tc>
      </w:tr>
      <w:tr>
        <w:tblPrEx>
          <w:tblLayout w:type="fixed"/>
          <w:tblCellMar>
            <w:top w:w="15" w:type="dxa"/>
            <w:left w:w="15" w:type="dxa"/>
            <w:bottom w:w="15" w:type="dxa"/>
            <w:right w:w="15" w:type="dxa"/>
          </w:tblCellMar>
        </w:tblPrEx>
        <w:trPr>
          <w:tblHeader/>
        </w:trPr>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30107</w:t>
            </w:r>
          </w:p>
        </w:tc>
        <w:tc>
          <w:tcPr>
            <w:tcW w:w="16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绩效工资</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189.05</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30205</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水费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2.2</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31003</w:t>
            </w:r>
          </w:p>
        </w:tc>
        <w:tc>
          <w:tcPr>
            <w:tcW w:w="17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专用设备购置</w:t>
            </w:r>
          </w:p>
        </w:tc>
        <w:tc>
          <w:tcPr>
            <w:tcW w:w="9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30108</w:t>
            </w:r>
          </w:p>
        </w:tc>
        <w:tc>
          <w:tcPr>
            <w:tcW w:w="16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机关事业单位基本养老保险缴费</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250.5</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30206</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电费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14.39</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31005</w:t>
            </w:r>
          </w:p>
        </w:tc>
        <w:tc>
          <w:tcPr>
            <w:tcW w:w="17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基础设施建设</w:t>
            </w:r>
          </w:p>
        </w:tc>
        <w:tc>
          <w:tcPr>
            <w:tcW w:w="9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30109</w:t>
            </w:r>
          </w:p>
        </w:tc>
        <w:tc>
          <w:tcPr>
            <w:tcW w:w="16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职业年金缴费</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146.95</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30207</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邮电费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0.64</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31006</w:t>
            </w:r>
          </w:p>
        </w:tc>
        <w:tc>
          <w:tcPr>
            <w:tcW w:w="17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大型修缮</w:t>
            </w:r>
          </w:p>
        </w:tc>
        <w:tc>
          <w:tcPr>
            <w:tcW w:w="9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30110</w:t>
            </w:r>
          </w:p>
        </w:tc>
        <w:tc>
          <w:tcPr>
            <w:tcW w:w="16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职工基本医疗保险缴费</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107.25</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30208</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取暖费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31007</w:t>
            </w:r>
          </w:p>
        </w:tc>
        <w:tc>
          <w:tcPr>
            <w:tcW w:w="17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信息网络及软件购置更新</w:t>
            </w:r>
          </w:p>
        </w:tc>
        <w:tc>
          <w:tcPr>
            <w:tcW w:w="9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30111</w:t>
            </w:r>
          </w:p>
        </w:tc>
        <w:tc>
          <w:tcPr>
            <w:tcW w:w="16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公务员医疗补助缴费</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30209</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物业管理费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0.01</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31008</w:t>
            </w:r>
          </w:p>
        </w:tc>
        <w:tc>
          <w:tcPr>
            <w:tcW w:w="17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物资储备</w:t>
            </w:r>
          </w:p>
        </w:tc>
        <w:tc>
          <w:tcPr>
            <w:tcW w:w="9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30112</w:t>
            </w:r>
          </w:p>
        </w:tc>
        <w:tc>
          <w:tcPr>
            <w:tcW w:w="16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其他社会保障缴费</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73.51</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30211</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差旅费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0.28</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31009</w:t>
            </w:r>
          </w:p>
        </w:tc>
        <w:tc>
          <w:tcPr>
            <w:tcW w:w="17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土地补偿</w:t>
            </w:r>
          </w:p>
        </w:tc>
        <w:tc>
          <w:tcPr>
            <w:tcW w:w="9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30113</w:t>
            </w:r>
          </w:p>
        </w:tc>
        <w:tc>
          <w:tcPr>
            <w:tcW w:w="16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住房公积金</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268.88</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30212</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因公出国（境）费用</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31010</w:t>
            </w:r>
          </w:p>
        </w:tc>
        <w:tc>
          <w:tcPr>
            <w:tcW w:w="17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安置补助</w:t>
            </w:r>
          </w:p>
        </w:tc>
        <w:tc>
          <w:tcPr>
            <w:tcW w:w="9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30114</w:t>
            </w:r>
          </w:p>
        </w:tc>
        <w:tc>
          <w:tcPr>
            <w:tcW w:w="16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医疗费</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30213</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维修（护）费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36.23</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31011</w:t>
            </w:r>
          </w:p>
        </w:tc>
        <w:tc>
          <w:tcPr>
            <w:tcW w:w="17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地上附着物和青苗补偿</w:t>
            </w:r>
          </w:p>
        </w:tc>
        <w:tc>
          <w:tcPr>
            <w:tcW w:w="9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30199</w:t>
            </w:r>
          </w:p>
        </w:tc>
        <w:tc>
          <w:tcPr>
            <w:tcW w:w="16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其他工资福利支出</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169.47</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30214</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租赁费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1.42</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31012</w:t>
            </w:r>
          </w:p>
        </w:tc>
        <w:tc>
          <w:tcPr>
            <w:tcW w:w="17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拆迁补偿</w:t>
            </w:r>
          </w:p>
        </w:tc>
        <w:tc>
          <w:tcPr>
            <w:tcW w:w="9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303</w:t>
            </w:r>
          </w:p>
        </w:tc>
        <w:tc>
          <w:tcPr>
            <w:tcW w:w="16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对个人和家庭的补助</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31.45</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30215</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会议费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31013</w:t>
            </w:r>
          </w:p>
        </w:tc>
        <w:tc>
          <w:tcPr>
            <w:tcW w:w="17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公务用车购置</w:t>
            </w:r>
          </w:p>
        </w:tc>
        <w:tc>
          <w:tcPr>
            <w:tcW w:w="9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30301</w:t>
            </w:r>
          </w:p>
        </w:tc>
        <w:tc>
          <w:tcPr>
            <w:tcW w:w="16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离休费</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30216</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培训费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23.19</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31019</w:t>
            </w:r>
          </w:p>
        </w:tc>
        <w:tc>
          <w:tcPr>
            <w:tcW w:w="17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其他交通工具购置</w:t>
            </w:r>
          </w:p>
        </w:tc>
        <w:tc>
          <w:tcPr>
            <w:tcW w:w="9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30302</w:t>
            </w:r>
          </w:p>
        </w:tc>
        <w:tc>
          <w:tcPr>
            <w:tcW w:w="16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退休费</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30217</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公务接待费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31021</w:t>
            </w:r>
          </w:p>
        </w:tc>
        <w:tc>
          <w:tcPr>
            <w:tcW w:w="17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文物和陈列品购置</w:t>
            </w:r>
          </w:p>
        </w:tc>
        <w:tc>
          <w:tcPr>
            <w:tcW w:w="9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30303</w:t>
            </w:r>
          </w:p>
        </w:tc>
        <w:tc>
          <w:tcPr>
            <w:tcW w:w="16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退职（役）费</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30218</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专用材料费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31022</w:t>
            </w:r>
          </w:p>
        </w:tc>
        <w:tc>
          <w:tcPr>
            <w:tcW w:w="17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无形资产购置</w:t>
            </w:r>
          </w:p>
        </w:tc>
        <w:tc>
          <w:tcPr>
            <w:tcW w:w="9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30304</w:t>
            </w:r>
          </w:p>
        </w:tc>
        <w:tc>
          <w:tcPr>
            <w:tcW w:w="16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抚恤金</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30224</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被装购置费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31099</w:t>
            </w:r>
          </w:p>
        </w:tc>
        <w:tc>
          <w:tcPr>
            <w:tcW w:w="17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其他资本性支出</w:t>
            </w:r>
          </w:p>
        </w:tc>
        <w:tc>
          <w:tcPr>
            <w:tcW w:w="9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30305</w:t>
            </w:r>
          </w:p>
        </w:tc>
        <w:tc>
          <w:tcPr>
            <w:tcW w:w="16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生活补助</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9.83</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30225</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专用燃料费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312</w:t>
            </w:r>
          </w:p>
        </w:tc>
        <w:tc>
          <w:tcPr>
            <w:tcW w:w="17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对企业补助</w:t>
            </w:r>
          </w:p>
        </w:tc>
        <w:tc>
          <w:tcPr>
            <w:tcW w:w="9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30306</w:t>
            </w:r>
          </w:p>
        </w:tc>
        <w:tc>
          <w:tcPr>
            <w:tcW w:w="16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救济费</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30226</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劳务费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24.56</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31201</w:t>
            </w:r>
          </w:p>
        </w:tc>
        <w:tc>
          <w:tcPr>
            <w:tcW w:w="17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资本金注入</w:t>
            </w:r>
          </w:p>
        </w:tc>
        <w:tc>
          <w:tcPr>
            <w:tcW w:w="9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30307</w:t>
            </w:r>
          </w:p>
        </w:tc>
        <w:tc>
          <w:tcPr>
            <w:tcW w:w="16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医疗费补助</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30227</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委托业务费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31203</w:t>
            </w:r>
          </w:p>
        </w:tc>
        <w:tc>
          <w:tcPr>
            <w:tcW w:w="17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政府投资基金股权投资</w:t>
            </w:r>
          </w:p>
        </w:tc>
        <w:tc>
          <w:tcPr>
            <w:tcW w:w="9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30308</w:t>
            </w:r>
          </w:p>
        </w:tc>
        <w:tc>
          <w:tcPr>
            <w:tcW w:w="16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助学金</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30228</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工会经费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44.23</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31204</w:t>
            </w:r>
          </w:p>
        </w:tc>
        <w:tc>
          <w:tcPr>
            <w:tcW w:w="17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费用补贴</w:t>
            </w:r>
          </w:p>
        </w:tc>
        <w:tc>
          <w:tcPr>
            <w:tcW w:w="9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30309</w:t>
            </w:r>
          </w:p>
        </w:tc>
        <w:tc>
          <w:tcPr>
            <w:tcW w:w="16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奖励金</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6.4</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30229</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福利费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4.86</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31205</w:t>
            </w:r>
          </w:p>
        </w:tc>
        <w:tc>
          <w:tcPr>
            <w:tcW w:w="17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利息补贴</w:t>
            </w:r>
          </w:p>
        </w:tc>
        <w:tc>
          <w:tcPr>
            <w:tcW w:w="9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30310</w:t>
            </w:r>
          </w:p>
        </w:tc>
        <w:tc>
          <w:tcPr>
            <w:tcW w:w="16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个人农业生产补贴</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30231</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公务用车运行维护费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31206</w:t>
            </w:r>
          </w:p>
        </w:tc>
        <w:tc>
          <w:tcPr>
            <w:tcW w:w="17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其他资本性补助</w:t>
            </w:r>
          </w:p>
        </w:tc>
        <w:tc>
          <w:tcPr>
            <w:tcW w:w="9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30311</w:t>
            </w:r>
          </w:p>
        </w:tc>
        <w:tc>
          <w:tcPr>
            <w:tcW w:w="16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代缴社会保险费</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30239</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其他交通费用</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0.65</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31299</w:t>
            </w:r>
          </w:p>
        </w:tc>
        <w:tc>
          <w:tcPr>
            <w:tcW w:w="17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其他对企业补助</w:t>
            </w:r>
          </w:p>
        </w:tc>
        <w:tc>
          <w:tcPr>
            <w:tcW w:w="9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30399</w:t>
            </w:r>
          </w:p>
        </w:tc>
        <w:tc>
          <w:tcPr>
            <w:tcW w:w="16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其他对个人和家庭的补助</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15.22</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30240</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税金及附加费用</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399</w:t>
            </w:r>
          </w:p>
        </w:tc>
        <w:tc>
          <w:tcPr>
            <w:tcW w:w="17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其他支出</w:t>
            </w:r>
          </w:p>
        </w:tc>
        <w:tc>
          <w:tcPr>
            <w:tcW w:w="9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30299</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其他商品和服务支出</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21.14</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39907</w:t>
            </w:r>
          </w:p>
        </w:tc>
        <w:tc>
          <w:tcPr>
            <w:tcW w:w="17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国家赔偿费用支出</w:t>
            </w:r>
          </w:p>
        </w:tc>
        <w:tc>
          <w:tcPr>
            <w:tcW w:w="9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307</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债务利息及费用支出</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39908</w:t>
            </w:r>
          </w:p>
        </w:tc>
        <w:tc>
          <w:tcPr>
            <w:tcW w:w="17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对民间非营利组织和群众性自治组织补贴</w:t>
            </w:r>
          </w:p>
        </w:tc>
        <w:tc>
          <w:tcPr>
            <w:tcW w:w="9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30701</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国内债务付息</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39909</w:t>
            </w:r>
          </w:p>
        </w:tc>
        <w:tc>
          <w:tcPr>
            <w:tcW w:w="17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经常性赠与</w:t>
            </w:r>
          </w:p>
        </w:tc>
        <w:tc>
          <w:tcPr>
            <w:tcW w:w="9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30702</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国外债务付息</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39910</w:t>
            </w:r>
          </w:p>
        </w:tc>
        <w:tc>
          <w:tcPr>
            <w:tcW w:w="17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资本性赠与</w:t>
            </w:r>
          </w:p>
        </w:tc>
        <w:tc>
          <w:tcPr>
            <w:tcW w:w="9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2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39999</w:t>
            </w:r>
          </w:p>
        </w:tc>
        <w:tc>
          <w:tcPr>
            <w:tcW w:w="17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其他支出</w:t>
            </w:r>
          </w:p>
        </w:tc>
        <w:tc>
          <w:tcPr>
            <w:tcW w:w="9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2747"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xml:space="preserve">人员经费合计 </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3,359.28</w:t>
            </w:r>
          </w:p>
        </w:tc>
        <w:tc>
          <w:tcPr>
            <w:tcW w:w="4089"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公用经费合计</w:t>
            </w:r>
          </w:p>
        </w:tc>
        <w:tc>
          <w:tcPr>
            <w:tcW w:w="274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333.99</w:t>
            </w:r>
          </w:p>
        </w:tc>
      </w:tr>
      <w:tr>
        <w:tblPrEx>
          <w:tblLayout w:type="fixed"/>
          <w:tblCellMar>
            <w:top w:w="15" w:type="dxa"/>
            <w:left w:w="15" w:type="dxa"/>
            <w:bottom w:w="15" w:type="dxa"/>
            <w:right w:w="15" w:type="dxa"/>
          </w:tblCellMar>
        </w:tblPrEx>
        <w:trPr>
          <w:tblHeader/>
        </w:trPr>
        <w:tc>
          <w:tcPr>
            <w:tcW w:w="10506" w:type="dxa"/>
            <w:gridSpan w:val="9"/>
            <w:noWrap w:val="0"/>
            <w:tcMar>
              <w:top w:w="20" w:type="dxa"/>
              <w:left w:w="20" w:type="dxa"/>
              <w:bottom w:w="20" w:type="dxa"/>
              <w:right w:w="20"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注：本表反映</w:t>
            </w: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本年度一般公共预算财政拨款基本支出明细情况。</w:t>
            </w:r>
          </w:p>
        </w:tc>
      </w:tr>
    </w:tbl>
    <w:p>
      <w:pPr>
        <w:keepNext w:val="0"/>
        <w:keepLines w:val="0"/>
        <w:widowControl/>
        <w:numPr>
          <w:ilvl w:val="0"/>
          <w:numId w:val="0"/>
        </w:numPr>
        <w:suppressLineNumbers w:val="0"/>
        <w:shd w:val="clear" w:fill="FFFFFF"/>
        <w:spacing w:before="0" w:beforeAutospacing="1" w:after="0" w:afterAutospacing="1"/>
        <w:ind w:leftChars="0" w:right="0" w:rightChars="0"/>
        <w:jc w:val="both"/>
        <w:rPr>
          <w:rFonts w:hint="eastAsia" w:ascii="黑体" w:hAnsi="黑体" w:eastAsia="黑体" w:cs="黑体"/>
          <w:sz w:val="32"/>
          <w:szCs w:val="32"/>
          <w:lang w:eastAsia="zh-CN"/>
        </w:rPr>
      </w:pPr>
    </w:p>
    <w:p>
      <w:pPr>
        <w:keepNext w:val="0"/>
        <w:keepLines w:val="0"/>
        <w:widowControl/>
        <w:numPr>
          <w:ilvl w:val="0"/>
          <w:numId w:val="0"/>
        </w:numPr>
        <w:suppressLineNumbers w:val="0"/>
        <w:shd w:val="clear" w:fill="FFFFFF"/>
        <w:spacing w:before="0" w:beforeAutospacing="1" w:after="0" w:afterAutospacing="1"/>
        <w:ind w:leftChars="0" w:right="0" w:rightChars="0"/>
        <w:jc w:val="both"/>
        <w:rPr>
          <w:rFonts w:hint="eastAsia" w:ascii="黑体" w:hAnsi="黑体" w:eastAsia="黑体" w:cs="黑体"/>
          <w:sz w:val="32"/>
          <w:szCs w:val="32"/>
          <w:lang w:eastAsia="zh-CN"/>
        </w:rPr>
      </w:pPr>
    </w:p>
    <w:p>
      <w:pPr>
        <w:keepNext w:val="0"/>
        <w:keepLines w:val="0"/>
        <w:widowControl/>
        <w:numPr>
          <w:ilvl w:val="0"/>
          <w:numId w:val="0"/>
        </w:numPr>
        <w:suppressLineNumbers w:val="0"/>
        <w:shd w:val="clear" w:fill="FFFFFF"/>
        <w:spacing w:before="0" w:beforeAutospacing="1" w:after="0" w:afterAutospacing="1"/>
        <w:ind w:leftChars="0" w:right="0" w:rightChars="0"/>
        <w:jc w:val="both"/>
        <w:rPr>
          <w:rFonts w:hint="eastAsia" w:ascii="黑体" w:hAnsi="黑体" w:eastAsia="黑体" w:cs="黑体"/>
          <w:sz w:val="32"/>
          <w:szCs w:val="32"/>
          <w:lang w:eastAsia="zh-CN"/>
        </w:rPr>
      </w:pPr>
    </w:p>
    <w:p>
      <w:pPr>
        <w:keepNext w:val="0"/>
        <w:keepLines w:val="0"/>
        <w:widowControl/>
        <w:numPr>
          <w:ilvl w:val="0"/>
          <w:numId w:val="0"/>
        </w:numPr>
        <w:suppressLineNumbers w:val="0"/>
        <w:shd w:val="clear" w:fill="FFFFFF"/>
        <w:spacing w:before="0" w:beforeAutospacing="1" w:after="0" w:afterAutospacing="1"/>
        <w:ind w:leftChars="0" w:right="0" w:rightChars="0"/>
        <w:jc w:val="both"/>
        <w:rPr>
          <w:rFonts w:hint="eastAsia" w:ascii="黑体" w:hAnsi="黑体" w:eastAsia="黑体" w:cs="黑体"/>
          <w:sz w:val="32"/>
          <w:szCs w:val="32"/>
          <w:lang w:eastAsia="zh-CN"/>
        </w:rPr>
      </w:pPr>
      <w:r>
        <w:rPr>
          <w:rFonts w:hint="eastAsia" w:ascii="黑体" w:hAnsi="黑体" w:eastAsia="黑体" w:cs="黑体"/>
          <w:sz w:val="32"/>
          <w:szCs w:val="32"/>
          <w:lang w:eastAsia="zh-CN"/>
        </w:rPr>
        <w:t>七、一般公共预算财政拨款“三公”经费支出决算表</w:t>
      </w:r>
    </w:p>
    <w:tbl>
      <w:tblPr>
        <w:tblStyle w:val="23"/>
        <w:tblpPr w:leftFromText="180" w:rightFromText="180" w:vertAnchor="text" w:horzAnchor="page" w:tblpXSpec="center" w:tblpY="327"/>
        <w:tblOverlap w:val="never"/>
        <w:tblW w:w="10506" w:type="dxa"/>
        <w:jc w:val="center"/>
        <w:tblInd w:w="0" w:type="dxa"/>
        <w:tblLayout w:type="fixed"/>
        <w:tblCellMar>
          <w:top w:w="15" w:type="dxa"/>
          <w:left w:w="15" w:type="dxa"/>
          <w:bottom w:w="15" w:type="dxa"/>
          <w:right w:w="15" w:type="dxa"/>
        </w:tblCellMar>
      </w:tblPr>
      <w:tblGrid>
        <w:gridCol w:w="393"/>
        <w:gridCol w:w="1327"/>
        <w:gridCol w:w="393"/>
        <w:gridCol w:w="886"/>
        <w:gridCol w:w="1084"/>
        <w:gridCol w:w="1200"/>
        <w:gridCol w:w="565"/>
        <w:gridCol w:w="1326"/>
        <w:gridCol w:w="393"/>
        <w:gridCol w:w="886"/>
        <w:gridCol w:w="1084"/>
        <w:gridCol w:w="969"/>
      </w:tblGrid>
      <w:tr>
        <w:tblPrEx>
          <w:tblLayout w:type="fixed"/>
          <w:tblCellMar>
            <w:top w:w="15" w:type="dxa"/>
            <w:left w:w="15" w:type="dxa"/>
            <w:bottom w:w="15" w:type="dxa"/>
            <w:right w:w="15" w:type="dxa"/>
          </w:tblCellMar>
        </w:tblPrEx>
        <w:trPr>
          <w:trHeight w:val="0" w:hRule="atLeast"/>
          <w:tblHeader/>
          <w:jc w:val="center"/>
        </w:trPr>
        <w:tc>
          <w:tcPr>
            <w:tcW w:w="10506" w:type="dxa"/>
            <w:gridSpan w:val="12"/>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7"/>
                <w:szCs w:val="27"/>
              </w:rPr>
            </w:pPr>
            <w:r>
              <w:rPr>
                <w:rFonts w:hint="eastAsia" w:ascii="黑体" w:hAnsi="宋体" w:eastAsia="黑体" w:cs="黑体"/>
                <w:color w:val="000000"/>
                <w:kern w:val="0"/>
                <w:sz w:val="36"/>
                <w:szCs w:val="36"/>
                <w:shd w:val="clear" w:fill="FFFFFF"/>
                <w:lang w:bidi="ar"/>
              </w:rPr>
              <w:t>一般公共预算财政拨款“三公”经费支出决算</w:t>
            </w:r>
          </w:p>
        </w:tc>
      </w:tr>
      <w:tr>
        <w:tblPrEx>
          <w:tblLayout w:type="fixed"/>
          <w:tblCellMar>
            <w:top w:w="15" w:type="dxa"/>
            <w:left w:w="15" w:type="dxa"/>
            <w:bottom w:w="15" w:type="dxa"/>
            <w:right w:w="15" w:type="dxa"/>
          </w:tblCellMar>
        </w:tblPrEx>
        <w:trPr>
          <w:trHeight w:val="0" w:hRule="atLeast"/>
          <w:jc w:val="center"/>
        </w:trPr>
        <w:tc>
          <w:tcPr>
            <w:tcW w:w="5283" w:type="dxa"/>
            <w:gridSpan w:val="6"/>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left"/>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/单位：厦门市湖里区教师进修学校附属小学</w:t>
            </w:r>
          </w:p>
        </w:tc>
        <w:tc>
          <w:tcPr>
            <w:tcW w:w="3170" w:type="dxa"/>
            <w:gridSpan w:val="4"/>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left"/>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2024年度</w:t>
            </w:r>
          </w:p>
        </w:tc>
        <w:tc>
          <w:tcPr>
            <w:tcW w:w="2053"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金额单位：万元</w:t>
            </w:r>
          </w:p>
        </w:tc>
      </w:tr>
      <w:tr>
        <w:tblPrEx>
          <w:tblLayout w:type="fixed"/>
          <w:tblCellMar>
            <w:top w:w="15" w:type="dxa"/>
            <w:left w:w="15" w:type="dxa"/>
            <w:bottom w:w="15" w:type="dxa"/>
            <w:right w:w="15" w:type="dxa"/>
          </w:tblCellMar>
        </w:tblPrEx>
        <w:trPr>
          <w:trHeight w:val="0" w:hRule="atLeast"/>
          <w:jc w:val="center"/>
        </w:trPr>
        <w:tc>
          <w:tcPr>
            <w:tcW w:w="5283" w:type="dxa"/>
            <w:gridSpan w:val="6"/>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预算数</w:t>
            </w:r>
          </w:p>
        </w:tc>
        <w:tc>
          <w:tcPr>
            <w:tcW w:w="5223" w:type="dxa"/>
            <w:gridSpan w:val="6"/>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决算数</w:t>
            </w:r>
          </w:p>
        </w:tc>
      </w:tr>
      <w:tr>
        <w:tblPrEx>
          <w:tblLayout w:type="fixed"/>
          <w:tblCellMar>
            <w:top w:w="15" w:type="dxa"/>
            <w:left w:w="15" w:type="dxa"/>
            <w:bottom w:w="15" w:type="dxa"/>
            <w:right w:w="15" w:type="dxa"/>
          </w:tblCellMar>
        </w:tblPrEx>
        <w:trPr>
          <w:trHeight w:val="0" w:hRule="atLeast"/>
          <w:tblHeader/>
          <w:jc w:val="center"/>
        </w:trPr>
        <w:tc>
          <w:tcPr>
            <w:tcW w:w="39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合计</w:t>
            </w:r>
          </w:p>
        </w:tc>
        <w:tc>
          <w:tcPr>
            <w:tcW w:w="132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因公出国 （境）费</w:t>
            </w:r>
          </w:p>
        </w:tc>
        <w:tc>
          <w:tcPr>
            <w:tcW w:w="2363"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公务用车购置及运行维护费</w:t>
            </w:r>
          </w:p>
        </w:tc>
        <w:tc>
          <w:tcPr>
            <w:tcW w:w="120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公务接待费</w:t>
            </w:r>
          </w:p>
        </w:tc>
        <w:tc>
          <w:tcPr>
            <w:tcW w:w="56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合计</w:t>
            </w:r>
          </w:p>
        </w:tc>
        <w:tc>
          <w:tcPr>
            <w:tcW w:w="1326"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因公出国 （境）费</w:t>
            </w:r>
          </w:p>
        </w:tc>
        <w:tc>
          <w:tcPr>
            <w:tcW w:w="2363"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公务用车购置及运行维护费</w:t>
            </w:r>
          </w:p>
        </w:tc>
        <w:tc>
          <w:tcPr>
            <w:tcW w:w="969"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公务接待费</w:t>
            </w:r>
          </w:p>
        </w:tc>
      </w:tr>
      <w:tr>
        <w:tblPrEx>
          <w:tblLayout w:type="fixed"/>
          <w:tblCellMar>
            <w:top w:w="15" w:type="dxa"/>
            <w:left w:w="15" w:type="dxa"/>
            <w:bottom w:w="15" w:type="dxa"/>
            <w:right w:w="15" w:type="dxa"/>
          </w:tblCellMar>
        </w:tblPrEx>
        <w:trPr>
          <w:trHeight w:val="312" w:hRule="atLeast"/>
          <w:tblHeader/>
          <w:jc w:val="center"/>
        </w:trPr>
        <w:tc>
          <w:tcPr>
            <w:tcW w:w="393"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327"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9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xml:space="preserve">小计 </w:t>
            </w:r>
          </w:p>
        </w:tc>
        <w:tc>
          <w:tcPr>
            <w:tcW w:w="886"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公务用车购置费</w:t>
            </w:r>
          </w:p>
        </w:tc>
        <w:tc>
          <w:tcPr>
            <w:tcW w:w="108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公务用车运行维护费</w:t>
            </w:r>
          </w:p>
        </w:tc>
        <w:tc>
          <w:tcPr>
            <w:tcW w:w="1200"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565"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326"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9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xml:space="preserve">小计 </w:t>
            </w:r>
          </w:p>
        </w:tc>
        <w:tc>
          <w:tcPr>
            <w:tcW w:w="886"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公务用车购置费</w:t>
            </w:r>
          </w:p>
        </w:tc>
        <w:tc>
          <w:tcPr>
            <w:tcW w:w="108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公务用车运行维护费</w:t>
            </w:r>
          </w:p>
        </w:tc>
        <w:tc>
          <w:tcPr>
            <w:tcW w:w="969"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rHeight w:val="312" w:hRule="atLeast"/>
          <w:tblHeader/>
          <w:jc w:val="center"/>
        </w:trPr>
        <w:tc>
          <w:tcPr>
            <w:tcW w:w="393"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327"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93"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886"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84"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200"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565"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326"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93"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886"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84"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969"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rHeight w:val="0" w:hRule="atLeast"/>
          <w:jc w:val="center"/>
        </w:trPr>
        <w:tc>
          <w:tcPr>
            <w:tcW w:w="3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w:t>
            </w:r>
          </w:p>
        </w:tc>
        <w:tc>
          <w:tcPr>
            <w:tcW w:w="13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w:t>
            </w:r>
          </w:p>
        </w:tc>
        <w:tc>
          <w:tcPr>
            <w:tcW w:w="3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w:t>
            </w:r>
          </w:p>
        </w:tc>
        <w:tc>
          <w:tcPr>
            <w:tcW w:w="8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w:t>
            </w:r>
          </w:p>
        </w:tc>
        <w:tc>
          <w:tcPr>
            <w:tcW w:w="10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w:t>
            </w:r>
          </w:p>
        </w:tc>
        <w:tc>
          <w:tcPr>
            <w:tcW w:w="12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w:t>
            </w:r>
          </w:p>
        </w:tc>
        <w:tc>
          <w:tcPr>
            <w:tcW w:w="5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7</w:t>
            </w:r>
          </w:p>
        </w:tc>
        <w:tc>
          <w:tcPr>
            <w:tcW w:w="13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8</w:t>
            </w:r>
          </w:p>
        </w:tc>
        <w:tc>
          <w:tcPr>
            <w:tcW w:w="3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9</w:t>
            </w:r>
          </w:p>
        </w:tc>
        <w:tc>
          <w:tcPr>
            <w:tcW w:w="8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10</w:t>
            </w:r>
          </w:p>
        </w:tc>
        <w:tc>
          <w:tcPr>
            <w:tcW w:w="10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11</w:t>
            </w:r>
          </w:p>
        </w:tc>
        <w:tc>
          <w:tcPr>
            <w:tcW w:w="96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12</w:t>
            </w:r>
          </w:p>
        </w:tc>
      </w:tr>
      <w:tr>
        <w:tblPrEx>
          <w:tblLayout w:type="fixed"/>
          <w:tblCellMar>
            <w:top w:w="15" w:type="dxa"/>
            <w:left w:w="15" w:type="dxa"/>
            <w:bottom w:w="15" w:type="dxa"/>
            <w:right w:w="15" w:type="dxa"/>
          </w:tblCellMar>
        </w:tblPrEx>
        <w:trPr>
          <w:trHeight w:val="0" w:hRule="atLeast"/>
          <w:jc w:val="center"/>
        </w:trPr>
        <w:tc>
          <w:tcPr>
            <w:tcW w:w="3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bookmarkStart w:id="73" w:name="_GoBack" w:colFirst="1" w:colLast="11"/>
            <w:r>
              <w:rPr>
                <w:rFonts w:hint="eastAsia" w:ascii="宋体" w:hAnsi="宋体" w:eastAsia="宋体" w:cs="宋体"/>
                <w:color w:val="000000"/>
                <w:kern w:val="0"/>
                <w:sz w:val="22"/>
                <w:szCs w:val="22"/>
                <w:shd w:val="clear" w:fill="FFFFFF"/>
                <w:lang w:bidi="ar"/>
              </w:rPr>
              <w:t> </w:t>
            </w:r>
            <w:r>
              <w:rPr>
                <w:rFonts w:hint="eastAsia" w:ascii="宋体" w:hAnsi="宋体" w:cs="宋体"/>
                <w:color w:val="000000"/>
                <w:kern w:val="0"/>
                <w:sz w:val="22"/>
                <w:szCs w:val="22"/>
                <w:shd w:val="clear" w:fill="FFFFFF"/>
                <w:lang w:val="en-US" w:eastAsia="zh-CN" w:bidi="ar"/>
              </w:rPr>
              <w:t>0</w:t>
            </w:r>
          </w:p>
        </w:tc>
        <w:tc>
          <w:tcPr>
            <w:tcW w:w="13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val="en-US" w:eastAsia="zh-CN" w:bidi="ar"/>
              </w:rPr>
              <w:t>0</w:t>
            </w:r>
          </w:p>
        </w:tc>
        <w:tc>
          <w:tcPr>
            <w:tcW w:w="3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val="en-US" w:eastAsia="zh-CN" w:bidi="ar"/>
              </w:rPr>
              <w:t>0</w:t>
            </w:r>
          </w:p>
        </w:tc>
        <w:tc>
          <w:tcPr>
            <w:tcW w:w="8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val="en-US" w:eastAsia="zh-CN" w:bidi="ar"/>
              </w:rPr>
              <w:t>0</w:t>
            </w:r>
          </w:p>
        </w:tc>
        <w:tc>
          <w:tcPr>
            <w:tcW w:w="10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val="en-US" w:eastAsia="zh-CN" w:bidi="ar"/>
              </w:rPr>
              <w:t>0</w:t>
            </w:r>
          </w:p>
        </w:tc>
        <w:tc>
          <w:tcPr>
            <w:tcW w:w="12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val="en-US" w:eastAsia="zh-CN" w:bidi="ar"/>
              </w:rPr>
              <w:t>0</w:t>
            </w:r>
          </w:p>
        </w:tc>
        <w:tc>
          <w:tcPr>
            <w:tcW w:w="5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val="en-US" w:eastAsia="zh-CN" w:bidi="ar"/>
              </w:rPr>
              <w:t>0</w:t>
            </w:r>
          </w:p>
        </w:tc>
        <w:tc>
          <w:tcPr>
            <w:tcW w:w="13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val="en-US" w:eastAsia="zh-CN" w:bidi="ar"/>
              </w:rPr>
              <w:t>0</w:t>
            </w:r>
          </w:p>
        </w:tc>
        <w:tc>
          <w:tcPr>
            <w:tcW w:w="3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val="en-US" w:eastAsia="zh-CN" w:bidi="ar"/>
              </w:rPr>
              <w:t>0</w:t>
            </w:r>
          </w:p>
        </w:tc>
        <w:tc>
          <w:tcPr>
            <w:tcW w:w="8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val="en-US" w:eastAsia="zh-CN" w:bidi="ar"/>
              </w:rPr>
              <w:t>0</w:t>
            </w:r>
          </w:p>
        </w:tc>
        <w:tc>
          <w:tcPr>
            <w:tcW w:w="10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val="en-US" w:eastAsia="zh-CN" w:bidi="ar"/>
              </w:rPr>
              <w:t>0</w:t>
            </w:r>
          </w:p>
        </w:tc>
        <w:tc>
          <w:tcPr>
            <w:tcW w:w="96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val="en-US" w:eastAsia="zh-CN" w:bidi="ar"/>
              </w:rPr>
              <w:t>0</w:t>
            </w:r>
          </w:p>
        </w:tc>
      </w:tr>
      <w:bookmarkEnd w:id="73"/>
      <w:tr>
        <w:tblPrEx>
          <w:tblLayout w:type="fixed"/>
          <w:tblCellMar>
            <w:top w:w="15" w:type="dxa"/>
            <w:left w:w="15" w:type="dxa"/>
            <w:bottom w:w="15" w:type="dxa"/>
            <w:right w:w="15" w:type="dxa"/>
          </w:tblCellMar>
        </w:tblPrEx>
        <w:trPr>
          <w:trHeight w:val="0" w:hRule="atLeast"/>
          <w:jc w:val="center"/>
        </w:trPr>
        <w:tc>
          <w:tcPr>
            <w:tcW w:w="10506" w:type="dxa"/>
            <w:gridSpan w:val="12"/>
            <w:noWrap w:val="0"/>
            <w:tcMar>
              <w:top w:w="20" w:type="dxa"/>
              <w:left w:w="20" w:type="dxa"/>
              <w:bottom w:w="20" w:type="dxa"/>
              <w:right w:w="20" w:type="dxa"/>
            </w:tcMar>
            <w:vAlign w:val="center"/>
          </w:tcPr>
          <w:p>
            <w:pPr>
              <w:keepNext w:val="0"/>
              <w:keepLines w:val="0"/>
              <w:widowControl/>
              <w:suppressLineNumbers w:val="0"/>
              <w:shd w:val="clear" w:fill="FFFFFF"/>
              <w:spacing w:before="0" w:beforeAutospacing="1" w:after="0" w:afterAutospacing="1"/>
              <w:ind w:left="0" w:right="0"/>
              <w:jc w:val="left"/>
              <w:rPr>
                <w:rFonts w:hint="eastAsia"/>
              </w:rPr>
            </w:pPr>
            <w:r>
              <w:rPr>
                <w:rFonts w:hint="eastAsia"/>
              </w:rPr>
              <w:t>注：本表反映</w:t>
            </w:r>
            <w:r>
              <w:rPr>
                <w:rFonts w:hint="eastAsia"/>
                <w:lang w:eastAsia="zh-CN"/>
              </w:rPr>
              <w:t>单位</w:t>
            </w:r>
            <w:r>
              <w:rPr>
                <w:rFonts w:hint="eastAsia"/>
              </w:rPr>
              <w:t>本年度财政拨款“三公”经费支出预决算情况。其中，预算数为“三公”经费全年预算数，反映按规定程序调整后的预算数；决算数是包括当年财政拨款和以前年度结转资金安排的实际支出。</w:t>
            </w:r>
          </w:p>
          <w:p>
            <w:pPr>
              <w:pStyle w:val="2"/>
              <w:ind w:firstLine="960" w:firstLineChars="300"/>
              <w:rPr>
                <w:rFonts w:hint="eastAsia"/>
              </w:rPr>
            </w:pPr>
            <w:r>
              <w:rPr>
                <w:rFonts w:hint="eastAsia" w:ascii="仿宋" w:hAnsi="仿宋" w:eastAsia="仿宋" w:cs="仿宋"/>
                <w:color w:val="000000"/>
                <w:kern w:val="0"/>
                <w:sz w:val="32"/>
                <w:szCs w:val="32"/>
                <w:shd w:val="clear" w:fill="FFFFFF"/>
                <w:lang w:eastAsia="zh-CN" w:bidi="ar"/>
              </w:rPr>
              <w:t>本单位</w:t>
            </w:r>
            <w:r>
              <w:rPr>
                <w:rFonts w:hint="eastAsia" w:ascii="仿宋" w:hAnsi="仿宋" w:eastAsia="仿宋" w:cs="仿宋"/>
                <w:color w:val="000000"/>
                <w:kern w:val="0"/>
                <w:sz w:val="32"/>
                <w:szCs w:val="32"/>
                <w:shd w:val="clear" w:fill="FFFFFF"/>
                <w:lang w:val="en-US" w:eastAsia="zh-CN" w:bidi="ar"/>
              </w:rPr>
              <w:t>2024年度没有使用一般公共预算财政拨款安排的“三公”经费支出。</w:t>
            </w:r>
          </w:p>
        </w:tc>
      </w:tr>
    </w:tbl>
    <w:p>
      <w:pPr>
        <w:keepNext w:val="0"/>
        <w:keepLines w:val="0"/>
        <w:widowControl/>
        <w:numPr>
          <w:ilvl w:val="0"/>
          <w:numId w:val="0"/>
        </w:numPr>
        <w:suppressLineNumbers w:val="0"/>
        <w:shd w:val="clear" w:fill="FFFFFF"/>
        <w:spacing w:before="0" w:beforeAutospacing="1" w:after="0" w:afterAutospacing="1"/>
        <w:ind w:leftChars="0" w:right="0" w:rightChars="0"/>
        <w:jc w:val="both"/>
        <w:rPr>
          <w:rFonts w:hint="eastAsia" w:ascii="黑体" w:hAnsi="黑体" w:eastAsia="黑体" w:cs="黑体"/>
          <w:sz w:val="32"/>
          <w:szCs w:val="32"/>
          <w:lang w:eastAsia="zh-CN"/>
        </w:rPr>
      </w:pPr>
    </w:p>
    <w:p>
      <w:pPr>
        <w:keepNext w:val="0"/>
        <w:keepLines w:val="0"/>
        <w:widowControl/>
        <w:numPr>
          <w:ilvl w:val="0"/>
          <w:numId w:val="0"/>
        </w:numPr>
        <w:suppressLineNumbers w:val="0"/>
        <w:shd w:val="clear" w:fill="FFFFFF"/>
        <w:spacing w:before="0" w:beforeAutospacing="1" w:after="0" w:afterAutospacing="1"/>
        <w:ind w:leftChars="0" w:right="0" w:rightChars="0"/>
        <w:jc w:val="both"/>
        <w:rPr>
          <w:rFonts w:hint="eastAsia" w:ascii="黑体" w:hAnsi="黑体" w:eastAsia="黑体" w:cs="黑体"/>
          <w:sz w:val="32"/>
          <w:szCs w:val="32"/>
          <w:lang w:eastAsia="zh-CN"/>
        </w:rPr>
      </w:pPr>
      <w:r>
        <w:rPr>
          <w:rFonts w:hint="eastAsia" w:ascii="黑体" w:hAnsi="黑体" w:eastAsia="黑体" w:cs="黑体"/>
          <w:sz w:val="32"/>
          <w:szCs w:val="32"/>
          <w:lang w:eastAsia="zh-CN"/>
        </w:rPr>
        <w:t>八、政府性基金预算财政拨款收入支出决算表</w:t>
      </w:r>
    </w:p>
    <w:p>
      <w:pPr>
        <w:pStyle w:val="2"/>
        <w:rPr>
          <w:rFonts w:hint="eastAsia" w:ascii="黑体" w:hAnsi="宋体" w:eastAsia="黑体" w:cs="黑体"/>
          <w:kern w:val="0"/>
          <w:sz w:val="36"/>
          <w:szCs w:val="36"/>
          <w:shd w:val="clear" w:fill="FFFFFF"/>
          <w:lang w:bidi="ar"/>
        </w:rPr>
      </w:pPr>
    </w:p>
    <w:tbl>
      <w:tblPr>
        <w:tblStyle w:val="23"/>
        <w:tblW w:w="10556" w:type="dxa"/>
        <w:jc w:val="center"/>
        <w:tblInd w:w="-845" w:type="dxa"/>
        <w:tblLayout w:type="fixed"/>
        <w:tblCellMar>
          <w:top w:w="15" w:type="dxa"/>
          <w:left w:w="15" w:type="dxa"/>
          <w:bottom w:w="15" w:type="dxa"/>
          <w:right w:w="15" w:type="dxa"/>
        </w:tblCellMar>
      </w:tblPr>
      <w:tblGrid>
        <w:gridCol w:w="1162"/>
        <w:gridCol w:w="3240"/>
        <w:gridCol w:w="1490"/>
        <w:gridCol w:w="735"/>
        <w:gridCol w:w="446"/>
        <w:gridCol w:w="965"/>
        <w:gridCol w:w="468"/>
        <w:gridCol w:w="2050"/>
      </w:tblGrid>
      <w:tr>
        <w:tblPrEx>
          <w:tblLayout w:type="fixed"/>
          <w:tblCellMar>
            <w:top w:w="15" w:type="dxa"/>
            <w:left w:w="15" w:type="dxa"/>
            <w:bottom w:w="15" w:type="dxa"/>
            <w:right w:w="15" w:type="dxa"/>
          </w:tblCellMar>
        </w:tblPrEx>
        <w:trPr>
          <w:trHeight w:val="0" w:hRule="atLeast"/>
          <w:tblHeader/>
          <w:jc w:val="center"/>
        </w:trPr>
        <w:tc>
          <w:tcPr>
            <w:tcW w:w="10556" w:type="dxa"/>
            <w:gridSpan w:val="8"/>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7"/>
                <w:szCs w:val="27"/>
              </w:rPr>
            </w:pPr>
            <w:r>
              <w:rPr>
                <w:rFonts w:hint="eastAsia" w:ascii="黑体" w:hAnsi="宋体" w:eastAsia="黑体" w:cs="黑体"/>
                <w:color w:val="000000"/>
                <w:kern w:val="0"/>
                <w:sz w:val="36"/>
                <w:szCs w:val="36"/>
                <w:shd w:val="clear" w:fill="FFFFFF"/>
                <w:lang w:bidi="ar"/>
              </w:rPr>
              <w:t>政府性基金预算财政拨款收入支出决算表</w:t>
            </w:r>
          </w:p>
        </w:tc>
      </w:tr>
      <w:tr>
        <w:tblPrEx>
          <w:tblLayout w:type="fixed"/>
          <w:tblCellMar>
            <w:top w:w="15" w:type="dxa"/>
            <w:left w:w="15" w:type="dxa"/>
            <w:bottom w:w="15" w:type="dxa"/>
            <w:right w:w="15" w:type="dxa"/>
          </w:tblCellMar>
        </w:tblPrEx>
        <w:trPr>
          <w:trHeight w:val="0" w:hRule="atLeast"/>
          <w:jc w:val="center"/>
        </w:trPr>
        <w:tc>
          <w:tcPr>
            <w:tcW w:w="6627" w:type="dxa"/>
            <w:gridSpan w:val="4"/>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/单位：厦门市湖里区教师进修学校附属小学</w:t>
            </w:r>
          </w:p>
        </w:tc>
        <w:tc>
          <w:tcPr>
            <w:tcW w:w="1411"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202</w:t>
            </w:r>
            <w:r>
              <w:rPr>
                <w:rFonts w:hint="eastAsia" w:ascii="宋体" w:hAnsi="宋体" w:cs="宋体"/>
                <w:color w:val="000000"/>
                <w:kern w:val="0"/>
                <w:sz w:val="22"/>
                <w:szCs w:val="22"/>
                <w:shd w:val="clear" w:fill="FFFFFF"/>
                <w:lang w:val="en-US" w:eastAsia="zh-CN" w:bidi="ar"/>
              </w:rPr>
              <w:t>4</w:t>
            </w:r>
            <w:r>
              <w:rPr>
                <w:rFonts w:hint="eastAsia" w:ascii="宋体" w:hAnsi="宋体" w:eastAsia="宋体" w:cs="宋体"/>
                <w:color w:val="000000"/>
                <w:kern w:val="0"/>
                <w:sz w:val="22"/>
                <w:szCs w:val="22"/>
                <w:shd w:val="clear" w:fill="FFFFFF"/>
                <w:lang w:bidi="ar"/>
              </w:rPr>
              <w:t>年度 </w:t>
            </w:r>
          </w:p>
        </w:tc>
        <w:tc>
          <w:tcPr>
            <w:tcW w:w="2518"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金额单位：万元</w:t>
            </w:r>
          </w:p>
        </w:tc>
      </w:tr>
      <w:tr>
        <w:tblPrEx>
          <w:tblLayout w:type="fixed"/>
          <w:tblCellMar>
            <w:top w:w="15" w:type="dxa"/>
            <w:left w:w="15" w:type="dxa"/>
            <w:bottom w:w="15" w:type="dxa"/>
            <w:right w:w="15" w:type="dxa"/>
          </w:tblCellMar>
        </w:tblPrEx>
        <w:trPr>
          <w:trHeight w:val="0" w:hRule="atLeast"/>
          <w:tblHeader/>
          <w:jc w:val="center"/>
        </w:trPr>
        <w:tc>
          <w:tcPr>
            <w:tcW w:w="4402"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项目</w:t>
            </w:r>
          </w:p>
        </w:tc>
        <w:tc>
          <w:tcPr>
            <w:tcW w:w="149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xml:space="preserve">年初结转和结余 </w:t>
            </w:r>
          </w:p>
        </w:tc>
        <w:tc>
          <w:tcPr>
            <w:tcW w:w="73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本年收入</w:t>
            </w:r>
          </w:p>
        </w:tc>
        <w:tc>
          <w:tcPr>
            <w:tcW w:w="1879"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本年支出</w:t>
            </w:r>
          </w:p>
        </w:tc>
        <w:tc>
          <w:tcPr>
            <w:tcW w:w="205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年末结转和结余</w:t>
            </w:r>
          </w:p>
        </w:tc>
      </w:tr>
      <w:tr>
        <w:tblPrEx>
          <w:tblLayout w:type="fixed"/>
          <w:tblCellMar>
            <w:top w:w="15" w:type="dxa"/>
            <w:left w:w="15" w:type="dxa"/>
            <w:bottom w:w="15" w:type="dxa"/>
            <w:right w:w="15" w:type="dxa"/>
          </w:tblCellMar>
        </w:tblPrEx>
        <w:trPr>
          <w:trHeight w:val="312" w:hRule="atLeast"/>
          <w:tblHeader/>
          <w:jc w:val="center"/>
        </w:trPr>
        <w:tc>
          <w:tcPr>
            <w:tcW w:w="116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支出功能分类科目编码</w:t>
            </w:r>
          </w:p>
        </w:tc>
        <w:tc>
          <w:tcPr>
            <w:tcW w:w="324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科目名称</w:t>
            </w:r>
          </w:p>
        </w:tc>
        <w:tc>
          <w:tcPr>
            <w:tcW w:w="1490"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p>
        </w:tc>
        <w:tc>
          <w:tcPr>
            <w:tcW w:w="735"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p>
        </w:tc>
        <w:tc>
          <w:tcPr>
            <w:tcW w:w="446"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小计</w:t>
            </w:r>
          </w:p>
        </w:tc>
        <w:tc>
          <w:tcPr>
            <w:tcW w:w="96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xml:space="preserve">基本支出 </w:t>
            </w:r>
          </w:p>
        </w:tc>
        <w:tc>
          <w:tcPr>
            <w:tcW w:w="46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项目支出</w:t>
            </w:r>
          </w:p>
        </w:tc>
        <w:tc>
          <w:tcPr>
            <w:tcW w:w="2050" w:type="dxa"/>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rHeight w:val="312" w:hRule="atLeast"/>
          <w:tblHeader/>
          <w:jc w:val="center"/>
        </w:trPr>
        <w:tc>
          <w:tcPr>
            <w:tcW w:w="1162"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p>
        </w:tc>
        <w:tc>
          <w:tcPr>
            <w:tcW w:w="3240"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p>
        </w:tc>
        <w:tc>
          <w:tcPr>
            <w:tcW w:w="1490"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p>
        </w:tc>
        <w:tc>
          <w:tcPr>
            <w:tcW w:w="735"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p>
        </w:tc>
        <w:tc>
          <w:tcPr>
            <w:tcW w:w="446"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p>
        </w:tc>
        <w:tc>
          <w:tcPr>
            <w:tcW w:w="965"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p>
        </w:tc>
        <w:tc>
          <w:tcPr>
            <w:tcW w:w="468"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p>
        </w:tc>
        <w:tc>
          <w:tcPr>
            <w:tcW w:w="2050" w:type="dxa"/>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rHeight w:val="0" w:hRule="atLeast"/>
          <w:jc w:val="center"/>
        </w:trPr>
        <w:tc>
          <w:tcPr>
            <w:tcW w:w="4402"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栏次</w:t>
            </w:r>
          </w:p>
        </w:tc>
        <w:tc>
          <w:tcPr>
            <w:tcW w:w="14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w:t>
            </w:r>
          </w:p>
        </w:tc>
        <w:tc>
          <w:tcPr>
            <w:tcW w:w="7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w:t>
            </w:r>
          </w:p>
        </w:tc>
        <w:tc>
          <w:tcPr>
            <w:tcW w:w="4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w:t>
            </w:r>
          </w:p>
        </w:tc>
        <w:tc>
          <w:tcPr>
            <w:tcW w:w="9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w:t>
            </w:r>
          </w:p>
        </w:tc>
        <w:tc>
          <w:tcPr>
            <w:tcW w:w="4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w:t>
            </w:r>
          </w:p>
        </w:tc>
        <w:tc>
          <w:tcPr>
            <w:tcW w:w="2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w:t>
            </w:r>
          </w:p>
        </w:tc>
      </w:tr>
      <w:tr>
        <w:tblPrEx>
          <w:tblLayout w:type="fixed"/>
          <w:tblCellMar>
            <w:top w:w="15" w:type="dxa"/>
            <w:left w:w="15" w:type="dxa"/>
            <w:bottom w:w="15" w:type="dxa"/>
            <w:right w:w="15" w:type="dxa"/>
          </w:tblCellMar>
        </w:tblPrEx>
        <w:trPr>
          <w:trHeight w:val="0" w:hRule="atLeast"/>
          <w:jc w:val="center"/>
        </w:trPr>
        <w:tc>
          <w:tcPr>
            <w:tcW w:w="4402"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合计</w:t>
            </w:r>
          </w:p>
        </w:tc>
        <w:tc>
          <w:tcPr>
            <w:tcW w:w="14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w:t>
            </w:r>
          </w:p>
        </w:tc>
        <w:tc>
          <w:tcPr>
            <w:tcW w:w="4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w:t>
            </w:r>
          </w:p>
        </w:tc>
        <w:tc>
          <w:tcPr>
            <w:tcW w:w="9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4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w:t>
            </w:r>
          </w:p>
        </w:tc>
        <w:tc>
          <w:tcPr>
            <w:tcW w:w="2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rHeight w:val="0" w:hRule="atLeast"/>
          <w:jc w:val="center"/>
        </w:trPr>
        <w:tc>
          <w:tcPr>
            <w:tcW w:w="116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229</w:t>
            </w:r>
          </w:p>
        </w:tc>
        <w:tc>
          <w:tcPr>
            <w:tcW w:w="32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其他支出</w:t>
            </w:r>
          </w:p>
        </w:tc>
        <w:tc>
          <w:tcPr>
            <w:tcW w:w="14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w:t>
            </w:r>
          </w:p>
        </w:tc>
        <w:tc>
          <w:tcPr>
            <w:tcW w:w="4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w:t>
            </w:r>
          </w:p>
        </w:tc>
        <w:tc>
          <w:tcPr>
            <w:tcW w:w="9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4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w:t>
            </w:r>
          </w:p>
        </w:tc>
        <w:tc>
          <w:tcPr>
            <w:tcW w:w="2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rHeight w:val="0" w:hRule="atLeast"/>
          <w:jc w:val="center"/>
        </w:trPr>
        <w:tc>
          <w:tcPr>
            <w:tcW w:w="116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22960</w:t>
            </w:r>
          </w:p>
        </w:tc>
        <w:tc>
          <w:tcPr>
            <w:tcW w:w="32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彩票公益金安排的支出</w:t>
            </w:r>
          </w:p>
        </w:tc>
        <w:tc>
          <w:tcPr>
            <w:tcW w:w="14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w:t>
            </w:r>
          </w:p>
        </w:tc>
        <w:tc>
          <w:tcPr>
            <w:tcW w:w="4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w:t>
            </w:r>
          </w:p>
        </w:tc>
        <w:tc>
          <w:tcPr>
            <w:tcW w:w="9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4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w:t>
            </w:r>
          </w:p>
        </w:tc>
        <w:tc>
          <w:tcPr>
            <w:tcW w:w="2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rHeight w:val="0" w:hRule="atLeast"/>
          <w:jc w:val="center"/>
        </w:trPr>
        <w:tc>
          <w:tcPr>
            <w:tcW w:w="116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2296003</w:t>
            </w:r>
          </w:p>
        </w:tc>
        <w:tc>
          <w:tcPr>
            <w:tcW w:w="32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用于体育事业的彩票公益金支出</w:t>
            </w:r>
          </w:p>
        </w:tc>
        <w:tc>
          <w:tcPr>
            <w:tcW w:w="14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w:t>
            </w:r>
          </w:p>
        </w:tc>
        <w:tc>
          <w:tcPr>
            <w:tcW w:w="4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w:t>
            </w:r>
          </w:p>
        </w:tc>
        <w:tc>
          <w:tcPr>
            <w:tcW w:w="9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4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w:t>
            </w:r>
          </w:p>
        </w:tc>
        <w:tc>
          <w:tcPr>
            <w:tcW w:w="2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rHeight w:val="0" w:hRule="atLeast"/>
          <w:jc w:val="center"/>
        </w:trPr>
        <w:tc>
          <w:tcPr>
            <w:tcW w:w="10556" w:type="dxa"/>
            <w:gridSpan w:val="8"/>
            <w:noWrap w:val="0"/>
            <w:tcMar>
              <w:top w:w="20" w:type="dxa"/>
              <w:left w:w="20" w:type="dxa"/>
              <w:bottom w:w="20" w:type="dxa"/>
              <w:right w:w="20" w:type="dxa"/>
            </w:tcMar>
            <w:vAlign w:val="center"/>
          </w:tcPr>
          <w:p>
            <w:pPr>
              <w:keepNext w:val="0"/>
              <w:keepLines w:val="0"/>
              <w:widowControl/>
              <w:suppressLineNumbers w:val="0"/>
              <w:shd w:val="clear" w:fill="FFFFFF"/>
              <w:spacing w:before="0" w:beforeAutospacing="1" w:after="0" w:afterAutospacing="1"/>
              <w:ind w:left="0" w:right="0"/>
              <w:jc w:val="left"/>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注：本表反映</w:t>
            </w: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本年度政府性基金预算财政拨款收入、支出及结转和结余情况。</w:t>
            </w:r>
          </w:p>
        </w:tc>
      </w:tr>
    </w:tbl>
    <w:p>
      <w:pPr>
        <w:pStyle w:val="2"/>
        <w:jc w:val="left"/>
        <w:rPr>
          <w:rFonts w:hint="eastAsia" w:ascii="黑体" w:hAnsi="宋体" w:eastAsia="黑体" w:cs="黑体"/>
          <w:kern w:val="0"/>
          <w:sz w:val="36"/>
          <w:szCs w:val="36"/>
          <w:shd w:val="clear" w:fill="FFFFFF"/>
          <w:lang w:bidi="ar"/>
        </w:rPr>
      </w:pPr>
    </w:p>
    <w:p>
      <w:pPr>
        <w:pStyle w:val="6"/>
        <w:keepNext w:val="0"/>
        <w:keepLines w:val="0"/>
        <w:spacing w:before="100" w:after="100" w:line="240" w:lineRule="auto"/>
        <w:ind w:left="0" w:right="0" w:firstLine="0" w:firstLineChars="0"/>
        <w:rPr>
          <w:rFonts w:hint="eastAsia" w:ascii="黑体" w:hAnsi="黑体" w:eastAsia="黑体" w:cs="黑体"/>
          <w:bCs w:val="0"/>
          <w:kern w:val="2"/>
          <w:sz w:val="32"/>
          <w:szCs w:val="32"/>
          <w:lang w:val="en-US" w:eastAsia="zh-CN" w:bidi="ar-SA"/>
        </w:rPr>
      </w:pPr>
      <w:r>
        <w:rPr>
          <w:rFonts w:hint="eastAsia" w:ascii="黑体" w:hAnsi="黑体" w:eastAsia="黑体" w:cs="黑体"/>
          <w:bCs w:val="0"/>
          <w:kern w:val="2"/>
          <w:sz w:val="32"/>
          <w:szCs w:val="32"/>
          <w:lang w:val="en-US" w:eastAsia="zh-CN" w:bidi="ar-SA"/>
        </w:rPr>
        <w:t>九、国有资本经营预算财政拨款支出决算表</w:t>
      </w:r>
    </w:p>
    <w:tbl>
      <w:tblPr>
        <w:tblStyle w:val="23"/>
        <w:tblpPr w:leftFromText="180" w:rightFromText="180" w:vertAnchor="text" w:horzAnchor="page" w:tblpX="724" w:tblpY="853"/>
        <w:tblOverlap w:val="never"/>
        <w:tblW w:w="10632" w:type="dxa"/>
        <w:tblInd w:w="0" w:type="dxa"/>
        <w:tblLayout w:type="fixed"/>
        <w:tblCellMar>
          <w:top w:w="15" w:type="dxa"/>
          <w:left w:w="15" w:type="dxa"/>
          <w:bottom w:w="15" w:type="dxa"/>
          <w:right w:w="15" w:type="dxa"/>
        </w:tblCellMar>
      </w:tblPr>
      <w:tblGrid>
        <w:gridCol w:w="1674"/>
        <w:gridCol w:w="4041"/>
        <w:gridCol w:w="963"/>
        <w:gridCol w:w="1031"/>
        <w:gridCol w:w="2923"/>
      </w:tblGrid>
      <w:tr>
        <w:tblPrEx>
          <w:tblLayout w:type="fixed"/>
          <w:tblCellMar>
            <w:top w:w="15" w:type="dxa"/>
            <w:left w:w="15" w:type="dxa"/>
            <w:bottom w:w="15" w:type="dxa"/>
            <w:right w:w="15" w:type="dxa"/>
          </w:tblCellMar>
        </w:tblPrEx>
        <w:trPr>
          <w:tblHeader/>
        </w:trPr>
        <w:tc>
          <w:tcPr>
            <w:tcW w:w="10632" w:type="dxa"/>
            <w:gridSpan w:val="5"/>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7"/>
                <w:szCs w:val="27"/>
              </w:rPr>
            </w:pPr>
            <w:r>
              <w:rPr>
                <w:rFonts w:hint="eastAsia" w:ascii="黑体" w:hAnsi="宋体" w:eastAsia="黑体" w:cs="黑体"/>
                <w:color w:val="000000"/>
                <w:kern w:val="0"/>
                <w:sz w:val="36"/>
                <w:szCs w:val="36"/>
                <w:shd w:val="clear" w:fill="FFFFFF"/>
                <w:lang w:bidi="ar"/>
              </w:rPr>
              <w:t>国有资本经营预算财政拨款支出决算表</w:t>
            </w:r>
          </w:p>
        </w:tc>
      </w:tr>
      <w:tr>
        <w:tblPrEx>
          <w:tblLayout w:type="fixed"/>
          <w:tblCellMar>
            <w:top w:w="15" w:type="dxa"/>
            <w:left w:w="15" w:type="dxa"/>
            <w:bottom w:w="15" w:type="dxa"/>
            <w:right w:w="15" w:type="dxa"/>
          </w:tblCellMar>
        </w:tblPrEx>
        <w:tc>
          <w:tcPr>
            <w:tcW w:w="5715"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/单位：厦门市湖里区教师进修学校附属小学</w:t>
            </w:r>
          </w:p>
        </w:tc>
        <w:tc>
          <w:tcPr>
            <w:tcW w:w="1994"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left"/>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2024年度</w:t>
            </w:r>
          </w:p>
        </w:tc>
        <w:tc>
          <w:tcPr>
            <w:tcW w:w="292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right"/>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金额单位：万元</w:t>
            </w:r>
          </w:p>
        </w:tc>
      </w:tr>
      <w:tr>
        <w:tblPrEx>
          <w:tblLayout w:type="fixed"/>
          <w:tblCellMar>
            <w:top w:w="15" w:type="dxa"/>
            <w:left w:w="15" w:type="dxa"/>
            <w:bottom w:w="15" w:type="dxa"/>
            <w:right w:w="15" w:type="dxa"/>
          </w:tblCellMar>
        </w:tblPrEx>
        <w:tc>
          <w:tcPr>
            <w:tcW w:w="5715"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项目</w:t>
            </w:r>
          </w:p>
        </w:tc>
        <w:tc>
          <w:tcPr>
            <w:tcW w:w="491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本年支出</w:t>
            </w:r>
          </w:p>
        </w:tc>
      </w:tr>
      <w:tr>
        <w:tblPrEx>
          <w:tblLayout w:type="fixed"/>
          <w:tblCellMar>
            <w:top w:w="15" w:type="dxa"/>
            <w:left w:w="15" w:type="dxa"/>
            <w:bottom w:w="15" w:type="dxa"/>
            <w:right w:w="15" w:type="dxa"/>
          </w:tblCellMar>
        </w:tblPrEx>
        <w:trPr>
          <w:tblHeader/>
        </w:trPr>
        <w:tc>
          <w:tcPr>
            <w:tcW w:w="167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科目代码</w:t>
            </w:r>
          </w:p>
        </w:tc>
        <w:tc>
          <w:tcPr>
            <w:tcW w:w="4041"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科目名称</w:t>
            </w:r>
          </w:p>
        </w:tc>
        <w:tc>
          <w:tcPr>
            <w:tcW w:w="96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合计</w:t>
            </w:r>
          </w:p>
        </w:tc>
        <w:tc>
          <w:tcPr>
            <w:tcW w:w="1031"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基本支出</w:t>
            </w:r>
          </w:p>
        </w:tc>
        <w:tc>
          <w:tcPr>
            <w:tcW w:w="292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项目支出</w:t>
            </w:r>
          </w:p>
        </w:tc>
      </w:tr>
      <w:tr>
        <w:tblPrEx>
          <w:tblLayout w:type="fixed"/>
          <w:tblCellMar>
            <w:top w:w="15" w:type="dxa"/>
            <w:left w:w="15" w:type="dxa"/>
            <w:bottom w:w="15" w:type="dxa"/>
            <w:right w:w="15" w:type="dxa"/>
          </w:tblCellMar>
        </w:tblPrEx>
        <w:trPr>
          <w:tblHeader/>
        </w:trPr>
        <w:tc>
          <w:tcPr>
            <w:tcW w:w="1674"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p>
        </w:tc>
        <w:tc>
          <w:tcPr>
            <w:tcW w:w="4041"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p>
        </w:tc>
        <w:tc>
          <w:tcPr>
            <w:tcW w:w="963"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p>
        </w:tc>
        <w:tc>
          <w:tcPr>
            <w:tcW w:w="1031"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p>
        </w:tc>
        <w:tc>
          <w:tcPr>
            <w:tcW w:w="2923"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blHeader/>
        </w:trPr>
        <w:tc>
          <w:tcPr>
            <w:tcW w:w="1674"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p>
        </w:tc>
        <w:tc>
          <w:tcPr>
            <w:tcW w:w="4041"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p>
        </w:tc>
        <w:tc>
          <w:tcPr>
            <w:tcW w:w="963"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p>
        </w:tc>
        <w:tc>
          <w:tcPr>
            <w:tcW w:w="1031"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p>
        </w:tc>
        <w:tc>
          <w:tcPr>
            <w:tcW w:w="2923"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5715"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栏次</w:t>
            </w:r>
          </w:p>
        </w:tc>
        <w:tc>
          <w:tcPr>
            <w:tcW w:w="9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w:t>
            </w:r>
          </w:p>
        </w:tc>
        <w:tc>
          <w:tcPr>
            <w:tcW w:w="10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w:t>
            </w:r>
          </w:p>
        </w:tc>
        <w:tc>
          <w:tcPr>
            <w:tcW w:w="2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w:t>
            </w:r>
          </w:p>
        </w:tc>
      </w:tr>
      <w:tr>
        <w:tblPrEx>
          <w:tblLayout w:type="fixed"/>
          <w:tblCellMar>
            <w:top w:w="15" w:type="dxa"/>
            <w:left w:w="15" w:type="dxa"/>
            <w:bottom w:w="15" w:type="dxa"/>
            <w:right w:w="15" w:type="dxa"/>
          </w:tblCellMar>
        </w:tblPrEx>
        <w:tc>
          <w:tcPr>
            <w:tcW w:w="5715"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合计</w:t>
            </w:r>
          </w:p>
        </w:tc>
        <w:tc>
          <w:tcPr>
            <w:tcW w:w="9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2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6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40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9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2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0632" w:type="dxa"/>
            <w:gridSpan w:val="5"/>
            <w:noWrap w:val="0"/>
            <w:tcMar>
              <w:top w:w="20" w:type="dxa"/>
              <w:left w:w="20" w:type="dxa"/>
              <w:bottom w:w="20" w:type="dxa"/>
              <w:right w:w="20" w:type="dxa"/>
            </w:tcMar>
            <w:vAlign w:val="center"/>
          </w:tcPr>
          <w:p>
            <w:pPr>
              <w:keepNext w:val="0"/>
              <w:keepLines w:val="0"/>
              <w:widowControl/>
              <w:suppressLineNumbers w:val="0"/>
              <w:shd w:val="clear" w:fill="FFFFFF"/>
              <w:spacing w:before="0" w:beforeAutospacing="1" w:after="0" w:afterAutospacing="1"/>
              <w:ind w:left="0" w:right="0"/>
              <w:jc w:val="both"/>
              <w:rPr>
                <w:rFonts w:hint="eastAsia"/>
              </w:rPr>
            </w:pPr>
            <w:r>
              <w:rPr>
                <w:rFonts w:hint="eastAsia"/>
              </w:rPr>
              <w:t>注：本表反映</w:t>
            </w:r>
            <w:r>
              <w:rPr>
                <w:rFonts w:hint="eastAsia"/>
                <w:lang w:eastAsia="zh-CN"/>
              </w:rPr>
              <w:t>单位</w:t>
            </w:r>
            <w:r>
              <w:rPr>
                <w:rFonts w:hint="eastAsia"/>
              </w:rPr>
              <w:t>本年度国有资本经营预算财政拨款支出情况。</w:t>
            </w:r>
          </w:p>
          <w:p>
            <w:pPr>
              <w:pStyle w:val="2"/>
              <w:ind w:firstLine="640" w:firstLineChars="200"/>
              <w:rPr>
                <w:rFonts w:hint="eastAsia"/>
              </w:rPr>
            </w:pPr>
            <w:r>
              <w:rPr>
                <w:rFonts w:hint="eastAsia" w:ascii="仿宋" w:hAnsi="仿宋" w:eastAsia="仿宋" w:cs="仿宋"/>
                <w:sz w:val="32"/>
                <w:szCs w:val="32"/>
              </w:rPr>
              <w:t>本</w:t>
            </w:r>
            <w:r>
              <w:rPr>
                <w:rFonts w:hint="eastAsia" w:ascii="仿宋" w:hAnsi="仿宋" w:eastAsia="仿宋" w:cs="仿宋"/>
                <w:sz w:val="32"/>
                <w:szCs w:val="32"/>
                <w:lang w:eastAsia="zh-CN"/>
              </w:rPr>
              <w:t>单位</w:t>
            </w:r>
            <w:r>
              <w:rPr>
                <w:rFonts w:hint="eastAsia" w:ascii="仿宋" w:hAnsi="仿宋" w:eastAsia="仿宋" w:cs="仿宋"/>
                <w:sz w:val="32"/>
                <w:szCs w:val="32"/>
              </w:rPr>
              <w:t xml:space="preserve"> 202</w:t>
            </w:r>
            <w:r>
              <w:rPr>
                <w:rFonts w:hint="eastAsia" w:ascii="仿宋" w:hAnsi="仿宋" w:eastAsia="仿宋" w:cs="仿宋"/>
                <w:sz w:val="32"/>
                <w:szCs w:val="32"/>
                <w:lang w:val="en-US" w:eastAsia="zh-CN"/>
              </w:rPr>
              <w:t>4</w:t>
            </w:r>
            <w:r>
              <w:rPr>
                <w:rFonts w:hint="eastAsia" w:ascii="仿宋" w:hAnsi="仿宋" w:eastAsia="仿宋" w:cs="仿宋"/>
                <w:sz w:val="32"/>
                <w:szCs w:val="32"/>
              </w:rPr>
              <w:t xml:space="preserve"> 年度没有使用国有资本经营预算财政拨款安排的</w:t>
            </w:r>
            <w:r>
              <w:rPr>
                <w:rFonts w:hint="eastAsia" w:ascii="仿宋" w:hAnsi="仿宋" w:eastAsia="仿宋" w:cs="仿宋"/>
                <w:sz w:val="32"/>
                <w:szCs w:val="32"/>
                <w:lang w:eastAsia="zh-CN"/>
              </w:rPr>
              <w:t>支出</w:t>
            </w:r>
            <w:r>
              <w:rPr>
                <w:rFonts w:hint="eastAsia" w:ascii="仿宋" w:hAnsi="仿宋" w:eastAsia="仿宋" w:cs="仿宋"/>
                <w:sz w:val="32"/>
                <w:szCs w:val="32"/>
              </w:rPr>
              <w:t>。</w:t>
            </w:r>
          </w:p>
        </w:tc>
      </w:tr>
    </w:tbl>
    <w:p>
      <w:pPr>
        <w:keepNext w:val="0"/>
        <w:keepLines w:val="0"/>
        <w:widowControl/>
        <w:suppressLineNumbers w:val="0"/>
        <w:shd w:val="clear" w:fill="FFFFFF"/>
        <w:spacing w:before="240" w:beforeAutospacing="0" w:after="240" w:afterAutospacing="0" w:line="600" w:lineRule="atLeast"/>
        <w:ind w:right="0" w:rightChars="0" w:firstLine="1807" w:firstLineChars="500"/>
        <w:jc w:val="both"/>
        <w:rPr>
          <w:rFonts w:hint="eastAsia" w:ascii="黑体" w:hAnsi="宋体" w:eastAsia="黑体" w:cs="黑体"/>
          <w:b/>
          <w:bCs/>
          <w:kern w:val="0"/>
          <w:sz w:val="36"/>
          <w:szCs w:val="36"/>
          <w:shd w:val="clear" w:fill="FFFFFF"/>
          <w:lang w:bidi="ar"/>
        </w:rPr>
      </w:pPr>
    </w:p>
    <w:p>
      <w:pPr>
        <w:keepNext w:val="0"/>
        <w:keepLines w:val="0"/>
        <w:widowControl/>
        <w:suppressLineNumbers w:val="0"/>
        <w:shd w:val="clear" w:fill="FFFFFF"/>
        <w:spacing w:before="240" w:beforeAutospacing="0" w:after="240" w:afterAutospacing="0" w:line="600" w:lineRule="atLeast"/>
        <w:ind w:right="0" w:rightChars="0" w:firstLine="1807" w:firstLineChars="500"/>
        <w:jc w:val="both"/>
        <w:rPr>
          <w:rFonts w:hint="eastAsia" w:ascii="黑体" w:hAnsi="宋体" w:eastAsia="黑体" w:cs="黑体"/>
          <w:b/>
          <w:bCs/>
          <w:kern w:val="0"/>
          <w:sz w:val="36"/>
          <w:szCs w:val="36"/>
          <w:shd w:val="clear" w:fill="FFFFFF"/>
          <w:lang w:bidi="ar"/>
        </w:rPr>
      </w:pPr>
    </w:p>
    <w:p>
      <w:pPr>
        <w:keepNext w:val="0"/>
        <w:keepLines w:val="0"/>
        <w:widowControl/>
        <w:suppressLineNumbers w:val="0"/>
        <w:shd w:val="clear" w:fill="FFFFFF"/>
        <w:spacing w:before="240" w:beforeAutospacing="0" w:after="240" w:afterAutospacing="0" w:line="600" w:lineRule="atLeast"/>
        <w:ind w:right="0" w:rightChars="0" w:firstLine="1807" w:firstLineChars="500"/>
        <w:jc w:val="both"/>
        <w:rPr>
          <w:rFonts w:hint="eastAsia" w:ascii="黑体" w:hAnsi="宋体" w:eastAsia="黑体" w:cs="黑体"/>
          <w:b/>
          <w:bCs/>
          <w:kern w:val="0"/>
          <w:sz w:val="36"/>
          <w:szCs w:val="36"/>
          <w:shd w:val="clear" w:fill="FFFFFF"/>
          <w:lang w:bidi="ar"/>
        </w:rPr>
      </w:pPr>
    </w:p>
    <w:p>
      <w:pPr>
        <w:keepNext w:val="0"/>
        <w:keepLines w:val="0"/>
        <w:widowControl/>
        <w:suppressLineNumbers w:val="0"/>
        <w:shd w:val="clear" w:fill="FFFFFF"/>
        <w:spacing w:before="240" w:beforeAutospacing="0" w:after="240" w:afterAutospacing="0" w:line="600" w:lineRule="atLeast"/>
        <w:ind w:right="0" w:rightChars="0" w:firstLine="1807" w:firstLineChars="500"/>
        <w:jc w:val="both"/>
        <w:rPr>
          <w:rFonts w:hint="eastAsia" w:ascii="黑体" w:hAnsi="宋体" w:eastAsia="黑体" w:cs="黑体"/>
          <w:b/>
          <w:bCs/>
          <w:kern w:val="0"/>
          <w:sz w:val="36"/>
          <w:szCs w:val="36"/>
          <w:shd w:val="clear" w:fill="FFFFFF"/>
          <w:lang w:bidi="ar"/>
        </w:rPr>
      </w:pPr>
    </w:p>
    <w:p>
      <w:pPr>
        <w:keepNext w:val="0"/>
        <w:keepLines w:val="0"/>
        <w:widowControl/>
        <w:suppressLineNumbers w:val="0"/>
        <w:shd w:val="clear" w:fill="FFFFFF"/>
        <w:spacing w:before="240" w:beforeAutospacing="0" w:after="240" w:afterAutospacing="0" w:line="600" w:lineRule="atLeast"/>
        <w:ind w:right="0" w:rightChars="0" w:firstLine="1807" w:firstLineChars="500"/>
        <w:jc w:val="both"/>
        <w:rPr>
          <w:rFonts w:hint="eastAsia" w:ascii="黑体" w:hAnsi="宋体" w:eastAsia="黑体" w:cs="黑体"/>
          <w:b/>
          <w:bCs/>
          <w:kern w:val="0"/>
          <w:sz w:val="36"/>
          <w:szCs w:val="36"/>
          <w:shd w:val="clear" w:fill="FFFFFF"/>
          <w:lang w:bidi="ar"/>
        </w:rPr>
      </w:pPr>
      <w:r>
        <w:rPr>
          <w:rFonts w:hint="eastAsia" w:ascii="黑体" w:hAnsi="宋体" w:eastAsia="黑体" w:cs="黑体"/>
          <w:b/>
          <w:bCs/>
          <w:kern w:val="0"/>
          <w:sz w:val="36"/>
          <w:szCs w:val="36"/>
          <w:shd w:val="clear" w:fill="FFFFFF"/>
          <w:lang w:bidi="ar"/>
        </w:rPr>
        <w:t>第三部分2024年度决算情况说明</w:t>
      </w:r>
    </w:p>
    <w:p>
      <w:pPr>
        <w:pStyle w:val="2"/>
        <w:keepNext w:val="0"/>
        <w:keepLines w:val="0"/>
        <w:widowControl/>
        <w:suppressLineNumbers w:val="0"/>
        <w:ind w:left="0" w:right="0" w:rightChars="0" w:firstLine="643" w:firstLineChars="200"/>
        <w:rPr>
          <w:rFonts w:hint="eastAsia" w:ascii="黑体" w:hAnsi="宋体" w:eastAsia="黑体" w:cs="黑体"/>
          <w:b/>
          <w:bCs/>
          <w:kern w:val="0"/>
          <w:sz w:val="32"/>
          <w:szCs w:val="32"/>
          <w:shd w:val="clear" w:fill="FFFFFF"/>
        </w:rPr>
      </w:pPr>
      <w:bookmarkStart w:id="29" w:name="_Toc256000111"/>
      <w:bookmarkStart w:id="30" w:name="_Toc256000080"/>
      <w:bookmarkStart w:id="31" w:name="_Toc256000049"/>
      <w:bookmarkStart w:id="32" w:name="_Toc256000018"/>
    </w:p>
    <w:p>
      <w:pPr>
        <w:pStyle w:val="2"/>
        <w:keepNext w:val="0"/>
        <w:keepLines w:val="0"/>
        <w:widowControl/>
        <w:suppressLineNumbers w:val="0"/>
        <w:ind w:left="0" w:right="0" w:rightChars="0" w:firstLine="643" w:firstLineChars="200"/>
        <w:jc w:val="both"/>
        <w:rPr>
          <w:rFonts w:hint="eastAsia" w:ascii="黑体" w:hAnsi="宋体" w:eastAsia="黑体" w:cs="黑体"/>
          <w:b/>
          <w:bCs/>
          <w:kern w:val="0"/>
          <w:sz w:val="32"/>
          <w:szCs w:val="32"/>
          <w:shd w:val="clear" w:fill="FFFFFF"/>
        </w:rPr>
      </w:pPr>
      <w:r>
        <w:rPr>
          <w:rFonts w:hint="eastAsia" w:ascii="黑体" w:hAnsi="宋体" w:eastAsia="黑体" w:cs="黑体"/>
          <w:b/>
          <w:bCs/>
          <w:kern w:val="0"/>
          <w:sz w:val="32"/>
          <w:szCs w:val="32"/>
          <w:shd w:val="clear" w:fill="FFFFFF"/>
        </w:rPr>
        <w:t>一、收入支出决算总体情况说明</w:t>
      </w:r>
      <w:bookmarkEnd w:id="29"/>
      <w:bookmarkEnd w:id="30"/>
      <w:bookmarkEnd w:id="31"/>
      <w:bookmarkEnd w:id="32"/>
    </w:p>
    <w:p>
      <w:pPr>
        <w:pStyle w:val="29"/>
        <w:widowControl/>
        <w:spacing w:before="240" w:after="240" w:line="600" w:lineRule="atLeast"/>
        <w:ind w:firstLine="640"/>
        <w:jc w:val="both"/>
        <w:rPr>
          <w:rFonts w:hint="eastAsia" w:ascii="仿宋" w:hAnsi="仿宋" w:eastAsia="仿宋" w:cs="仿宋"/>
          <w:b/>
          <w:bCs/>
          <w:kern w:val="0"/>
          <w:sz w:val="32"/>
          <w:szCs w:val="32"/>
        </w:rPr>
      </w:pPr>
      <w:r>
        <w:rPr>
          <w:rFonts w:ascii="楷体_GB2312" w:hAnsi="楷体_GB2312" w:eastAsia="楷体_GB2312" w:cs="楷体_GB2312"/>
          <w:b/>
          <w:bCs/>
          <w:spacing w:val="0"/>
          <w:kern w:val="0"/>
          <w:sz w:val="32"/>
          <w:szCs w:val="32"/>
        </w:rPr>
        <w:t>（</w:t>
      </w:r>
      <w:r>
        <w:rPr>
          <w:rFonts w:hint="eastAsia" w:ascii="仿宋" w:hAnsi="仿宋" w:eastAsia="仿宋" w:cs="仿宋"/>
          <w:b/>
          <w:bCs/>
          <w:kern w:val="0"/>
          <w:sz w:val="32"/>
          <w:szCs w:val="32"/>
        </w:rPr>
        <w:t>一）收入支出决算总体情况说明</w:t>
      </w:r>
    </w:p>
    <w:p>
      <w:pPr>
        <w:pStyle w:val="29"/>
        <w:widowControl/>
        <w:spacing w:before="240" w:after="240" w:line="600" w:lineRule="atLeast"/>
        <w:ind w:firstLine="640"/>
        <w:jc w:val="both"/>
        <w:rPr>
          <w:rFonts w:hint="eastAsia" w:ascii="仿宋" w:hAnsi="仿宋" w:eastAsia="仿宋" w:cs="仿宋"/>
          <w:kern w:val="0"/>
          <w:sz w:val="32"/>
          <w:szCs w:val="32"/>
        </w:rPr>
      </w:pPr>
      <w:r>
        <w:rPr>
          <w:rFonts w:hint="eastAsia" w:ascii="仿宋" w:hAnsi="仿宋" w:eastAsia="仿宋" w:cs="仿宋"/>
          <w:kern w:val="0"/>
          <w:sz w:val="32"/>
          <w:szCs w:val="32"/>
        </w:rPr>
        <w:t>2024年度本单位收入总计4024.78万元，支出总计4024.78万元，与上年决算数相比，各增加113.02万元，各增长2.89%。主要是</w:t>
      </w:r>
      <w:r>
        <w:rPr>
          <w:rFonts w:hint="eastAsia" w:ascii="仿宋" w:hAnsi="仿宋" w:eastAsia="仿宋" w:cs="仿宋"/>
          <w:kern w:val="0"/>
          <w:sz w:val="32"/>
          <w:szCs w:val="32"/>
          <w:lang w:val="en-US" w:eastAsia="zh-CN"/>
        </w:rPr>
        <w:t>新增教师和学生</w:t>
      </w:r>
      <w:r>
        <w:rPr>
          <w:rFonts w:hint="eastAsia" w:ascii="仿宋" w:hAnsi="仿宋" w:eastAsia="仿宋" w:cs="仿宋"/>
          <w:kern w:val="0"/>
          <w:sz w:val="32"/>
          <w:szCs w:val="32"/>
        </w:rPr>
        <w:t>。</w:t>
      </w:r>
    </w:p>
    <w:p>
      <w:pPr>
        <w:pStyle w:val="29"/>
        <w:widowControl/>
        <w:spacing w:before="240" w:after="240" w:line="600" w:lineRule="atLeast"/>
        <w:ind w:firstLine="640"/>
        <w:jc w:val="both"/>
        <w:rPr>
          <w:rFonts w:hint="eastAsia" w:ascii="仿宋" w:hAnsi="仿宋" w:eastAsia="仿宋" w:cs="仿宋"/>
          <w:b/>
          <w:bCs/>
          <w:kern w:val="0"/>
          <w:sz w:val="32"/>
          <w:szCs w:val="32"/>
        </w:rPr>
      </w:pPr>
      <w:r>
        <w:rPr>
          <w:rFonts w:hint="eastAsia" w:ascii="仿宋" w:hAnsi="仿宋" w:eastAsia="仿宋" w:cs="仿宋"/>
          <w:b/>
          <w:bCs/>
          <w:kern w:val="0"/>
          <w:sz w:val="32"/>
          <w:szCs w:val="32"/>
        </w:rPr>
        <w:t>（二）收入决算情况说明</w:t>
      </w:r>
    </w:p>
    <w:p>
      <w:pPr>
        <w:pStyle w:val="29"/>
        <w:widowControl/>
        <w:spacing w:before="240" w:after="240" w:line="600" w:lineRule="atLeast"/>
        <w:ind w:firstLine="640"/>
        <w:jc w:val="both"/>
        <w:rPr>
          <w:rFonts w:hint="eastAsia" w:ascii="仿宋" w:hAnsi="仿宋" w:eastAsia="仿宋" w:cs="仿宋"/>
          <w:kern w:val="0"/>
          <w:sz w:val="32"/>
          <w:szCs w:val="32"/>
        </w:rPr>
      </w:pPr>
      <w:r>
        <w:rPr>
          <w:rFonts w:hint="eastAsia" w:ascii="仿宋" w:hAnsi="仿宋" w:eastAsia="仿宋" w:cs="仿宋"/>
          <w:kern w:val="0"/>
          <w:sz w:val="32"/>
          <w:szCs w:val="32"/>
        </w:rPr>
        <w:t>2024年度收入4024.78万元，比上年决算数增加113.02万元，增长2.89%，具体情况如下：</w:t>
      </w:r>
    </w:p>
    <w:p>
      <w:pPr>
        <w:pStyle w:val="29"/>
        <w:widowControl/>
        <w:spacing w:before="240" w:after="240" w:line="600" w:lineRule="atLeast"/>
        <w:ind w:firstLine="640"/>
        <w:jc w:val="both"/>
        <w:rPr>
          <w:rFonts w:hint="eastAsia" w:ascii="仿宋" w:hAnsi="仿宋" w:eastAsia="仿宋" w:cs="仿宋"/>
          <w:kern w:val="0"/>
          <w:sz w:val="32"/>
          <w:szCs w:val="32"/>
        </w:rPr>
      </w:pPr>
      <w:r>
        <w:rPr>
          <w:rFonts w:hint="eastAsia" w:ascii="仿宋" w:hAnsi="仿宋" w:eastAsia="仿宋" w:cs="仿宋"/>
          <w:kern w:val="0"/>
          <w:sz w:val="32"/>
          <w:szCs w:val="32"/>
        </w:rPr>
        <w:t>1.一般公共预算财政拨款收入4023.38万元。</w:t>
      </w:r>
    </w:p>
    <w:p>
      <w:pPr>
        <w:pStyle w:val="29"/>
        <w:widowControl/>
        <w:spacing w:before="240" w:after="240" w:line="600" w:lineRule="atLeast"/>
        <w:ind w:firstLine="640"/>
        <w:jc w:val="both"/>
        <w:rPr>
          <w:rFonts w:hint="eastAsia" w:ascii="仿宋" w:hAnsi="仿宋" w:eastAsia="仿宋" w:cs="仿宋"/>
          <w:kern w:val="0"/>
          <w:sz w:val="32"/>
          <w:szCs w:val="32"/>
        </w:rPr>
      </w:pPr>
      <w:r>
        <w:rPr>
          <w:rFonts w:hint="eastAsia" w:ascii="仿宋" w:hAnsi="仿宋" w:eastAsia="仿宋" w:cs="仿宋"/>
          <w:kern w:val="0"/>
          <w:sz w:val="32"/>
          <w:szCs w:val="32"/>
        </w:rPr>
        <w:t>2.政府性基金预算财政拨款收入1.40万元。</w:t>
      </w:r>
    </w:p>
    <w:p>
      <w:pPr>
        <w:pStyle w:val="29"/>
        <w:widowControl/>
        <w:spacing w:before="240" w:after="240" w:line="600" w:lineRule="atLeast"/>
        <w:ind w:firstLine="640"/>
        <w:jc w:val="both"/>
        <w:rPr>
          <w:rFonts w:hint="eastAsia" w:ascii="仿宋" w:hAnsi="仿宋" w:eastAsia="仿宋" w:cs="仿宋"/>
          <w:kern w:val="0"/>
          <w:sz w:val="32"/>
          <w:szCs w:val="32"/>
        </w:rPr>
      </w:pPr>
      <w:r>
        <w:rPr>
          <w:rFonts w:hint="eastAsia" w:ascii="仿宋" w:hAnsi="仿宋" w:eastAsia="仿宋" w:cs="仿宋"/>
          <w:kern w:val="0"/>
          <w:sz w:val="32"/>
          <w:szCs w:val="32"/>
        </w:rPr>
        <w:t>3.国有资本经营预算财政拨款收入0万元。</w:t>
      </w:r>
    </w:p>
    <w:p>
      <w:pPr>
        <w:pStyle w:val="29"/>
        <w:widowControl/>
        <w:spacing w:before="240" w:after="240" w:line="600" w:lineRule="atLeast"/>
        <w:ind w:firstLine="640"/>
        <w:jc w:val="both"/>
        <w:rPr>
          <w:rFonts w:hint="eastAsia" w:ascii="仿宋" w:hAnsi="仿宋" w:eastAsia="仿宋" w:cs="仿宋"/>
          <w:kern w:val="0"/>
          <w:sz w:val="32"/>
          <w:szCs w:val="32"/>
        </w:rPr>
      </w:pPr>
      <w:r>
        <w:rPr>
          <w:rFonts w:hint="eastAsia" w:ascii="仿宋" w:hAnsi="仿宋" w:eastAsia="仿宋" w:cs="仿宋"/>
          <w:kern w:val="0"/>
          <w:sz w:val="32"/>
          <w:szCs w:val="32"/>
        </w:rPr>
        <w:t>4.上级补助收入0万元。</w:t>
      </w:r>
    </w:p>
    <w:p>
      <w:pPr>
        <w:pStyle w:val="29"/>
        <w:widowControl/>
        <w:spacing w:before="240" w:after="240" w:line="600" w:lineRule="atLeast"/>
        <w:ind w:firstLine="640"/>
        <w:jc w:val="both"/>
        <w:rPr>
          <w:rFonts w:hint="eastAsia" w:ascii="仿宋" w:hAnsi="仿宋" w:eastAsia="仿宋" w:cs="仿宋"/>
          <w:kern w:val="0"/>
          <w:sz w:val="32"/>
          <w:szCs w:val="32"/>
        </w:rPr>
      </w:pPr>
      <w:r>
        <w:rPr>
          <w:rFonts w:hint="eastAsia" w:ascii="仿宋" w:hAnsi="仿宋" w:eastAsia="仿宋" w:cs="仿宋"/>
          <w:kern w:val="0"/>
          <w:sz w:val="32"/>
          <w:szCs w:val="32"/>
        </w:rPr>
        <w:t>5.事业收入0万元。</w:t>
      </w:r>
    </w:p>
    <w:p>
      <w:pPr>
        <w:pStyle w:val="29"/>
        <w:widowControl/>
        <w:spacing w:before="240" w:after="240" w:line="600" w:lineRule="atLeast"/>
        <w:ind w:firstLine="640"/>
        <w:jc w:val="both"/>
        <w:rPr>
          <w:rFonts w:hint="eastAsia" w:ascii="仿宋" w:hAnsi="仿宋" w:eastAsia="仿宋" w:cs="仿宋"/>
          <w:kern w:val="0"/>
          <w:sz w:val="32"/>
          <w:szCs w:val="32"/>
        </w:rPr>
      </w:pPr>
      <w:r>
        <w:rPr>
          <w:rFonts w:hint="eastAsia" w:ascii="仿宋" w:hAnsi="仿宋" w:eastAsia="仿宋" w:cs="仿宋"/>
          <w:kern w:val="0"/>
          <w:sz w:val="32"/>
          <w:szCs w:val="32"/>
        </w:rPr>
        <w:t>6.经营收入0万元。</w:t>
      </w:r>
    </w:p>
    <w:p>
      <w:pPr>
        <w:pStyle w:val="29"/>
        <w:widowControl/>
        <w:spacing w:before="240" w:after="240" w:line="600" w:lineRule="atLeast"/>
        <w:ind w:firstLine="640"/>
        <w:jc w:val="both"/>
        <w:rPr>
          <w:rFonts w:hint="eastAsia" w:ascii="仿宋" w:hAnsi="仿宋" w:eastAsia="仿宋" w:cs="仿宋"/>
          <w:kern w:val="0"/>
          <w:sz w:val="32"/>
          <w:szCs w:val="32"/>
        </w:rPr>
      </w:pPr>
      <w:r>
        <w:rPr>
          <w:rFonts w:hint="eastAsia" w:ascii="仿宋" w:hAnsi="仿宋" w:eastAsia="仿宋" w:cs="仿宋"/>
          <w:kern w:val="0"/>
          <w:sz w:val="32"/>
          <w:szCs w:val="32"/>
        </w:rPr>
        <w:t>7.附属单位上缴收入0万元。</w:t>
      </w:r>
    </w:p>
    <w:p>
      <w:pPr>
        <w:pStyle w:val="29"/>
        <w:widowControl/>
        <w:spacing w:before="240" w:after="240" w:line="600" w:lineRule="atLeast"/>
        <w:ind w:firstLine="640"/>
        <w:jc w:val="both"/>
        <w:rPr>
          <w:rFonts w:hint="eastAsia" w:ascii="仿宋" w:hAnsi="仿宋" w:eastAsia="仿宋" w:cs="仿宋"/>
          <w:kern w:val="0"/>
          <w:sz w:val="32"/>
          <w:szCs w:val="32"/>
        </w:rPr>
      </w:pPr>
      <w:r>
        <w:rPr>
          <w:rFonts w:hint="eastAsia" w:ascii="仿宋" w:hAnsi="仿宋" w:eastAsia="仿宋" w:cs="仿宋"/>
          <w:kern w:val="0"/>
          <w:sz w:val="32"/>
          <w:szCs w:val="32"/>
        </w:rPr>
        <w:t>8.其他收入0万元。</w:t>
      </w:r>
    </w:p>
    <w:p>
      <w:pPr>
        <w:pStyle w:val="29"/>
        <w:widowControl/>
        <w:spacing w:before="240" w:after="240" w:line="600" w:lineRule="atLeast"/>
        <w:ind w:firstLine="640"/>
        <w:jc w:val="both"/>
        <w:rPr>
          <w:rFonts w:hint="eastAsia" w:ascii="仿宋" w:hAnsi="仿宋" w:eastAsia="仿宋" w:cs="仿宋"/>
          <w:b/>
          <w:bCs/>
          <w:kern w:val="0"/>
          <w:sz w:val="32"/>
          <w:szCs w:val="32"/>
        </w:rPr>
      </w:pPr>
      <w:r>
        <w:rPr>
          <w:rFonts w:hint="eastAsia" w:ascii="仿宋" w:hAnsi="仿宋" w:eastAsia="仿宋" w:cs="仿宋"/>
          <w:b/>
          <w:bCs/>
          <w:kern w:val="0"/>
          <w:sz w:val="32"/>
          <w:szCs w:val="32"/>
        </w:rPr>
        <w:t>（三）支出决算情况说明</w:t>
      </w:r>
    </w:p>
    <w:p>
      <w:pPr>
        <w:pStyle w:val="29"/>
        <w:widowControl/>
        <w:spacing w:before="240" w:after="240" w:line="600" w:lineRule="atLeast"/>
        <w:ind w:firstLine="640"/>
        <w:jc w:val="both"/>
        <w:rPr>
          <w:rFonts w:hint="eastAsia" w:ascii="仿宋" w:hAnsi="仿宋" w:eastAsia="仿宋" w:cs="仿宋"/>
          <w:kern w:val="0"/>
          <w:sz w:val="32"/>
          <w:szCs w:val="32"/>
        </w:rPr>
      </w:pPr>
      <w:r>
        <w:rPr>
          <w:rFonts w:hint="eastAsia" w:ascii="仿宋" w:hAnsi="仿宋" w:eastAsia="仿宋" w:cs="仿宋"/>
          <w:kern w:val="0"/>
          <w:sz w:val="32"/>
          <w:szCs w:val="32"/>
        </w:rPr>
        <w:t>2024年度支出4024.78万元，比上年决算数增加113.02万元，增长2.89%，具体情况如下：</w:t>
      </w:r>
    </w:p>
    <w:p>
      <w:pPr>
        <w:pStyle w:val="29"/>
        <w:widowControl/>
        <w:spacing w:before="240" w:after="240" w:line="600" w:lineRule="atLeast"/>
        <w:ind w:firstLine="640"/>
        <w:jc w:val="both"/>
        <w:rPr>
          <w:rFonts w:hint="eastAsia" w:ascii="仿宋" w:hAnsi="仿宋" w:eastAsia="仿宋" w:cs="仿宋"/>
          <w:kern w:val="0"/>
          <w:sz w:val="32"/>
          <w:szCs w:val="32"/>
        </w:rPr>
      </w:pPr>
      <w:r>
        <w:rPr>
          <w:rFonts w:hint="eastAsia" w:ascii="仿宋" w:hAnsi="仿宋" w:eastAsia="仿宋" w:cs="仿宋"/>
          <w:kern w:val="0"/>
          <w:sz w:val="32"/>
          <w:szCs w:val="32"/>
        </w:rPr>
        <w:t>1.基本支出3693.26万元。其中，人员支出3359.28万元，公用支出333.99万元。</w:t>
      </w:r>
    </w:p>
    <w:p>
      <w:pPr>
        <w:pStyle w:val="29"/>
        <w:widowControl/>
        <w:spacing w:before="240" w:after="240" w:line="600" w:lineRule="atLeast"/>
        <w:ind w:firstLine="640"/>
        <w:jc w:val="both"/>
        <w:rPr>
          <w:rFonts w:hint="eastAsia" w:ascii="仿宋" w:hAnsi="仿宋" w:eastAsia="仿宋" w:cs="仿宋"/>
          <w:kern w:val="0"/>
          <w:sz w:val="32"/>
          <w:szCs w:val="32"/>
        </w:rPr>
      </w:pPr>
      <w:r>
        <w:rPr>
          <w:rFonts w:hint="eastAsia" w:ascii="仿宋" w:hAnsi="仿宋" w:eastAsia="仿宋" w:cs="仿宋"/>
          <w:kern w:val="0"/>
          <w:sz w:val="32"/>
          <w:szCs w:val="32"/>
        </w:rPr>
        <w:t>2.项目支出331.52万元。</w:t>
      </w:r>
    </w:p>
    <w:p>
      <w:pPr>
        <w:pStyle w:val="29"/>
        <w:widowControl/>
        <w:spacing w:before="240" w:after="240" w:line="600" w:lineRule="atLeast"/>
        <w:ind w:firstLine="640"/>
        <w:jc w:val="both"/>
        <w:rPr>
          <w:rFonts w:hint="eastAsia" w:ascii="仿宋" w:hAnsi="仿宋" w:eastAsia="仿宋" w:cs="仿宋"/>
          <w:kern w:val="0"/>
          <w:sz w:val="32"/>
          <w:szCs w:val="32"/>
        </w:rPr>
      </w:pPr>
      <w:r>
        <w:rPr>
          <w:rFonts w:hint="eastAsia" w:ascii="仿宋" w:hAnsi="仿宋" w:eastAsia="仿宋" w:cs="仿宋"/>
          <w:kern w:val="0"/>
          <w:sz w:val="32"/>
          <w:szCs w:val="32"/>
        </w:rPr>
        <w:t>3.上缴上级支出0万元。</w:t>
      </w:r>
    </w:p>
    <w:p>
      <w:pPr>
        <w:pStyle w:val="29"/>
        <w:widowControl/>
        <w:spacing w:before="240" w:after="240" w:line="600" w:lineRule="atLeast"/>
        <w:ind w:firstLine="640"/>
        <w:jc w:val="both"/>
        <w:rPr>
          <w:rFonts w:hint="eastAsia" w:ascii="仿宋" w:hAnsi="仿宋" w:eastAsia="仿宋" w:cs="仿宋"/>
          <w:kern w:val="0"/>
          <w:sz w:val="32"/>
          <w:szCs w:val="32"/>
        </w:rPr>
      </w:pPr>
      <w:r>
        <w:rPr>
          <w:rFonts w:hint="eastAsia" w:ascii="仿宋" w:hAnsi="仿宋" w:eastAsia="仿宋" w:cs="仿宋"/>
          <w:kern w:val="0"/>
          <w:sz w:val="32"/>
          <w:szCs w:val="32"/>
        </w:rPr>
        <w:t>4.经营支出0万元。</w:t>
      </w:r>
    </w:p>
    <w:p>
      <w:pPr>
        <w:pStyle w:val="29"/>
        <w:widowControl/>
        <w:spacing w:before="240" w:after="240" w:line="600" w:lineRule="atLeast"/>
        <w:ind w:firstLine="640"/>
        <w:jc w:val="both"/>
        <w:rPr>
          <w:rFonts w:hint="eastAsia" w:ascii="仿宋" w:hAnsi="仿宋" w:eastAsia="仿宋" w:cs="仿宋"/>
          <w:kern w:val="0"/>
          <w:sz w:val="32"/>
          <w:szCs w:val="32"/>
        </w:rPr>
      </w:pPr>
      <w:r>
        <w:rPr>
          <w:rFonts w:hint="eastAsia" w:ascii="仿宋" w:hAnsi="仿宋" w:eastAsia="仿宋" w:cs="仿宋"/>
          <w:kern w:val="0"/>
          <w:sz w:val="32"/>
          <w:szCs w:val="32"/>
        </w:rPr>
        <w:t>5.对附属单位补助支出0万元。</w:t>
      </w:r>
    </w:p>
    <w:p>
      <w:pPr>
        <w:pStyle w:val="2"/>
        <w:keepNext w:val="0"/>
        <w:keepLines w:val="0"/>
        <w:widowControl/>
        <w:suppressLineNumbers w:val="0"/>
        <w:ind w:left="0" w:right="0" w:rightChars="0" w:firstLine="643" w:firstLineChars="200"/>
        <w:jc w:val="both"/>
        <w:rPr>
          <w:rFonts w:hint="eastAsia" w:ascii="黑体" w:hAnsi="宋体" w:eastAsia="黑体" w:cs="黑体"/>
          <w:b/>
          <w:bCs/>
          <w:kern w:val="0"/>
          <w:sz w:val="32"/>
          <w:szCs w:val="32"/>
          <w:shd w:val="clear" w:fill="FFFFFF"/>
        </w:rPr>
      </w:pPr>
      <w:bookmarkStart w:id="33" w:name="_Toc256000050"/>
      <w:bookmarkStart w:id="34" w:name="_Toc256000019"/>
      <w:bookmarkStart w:id="35" w:name="_Toc256000081"/>
      <w:bookmarkStart w:id="36" w:name="_Toc256000112"/>
      <w:r>
        <w:rPr>
          <w:rFonts w:hint="eastAsia" w:ascii="黑体" w:hAnsi="宋体" w:eastAsia="黑体" w:cs="黑体"/>
          <w:b/>
          <w:bCs/>
          <w:kern w:val="0"/>
          <w:sz w:val="32"/>
          <w:szCs w:val="32"/>
          <w:shd w:val="clear" w:fill="FFFFFF"/>
        </w:rPr>
        <w:t>二、财政拨款收入支出决算总体情况说明</w:t>
      </w:r>
      <w:bookmarkEnd w:id="33"/>
      <w:bookmarkEnd w:id="34"/>
      <w:bookmarkEnd w:id="35"/>
      <w:bookmarkEnd w:id="36"/>
    </w:p>
    <w:p>
      <w:pPr>
        <w:pStyle w:val="29"/>
        <w:widowControl/>
        <w:spacing w:before="240" w:after="240" w:line="600" w:lineRule="atLeast"/>
        <w:ind w:firstLine="640"/>
        <w:jc w:val="both"/>
        <w:rPr>
          <w:rFonts w:hint="eastAsia" w:ascii="仿宋" w:hAnsi="仿宋" w:eastAsia="仿宋" w:cs="仿宋"/>
          <w:kern w:val="0"/>
          <w:sz w:val="32"/>
          <w:szCs w:val="32"/>
        </w:rPr>
      </w:pPr>
      <w:r>
        <w:rPr>
          <w:rFonts w:hint="eastAsia" w:ascii="仿宋" w:hAnsi="仿宋" w:eastAsia="仿宋" w:cs="仿宋"/>
          <w:kern w:val="0"/>
          <w:sz w:val="32"/>
          <w:szCs w:val="32"/>
        </w:rPr>
        <w:t>2024年度财政拨款收入总计4024.78万元，支出总计4024.78万元，与上年决算数相比，各增加113.02万元，增长2.89%，主要是：</w:t>
      </w:r>
      <w:r>
        <w:rPr>
          <w:rFonts w:hint="eastAsia" w:ascii="仿宋" w:hAnsi="仿宋" w:eastAsia="仿宋" w:cs="仿宋"/>
          <w:kern w:val="0"/>
          <w:sz w:val="32"/>
          <w:szCs w:val="32"/>
          <w:lang w:val="en-US" w:eastAsia="zh-CN"/>
        </w:rPr>
        <w:t>新增教师和学生</w:t>
      </w:r>
      <w:r>
        <w:rPr>
          <w:rFonts w:hint="eastAsia" w:ascii="仿宋" w:hAnsi="仿宋" w:eastAsia="仿宋" w:cs="仿宋"/>
          <w:kern w:val="0"/>
          <w:sz w:val="32"/>
          <w:szCs w:val="32"/>
        </w:rPr>
        <w:t>。</w:t>
      </w:r>
    </w:p>
    <w:p>
      <w:pPr>
        <w:pStyle w:val="6"/>
        <w:keepNext w:val="0"/>
        <w:keepLines w:val="0"/>
        <w:spacing w:before="100" w:after="100" w:line="600" w:lineRule="atLeast"/>
        <w:ind w:left="0" w:right="0" w:firstLine="640" w:firstLineChars="0"/>
        <w:jc w:val="both"/>
        <w:rPr>
          <w:rFonts w:hint="eastAsia" w:ascii="黑体" w:hAnsi="宋体" w:eastAsia="黑体" w:cs="黑体"/>
          <w:b/>
          <w:bCs/>
          <w:kern w:val="0"/>
          <w:sz w:val="32"/>
          <w:szCs w:val="32"/>
          <w:shd w:val="clear" w:fill="FFFFFF"/>
          <w:lang w:val="en-US" w:eastAsia="zh-CN" w:bidi="ar"/>
        </w:rPr>
      </w:pPr>
      <w:bookmarkStart w:id="37" w:name="_Toc256000082"/>
      <w:bookmarkStart w:id="38" w:name="_Toc256000113"/>
      <w:bookmarkStart w:id="39" w:name="_Toc256000020"/>
      <w:bookmarkStart w:id="40" w:name="_Toc256000051"/>
      <w:r>
        <w:rPr>
          <w:rFonts w:hint="eastAsia" w:ascii="黑体" w:hAnsi="宋体" w:eastAsia="黑体" w:cs="黑体"/>
          <w:b/>
          <w:bCs/>
          <w:kern w:val="0"/>
          <w:sz w:val="32"/>
          <w:szCs w:val="32"/>
          <w:shd w:val="clear" w:fill="FFFFFF"/>
          <w:lang w:val="en-US" w:eastAsia="zh-CN" w:bidi="ar"/>
        </w:rPr>
        <w:t>三、一般公共预算拨款支出决算情况说明</w:t>
      </w:r>
      <w:bookmarkEnd w:id="37"/>
      <w:bookmarkEnd w:id="38"/>
      <w:bookmarkEnd w:id="39"/>
      <w:bookmarkEnd w:id="40"/>
    </w:p>
    <w:p>
      <w:pPr>
        <w:pStyle w:val="29"/>
        <w:widowControl/>
        <w:spacing w:before="240" w:after="240" w:line="600" w:lineRule="atLeast"/>
        <w:ind w:firstLine="640"/>
        <w:jc w:val="both"/>
        <w:rPr>
          <w:rFonts w:hint="eastAsia" w:ascii="仿宋" w:hAnsi="仿宋" w:eastAsia="仿宋" w:cs="仿宋"/>
          <w:kern w:val="0"/>
          <w:sz w:val="32"/>
          <w:szCs w:val="32"/>
        </w:rPr>
      </w:pPr>
      <w:r>
        <w:rPr>
          <w:rFonts w:hint="eastAsia" w:ascii="仿宋" w:hAnsi="仿宋" w:eastAsia="仿宋" w:cs="仿宋"/>
          <w:kern w:val="0"/>
          <w:sz w:val="32"/>
          <w:szCs w:val="32"/>
        </w:rPr>
        <w:t>2024年一般公共预算支出4023.38万元，比上年决算数增加130.23万元，增长3.35%，具体情况如下(按项级科目分类统计)：</w:t>
      </w:r>
    </w:p>
    <w:p>
      <w:pPr>
        <w:pStyle w:val="29"/>
        <w:keepNext w:val="0"/>
        <w:keepLines w:val="0"/>
        <w:pageBreakBefore w:val="0"/>
        <w:widowControl/>
        <w:kinsoku/>
        <w:wordWrap/>
        <w:overflowPunct/>
        <w:topLinePunct w:val="0"/>
        <w:autoSpaceDE/>
        <w:autoSpaceDN/>
        <w:bidi w:val="0"/>
        <w:adjustRightInd/>
        <w:snapToGrid/>
        <w:spacing w:before="240" w:after="240" w:line="520" w:lineRule="exact"/>
        <w:ind w:firstLine="640"/>
        <w:jc w:val="both"/>
        <w:textAlignment w:val="auto"/>
        <w:rPr>
          <w:rFonts w:hint="eastAsia" w:ascii="仿宋" w:hAnsi="仿宋" w:eastAsia="仿宋" w:cs="仿宋"/>
          <w:kern w:val="0"/>
          <w:sz w:val="32"/>
          <w:szCs w:val="32"/>
        </w:rPr>
      </w:pPr>
      <w:r>
        <w:rPr>
          <w:rFonts w:hint="eastAsia" w:ascii="仿宋" w:hAnsi="仿宋" w:eastAsia="仿宋" w:cs="仿宋"/>
          <w:kern w:val="0"/>
          <w:sz w:val="32"/>
          <w:szCs w:val="32"/>
        </w:rPr>
        <w:t>（一）2050202 小学教育2,997.47万元，较上年决算数增加7.45万元，增长0.25%。</w:t>
      </w:r>
      <w:r>
        <w:rPr>
          <w:rFonts w:hint="eastAsia" w:ascii="仿宋" w:hAnsi="仿宋" w:eastAsia="仿宋" w:cs="仿宋"/>
          <w:spacing w:val="0"/>
          <w:kern w:val="0"/>
          <w:sz w:val="32"/>
          <w:szCs w:val="32"/>
        </w:rPr>
        <w:t>主要原因是</w:t>
      </w:r>
      <w:r>
        <w:rPr>
          <w:rFonts w:hint="eastAsia" w:ascii="仿宋" w:hAnsi="仿宋" w:eastAsia="仿宋" w:cs="仿宋"/>
          <w:spacing w:val="0"/>
          <w:kern w:val="0"/>
          <w:sz w:val="32"/>
          <w:szCs w:val="32"/>
          <w:lang w:eastAsia="zh-CN"/>
        </w:rPr>
        <w:t>与上年决算基本持平。</w:t>
      </w:r>
      <w:r>
        <w:rPr>
          <w:rFonts w:hint="eastAsia" w:ascii="仿宋" w:hAnsi="仿宋" w:eastAsia="仿宋" w:cs="仿宋"/>
          <w:color w:val="FF0000"/>
          <w:kern w:val="0"/>
          <w:sz w:val="32"/>
          <w:szCs w:val="32"/>
        </w:rPr>
        <w:br w:type="textWrapping"/>
      </w:r>
      <w:r>
        <w:rPr>
          <w:rFonts w:hint="eastAsia" w:ascii="仿宋" w:hAnsi="仿宋" w:eastAsia="仿宋" w:cs="仿宋"/>
          <w:kern w:val="0"/>
          <w:sz w:val="32"/>
          <w:szCs w:val="32"/>
          <w:lang w:val="en-US" w:eastAsia="zh-CN"/>
        </w:rPr>
        <w:t xml:space="preserve">   </w:t>
      </w:r>
      <w:r>
        <w:rPr>
          <w:rFonts w:hint="eastAsia" w:ascii="仿宋" w:hAnsi="仿宋" w:eastAsia="仿宋" w:cs="仿宋"/>
          <w:kern w:val="0"/>
          <w:sz w:val="32"/>
          <w:szCs w:val="32"/>
        </w:rPr>
        <w:t>（二）2050299 其他普通教育支出208.55万元，较上年决算数减少11.08万元，下降5.04%。</w:t>
      </w:r>
      <w:r>
        <w:rPr>
          <w:rFonts w:hint="eastAsia" w:ascii="仿宋" w:hAnsi="仿宋" w:eastAsia="仿宋" w:cs="仿宋"/>
          <w:spacing w:val="0"/>
          <w:kern w:val="0"/>
          <w:sz w:val="32"/>
          <w:szCs w:val="32"/>
        </w:rPr>
        <w:t>主要原因</w:t>
      </w:r>
      <w:r>
        <w:rPr>
          <w:rFonts w:hint="eastAsia" w:ascii="仿宋" w:hAnsi="仿宋" w:eastAsia="仿宋" w:cs="仿宋"/>
          <w:spacing w:val="0"/>
          <w:kern w:val="0"/>
          <w:sz w:val="32"/>
          <w:szCs w:val="32"/>
          <w:lang w:eastAsia="zh-CN"/>
        </w:rPr>
        <w:t>是</w:t>
      </w:r>
      <w:r>
        <w:rPr>
          <w:rFonts w:hint="eastAsia" w:ascii="仿宋" w:hAnsi="仿宋" w:eastAsia="仿宋" w:cs="仿宋"/>
          <w:spacing w:val="0"/>
          <w:kern w:val="0"/>
          <w:sz w:val="32"/>
          <w:szCs w:val="32"/>
          <w:lang w:val="en-US" w:eastAsia="zh-CN"/>
        </w:rPr>
        <w:t>专项经费支出减少</w:t>
      </w:r>
      <w:r>
        <w:rPr>
          <w:rFonts w:hint="eastAsia" w:ascii="仿宋" w:hAnsi="仿宋" w:eastAsia="仿宋" w:cs="仿宋"/>
          <w:kern w:val="0"/>
          <w:sz w:val="32"/>
          <w:szCs w:val="32"/>
        </w:rPr>
        <w:t>。</w:t>
      </w:r>
    </w:p>
    <w:p>
      <w:pPr>
        <w:pStyle w:val="29"/>
        <w:keepNext w:val="0"/>
        <w:keepLines w:val="0"/>
        <w:pageBreakBefore w:val="0"/>
        <w:widowControl/>
        <w:kinsoku/>
        <w:wordWrap/>
        <w:overflowPunct/>
        <w:topLinePunct w:val="0"/>
        <w:autoSpaceDE/>
        <w:autoSpaceDN/>
        <w:bidi w:val="0"/>
        <w:adjustRightInd/>
        <w:snapToGrid/>
        <w:spacing w:before="240" w:after="240" w:line="520" w:lineRule="exact"/>
        <w:ind w:firstLine="640"/>
        <w:jc w:val="both"/>
        <w:textAlignment w:val="auto"/>
        <w:rPr>
          <w:rFonts w:hint="default" w:ascii="仿宋" w:hAnsi="仿宋" w:eastAsia="仿宋" w:cs="仿宋"/>
          <w:kern w:val="0"/>
          <w:sz w:val="32"/>
          <w:szCs w:val="32"/>
          <w:lang w:val="en-US" w:eastAsia="zh-CN"/>
        </w:rPr>
      </w:pPr>
      <w:r>
        <w:rPr>
          <w:rFonts w:hint="eastAsia" w:ascii="仿宋" w:hAnsi="仿宋" w:eastAsia="仿宋" w:cs="仿宋"/>
          <w:kern w:val="0"/>
          <w:sz w:val="32"/>
          <w:szCs w:val="32"/>
        </w:rPr>
        <w:t>（三）2050999 其他教育费附加安排的支出197.16万元，较上年决算数增加62.85万元，增长46.80%。主要原因是</w:t>
      </w:r>
      <w:r>
        <w:rPr>
          <w:rFonts w:hint="eastAsia" w:ascii="仿宋" w:hAnsi="仿宋" w:eastAsia="仿宋" w:cs="仿宋"/>
          <w:kern w:val="0"/>
          <w:sz w:val="32"/>
          <w:szCs w:val="32"/>
          <w:lang w:val="en-US" w:eastAsia="zh-CN"/>
        </w:rPr>
        <w:t>校园修缮投入增加。</w:t>
      </w:r>
    </w:p>
    <w:p>
      <w:pPr>
        <w:pStyle w:val="29"/>
        <w:keepNext w:val="0"/>
        <w:keepLines w:val="0"/>
        <w:pageBreakBefore w:val="0"/>
        <w:widowControl/>
        <w:kinsoku/>
        <w:wordWrap/>
        <w:overflowPunct/>
        <w:topLinePunct w:val="0"/>
        <w:autoSpaceDE/>
        <w:autoSpaceDN/>
        <w:bidi w:val="0"/>
        <w:adjustRightInd/>
        <w:snapToGrid/>
        <w:spacing w:before="240" w:after="240" w:line="520" w:lineRule="exact"/>
        <w:ind w:firstLine="640"/>
        <w:jc w:val="both"/>
        <w:textAlignment w:val="auto"/>
        <w:rPr>
          <w:rFonts w:hint="eastAsia" w:ascii="仿宋" w:hAnsi="仿宋" w:eastAsia="仿宋" w:cs="仿宋"/>
          <w:spacing w:val="0"/>
          <w:kern w:val="0"/>
          <w:sz w:val="32"/>
          <w:szCs w:val="32"/>
        </w:rPr>
      </w:pPr>
      <w:r>
        <w:rPr>
          <w:rFonts w:hint="eastAsia" w:ascii="仿宋" w:hAnsi="仿宋" w:eastAsia="仿宋" w:cs="仿宋"/>
          <w:kern w:val="0"/>
          <w:sz w:val="32"/>
          <w:szCs w:val="32"/>
        </w:rPr>
        <w:t>（四）2080502 事业单位离退休15.22万元，较上年决算数增加3.84万元，增长33.74%。主要原因是</w:t>
      </w:r>
      <w:r>
        <w:rPr>
          <w:rFonts w:hint="eastAsia" w:ascii="仿宋" w:hAnsi="仿宋" w:eastAsia="仿宋" w:cs="仿宋"/>
          <w:kern w:val="0"/>
          <w:sz w:val="32"/>
          <w:szCs w:val="32"/>
          <w:lang w:val="en-US" w:eastAsia="zh-CN"/>
        </w:rPr>
        <w:t>退休人员增加。</w:t>
      </w:r>
      <w:r>
        <w:rPr>
          <w:rFonts w:hint="eastAsia" w:ascii="仿宋" w:hAnsi="仿宋" w:eastAsia="仿宋" w:cs="仿宋"/>
          <w:kern w:val="0"/>
          <w:sz w:val="32"/>
          <w:szCs w:val="32"/>
        </w:rPr>
        <w:br w:type="textWrapping"/>
      </w:r>
      <w:r>
        <w:rPr>
          <w:rFonts w:hint="eastAsia" w:ascii="仿宋" w:hAnsi="仿宋" w:eastAsia="仿宋" w:cs="仿宋"/>
          <w:kern w:val="0"/>
          <w:sz w:val="32"/>
          <w:szCs w:val="32"/>
          <w:lang w:val="en-US" w:eastAsia="zh-CN"/>
        </w:rPr>
        <w:t xml:space="preserve">   </w:t>
      </w:r>
      <w:r>
        <w:rPr>
          <w:rFonts w:hint="eastAsia" w:ascii="仿宋" w:hAnsi="仿宋" w:eastAsia="仿宋" w:cs="仿宋"/>
          <w:kern w:val="0"/>
          <w:sz w:val="32"/>
          <w:szCs w:val="32"/>
        </w:rPr>
        <w:t>（五）2080505 机关事业单位基本养老保险缴费支出250.50万元，较上年决算数减少0.03万元，下降0.01%。主要原因是</w:t>
      </w:r>
      <w:r>
        <w:rPr>
          <w:rFonts w:hint="eastAsia" w:ascii="仿宋" w:hAnsi="仿宋" w:eastAsia="仿宋" w:cs="仿宋"/>
          <w:kern w:val="0"/>
          <w:sz w:val="32"/>
          <w:szCs w:val="32"/>
          <w:lang w:val="en-US" w:eastAsia="zh-CN"/>
        </w:rPr>
        <w:t>人员未变动，与上年基本持平。</w:t>
      </w:r>
      <w:r>
        <w:rPr>
          <w:rFonts w:hint="eastAsia" w:ascii="仿宋" w:hAnsi="仿宋" w:eastAsia="仿宋" w:cs="仿宋"/>
          <w:kern w:val="0"/>
          <w:sz w:val="32"/>
          <w:szCs w:val="32"/>
        </w:rPr>
        <w:br w:type="textWrapping"/>
      </w:r>
      <w:r>
        <w:rPr>
          <w:rFonts w:hint="eastAsia" w:ascii="仿宋" w:hAnsi="仿宋" w:eastAsia="仿宋" w:cs="仿宋"/>
          <w:kern w:val="0"/>
          <w:sz w:val="32"/>
          <w:szCs w:val="32"/>
          <w:lang w:val="en-US" w:eastAsia="zh-CN"/>
        </w:rPr>
        <w:t xml:space="preserve">   </w:t>
      </w:r>
      <w:r>
        <w:rPr>
          <w:rFonts w:hint="eastAsia" w:ascii="仿宋" w:hAnsi="仿宋" w:eastAsia="仿宋" w:cs="仿宋"/>
          <w:kern w:val="0"/>
          <w:sz w:val="32"/>
          <w:szCs w:val="32"/>
        </w:rPr>
        <w:t>（六）2080506 机关事业单位职业年金缴费支出146.95万元，较上年决算数增加21.69万元，增长17.31%。</w:t>
      </w:r>
      <w:r>
        <w:rPr>
          <w:rFonts w:hint="eastAsia" w:ascii="仿宋" w:hAnsi="仿宋" w:eastAsia="仿宋" w:cs="仿宋"/>
          <w:spacing w:val="0"/>
          <w:kern w:val="0"/>
          <w:sz w:val="32"/>
          <w:szCs w:val="32"/>
        </w:rPr>
        <w:t>主要原因是</w:t>
      </w:r>
      <w:r>
        <w:rPr>
          <w:rFonts w:hint="eastAsia" w:ascii="仿宋" w:hAnsi="仿宋" w:eastAsia="仿宋" w:cs="仿宋"/>
          <w:kern w:val="0"/>
          <w:sz w:val="32"/>
          <w:szCs w:val="32"/>
          <w:lang w:eastAsia="zh-CN"/>
        </w:rPr>
        <w:t>缴费基数增加及</w:t>
      </w:r>
      <w:r>
        <w:rPr>
          <w:rFonts w:hint="eastAsia" w:ascii="仿宋" w:hAnsi="仿宋" w:eastAsia="仿宋" w:cs="仿宋"/>
          <w:spacing w:val="0"/>
          <w:kern w:val="0"/>
          <w:sz w:val="32"/>
          <w:szCs w:val="32"/>
          <w:lang w:eastAsia="zh-CN"/>
        </w:rPr>
        <w:t>新增</w:t>
      </w:r>
      <w:r>
        <w:rPr>
          <w:rFonts w:hint="eastAsia" w:ascii="仿宋" w:hAnsi="仿宋" w:eastAsia="仿宋" w:cs="仿宋"/>
          <w:kern w:val="0"/>
          <w:sz w:val="32"/>
          <w:szCs w:val="32"/>
        </w:rPr>
        <w:t>退休</w:t>
      </w:r>
      <w:r>
        <w:rPr>
          <w:rFonts w:hint="eastAsia" w:ascii="仿宋" w:hAnsi="仿宋" w:eastAsia="仿宋" w:cs="仿宋"/>
          <w:kern w:val="0"/>
          <w:sz w:val="32"/>
          <w:szCs w:val="32"/>
          <w:lang w:eastAsia="zh-CN"/>
        </w:rPr>
        <w:t>人员</w:t>
      </w:r>
      <w:r>
        <w:rPr>
          <w:rFonts w:hint="eastAsia" w:ascii="仿宋" w:hAnsi="仿宋" w:eastAsia="仿宋" w:cs="仿宋"/>
          <w:kern w:val="0"/>
          <w:sz w:val="32"/>
          <w:szCs w:val="32"/>
        </w:rPr>
        <w:t>职业年金</w:t>
      </w:r>
      <w:r>
        <w:rPr>
          <w:rFonts w:hint="eastAsia" w:ascii="仿宋" w:hAnsi="仿宋" w:eastAsia="仿宋" w:cs="仿宋"/>
          <w:kern w:val="0"/>
          <w:sz w:val="32"/>
          <w:szCs w:val="32"/>
          <w:lang w:eastAsia="zh-CN"/>
        </w:rPr>
        <w:t>记实支出</w:t>
      </w:r>
      <w:r>
        <w:rPr>
          <w:rFonts w:hint="eastAsia" w:ascii="仿宋" w:hAnsi="仿宋" w:eastAsia="仿宋" w:cs="仿宋"/>
          <w:kern w:val="0"/>
          <w:sz w:val="32"/>
          <w:szCs w:val="32"/>
        </w:rPr>
        <w:t>。</w:t>
      </w:r>
    </w:p>
    <w:p>
      <w:pPr>
        <w:pStyle w:val="29"/>
        <w:widowControl/>
        <w:spacing w:before="240" w:after="240" w:line="600" w:lineRule="atLeast"/>
        <w:jc w:val="both"/>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 xml:space="preserve">   </w:t>
      </w:r>
      <w:r>
        <w:rPr>
          <w:rFonts w:hint="eastAsia" w:ascii="仿宋" w:hAnsi="仿宋" w:eastAsia="仿宋" w:cs="仿宋"/>
          <w:kern w:val="0"/>
          <w:sz w:val="32"/>
          <w:szCs w:val="32"/>
        </w:rPr>
        <w:t>（七）2101102 事业单位医疗107.25万元，较上年决算数增加0.00万元，增长0.00%。</w:t>
      </w:r>
      <w:r>
        <w:rPr>
          <w:rFonts w:hint="eastAsia" w:ascii="仿宋" w:hAnsi="仿宋" w:eastAsia="仿宋" w:cs="仿宋"/>
          <w:spacing w:val="0"/>
          <w:kern w:val="0"/>
          <w:sz w:val="32"/>
          <w:szCs w:val="32"/>
        </w:rPr>
        <w:t>主要原因是</w:t>
      </w:r>
      <w:r>
        <w:rPr>
          <w:rFonts w:hint="eastAsia" w:ascii="仿宋" w:hAnsi="仿宋" w:eastAsia="仿宋" w:cs="仿宋"/>
          <w:kern w:val="0"/>
          <w:sz w:val="32"/>
          <w:szCs w:val="32"/>
          <w:lang w:eastAsia="zh-CN"/>
        </w:rPr>
        <w:t>与上年决算持平。</w:t>
      </w:r>
    </w:p>
    <w:p>
      <w:pPr>
        <w:pStyle w:val="29"/>
        <w:widowControl/>
        <w:spacing w:before="240" w:after="240" w:line="600" w:lineRule="atLeast"/>
        <w:ind w:firstLine="640" w:firstLineChars="200"/>
        <w:jc w:val="both"/>
        <w:rPr>
          <w:rFonts w:hint="eastAsia" w:ascii="仿宋" w:hAnsi="仿宋" w:eastAsia="仿宋" w:cs="仿宋"/>
          <w:kern w:val="0"/>
          <w:sz w:val="32"/>
          <w:szCs w:val="32"/>
          <w:lang w:val="en-US" w:eastAsia="zh-CN"/>
        </w:rPr>
      </w:pPr>
      <w:r>
        <w:rPr>
          <w:rFonts w:hint="eastAsia" w:ascii="仿宋" w:hAnsi="仿宋" w:eastAsia="仿宋" w:cs="仿宋"/>
          <w:kern w:val="0"/>
          <w:sz w:val="32"/>
          <w:szCs w:val="32"/>
        </w:rPr>
        <w:t>（八）2101199 其他行政事业单位医疗支出54.80万元，较上年决算数增加0.00万元，增长0.00%。</w:t>
      </w:r>
      <w:r>
        <w:rPr>
          <w:rFonts w:hint="eastAsia" w:ascii="仿宋" w:hAnsi="仿宋" w:eastAsia="仿宋" w:cs="仿宋"/>
          <w:spacing w:val="0"/>
          <w:kern w:val="0"/>
          <w:sz w:val="32"/>
          <w:szCs w:val="32"/>
        </w:rPr>
        <w:t>主要原因是</w:t>
      </w:r>
      <w:r>
        <w:rPr>
          <w:rFonts w:hint="eastAsia" w:ascii="仿宋" w:hAnsi="仿宋" w:eastAsia="仿宋" w:cs="仿宋"/>
          <w:kern w:val="0"/>
          <w:sz w:val="32"/>
          <w:szCs w:val="32"/>
          <w:lang w:eastAsia="zh-CN"/>
        </w:rPr>
        <w:t>与上年决算持平。</w:t>
      </w:r>
    </w:p>
    <w:p>
      <w:pPr>
        <w:pStyle w:val="29"/>
        <w:widowControl/>
        <w:spacing w:before="240" w:after="240" w:line="600" w:lineRule="atLeast"/>
        <w:ind w:firstLine="640"/>
        <w:jc w:val="both"/>
        <w:rPr>
          <w:rFonts w:hint="default" w:ascii="仿宋" w:hAnsi="仿宋" w:eastAsia="仿宋" w:cs="仿宋"/>
          <w:kern w:val="0"/>
          <w:sz w:val="32"/>
          <w:szCs w:val="32"/>
          <w:lang w:val="en-US" w:eastAsia="zh-CN"/>
        </w:rPr>
      </w:pPr>
      <w:r>
        <w:rPr>
          <w:rFonts w:hint="eastAsia" w:ascii="仿宋" w:hAnsi="仿宋" w:eastAsia="仿宋" w:cs="仿宋"/>
          <w:kern w:val="0"/>
          <w:sz w:val="32"/>
          <w:szCs w:val="32"/>
        </w:rPr>
        <w:t>（九）2210203 购房补贴45.50万元，较上年决算数增加45.50万元，增长100%。</w:t>
      </w:r>
      <w:r>
        <w:rPr>
          <w:rFonts w:hint="eastAsia" w:ascii="仿宋" w:hAnsi="仿宋" w:eastAsia="仿宋" w:cs="仿宋"/>
          <w:spacing w:val="0"/>
          <w:kern w:val="0"/>
          <w:sz w:val="32"/>
          <w:szCs w:val="32"/>
        </w:rPr>
        <w:t>主要原因是</w:t>
      </w:r>
      <w:r>
        <w:rPr>
          <w:rFonts w:hint="eastAsia" w:ascii="仿宋" w:hAnsi="仿宋" w:eastAsia="仿宋" w:cs="仿宋"/>
          <w:spacing w:val="0"/>
          <w:kern w:val="0"/>
          <w:sz w:val="32"/>
          <w:szCs w:val="32"/>
          <w:lang w:eastAsia="zh-CN"/>
        </w:rPr>
        <w:t>新增教师住房货币化补贴。</w:t>
      </w:r>
    </w:p>
    <w:p>
      <w:pPr>
        <w:pStyle w:val="6"/>
        <w:keepNext w:val="0"/>
        <w:keepLines w:val="0"/>
        <w:spacing w:before="100" w:after="100" w:line="600" w:lineRule="atLeast"/>
        <w:ind w:left="0" w:right="0" w:firstLine="640" w:firstLineChars="0"/>
        <w:jc w:val="both"/>
        <w:rPr>
          <w:rFonts w:hint="eastAsia" w:ascii="黑体" w:hAnsi="宋体" w:eastAsia="黑体" w:cs="黑体"/>
          <w:b/>
          <w:bCs/>
          <w:kern w:val="0"/>
          <w:sz w:val="32"/>
          <w:szCs w:val="32"/>
          <w:shd w:val="clear" w:fill="FFFFFF"/>
          <w:lang w:val="en-US" w:eastAsia="zh-CN" w:bidi="ar"/>
        </w:rPr>
      </w:pPr>
      <w:bookmarkStart w:id="41" w:name="_Toc256000083"/>
      <w:bookmarkStart w:id="42" w:name="_Toc256000021"/>
      <w:bookmarkStart w:id="43" w:name="_Toc256000114"/>
      <w:bookmarkStart w:id="44" w:name="_Toc256000052"/>
      <w:r>
        <w:rPr>
          <w:rFonts w:hint="eastAsia" w:ascii="黑体" w:hAnsi="宋体" w:eastAsia="黑体" w:cs="黑体"/>
          <w:b/>
          <w:bCs/>
          <w:kern w:val="0"/>
          <w:sz w:val="32"/>
          <w:szCs w:val="32"/>
          <w:shd w:val="clear" w:fill="FFFFFF"/>
          <w:lang w:val="en-US" w:eastAsia="zh-CN" w:bidi="ar"/>
        </w:rPr>
        <w:t>四、政府性基金预算财政拨款支出决算情况说明</w:t>
      </w:r>
      <w:bookmarkEnd w:id="41"/>
      <w:bookmarkEnd w:id="42"/>
      <w:bookmarkEnd w:id="43"/>
      <w:bookmarkEnd w:id="44"/>
    </w:p>
    <w:p>
      <w:pPr>
        <w:pStyle w:val="29"/>
        <w:widowControl/>
        <w:spacing w:before="240" w:after="240" w:line="600" w:lineRule="atLeast"/>
        <w:ind w:firstLine="640"/>
        <w:jc w:val="both"/>
        <w:rPr>
          <w:rFonts w:hint="eastAsia" w:ascii="仿宋" w:hAnsi="仿宋" w:eastAsia="仿宋" w:cs="仿宋"/>
          <w:kern w:val="0"/>
          <w:sz w:val="32"/>
          <w:szCs w:val="32"/>
        </w:rPr>
      </w:pPr>
      <w:r>
        <w:rPr>
          <w:rFonts w:hint="eastAsia" w:ascii="仿宋" w:hAnsi="仿宋" w:eastAsia="仿宋" w:cs="仿宋"/>
          <w:kern w:val="0"/>
          <w:sz w:val="32"/>
          <w:szCs w:val="32"/>
        </w:rPr>
        <w:t>2024年度政府性基金支出1.40万元，比上年决算数减少17.21万元，下降92.48%，具体情况如下(按项级科目统计)：</w:t>
      </w:r>
    </w:p>
    <w:p>
      <w:pPr>
        <w:pStyle w:val="29"/>
        <w:widowControl/>
        <w:spacing w:before="240" w:after="240" w:line="600" w:lineRule="atLeast"/>
        <w:ind w:firstLine="640"/>
        <w:jc w:val="both"/>
        <w:rPr>
          <w:rFonts w:hint="default" w:ascii="Times New Roman" w:hAnsi="Times New Roman" w:eastAsia="仿宋" w:cs="Times New Roman"/>
          <w:kern w:val="0"/>
          <w:sz w:val="24"/>
          <w:lang w:val="en-US" w:eastAsia="zh-CN"/>
        </w:rPr>
      </w:pPr>
      <w:r>
        <w:rPr>
          <w:rFonts w:hint="eastAsia" w:ascii="仿宋" w:hAnsi="仿宋" w:eastAsia="仿宋" w:cs="仿宋"/>
          <w:kern w:val="0"/>
          <w:sz w:val="32"/>
          <w:szCs w:val="32"/>
        </w:rPr>
        <w:t>2296003 用于体育事业的彩票公益金支出1.40万元，较上年决算数减少17.21万元，下降92.48%。主要原因是</w:t>
      </w:r>
      <w:r>
        <w:rPr>
          <w:rFonts w:hint="eastAsia" w:ascii="仿宋" w:hAnsi="仿宋" w:eastAsia="仿宋" w:cs="仿宋"/>
          <w:kern w:val="0"/>
          <w:sz w:val="32"/>
          <w:szCs w:val="32"/>
          <w:lang w:eastAsia="zh-CN"/>
        </w:rPr>
        <w:t>学校</w:t>
      </w:r>
      <w:r>
        <w:rPr>
          <w:rFonts w:hint="eastAsia" w:ascii="仿宋" w:hAnsi="仿宋" w:eastAsia="仿宋" w:cs="仿宋"/>
          <w:kern w:val="0"/>
          <w:sz w:val="32"/>
          <w:szCs w:val="32"/>
          <w:lang w:val="en-US" w:eastAsia="zh-CN"/>
        </w:rPr>
        <w:t>运动场地开放费用支出减少。</w:t>
      </w:r>
    </w:p>
    <w:p>
      <w:pPr>
        <w:pStyle w:val="6"/>
        <w:keepNext w:val="0"/>
        <w:keepLines w:val="0"/>
        <w:spacing w:before="100" w:after="100" w:line="600" w:lineRule="atLeast"/>
        <w:ind w:left="0" w:right="0" w:firstLine="640" w:firstLineChars="0"/>
        <w:jc w:val="both"/>
        <w:rPr>
          <w:rFonts w:hint="eastAsia" w:ascii="黑体" w:hAnsi="宋体" w:eastAsia="黑体" w:cs="黑体"/>
          <w:b/>
          <w:bCs/>
          <w:kern w:val="0"/>
          <w:sz w:val="32"/>
          <w:szCs w:val="32"/>
          <w:shd w:val="clear" w:fill="FFFFFF"/>
          <w:lang w:val="en-US" w:eastAsia="zh-CN" w:bidi="ar"/>
        </w:rPr>
      </w:pPr>
      <w:bookmarkStart w:id="45" w:name="_Toc256000115"/>
      <w:bookmarkStart w:id="46" w:name="_Toc256000084"/>
      <w:bookmarkStart w:id="47" w:name="_Toc256000053"/>
      <w:bookmarkStart w:id="48" w:name="_Toc256000022"/>
      <w:r>
        <w:rPr>
          <w:rFonts w:hint="eastAsia" w:ascii="黑体" w:hAnsi="宋体" w:eastAsia="黑体" w:cs="黑体"/>
          <w:b/>
          <w:bCs/>
          <w:kern w:val="0"/>
          <w:sz w:val="32"/>
          <w:szCs w:val="32"/>
          <w:shd w:val="clear" w:fill="FFFFFF"/>
          <w:lang w:val="en-US" w:eastAsia="zh-CN" w:bidi="ar"/>
        </w:rPr>
        <w:t>五、国有资本经营预算财政拨款支出决算情况说明</w:t>
      </w:r>
      <w:bookmarkEnd w:id="45"/>
      <w:bookmarkEnd w:id="46"/>
      <w:bookmarkEnd w:id="47"/>
      <w:bookmarkEnd w:id="48"/>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jc w:val="both"/>
        <w:textAlignment w:val="auto"/>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rPr>
        <w:t>2024年度国有资本经营预算支出0万元，比上年决算数增加0万元，增长0%</w:t>
      </w:r>
      <w:r>
        <w:rPr>
          <w:rFonts w:hint="eastAsia" w:ascii="仿宋" w:hAnsi="仿宋" w:eastAsia="仿宋" w:cs="仿宋"/>
          <w:spacing w:val="0"/>
          <w:kern w:val="0"/>
          <w:sz w:val="32"/>
          <w:szCs w:val="32"/>
          <w:lang w:eastAsia="zh-CN"/>
        </w:rPr>
        <w:t>。</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jc w:val="both"/>
        <w:textAlignment w:val="auto"/>
        <w:rPr>
          <w:rFonts w:hint="eastAsia" w:ascii="仿宋" w:hAnsi="仿宋" w:eastAsia="仿宋" w:cs="仿宋"/>
          <w:kern w:val="0"/>
          <w:sz w:val="32"/>
          <w:szCs w:val="32"/>
        </w:rPr>
      </w:pPr>
      <w:r>
        <w:rPr>
          <w:rFonts w:ascii="仿宋" w:hAnsi="仿宋" w:eastAsia="仿宋" w:cs="仿宋"/>
          <w:spacing w:val="0"/>
          <w:kern w:val="0"/>
          <w:sz w:val="32"/>
          <w:szCs w:val="32"/>
        </w:rPr>
        <w:t>本单位2024年度没有使用国有资本经营预算财政拨款安排的支出。</w:t>
      </w:r>
    </w:p>
    <w:p>
      <w:pPr>
        <w:pStyle w:val="6"/>
        <w:keepNext w:val="0"/>
        <w:keepLines w:val="0"/>
        <w:spacing w:before="100" w:after="100" w:line="600" w:lineRule="atLeast"/>
        <w:ind w:left="0" w:right="0" w:firstLine="640" w:firstLineChars="0"/>
        <w:jc w:val="both"/>
        <w:rPr>
          <w:rFonts w:hint="eastAsia" w:ascii="黑体" w:hAnsi="宋体" w:eastAsia="黑体" w:cs="黑体"/>
          <w:b/>
          <w:bCs/>
          <w:kern w:val="0"/>
          <w:sz w:val="32"/>
          <w:szCs w:val="32"/>
          <w:shd w:val="clear" w:fill="FFFFFF"/>
          <w:lang w:val="en-US" w:eastAsia="zh-CN" w:bidi="ar"/>
        </w:rPr>
      </w:pPr>
      <w:bookmarkStart w:id="49" w:name="_Toc256000085"/>
      <w:bookmarkStart w:id="50" w:name="_Toc256000116"/>
      <w:bookmarkStart w:id="51" w:name="_Toc256000023"/>
      <w:bookmarkStart w:id="52" w:name="_Toc256000054"/>
      <w:r>
        <w:rPr>
          <w:rFonts w:hint="eastAsia" w:ascii="黑体" w:hAnsi="宋体" w:eastAsia="黑体" w:cs="黑体"/>
          <w:b/>
          <w:bCs/>
          <w:kern w:val="0"/>
          <w:sz w:val="32"/>
          <w:szCs w:val="32"/>
          <w:shd w:val="clear" w:fill="FFFFFF"/>
          <w:lang w:val="en-US" w:eastAsia="zh-CN" w:bidi="ar"/>
        </w:rPr>
        <w:t>六、一般公共预算财政拨款基本支出决算情况说明</w:t>
      </w:r>
      <w:bookmarkEnd w:id="49"/>
      <w:bookmarkEnd w:id="50"/>
      <w:bookmarkEnd w:id="51"/>
      <w:bookmarkEnd w:id="52"/>
    </w:p>
    <w:p>
      <w:pPr>
        <w:pStyle w:val="29"/>
        <w:widowControl/>
        <w:spacing w:before="240" w:after="240" w:line="600" w:lineRule="atLeast"/>
        <w:ind w:firstLine="640"/>
        <w:jc w:val="both"/>
        <w:rPr>
          <w:rFonts w:hint="eastAsia" w:ascii="仿宋" w:hAnsi="仿宋" w:eastAsia="仿宋" w:cs="仿宋"/>
          <w:kern w:val="0"/>
          <w:sz w:val="32"/>
          <w:szCs w:val="32"/>
        </w:rPr>
      </w:pPr>
      <w:r>
        <w:rPr>
          <w:rFonts w:hint="eastAsia" w:ascii="仿宋" w:hAnsi="仿宋" w:eastAsia="仿宋" w:cs="仿宋"/>
          <w:kern w:val="0"/>
          <w:sz w:val="32"/>
          <w:szCs w:val="32"/>
        </w:rPr>
        <w:t>2024年度一般公共预算财政拨款基本支出3693.26万元，其中：</w:t>
      </w:r>
    </w:p>
    <w:p>
      <w:pPr>
        <w:pStyle w:val="29"/>
        <w:widowControl/>
        <w:spacing w:before="240" w:after="240" w:line="600" w:lineRule="atLeast"/>
        <w:ind w:firstLine="640"/>
        <w:jc w:val="both"/>
        <w:rPr>
          <w:rFonts w:hint="eastAsia" w:ascii="仿宋" w:hAnsi="仿宋" w:eastAsia="仿宋" w:cs="仿宋"/>
          <w:kern w:val="0"/>
          <w:sz w:val="32"/>
          <w:szCs w:val="32"/>
        </w:rPr>
      </w:pPr>
      <w:r>
        <w:rPr>
          <w:rFonts w:hint="eastAsia" w:ascii="仿宋" w:hAnsi="仿宋" w:eastAsia="仿宋" w:cs="仿宋"/>
          <w:kern w:val="0"/>
          <w:sz w:val="32"/>
          <w:szCs w:val="32"/>
        </w:rPr>
        <w:t>（一）人员经费3359.28万元，主要包括：基本工资、津贴补贴、奖金、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p>
    <w:p>
      <w:pPr>
        <w:pStyle w:val="29"/>
        <w:widowControl/>
        <w:spacing w:before="240" w:after="240" w:line="600" w:lineRule="atLeast"/>
        <w:ind w:firstLine="640"/>
        <w:jc w:val="both"/>
        <w:rPr>
          <w:rFonts w:hint="eastAsia" w:ascii="仿宋" w:hAnsi="仿宋" w:eastAsia="仿宋" w:cs="仿宋"/>
          <w:kern w:val="0"/>
          <w:sz w:val="32"/>
          <w:szCs w:val="32"/>
        </w:rPr>
      </w:pPr>
      <w:r>
        <w:rPr>
          <w:rFonts w:hint="eastAsia" w:ascii="仿宋" w:hAnsi="仿宋" w:eastAsia="仿宋" w:cs="仿宋"/>
          <w:kern w:val="0"/>
          <w:sz w:val="32"/>
          <w:szCs w:val="32"/>
        </w:rPr>
        <w:t>（二）公用经费333.99万元，主要包括：办公费、印刷费、咨询费、手续费、水费、电费、邮电费、取暖费、物业管理费、差旅费、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赠与。</w:t>
      </w:r>
    </w:p>
    <w:p>
      <w:pPr>
        <w:pStyle w:val="6"/>
        <w:keepNext w:val="0"/>
        <w:keepLines w:val="0"/>
        <w:spacing w:before="100" w:after="100" w:line="600" w:lineRule="atLeast"/>
        <w:ind w:left="0" w:right="0" w:firstLine="640" w:firstLineChars="0"/>
        <w:jc w:val="both"/>
        <w:rPr>
          <w:rFonts w:hint="eastAsia" w:ascii="黑体" w:hAnsi="宋体" w:eastAsia="黑体" w:cs="黑体"/>
          <w:b/>
          <w:bCs/>
          <w:kern w:val="0"/>
          <w:sz w:val="32"/>
          <w:szCs w:val="32"/>
          <w:shd w:val="clear" w:fill="FFFFFF"/>
          <w:lang w:val="en-US" w:eastAsia="zh-CN" w:bidi="ar"/>
        </w:rPr>
      </w:pPr>
      <w:bookmarkStart w:id="53" w:name="_Toc256000055"/>
      <w:bookmarkStart w:id="54" w:name="_Toc256000117"/>
      <w:bookmarkStart w:id="55" w:name="_Toc256000086"/>
      <w:bookmarkStart w:id="56" w:name="_Toc256000024"/>
      <w:r>
        <w:rPr>
          <w:rFonts w:hint="eastAsia" w:ascii="黑体" w:hAnsi="宋体" w:eastAsia="黑体" w:cs="黑体"/>
          <w:b/>
          <w:bCs/>
          <w:kern w:val="0"/>
          <w:sz w:val="32"/>
          <w:szCs w:val="32"/>
          <w:shd w:val="clear" w:fill="FFFFFF"/>
          <w:lang w:val="en-US" w:eastAsia="zh-CN" w:bidi="ar"/>
        </w:rPr>
        <w:t>七、一般公共预算拨款“三公”经费支出决算情况说明</w:t>
      </w:r>
      <w:bookmarkEnd w:id="53"/>
      <w:bookmarkEnd w:id="54"/>
      <w:bookmarkEnd w:id="55"/>
      <w:bookmarkEnd w:id="56"/>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704"/>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2024年度一般公共预算拨款“三公”经费支出0万元，</w:t>
      </w:r>
      <w:r>
        <w:rPr>
          <w:rFonts w:hint="eastAsia" w:ascii="仿宋" w:hAnsi="仿宋" w:eastAsia="仿宋" w:cs="仿宋"/>
          <w:kern w:val="0"/>
          <w:sz w:val="32"/>
          <w:szCs w:val="32"/>
          <w:lang w:eastAsia="zh-CN"/>
        </w:rPr>
        <w:t>与</w:t>
      </w:r>
      <w:r>
        <w:rPr>
          <w:rFonts w:hint="eastAsia" w:ascii="仿宋" w:hAnsi="仿宋" w:eastAsia="仿宋" w:cs="仿宋"/>
          <w:kern w:val="0"/>
          <w:sz w:val="32"/>
          <w:szCs w:val="32"/>
        </w:rPr>
        <w:t>全年预算</w:t>
      </w:r>
      <w:r>
        <w:rPr>
          <w:rFonts w:hint="eastAsia" w:ascii="仿宋" w:hAnsi="仿宋" w:eastAsia="仿宋" w:cs="仿宋"/>
          <w:kern w:val="0"/>
          <w:sz w:val="32"/>
          <w:szCs w:val="32"/>
          <w:lang w:val="en-US" w:eastAsia="zh-CN"/>
        </w:rPr>
        <w:t>0.00万元持平，</w:t>
      </w:r>
      <w:r>
        <w:rPr>
          <w:rFonts w:hint="eastAsia" w:ascii="仿宋" w:hAnsi="仿宋" w:eastAsia="仿宋" w:cs="仿宋"/>
          <w:kern w:val="0"/>
          <w:sz w:val="32"/>
          <w:szCs w:val="32"/>
        </w:rPr>
        <w:t>较上年</w:t>
      </w:r>
      <w:r>
        <w:rPr>
          <w:rFonts w:hint="eastAsia" w:ascii="仿宋" w:hAnsi="仿宋" w:eastAsia="仿宋" w:cs="仿宋"/>
          <w:kern w:val="0"/>
          <w:sz w:val="32"/>
          <w:szCs w:val="32"/>
          <w:lang w:eastAsia="zh-CN"/>
        </w:rPr>
        <w:t>决算的</w:t>
      </w:r>
      <w:r>
        <w:rPr>
          <w:rFonts w:hint="eastAsia" w:ascii="仿宋" w:hAnsi="仿宋" w:eastAsia="仿宋" w:cs="仿宋"/>
          <w:kern w:val="0"/>
          <w:sz w:val="32"/>
          <w:szCs w:val="32"/>
          <w:lang w:val="en-US" w:eastAsia="zh-CN"/>
        </w:rPr>
        <w:t>0.00万元相比持平。</w:t>
      </w:r>
      <w:r>
        <w:rPr>
          <w:rFonts w:hint="eastAsia" w:ascii="仿宋" w:hAnsi="仿宋" w:eastAsia="仿宋" w:cs="仿宋"/>
          <w:kern w:val="0"/>
          <w:sz w:val="32"/>
          <w:szCs w:val="32"/>
          <w:shd w:val="clear" w:color="auto" w:fill="FFFFFF"/>
        </w:rPr>
        <w:t>主要原因是</w:t>
      </w:r>
      <w:r>
        <w:rPr>
          <w:rFonts w:hint="eastAsia" w:ascii="仿宋" w:hAnsi="仿宋" w:eastAsia="仿宋" w:cs="仿宋"/>
          <w:kern w:val="0"/>
          <w:sz w:val="32"/>
          <w:szCs w:val="32"/>
          <w:shd w:val="clear" w:color="auto" w:fill="FFFFFF"/>
          <w:lang w:eastAsia="zh-CN"/>
        </w:rPr>
        <w:t>本单位没有使用“三公”经费支出</w:t>
      </w:r>
      <w:r>
        <w:rPr>
          <w:rFonts w:hint="eastAsia" w:ascii="仿宋" w:hAnsi="仿宋" w:eastAsia="仿宋" w:cs="仿宋"/>
          <w:kern w:val="0"/>
          <w:sz w:val="32"/>
          <w:szCs w:val="32"/>
          <w:shd w:val="clear" w:color="auto" w:fill="FFFFFF"/>
        </w:rPr>
        <w:t>。</w:t>
      </w:r>
      <w:r>
        <w:rPr>
          <w:rFonts w:ascii="仿宋" w:hAnsi="仿宋" w:eastAsia="仿宋" w:cs="仿宋"/>
          <w:spacing w:val="0"/>
          <w:kern w:val="0"/>
          <w:sz w:val="32"/>
          <w:szCs w:val="32"/>
        </w:rPr>
        <w:t>具体情况如下：</w:t>
      </w:r>
    </w:p>
    <w:p>
      <w:pPr>
        <w:pStyle w:val="29"/>
        <w:widowControl/>
        <w:numPr>
          <w:ilvl w:val="0"/>
          <w:numId w:val="1"/>
        </w:numPr>
        <w:spacing w:before="240" w:after="240" w:line="600" w:lineRule="atLeast"/>
        <w:ind w:firstLine="640"/>
        <w:jc w:val="both"/>
        <w:rPr>
          <w:rFonts w:hint="eastAsia" w:ascii="仿宋" w:hAnsi="仿宋" w:eastAsia="仿宋" w:cs="仿宋"/>
          <w:kern w:val="0"/>
          <w:sz w:val="32"/>
          <w:szCs w:val="32"/>
        </w:rPr>
      </w:pPr>
      <w:r>
        <w:rPr>
          <w:rFonts w:hint="eastAsia" w:ascii="仿宋" w:hAnsi="仿宋" w:eastAsia="仿宋" w:cs="仿宋"/>
          <w:kern w:val="0"/>
          <w:sz w:val="32"/>
          <w:szCs w:val="32"/>
        </w:rPr>
        <w:t>因公出国（境）费支出0万元，完成全年预算的 0%；较上年增加0万元，增长0%。全年安排本单位组织的出国团组0 个，参加其他单位出国团组个；全年因公出国（境）累计0人次。主要是本</w:t>
      </w:r>
      <w:r>
        <w:rPr>
          <w:rFonts w:hint="eastAsia" w:ascii="仿宋" w:hAnsi="仿宋" w:eastAsia="仿宋" w:cs="仿宋"/>
          <w:kern w:val="0"/>
          <w:sz w:val="32"/>
          <w:szCs w:val="32"/>
          <w:lang w:eastAsia="zh-CN"/>
        </w:rPr>
        <w:t>单位</w:t>
      </w:r>
      <w:r>
        <w:rPr>
          <w:rFonts w:hint="eastAsia" w:ascii="仿宋" w:hAnsi="仿宋" w:eastAsia="仿宋" w:cs="仿宋"/>
          <w:kern w:val="0"/>
          <w:sz w:val="32"/>
          <w:szCs w:val="32"/>
        </w:rPr>
        <w:t>没有组织出国及参加其他</w:t>
      </w:r>
      <w:r>
        <w:rPr>
          <w:rFonts w:hint="eastAsia" w:ascii="仿宋" w:hAnsi="仿宋" w:eastAsia="仿宋" w:cs="仿宋"/>
          <w:kern w:val="0"/>
          <w:sz w:val="32"/>
          <w:szCs w:val="32"/>
          <w:lang w:eastAsia="zh-CN"/>
        </w:rPr>
        <w:t>单位</w:t>
      </w:r>
      <w:r>
        <w:rPr>
          <w:rFonts w:hint="eastAsia" w:ascii="仿宋" w:hAnsi="仿宋" w:eastAsia="仿宋" w:cs="仿宋"/>
          <w:kern w:val="0"/>
          <w:sz w:val="32"/>
          <w:szCs w:val="32"/>
        </w:rPr>
        <w:t>出国团</w:t>
      </w:r>
    </w:p>
    <w:p>
      <w:pPr>
        <w:pStyle w:val="29"/>
        <w:widowControl/>
        <w:numPr>
          <w:ilvl w:val="0"/>
          <w:numId w:val="1"/>
        </w:numPr>
        <w:spacing w:before="240" w:after="240" w:line="600" w:lineRule="atLeast"/>
        <w:ind w:left="0" w:leftChars="0" w:firstLine="640" w:firstLineChars="0"/>
        <w:jc w:val="both"/>
        <w:rPr>
          <w:rFonts w:hint="eastAsia" w:ascii="仿宋" w:hAnsi="仿宋" w:eastAsia="仿宋" w:cs="仿宋"/>
          <w:kern w:val="0"/>
          <w:sz w:val="32"/>
          <w:szCs w:val="32"/>
        </w:rPr>
      </w:pPr>
      <w:r>
        <w:rPr>
          <w:rFonts w:hint="eastAsia" w:ascii="仿宋" w:hAnsi="仿宋" w:eastAsia="仿宋" w:cs="仿宋"/>
          <w:kern w:val="0"/>
          <w:sz w:val="32"/>
          <w:szCs w:val="32"/>
        </w:rPr>
        <w:t>公务用车购置及运行费支出0万元，完成全年预算的0%；较上年增加0万元，增长0%。</w:t>
      </w:r>
      <w:r>
        <w:rPr>
          <w:rFonts w:hint="eastAsia" w:ascii="仿宋" w:hAnsi="仿宋" w:eastAsia="仿宋" w:cs="仿宋"/>
          <w:color w:val="auto"/>
          <w:kern w:val="0"/>
          <w:sz w:val="32"/>
          <w:szCs w:val="32"/>
          <w:shd w:val="clear" w:color="auto" w:fill="FFFFFF"/>
        </w:rPr>
        <w:t>主要是</w:t>
      </w:r>
      <w:r>
        <w:rPr>
          <w:rFonts w:hint="eastAsia" w:ascii="仿宋" w:hAnsi="仿宋" w:eastAsia="仿宋" w:cs="仿宋"/>
          <w:color w:val="auto"/>
          <w:kern w:val="0"/>
          <w:sz w:val="32"/>
          <w:szCs w:val="32"/>
          <w:lang w:val="en-US" w:eastAsia="zh-CN" w:bidi="ar"/>
        </w:rPr>
        <w:t>本单位没有购置</w:t>
      </w:r>
      <w:r>
        <w:rPr>
          <w:rFonts w:hint="default" w:ascii="仿宋" w:hAnsi="仿宋" w:eastAsia="仿宋" w:cs="仿宋"/>
          <w:color w:val="auto"/>
          <w:kern w:val="0"/>
          <w:sz w:val="32"/>
          <w:szCs w:val="32"/>
          <w:lang w:val="en-US" w:eastAsia="zh-CN" w:bidi="ar"/>
        </w:rPr>
        <w:t>公务用车及运行</w:t>
      </w:r>
      <w:r>
        <w:rPr>
          <w:rFonts w:hint="eastAsia" w:ascii="仿宋" w:hAnsi="仿宋" w:eastAsia="仿宋" w:cs="仿宋"/>
          <w:color w:val="auto"/>
          <w:kern w:val="0"/>
          <w:sz w:val="32"/>
          <w:szCs w:val="32"/>
          <w:lang w:val="en-US" w:eastAsia="zh-CN" w:bidi="ar"/>
        </w:rPr>
        <w:t>维护</w:t>
      </w:r>
      <w:r>
        <w:rPr>
          <w:rFonts w:hint="default" w:ascii="仿宋" w:hAnsi="仿宋" w:eastAsia="仿宋" w:cs="仿宋"/>
          <w:color w:val="auto"/>
          <w:kern w:val="0"/>
          <w:sz w:val="32"/>
          <w:szCs w:val="32"/>
          <w:lang w:val="en-US" w:eastAsia="zh-CN" w:bidi="ar"/>
        </w:rPr>
        <w:t>费支出。</w:t>
      </w:r>
      <w:r>
        <w:rPr>
          <w:rFonts w:hint="eastAsia" w:ascii="仿宋" w:hAnsi="仿宋" w:eastAsia="仿宋" w:cs="仿宋"/>
          <w:kern w:val="0"/>
          <w:sz w:val="32"/>
          <w:szCs w:val="32"/>
        </w:rPr>
        <w:t>其中：</w:t>
      </w:r>
    </w:p>
    <w:p>
      <w:pPr>
        <w:pStyle w:val="29"/>
        <w:widowControl/>
        <w:numPr>
          <w:ilvl w:val="0"/>
          <w:numId w:val="0"/>
        </w:numPr>
        <w:spacing w:before="240" w:after="240" w:line="600" w:lineRule="atLeast"/>
        <w:ind w:firstLine="640" w:firstLineChars="200"/>
        <w:jc w:val="both"/>
        <w:rPr>
          <w:rFonts w:hint="eastAsia" w:ascii="仿宋" w:hAnsi="仿宋" w:eastAsia="仿宋" w:cs="仿宋"/>
          <w:kern w:val="0"/>
          <w:sz w:val="32"/>
          <w:szCs w:val="32"/>
          <w:lang w:val="en-US" w:eastAsia="zh-CN"/>
        </w:rPr>
      </w:pPr>
      <w:r>
        <w:rPr>
          <w:rFonts w:hint="eastAsia" w:ascii="仿宋" w:hAnsi="仿宋" w:eastAsia="仿宋" w:cs="仿宋"/>
          <w:kern w:val="0"/>
          <w:sz w:val="32"/>
          <w:szCs w:val="32"/>
        </w:rPr>
        <w:t>公务用车购置费支出0万元，完成全年预算的0%；较上年增加0万元，增长0%。2024年公务用车购置0辆，主要是:</w:t>
      </w:r>
      <w:r>
        <w:rPr>
          <w:rFonts w:hint="eastAsia" w:ascii="仿宋" w:hAnsi="仿宋" w:eastAsia="仿宋" w:cs="仿宋"/>
          <w:kern w:val="0"/>
          <w:sz w:val="32"/>
          <w:szCs w:val="32"/>
          <w:lang w:eastAsia="zh-CN"/>
        </w:rPr>
        <w:t>本单位</w:t>
      </w:r>
      <w:r>
        <w:rPr>
          <w:rFonts w:hint="eastAsia" w:ascii="仿宋" w:hAnsi="仿宋" w:eastAsia="仿宋" w:cs="仿宋"/>
          <w:kern w:val="0"/>
          <w:sz w:val="32"/>
          <w:szCs w:val="32"/>
        </w:rPr>
        <w:t>没有购置公务车</w:t>
      </w:r>
      <w:r>
        <w:rPr>
          <w:rFonts w:hint="eastAsia" w:ascii="仿宋" w:hAnsi="仿宋" w:eastAsia="仿宋" w:cs="仿宋"/>
          <w:kern w:val="0"/>
          <w:sz w:val="32"/>
          <w:szCs w:val="32"/>
          <w:lang w:val="en-US" w:eastAsia="zh-CN"/>
        </w:rPr>
        <w:t>。</w:t>
      </w:r>
    </w:p>
    <w:p>
      <w:pPr>
        <w:pStyle w:val="29"/>
        <w:widowControl/>
        <w:spacing w:before="240" w:after="240" w:line="600" w:lineRule="atLeast"/>
        <w:ind w:firstLine="640"/>
        <w:jc w:val="both"/>
        <w:rPr>
          <w:rFonts w:hint="eastAsia" w:ascii="仿宋" w:hAnsi="仿宋" w:eastAsia="仿宋" w:cs="仿宋"/>
          <w:kern w:val="0"/>
          <w:sz w:val="32"/>
          <w:szCs w:val="32"/>
        </w:rPr>
      </w:pPr>
      <w:r>
        <w:rPr>
          <w:rFonts w:hint="eastAsia" w:ascii="仿宋" w:hAnsi="仿宋" w:eastAsia="仿宋" w:cs="仿宋"/>
          <w:kern w:val="0"/>
          <w:sz w:val="32"/>
          <w:szCs w:val="32"/>
        </w:rPr>
        <w:t>公务用车运行费支出0万元，完成全年预算的0%；较上年增加0万元，增长0%。主要是本</w:t>
      </w:r>
      <w:r>
        <w:rPr>
          <w:rFonts w:hint="eastAsia" w:ascii="仿宋" w:hAnsi="仿宋" w:eastAsia="仿宋" w:cs="仿宋"/>
          <w:kern w:val="0"/>
          <w:sz w:val="32"/>
          <w:szCs w:val="32"/>
          <w:lang w:eastAsia="zh-CN"/>
        </w:rPr>
        <w:t>单位</w:t>
      </w:r>
      <w:r>
        <w:rPr>
          <w:rFonts w:hint="eastAsia" w:ascii="仿宋" w:hAnsi="仿宋" w:eastAsia="仿宋" w:cs="仿宋"/>
          <w:kern w:val="0"/>
          <w:sz w:val="32"/>
          <w:szCs w:val="32"/>
        </w:rPr>
        <w:t>没有公务车运行维护费支出。本单位公务用车保有量为0 辆。</w:t>
      </w:r>
    </w:p>
    <w:p>
      <w:pPr>
        <w:pStyle w:val="29"/>
        <w:widowControl/>
        <w:spacing w:before="240" w:after="240" w:line="600" w:lineRule="atLeast"/>
        <w:ind w:firstLine="640"/>
        <w:jc w:val="both"/>
        <w:rPr>
          <w:rFonts w:hint="eastAsia" w:ascii="仿宋" w:hAnsi="仿宋" w:eastAsia="仿宋" w:cs="仿宋"/>
          <w:kern w:val="0"/>
          <w:sz w:val="32"/>
          <w:szCs w:val="32"/>
          <w:lang w:val="en-US" w:eastAsia="zh-CN"/>
        </w:rPr>
      </w:pPr>
      <w:r>
        <w:rPr>
          <w:rFonts w:hint="eastAsia" w:ascii="仿宋" w:hAnsi="仿宋" w:eastAsia="仿宋" w:cs="仿宋"/>
          <w:kern w:val="0"/>
          <w:sz w:val="32"/>
          <w:szCs w:val="32"/>
        </w:rPr>
        <w:t>（三）公务接待费支出0万元，完成全年预算的0%；较上年增加0万元，增长0%。主要是本</w:t>
      </w:r>
      <w:r>
        <w:rPr>
          <w:rFonts w:hint="eastAsia" w:ascii="仿宋" w:hAnsi="仿宋" w:eastAsia="仿宋" w:cs="仿宋"/>
          <w:kern w:val="0"/>
          <w:sz w:val="32"/>
          <w:szCs w:val="32"/>
          <w:lang w:eastAsia="zh-CN"/>
        </w:rPr>
        <w:t>单位</w:t>
      </w:r>
      <w:r>
        <w:rPr>
          <w:rFonts w:hint="eastAsia" w:ascii="仿宋" w:hAnsi="仿宋" w:eastAsia="仿宋" w:cs="仿宋"/>
          <w:kern w:val="0"/>
          <w:sz w:val="32"/>
          <w:szCs w:val="32"/>
        </w:rPr>
        <w:t>没有公务接待活动</w:t>
      </w:r>
      <w:r>
        <w:rPr>
          <w:rFonts w:hint="eastAsia" w:ascii="仿宋" w:hAnsi="仿宋" w:eastAsia="仿宋" w:cs="仿宋"/>
          <w:kern w:val="0"/>
          <w:sz w:val="32"/>
          <w:szCs w:val="32"/>
          <w:lang w:val="en-US" w:eastAsia="zh-CN"/>
        </w:rPr>
        <w:t>。</w:t>
      </w:r>
      <w:r>
        <w:rPr>
          <w:rFonts w:hint="eastAsia" w:ascii="仿宋" w:hAnsi="仿宋" w:eastAsia="仿宋" w:cs="仿宋"/>
          <w:kern w:val="0"/>
          <w:sz w:val="32"/>
          <w:szCs w:val="32"/>
        </w:rPr>
        <w:t>累计接待0批次、0人次。</w:t>
      </w:r>
    </w:p>
    <w:p>
      <w:pPr>
        <w:pStyle w:val="6"/>
        <w:keepNext w:val="0"/>
        <w:keepLines w:val="0"/>
        <w:spacing w:before="100" w:after="100" w:line="600" w:lineRule="atLeast"/>
        <w:ind w:left="0" w:right="0" w:firstLine="640" w:firstLineChars="0"/>
        <w:jc w:val="both"/>
        <w:rPr>
          <w:rFonts w:hint="eastAsia" w:ascii="黑体" w:hAnsi="宋体" w:eastAsia="黑体" w:cs="黑体"/>
          <w:b/>
          <w:bCs/>
          <w:kern w:val="0"/>
          <w:sz w:val="32"/>
          <w:szCs w:val="32"/>
          <w:shd w:val="clear" w:fill="FFFFFF"/>
          <w:lang w:val="en-US" w:eastAsia="zh-CN" w:bidi="ar"/>
        </w:rPr>
      </w:pPr>
      <w:bookmarkStart w:id="57" w:name="_Toc256000056"/>
      <w:bookmarkStart w:id="58" w:name="_Toc256000025"/>
      <w:bookmarkStart w:id="59" w:name="_Toc256000087"/>
      <w:bookmarkStart w:id="60" w:name="_Toc256000118"/>
      <w:r>
        <w:rPr>
          <w:rFonts w:hint="eastAsia" w:ascii="黑体" w:hAnsi="宋体" w:eastAsia="黑体" w:cs="黑体"/>
          <w:b/>
          <w:bCs/>
          <w:kern w:val="0"/>
          <w:sz w:val="32"/>
          <w:szCs w:val="32"/>
          <w:shd w:val="clear" w:fill="FFFFFF"/>
          <w:lang w:val="en-US" w:eastAsia="zh-CN" w:bidi="ar"/>
        </w:rPr>
        <w:t>八、预算绩效情况说明</w:t>
      </w:r>
      <w:bookmarkEnd w:id="57"/>
      <w:bookmarkEnd w:id="58"/>
      <w:bookmarkEnd w:id="59"/>
      <w:bookmarkEnd w:id="60"/>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jc w:val="both"/>
        <w:textAlignment w:val="auto"/>
        <w:rPr>
          <w:rFonts w:hint="default" w:ascii="仿宋" w:hAnsi="仿宋" w:eastAsia="仿宋" w:cs="仿宋"/>
          <w:spacing w:val="0"/>
          <w:kern w:val="0"/>
          <w:sz w:val="32"/>
          <w:szCs w:val="32"/>
          <w:lang w:val="en-US" w:eastAsia="zh-CN" w:bidi="ar"/>
        </w:rPr>
      </w:pPr>
      <w:bookmarkStart w:id="61" w:name="_Toc256000119"/>
      <w:bookmarkStart w:id="62" w:name="_Toc256000088"/>
      <w:bookmarkStart w:id="63" w:name="_Toc256000026"/>
      <w:bookmarkStart w:id="64" w:name="_Toc256000057"/>
      <w:r>
        <w:rPr>
          <w:rFonts w:hint="eastAsia" w:ascii="仿宋" w:hAnsi="仿宋" w:eastAsia="仿宋" w:cs="仿宋"/>
          <w:spacing w:val="0"/>
          <w:kern w:val="0"/>
          <w:sz w:val="32"/>
          <w:szCs w:val="32"/>
          <w:lang w:val="en-US" w:eastAsia="zh-CN" w:bidi="ar"/>
        </w:rPr>
        <w:t>根据预算绩效管理要求，本单位组织对2024年度1个项目实施单位自评，项目名称是义务教育困难学生营养餐补助，涉及财政拨款资金共计0.87万元。</w:t>
      </w:r>
      <w:r>
        <w:rPr>
          <w:rFonts w:ascii="仿宋" w:hAnsi="仿宋" w:eastAsia="仿宋" w:cs="仿宋"/>
          <w:spacing w:val="0"/>
          <w:kern w:val="0"/>
          <w:sz w:val="32"/>
          <w:szCs w:val="32"/>
        </w:rPr>
        <w:t>（《项目支出绩效自评表》详见附件）</w:t>
      </w:r>
    </w:p>
    <w:p>
      <w:pPr>
        <w:pStyle w:val="6"/>
        <w:keepNext w:val="0"/>
        <w:keepLines w:val="0"/>
        <w:spacing w:before="100" w:after="100" w:line="600" w:lineRule="atLeast"/>
        <w:ind w:left="0" w:right="0" w:firstLine="640" w:firstLineChars="0"/>
        <w:jc w:val="both"/>
        <w:rPr>
          <w:rFonts w:hint="eastAsia" w:ascii="黑体" w:hAnsi="宋体" w:eastAsia="黑体" w:cs="黑体"/>
          <w:b/>
          <w:bCs/>
          <w:kern w:val="0"/>
          <w:sz w:val="32"/>
          <w:szCs w:val="32"/>
          <w:shd w:val="clear" w:fill="FFFFFF"/>
          <w:lang w:val="en-US" w:eastAsia="zh-CN" w:bidi="ar"/>
        </w:rPr>
      </w:pPr>
      <w:r>
        <w:rPr>
          <w:rFonts w:hint="eastAsia" w:ascii="黑体" w:hAnsi="宋体" w:eastAsia="黑体" w:cs="黑体"/>
          <w:b/>
          <w:bCs/>
          <w:kern w:val="0"/>
          <w:sz w:val="32"/>
          <w:szCs w:val="32"/>
          <w:shd w:val="clear" w:fill="FFFFFF"/>
          <w:lang w:val="en-US" w:eastAsia="zh-CN" w:bidi="ar"/>
        </w:rPr>
        <w:t>九、其他重要事项说明</w:t>
      </w:r>
      <w:bookmarkEnd w:id="61"/>
      <w:bookmarkEnd w:id="62"/>
      <w:bookmarkEnd w:id="63"/>
      <w:bookmarkEnd w:id="64"/>
    </w:p>
    <w:p>
      <w:pPr>
        <w:pStyle w:val="29"/>
        <w:widowControl/>
        <w:spacing w:before="240" w:after="240" w:line="600" w:lineRule="atLeast"/>
        <w:ind w:firstLine="640"/>
        <w:jc w:val="both"/>
        <w:rPr>
          <w:rFonts w:hint="eastAsia" w:ascii="仿宋" w:hAnsi="仿宋" w:eastAsia="仿宋" w:cs="仿宋"/>
          <w:b/>
          <w:bCs/>
          <w:kern w:val="0"/>
          <w:sz w:val="32"/>
          <w:szCs w:val="32"/>
        </w:rPr>
      </w:pPr>
      <w:r>
        <w:rPr>
          <w:rFonts w:hint="eastAsia" w:ascii="仿宋" w:hAnsi="仿宋" w:eastAsia="仿宋" w:cs="仿宋"/>
          <w:b/>
          <w:bCs/>
          <w:kern w:val="0"/>
          <w:sz w:val="32"/>
          <w:szCs w:val="32"/>
        </w:rPr>
        <w:t>（一）机关运行经费 </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jc w:val="both"/>
        <w:textAlignment w:val="auto"/>
        <w:rPr>
          <w:rFonts w:hint="eastAsia" w:ascii="仿宋" w:hAnsi="仿宋" w:eastAsia="仿宋" w:cs="仿宋"/>
          <w:kern w:val="0"/>
          <w:sz w:val="32"/>
          <w:szCs w:val="32"/>
        </w:rPr>
      </w:pPr>
      <w:r>
        <w:rPr>
          <w:rFonts w:hint="eastAsia" w:ascii="仿宋" w:hAnsi="仿宋" w:eastAsia="仿宋" w:cs="仿宋"/>
          <w:spacing w:val="0"/>
          <w:kern w:val="0"/>
          <w:sz w:val="32"/>
          <w:szCs w:val="32"/>
          <w:lang w:val="en-US" w:eastAsia="zh-CN"/>
        </w:rPr>
        <w:t>2</w:t>
      </w:r>
      <w:r>
        <w:rPr>
          <w:rFonts w:ascii="仿宋" w:hAnsi="仿宋" w:eastAsia="仿宋" w:cs="仿宋"/>
          <w:spacing w:val="0"/>
          <w:kern w:val="0"/>
          <w:sz w:val="32"/>
          <w:szCs w:val="32"/>
        </w:rPr>
        <w:t>024年度机关运行经费支出0万元，比上年决算数增加（减少）</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万元，增长（下降）</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%，主要原因是:本单位为事业单位</w:t>
      </w:r>
      <w:r>
        <w:rPr>
          <w:rFonts w:hint="eastAsia" w:ascii="仿宋" w:hAnsi="仿宋" w:eastAsia="仿宋" w:cs="仿宋"/>
          <w:spacing w:val="0"/>
          <w:kern w:val="0"/>
          <w:sz w:val="32"/>
          <w:szCs w:val="32"/>
          <w:lang w:eastAsia="zh-CN"/>
        </w:rPr>
        <w:t>，</w:t>
      </w:r>
      <w:r>
        <w:rPr>
          <w:rFonts w:ascii="仿宋" w:hAnsi="仿宋" w:eastAsia="仿宋" w:cs="仿宋"/>
          <w:spacing w:val="0"/>
          <w:kern w:val="0"/>
          <w:sz w:val="32"/>
          <w:szCs w:val="32"/>
        </w:rPr>
        <w:t>没有机关运行经费。</w:t>
      </w:r>
    </w:p>
    <w:p>
      <w:pPr>
        <w:pStyle w:val="29"/>
        <w:widowControl/>
        <w:spacing w:before="240" w:after="240" w:line="600" w:lineRule="atLeast"/>
        <w:ind w:firstLine="640"/>
        <w:jc w:val="both"/>
        <w:rPr>
          <w:rFonts w:hint="eastAsia" w:ascii="仿宋" w:hAnsi="仿宋" w:eastAsia="仿宋" w:cs="仿宋"/>
          <w:b/>
          <w:bCs/>
          <w:kern w:val="0"/>
          <w:sz w:val="32"/>
          <w:szCs w:val="32"/>
        </w:rPr>
      </w:pPr>
      <w:r>
        <w:rPr>
          <w:rFonts w:hint="eastAsia" w:ascii="仿宋" w:hAnsi="仿宋" w:eastAsia="仿宋" w:cs="仿宋"/>
          <w:b/>
          <w:bCs/>
          <w:kern w:val="0"/>
          <w:sz w:val="32"/>
          <w:szCs w:val="32"/>
        </w:rPr>
        <w:t>（二）政府采购情况</w:t>
      </w:r>
    </w:p>
    <w:p>
      <w:pPr>
        <w:pStyle w:val="29"/>
        <w:widowControl/>
        <w:spacing w:before="240" w:after="240" w:line="600" w:lineRule="atLeast"/>
        <w:ind w:firstLine="640"/>
        <w:jc w:val="both"/>
        <w:rPr>
          <w:rFonts w:hint="eastAsia" w:ascii="仿宋" w:hAnsi="仿宋" w:eastAsia="仿宋" w:cs="仿宋"/>
          <w:kern w:val="0"/>
          <w:sz w:val="32"/>
          <w:szCs w:val="32"/>
          <w:lang w:val="en-US" w:eastAsia="zh-CN"/>
        </w:rPr>
      </w:pPr>
      <w:r>
        <w:rPr>
          <w:rFonts w:hint="eastAsia" w:ascii="仿宋" w:hAnsi="仿宋" w:eastAsia="仿宋" w:cs="仿宋"/>
          <w:kern w:val="0"/>
          <w:sz w:val="32"/>
          <w:szCs w:val="32"/>
        </w:rPr>
        <w:t>本单位2024年度政府采购支出总额0万元，其中：政府采购货物支出0万元、政府采购工程支出0万元、政府采购服务支出0万元。授予中小企业合同金额0万元，占政府采购支出总额的0%，其中：授予小微企业合同金额0万元，占授予中小企业合同金额的0%；货物采购授予中小企业合同金额占货物支出金额的</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%，工程采购授予中小企业合同金额占工程支出金额的</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%，服务采购授予中小企业合同金额占服务支出金额的</w:t>
      </w:r>
      <w:r>
        <w:rPr>
          <w:rFonts w:hint="eastAsia" w:ascii="仿宋" w:hAnsi="仿宋" w:eastAsia="仿宋" w:cs="仿宋"/>
          <w:kern w:val="0"/>
          <w:sz w:val="32"/>
          <w:szCs w:val="32"/>
          <w:lang w:val="en-US" w:eastAsia="zh-CN"/>
        </w:rPr>
        <w:t>0%。</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jc w:val="both"/>
        <w:textAlignment w:val="auto"/>
        <w:rPr>
          <w:rFonts w:hint="default" w:ascii="仿宋" w:hAnsi="仿宋" w:eastAsia="仿宋" w:cs="仿宋"/>
          <w:kern w:val="0"/>
          <w:sz w:val="32"/>
          <w:szCs w:val="32"/>
          <w:lang w:val="en-US" w:eastAsia="zh-CN"/>
        </w:rPr>
      </w:pPr>
      <w:r>
        <w:rPr>
          <w:rFonts w:ascii="仿宋" w:hAnsi="仿宋" w:eastAsia="仿宋" w:cs="仿宋"/>
          <w:color w:val="auto"/>
          <w:spacing w:val="0"/>
          <w:kern w:val="0"/>
          <w:sz w:val="32"/>
          <w:szCs w:val="32"/>
        </w:rPr>
        <w:t>本单位2024年度没有政府采购支出。</w:t>
      </w:r>
    </w:p>
    <w:p>
      <w:pPr>
        <w:pStyle w:val="29"/>
        <w:widowControl/>
        <w:spacing w:before="240" w:after="240" w:line="600" w:lineRule="atLeast"/>
        <w:ind w:firstLine="640"/>
        <w:jc w:val="both"/>
        <w:rPr>
          <w:rFonts w:hint="eastAsia" w:ascii="仿宋" w:hAnsi="仿宋" w:eastAsia="仿宋" w:cs="仿宋"/>
          <w:b/>
          <w:bCs/>
          <w:kern w:val="0"/>
          <w:sz w:val="32"/>
          <w:szCs w:val="32"/>
        </w:rPr>
      </w:pPr>
      <w:r>
        <w:rPr>
          <w:rFonts w:hint="eastAsia" w:ascii="仿宋" w:hAnsi="仿宋" w:eastAsia="仿宋" w:cs="仿宋"/>
          <w:b/>
          <w:bCs/>
          <w:kern w:val="0"/>
          <w:sz w:val="32"/>
          <w:szCs w:val="32"/>
        </w:rPr>
        <w:t>（三）国有资产占用使用情况 </w:t>
      </w:r>
    </w:p>
    <w:p>
      <w:pPr>
        <w:pStyle w:val="29"/>
        <w:widowControl/>
        <w:spacing w:before="240" w:after="240" w:line="600" w:lineRule="atLeast"/>
        <w:ind w:firstLine="640"/>
        <w:jc w:val="both"/>
        <w:rPr>
          <w:rFonts w:hint="eastAsia" w:ascii="仿宋" w:hAnsi="仿宋" w:eastAsia="仿宋" w:cs="仿宋"/>
          <w:kern w:val="0"/>
          <w:sz w:val="32"/>
          <w:szCs w:val="32"/>
        </w:rPr>
      </w:pPr>
      <w:r>
        <w:rPr>
          <w:rFonts w:hint="eastAsia" w:ascii="仿宋" w:hAnsi="仿宋" w:eastAsia="仿宋" w:cs="仿宋"/>
          <w:kern w:val="0"/>
          <w:sz w:val="32"/>
          <w:szCs w:val="32"/>
        </w:rPr>
        <w:t>截至2024年12月31日，本单位共有车辆0 辆，其中：副部（省）级以上领导用车0 辆、主要领导干部用车0 辆、机要通信用车0辆、应急保障用车0辆、执法执勤用车0辆、特种专业技术用车0辆、离退休干部用车0辆、其他用车0辆；单位价值100万元以上设备（不含车辆）0台（套）。 </w:t>
      </w:r>
    </w:p>
    <w:p>
      <w:pPr>
        <w:pStyle w:val="29"/>
        <w:widowControl/>
        <w:spacing w:before="240" w:after="240" w:line="600" w:lineRule="atLeast"/>
        <w:ind w:firstLine="640"/>
        <w:jc w:val="both"/>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pStyle w:val="29"/>
        <w:widowControl/>
        <w:spacing w:before="100" w:after="100"/>
        <w:ind w:left="0" w:right="0" w:firstLine="0"/>
        <w:jc w:val="center"/>
        <w:rPr>
          <w:rFonts w:hint="eastAsia" w:ascii="黑体" w:hAnsi="宋体" w:eastAsia="黑体" w:cs="黑体"/>
          <w:b/>
          <w:bCs/>
          <w:kern w:val="0"/>
          <w:sz w:val="36"/>
          <w:szCs w:val="36"/>
          <w:shd w:val="clear" w:fill="FFFFFF"/>
          <w:lang w:bidi="ar"/>
        </w:rPr>
      </w:pPr>
      <w:r>
        <w:rPr>
          <w:rFonts w:hint="eastAsia" w:ascii="黑体" w:hAnsi="宋体" w:eastAsia="黑体" w:cs="黑体"/>
          <w:b/>
          <w:bCs/>
          <w:kern w:val="0"/>
          <w:sz w:val="36"/>
          <w:szCs w:val="36"/>
          <w:shd w:val="clear" w:fill="FFFFFF"/>
          <w:lang w:bidi="ar"/>
        </w:rPr>
        <w:t>第四部分 名词解释</w:t>
      </w:r>
    </w:p>
    <w:p>
      <w:pPr>
        <w:pStyle w:val="29"/>
        <w:widowControl/>
        <w:spacing w:before="240" w:after="240" w:line="600" w:lineRule="atLeast"/>
        <w:ind w:firstLine="640"/>
        <w:jc w:val="both"/>
        <w:rPr>
          <w:rFonts w:ascii="Times New Roman" w:hAnsi="Times New Roman" w:eastAsia="Times New Roman" w:cs="Times New Roman"/>
          <w:kern w:val="0"/>
          <w:sz w:val="32"/>
          <w:szCs w:val="32"/>
        </w:rPr>
      </w:pPr>
      <w:r>
        <w:rPr>
          <w:rFonts w:ascii="仿宋" w:hAnsi="仿宋" w:eastAsia="仿宋" w:cs="仿宋"/>
          <w:kern w:val="0"/>
          <w:sz w:val="32"/>
          <w:szCs w:val="32"/>
        </w:rPr>
        <w:t> </w:t>
      </w:r>
      <w:r>
        <w:rPr>
          <w:rFonts w:ascii="仿宋" w:hAnsi="仿宋" w:eastAsia="仿宋" w:cs="仿宋"/>
          <w:b/>
          <w:bCs/>
          <w:kern w:val="0"/>
          <w:sz w:val="32"/>
          <w:szCs w:val="32"/>
        </w:rPr>
        <w:t>一、财政拨款收入：</w:t>
      </w:r>
      <w:r>
        <w:rPr>
          <w:rFonts w:ascii="仿宋" w:hAnsi="仿宋" w:eastAsia="仿宋" w:cs="仿宋"/>
          <w:kern w:val="0"/>
          <w:sz w:val="32"/>
          <w:szCs w:val="32"/>
        </w:rPr>
        <w:t>指单位从本级财政</w:t>
      </w:r>
      <w:r>
        <w:rPr>
          <w:rFonts w:hint="eastAsia" w:ascii="仿宋" w:hAnsi="仿宋" w:eastAsia="仿宋" w:cs="仿宋"/>
          <w:kern w:val="0"/>
          <w:sz w:val="32"/>
          <w:szCs w:val="32"/>
          <w:lang w:eastAsia="zh-CN"/>
        </w:rPr>
        <w:t>单位</w:t>
      </w:r>
      <w:r>
        <w:rPr>
          <w:rFonts w:ascii="仿宋" w:hAnsi="仿宋" w:eastAsia="仿宋" w:cs="仿宋"/>
          <w:kern w:val="0"/>
          <w:sz w:val="32"/>
          <w:szCs w:val="32"/>
        </w:rPr>
        <w:t>取得的财政预算资金，包括一般公共预算财政拨款、政府性基金预算财政拨款和国有资本经营预算财政拨款。</w:t>
      </w:r>
    </w:p>
    <w:p>
      <w:pPr>
        <w:pStyle w:val="29"/>
        <w:widowControl/>
        <w:spacing w:before="240" w:after="240" w:line="600" w:lineRule="atLeast"/>
        <w:ind w:firstLine="710"/>
        <w:jc w:val="both"/>
        <w:rPr>
          <w:rFonts w:ascii="Times New Roman" w:hAnsi="Times New Roman" w:eastAsia="Times New Roman" w:cs="Times New Roman"/>
          <w:kern w:val="0"/>
          <w:sz w:val="32"/>
          <w:szCs w:val="32"/>
        </w:rPr>
      </w:pPr>
      <w:r>
        <w:rPr>
          <w:rFonts w:ascii="仿宋" w:hAnsi="仿宋" w:eastAsia="仿宋" w:cs="仿宋"/>
          <w:b/>
          <w:bCs/>
          <w:kern w:val="0"/>
          <w:sz w:val="32"/>
          <w:szCs w:val="32"/>
        </w:rPr>
        <w:t>二、事业收入：</w:t>
      </w:r>
      <w:r>
        <w:rPr>
          <w:rFonts w:ascii="仿宋" w:hAnsi="仿宋" w:eastAsia="仿宋" w:cs="仿宋"/>
          <w:kern w:val="0"/>
          <w:sz w:val="32"/>
          <w:szCs w:val="32"/>
        </w:rPr>
        <w:t>指事业单位开展专业业务活动及辅助活动所取得的收入。</w:t>
      </w:r>
    </w:p>
    <w:p>
      <w:pPr>
        <w:pStyle w:val="29"/>
        <w:widowControl/>
        <w:spacing w:before="240" w:after="240" w:line="600" w:lineRule="atLeast"/>
        <w:ind w:firstLine="710"/>
        <w:jc w:val="both"/>
        <w:rPr>
          <w:rFonts w:ascii="Times New Roman" w:hAnsi="Times New Roman" w:eastAsia="Times New Roman" w:cs="Times New Roman"/>
          <w:kern w:val="0"/>
          <w:sz w:val="32"/>
          <w:szCs w:val="32"/>
        </w:rPr>
      </w:pPr>
      <w:r>
        <w:rPr>
          <w:rFonts w:ascii="仿宋" w:hAnsi="仿宋" w:eastAsia="仿宋" w:cs="仿宋"/>
          <w:b/>
          <w:bCs/>
          <w:kern w:val="0"/>
          <w:sz w:val="32"/>
          <w:szCs w:val="32"/>
        </w:rPr>
        <w:t>三、经营收入：</w:t>
      </w:r>
      <w:r>
        <w:rPr>
          <w:rFonts w:ascii="仿宋" w:hAnsi="仿宋" w:eastAsia="仿宋" w:cs="仿宋"/>
          <w:kern w:val="0"/>
          <w:sz w:val="32"/>
          <w:szCs w:val="32"/>
        </w:rPr>
        <w:t>指事业单位在专业业务活动及其辅助活动之外开展非独立核算经营活动取得的收入。</w:t>
      </w:r>
    </w:p>
    <w:p>
      <w:pPr>
        <w:pStyle w:val="29"/>
        <w:widowControl/>
        <w:spacing w:before="240" w:after="240" w:line="600" w:lineRule="atLeast"/>
        <w:ind w:firstLine="710"/>
        <w:jc w:val="both"/>
        <w:rPr>
          <w:rFonts w:ascii="Times New Roman" w:hAnsi="Times New Roman" w:eastAsia="Times New Roman" w:cs="Times New Roman"/>
          <w:kern w:val="0"/>
          <w:sz w:val="32"/>
          <w:szCs w:val="32"/>
        </w:rPr>
      </w:pPr>
      <w:r>
        <w:rPr>
          <w:rFonts w:ascii="仿宋" w:hAnsi="仿宋" w:eastAsia="仿宋" w:cs="仿宋"/>
          <w:b/>
          <w:bCs/>
          <w:kern w:val="0"/>
          <w:sz w:val="32"/>
          <w:szCs w:val="32"/>
        </w:rPr>
        <w:t>四、其他收入：</w:t>
      </w:r>
      <w:r>
        <w:rPr>
          <w:rFonts w:ascii="仿宋" w:hAnsi="仿宋" w:eastAsia="仿宋" w:cs="仿宋"/>
          <w:kern w:val="0"/>
          <w:sz w:val="32"/>
          <w:szCs w:val="32"/>
        </w:rPr>
        <w:t>指除上述“财政拨款收入”“事业收入” “上级补助收入”“附属单位上缴收入”“经营收入”等以外取得的各项收入。主要是事业单位固定资产出租收入等。</w:t>
      </w:r>
    </w:p>
    <w:p>
      <w:pPr>
        <w:pStyle w:val="29"/>
        <w:widowControl/>
        <w:spacing w:before="240" w:after="240" w:line="600" w:lineRule="atLeast"/>
        <w:ind w:firstLine="710"/>
        <w:jc w:val="both"/>
        <w:rPr>
          <w:rFonts w:ascii="Times New Roman" w:hAnsi="Times New Roman" w:eastAsia="Times New Roman" w:cs="Times New Roman"/>
          <w:kern w:val="0"/>
          <w:sz w:val="32"/>
          <w:szCs w:val="32"/>
        </w:rPr>
      </w:pPr>
      <w:r>
        <w:rPr>
          <w:rFonts w:ascii="仿宋" w:hAnsi="仿宋" w:eastAsia="仿宋" w:cs="仿宋"/>
          <w:b/>
          <w:bCs/>
          <w:kern w:val="0"/>
          <w:sz w:val="32"/>
          <w:szCs w:val="32"/>
        </w:rPr>
        <w:t>五、使用非财政拨款结余：</w:t>
      </w:r>
      <w:r>
        <w:rPr>
          <w:rFonts w:ascii="仿宋" w:hAnsi="仿宋" w:eastAsia="仿宋" w:cs="仿宋"/>
          <w:kern w:val="0"/>
          <w:sz w:val="32"/>
          <w:szCs w:val="32"/>
        </w:rPr>
        <w:t>指事业单位使用以前年度积累的非财政拨款结余弥补当年收支差额的金额。</w:t>
      </w:r>
    </w:p>
    <w:p>
      <w:pPr>
        <w:pStyle w:val="29"/>
        <w:widowControl/>
        <w:spacing w:before="240" w:after="240" w:line="600" w:lineRule="atLeast"/>
        <w:ind w:firstLine="710"/>
        <w:jc w:val="both"/>
        <w:rPr>
          <w:rFonts w:ascii="Times New Roman" w:hAnsi="Times New Roman" w:eastAsia="Times New Roman" w:cs="Times New Roman"/>
          <w:kern w:val="0"/>
          <w:sz w:val="32"/>
          <w:szCs w:val="32"/>
        </w:rPr>
      </w:pPr>
      <w:r>
        <w:rPr>
          <w:rFonts w:ascii="仿宋" w:hAnsi="仿宋" w:eastAsia="仿宋" w:cs="仿宋"/>
          <w:b/>
          <w:bCs/>
          <w:kern w:val="0"/>
          <w:sz w:val="32"/>
          <w:szCs w:val="32"/>
        </w:rPr>
        <w:t>六、年初结转和结余：</w:t>
      </w:r>
      <w:r>
        <w:rPr>
          <w:rFonts w:ascii="仿宋" w:hAnsi="仿宋" w:eastAsia="仿宋" w:cs="仿宋"/>
          <w:kern w:val="0"/>
          <w:sz w:val="32"/>
          <w:szCs w:val="32"/>
        </w:rPr>
        <w:t>指单位以前年度尚未完成、结转到本年仍按原规定用途继续使用的资金，或项目已完成等产生的结余资金。</w:t>
      </w:r>
    </w:p>
    <w:p>
      <w:pPr>
        <w:widowControl/>
        <w:spacing w:before="240" w:after="240" w:line="600" w:lineRule="atLeast"/>
        <w:ind w:firstLine="640"/>
        <w:jc w:val="both"/>
        <w:rPr>
          <w:rFonts w:ascii="Times New Roman" w:hAnsi="Times New Roman" w:eastAsia="Times New Roman" w:cs="Times New Roman"/>
          <w:kern w:val="0"/>
          <w:sz w:val="32"/>
          <w:szCs w:val="32"/>
        </w:rPr>
      </w:pPr>
      <w:r>
        <w:rPr>
          <w:rFonts w:ascii="仿宋" w:hAnsi="仿宋" w:eastAsia="仿宋" w:cs="仿宋"/>
          <w:b/>
          <w:bCs/>
          <w:kern w:val="0"/>
          <w:sz w:val="32"/>
          <w:szCs w:val="32"/>
        </w:rPr>
        <w:t>七、结余分配：</w:t>
      </w:r>
      <w:r>
        <w:rPr>
          <w:rFonts w:ascii="仿宋" w:hAnsi="仿宋" w:eastAsia="仿宋" w:cs="仿宋"/>
          <w:kern w:val="0"/>
          <w:sz w:val="32"/>
          <w:szCs w:val="32"/>
        </w:rPr>
        <w:t>指事业单位按照会计制度规定缴纳的所得税、提取的专用结余以及转入非财政拨款结余的金额等。</w:t>
      </w:r>
    </w:p>
    <w:p>
      <w:pPr>
        <w:widowControl/>
        <w:spacing w:before="240" w:after="240" w:line="600" w:lineRule="atLeast"/>
        <w:ind w:firstLine="640"/>
        <w:jc w:val="both"/>
        <w:rPr>
          <w:rFonts w:ascii="Times New Roman" w:hAnsi="Times New Roman" w:eastAsia="Times New Roman" w:cs="Times New Roman"/>
          <w:kern w:val="0"/>
          <w:sz w:val="32"/>
          <w:szCs w:val="32"/>
        </w:rPr>
      </w:pPr>
      <w:r>
        <w:rPr>
          <w:rFonts w:ascii="仿宋" w:hAnsi="仿宋" w:eastAsia="仿宋" w:cs="仿宋"/>
          <w:b/>
          <w:bCs/>
          <w:kern w:val="0"/>
          <w:sz w:val="32"/>
          <w:szCs w:val="32"/>
        </w:rPr>
        <w:t>八、年末结转和结余：</w:t>
      </w:r>
      <w:r>
        <w:rPr>
          <w:rFonts w:ascii="仿宋" w:hAnsi="仿宋" w:eastAsia="仿宋" w:cs="仿宋"/>
          <w:kern w:val="0"/>
          <w:sz w:val="32"/>
          <w:szCs w:val="32"/>
        </w:rPr>
        <w:t>指单位按有关规定结转到下年或以后年度继续使用的资金，或项目已完成等产生的结余资金。</w:t>
      </w:r>
    </w:p>
    <w:p>
      <w:pPr>
        <w:widowControl/>
        <w:spacing w:before="240" w:after="240" w:line="600" w:lineRule="atLeast"/>
        <w:ind w:firstLine="640"/>
        <w:jc w:val="both"/>
        <w:rPr>
          <w:rFonts w:ascii="Times New Roman" w:hAnsi="Times New Roman" w:eastAsia="Times New Roman" w:cs="Times New Roman"/>
          <w:kern w:val="0"/>
          <w:sz w:val="32"/>
          <w:szCs w:val="32"/>
        </w:rPr>
      </w:pPr>
      <w:r>
        <w:rPr>
          <w:rFonts w:ascii="仿宋" w:hAnsi="仿宋" w:eastAsia="仿宋" w:cs="仿宋"/>
          <w:b/>
          <w:bCs/>
          <w:kern w:val="0"/>
          <w:sz w:val="32"/>
          <w:szCs w:val="32"/>
        </w:rPr>
        <w:t>九、基本支出：</w:t>
      </w:r>
      <w:r>
        <w:rPr>
          <w:rFonts w:ascii="仿宋" w:hAnsi="仿宋" w:eastAsia="仿宋" w:cs="仿宋"/>
          <w:kern w:val="0"/>
          <w:sz w:val="32"/>
          <w:szCs w:val="32"/>
        </w:rPr>
        <w:t>指为保障机构正常运转、完成日常工作任务而发生的人员支出和公用支出。</w:t>
      </w:r>
    </w:p>
    <w:p>
      <w:pPr>
        <w:widowControl/>
        <w:spacing w:before="240" w:after="240" w:line="600" w:lineRule="atLeast"/>
        <w:ind w:firstLine="640"/>
        <w:jc w:val="both"/>
        <w:rPr>
          <w:rFonts w:ascii="Times New Roman" w:hAnsi="Times New Roman" w:eastAsia="Times New Roman" w:cs="Times New Roman"/>
          <w:kern w:val="0"/>
          <w:sz w:val="32"/>
          <w:szCs w:val="32"/>
        </w:rPr>
      </w:pPr>
      <w:r>
        <w:rPr>
          <w:rFonts w:ascii="仿宋" w:hAnsi="仿宋" w:eastAsia="仿宋" w:cs="仿宋"/>
          <w:b/>
          <w:bCs/>
          <w:kern w:val="0"/>
          <w:sz w:val="32"/>
          <w:szCs w:val="32"/>
        </w:rPr>
        <w:t>十、项目支出：</w:t>
      </w:r>
      <w:r>
        <w:rPr>
          <w:rFonts w:ascii="仿宋" w:hAnsi="仿宋" w:eastAsia="仿宋" w:cs="仿宋"/>
          <w:kern w:val="0"/>
          <w:sz w:val="32"/>
          <w:szCs w:val="32"/>
        </w:rPr>
        <w:t>指在基本支出之外为完成特定行政任务和事业发展目标所发生的支出。</w:t>
      </w:r>
    </w:p>
    <w:p>
      <w:pPr>
        <w:widowControl/>
        <w:spacing w:before="240" w:after="240" w:line="600" w:lineRule="atLeast"/>
        <w:ind w:firstLine="640"/>
        <w:jc w:val="both"/>
        <w:rPr>
          <w:rFonts w:ascii="Times New Roman" w:hAnsi="Times New Roman" w:eastAsia="Times New Roman" w:cs="Times New Roman"/>
          <w:kern w:val="0"/>
          <w:sz w:val="32"/>
          <w:szCs w:val="32"/>
        </w:rPr>
      </w:pPr>
      <w:r>
        <w:rPr>
          <w:rFonts w:ascii="仿宋" w:hAnsi="仿宋" w:eastAsia="仿宋" w:cs="仿宋"/>
          <w:b/>
          <w:bCs/>
          <w:kern w:val="0"/>
          <w:sz w:val="32"/>
          <w:szCs w:val="32"/>
        </w:rPr>
        <w:t>十一、经营支出：</w:t>
      </w:r>
      <w:r>
        <w:rPr>
          <w:rFonts w:ascii="仿宋" w:hAnsi="仿宋" w:eastAsia="仿宋" w:cs="仿宋"/>
          <w:kern w:val="0"/>
          <w:sz w:val="32"/>
          <w:szCs w:val="32"/>
        </w:rPr>
        <w:t>指事业单位在专业业务活动及其辅助活动之外开展非独立核算经营活动发生的支出。</w:t>
      </w:r>
    </w:p>
    <w:p>
      <w:pPr>
        <w:widowControl/>
        <w:spacing w:before="240" w:after="240" w:line="600" w:lineRule="atLeast"/>
        <w:ind w:firstLine="640"/>
        <w:jc w:val="both"/>
        <w:rPr>
          <w:rFonts w:ascii="Times New Roman" w:hAnsi="Times New Roman" w:eastAsia="Times New Roman" w:cs="Times New Roman"/>
          <w:kern w:val="0"/>
          <w:sz w:val="32"/>
          <w:szCs w:val="32"/>
        </w:rPr>
      </w:pPr>
      <w:r>
        <w:rPr>
          <w:rFonts w:ascii="仿宋" w:hAnsi="仿宋" w:eastAsia="仿宋" w:cs="仿宋"/>
          <w:b/>
          <w:bCs/>
          <w:kern w:val="0"/>
          <w:sz w:val="32"/>
          <w:szCs w:val="32"/>
        </w:rPr>
        <w:t>十二、“三公”经费：</w:t>
      </w:r>
      <w:r>
        <w:rPr>
          <w:rFonts w:ascii="仿宋" w:hAnsi="仿宋" w:eastAsia="仿宋" w:cs="仿宋"/>
          <w:kern w:val="0"/>
          <w:sz w:val="32"/>
          <w:szCs w:val="32"/>
        </w:rPr>
        <w:t>纳入本级财政预决算管理的“三公”经费，是指本级</w:t>
      </w:r>
      <w:r>
        <w:rPr>
          <w:rFonts w:hint="eastAsia" w:ascii="仿宋" w:hAnsi="仿宋" w:eastAsia="仿宋" w:cs="仿宋"/>
          <w:kern w:val="0"/>
          <w:sz w:val="32"/>
          <w:szCs w:val="32"/>
          <w:lang w:eastAsia="zh-CN"/>
        </w:rPr>
        <w:t>单位</w:t>
      </w:r>
      <w:r>
        <w:rPr>
          <w:rFonts w:ascii="仿宋" w:hAnsi="仿宋" w:eastAsia="仿宋" w:cs="仿宋"/>
          <w:kern w:val="0"/>
          <w:sz w:val="32"/>
          <w:szCs w:val="32"/>
        </w:rPr>
        <w:t>用一般公共预算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牌照费）及燃料费、维修费、过桥过路费、保险费、安全奖励费用等支出；公务接待费反映单位按规定开支的各类公务接待（含外宾接待）支出。</w:t>
      </w:r>
    </w:p>
    <w:p>
      <w:pPr>
        <w:pStyle w:val="29"/>
        <w:widowControl/>
        <w:spacing w:before="240" w:after="240" w:line="560" w:lineRule="atLeast"/>
        <w:ind w:firstLine="643"/>
        <w:jc w:val="both"/>
        <w:rPr>
          <w:rFonts w:ascii="Times New Roman" w:hAnsi="Times New Roman" w:eastAsia="Times New Roman" w:cs="Times New Roman"/>
          <w:kern w:val="0"/>
          <w:sz w:val="24"/>
          <w:szCs w:val="24"/>
        </w:rPr>
      </w:pPr>
      <w:r>
        <w:rPr>
          <w:rFonts w:ascii="仿宋" w:hAnsi="仿宋" w:eastAsia="仿宋" w:cs="仿宋"/>
          <w:b/>
          <w:bCs/>
          <w:kern w:val="0"/>
          <w:sz w:val="32"/>
          <w:szCs w:val="32"/>
        </w:rPr>
        <w:t>十三、机关运行经费：</w:t>
      </w:r>
      <w:r>
        <w:rPr>
          <w:rFonts w:ascii="仿宋" w:hAnsi="仿宋" w:eastAsia="仿宋" w:cs="仿宋"/>
          <w:kern w:val="0"/>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9"/>
        <w:widowControl/>
        <w:spacing w:before="240" w:after="240"/>
        <w:jc w:val="left"/>
        <w:rPr>
          <w:rFonts w:ascii="fang_song_gb2312" w:hAnsi="fang_song_gb2312" w:eastAsia="fang_song_gb2312" w:cs="fang_song_gb2312"/>
          <w:kern w:val="0"/>
          <w:sz w:val="27"/>
          <w:szCs w:val="27"/>
        </w:rPr>
      </w:pPr>
      <w:r>
        <w:rPr>
          <w:rFonts w:ascii="fang_song_gb2312" w:hAnsi="fang_song_gb2312" w:eastAsia="fang_song_gb2312" w:cs="fang_song_gb2312"/>
          <w:kern w:val="0"/>
          <w:sz w:val="27"/>
          <w:szCs w:val="27"/>
        </w:rPr>
        <w:t> </w:t>
      </w:r>
    </w:p>
    <w:p>
      <w:pPr>
        <w:pStyle w:val="29"/>
        <w:widowControl/>
        <w:spacing w:before="240" w:after="240"/>
        <w:jc w:val="left"/>
        <w:rPr>
          <w:rFonts w:ascii="fang_song_gb2312" w:hAnsi="fang_song_gb2312" w:eastAsia="fang_song_gb2312" w:cs="fang_song_gb2312"/>
          <w:kern w:val="0"/>
          <w:sz w:val="27"/>
          <w:szCs w:val="27"/>
        </w:rPr>
      </w:pPr>
    </w:p>
    <w:p>
      <w:pPr>
        <w:pStyle w:val="29"/>
        <w:widowControl/>
        <w:spacing w:before="240" w:after="240"/>
        <w:jc w:val="left"/>
        <w:rPr>
          <w:rFonts w:ascii="fang_song_gb2312" w:hAnsi="fang_song_gb2312" w:eastAsia="fang_song_gb2312" w:cs="fang_song_gb2312"/>
          <w:kern w:val="0"/>
          <w:sz w:val="27"/>
          <w:szCs w:val="27"/>
        </w:rPr>
      </w:pPr>
    </w:p>
    <w:p>
      <w:pPr>
        <w:pStyle w:val="29"/>
        <w:widowControl/>
        <w:spacing w:before="240" w:after="240"/>
        <w:jc w:val="left"/>
        <w:rPr>
          <w:rFonts w:ascii="fang_song_gb2312" w:hAnsi="fang_song_gb2312" w:eastAsia="fang_song_gb2312" w:cs="fang_song_gb2312"/>
          <w:kern w:val="0"/>
          <w:sz w:val="27"/>
          <w:szCs w:val="27"/>
        </w:rPr>
      </w:pPr>
    </w:p>
    <w:p>
      <w:pPr>
        <w:pStyle w:val="29"/>
        <w:widowControl/>
        <w:spacing w:before="240" w:after="240"/>
        <w:jc w:val="center"/>
        <w:rPr>
          <w:rFonts w:ascii="黑体" w:hAnsi="黑体" w:eastAsia="黑体" w:cs="黑体"/>
          <w:kern w:val="0"/>
          <w:sz w:val="56"/>
          <w:szCs w:val="56"/>
        </w:rPr>
      </w:pPr>
      <w:r>
        <w:rPr>
          <w:rFonts w:ascii="fang_song_gb2312" w:hAnsi="fang_song_gb2312" w:eastAsia="fang_song_gb2312" w:cs="fang_song_gb2312"/>
          <w:kern w:val="0"/>
          <w:sz w:val="27"/>
          <w:szCs w:val="27"/>
        </w:rPr>
        <w:t> </w:t>
      </w:r>
      <w:r>
        <w:rPr>
          <w:rFonts w:ascii="黑体" w:hAnsi="黑体" w:eastAsia="黑体" w:cs="黑体"/>
          <w:kern w:val="0"/>
          <w:sz w:val="56"/>
          <w:szCs w:val="56"/>
        </w:rPr>
        <w:t> </w:t>
      </w:r>
      <w:bookmarkStart w:id="65" w:name="_Toc256000060"/>
      <w:bookmarkStart w:id="66" w:name="_Toc256000122"/>
      <w:bookmarkStart w:id="67" w:name="_Toc256000091"/>
      <w:bookmarkStart w:id="68" w:name="_Toc256000029"/>
    </w:p>
    <w:p>
      <w:pPr>
        <w:pStyle w:val="29"/>
        <w:widowControl/>
        <w:spacing w:before="240" w:after="240"/>
        <w:jc w:val="center"/>
        <w:rPr>
          <w:rFonts w:hint="eastAsia" w:ascii="黑体" w:hAnsi="宋体" w:eastAsia="黑体" w:cs="黑体"/>
          <w:kern w:val="0"/>
          <w:sz w:val="36"/>
          <w:szCs w:val="36"/>
          <w:shd w:val="clear" w:fill="FFFFFF"/>
          <w:lang w:bidi="ar"/>
        </w:rPr>
      </w:pPr>
    </w:p>
    <w:p>
      <w:pPr>
        <w:pStyle w:val="29"/>
        <w:widowControl/>
        <w:spacing w:before="240" w:after="240"/>
        <w:jc w:val="center"/>
        <w:rPr>
          <w:rFonts w:hint="eastAsia" w:ascii="黑体" w:hAnsi="宋体" w:eastAsia="黑体" w:cs="黑体"/>
          <w:kern w:val="0"/>
          <w:sz w:val="36"/>
          <w:szCs w:val="36"/>
          <w:shd w:val="clear" w:fill="FFFFFF"/>
          <w:lang w:bidi="ar"/>
        </w:rPr>
      </w:pPr>
    </w:p>
    <w:p>
      <w:pPr>
        <w:pStyle w:val="29"/>
        <w:widowControl/>
        <w:spacing w:before="240" w:after="240"/>
        <w:jc w:val="center"/>
        <w:rPr>
          <w:rFonts w:hint="eastAsia" w:ascii="黑体" w:hAnsi="宋体" w:eastAsia="黑体" w:cs="黑体"/>
          <w:kern w:val="0"/>
          <w:sz w:val="36"/>
          <w:szCs w:val="36"/>
          <w:shd w:val="clear" w:fill="FFFFFF"/>
          <w:lang w:bidi="ar"/>
        </w:rPr>
      </w:pPr>
    </w:p>
    <w:p>
      <w:pPr>
        <w:pStyle w:val="29"/>
        <w:widowControl/>
        <w:spacing w:before="240" w:after="240"/>
        <w:jc w:val="center"/>
        <w:rPr>
          <w:rFonts w:hint="eastAsia" w:ascii="黑体" w:hAnsi="宋体" w:eastAsia="黑体" w:cs="黑体"/>
          <w:kern w:val="0"/>
          <w:sz w:val="36"/>
          <w:szCs w:val="36"/>
          <w:shd w:val="clear" w:fill="FFFFFF"/>
          <w:lang w:bidi="ar"/>
        </w:rPr>
      </w:pPr>
    </w:p>
    <w:p>
      <w:pPr>
        <w:pStyle w:val="29"/>
        <w:widowControl/>
        <w:spacing w:before="240" w:after="240"/>
        <w:jc w:val="center"/>
        <w:rPr>
          <w:rFonts w:hint="eastAsia" w:ascii="黑体" w:hAnsi="宋体" w:eastAsia="黑体" w:cs="黑体"/>
          <w:kern w:val="0"/>
          <w:sz w:val="36"/>
          <w:szCs w:val="36"/>
          <w:shd w:val="clear" w:fill="FFFFFF"/>
          <w:lang w:bidi="ar"/>
        </w:rPr>
      </w:pPr>
    </w:p>
    <w:p>
      <w:pPr>
        <w:pStyle w:val="29"/>
        <w:widowControl/>
        <w:spacing w:before="240" w:after="240"/>
        <w:jc w:val="center"/>
        <w:rPr>
          <w:rFonts w:hint="eastAsia" w:ascii="黑体" w:hAnsi="宋体" w:eastAsia="黑体" w:cs="黑体"/>
          <w:kern w:val="0"/>
          <w:sz w:val="36"/>
          <w:szCs w:val="36"/>
          <w:shd w:val="clear" w:fill="FFFFFF"/>
          <w:lang w:bidi="ar"/>
        </w:rPr>
      </w:pPr>
    </w:p>
    <w:p>
      <w:pPr>
        <w:pStyle w:val="29"/>
        <w:widowControl/>
        <w:spacing w:before="240" w:after="240"/>
        <w:jc w:val="center"/>
        <w:rPr>
          <w:rFonts w:hint="eastAsia" w:ascii="黑体" w:hAnsi="宋体" w:eastAsia="黑体" w:cs="黑体"/>
          <w:kern w:val="0"/>
          <w:sz w:val="36"/>
          <w:szCs w:val="36"/>
          <w:shd w:val="clear" w:fill="FFFFFF"/>
          <w:lang w:bidi="ar"/>
        </w:rPr>
      </w:pPr>
    </w:p>
    <w:p>
      <w:pPr>
        <w:pStyle w:val="29"/>
        <w:widowControl/>
        <w:spacing w:before="240" w:after="240"/>
        <w:jc w:val="center"/>
        <w:rPr>
          <w:rFonts w:hint="eastAsia" w:ascii="黑体" w:hAnsi="宋体" w:eastAsia="黑体" w:cs="黑体"/>
          <w:kern w:val="0"/>
          <w:sz w:val="36"/>
          <w:szCs w:val="36"/>
          <w:shd w:val="clear" w:fill="FFFFFF"/>
          <w:lang w:bidi="ar"/>
        </w:rPr>
      </w:pPr>
      <w:r>
        <w:rPr>
          <w:rFonts w:hint="eastAsia" w:ascii="黑体" w:hAnsi="宋体" w:eastAsia="黑体" w:cs="黑体"/>
          <w:kern w:val="0"/>
          <w:sz w:val="36"/>
          <w:szCs w:val="36"/>
          <w:shd w:val="clear" w:fill="FFFFFF"/>
          <w:lang w:bidi="ar"/>
        </w:rPr>
        <w:t>第五部分</w:t>
      </w:r>
      <w:bookmarkEnd w:id="65"/>
      <w:bookmarkEnd w:id="66"/>
      <w:bookmarkEnd w:id="67"/>
      <w:bookmarkEnd w:id="68"/>
      <w:r>
        <w:rPr>
          <w:rFonts w:hint="eastAsia" w:ascii="黑体" w:hAnsi="宋体" w:eastAsia="黑体" w:cs="黑体"/>
          <w:kern w:val="0"/>
          <w:sz w:val="36"/>
          <w:szCs w:val="36"/>
          <w:shd w:val="clear" w:fill="FFFFFF"/>
          <w:lang w:bidi="ar"/>
        </w:rPr>
        <w:t> </w:t>
      </w:r>
      <w:bookmarkStart w:id="69" w:name="_Toc256000030"/>
      <w:bookmarkStart w:id="70" w:name="_Toc256000092"/>
      <w:bookmarkStart w:id="71" w:name="_Toc256000123"/>
      <w:bookmarkStart w:id="72" w:name="_Toc256000061"/>
      <w:r>
        <w:rPr>
          <w:rFonts w:hint="eastAsia" w:ascii="黑体" w:hAnsi="宋体" w:eastAsia="黑体" w:cs="黑体"/>
          <w:kern w:val="0"/>
          <w:sz w:val="36"/>
          <w:szCs w:val="36"/>
          <w:shd w:val="clear" w:fill="FFFFFF"/>
          <w:lang w:bidi="ar"/>
        </w:rPr>
        <w:t>附件</w:t>
      </w:r>
      <w:bookmarkEnd w:id="69"/>
      <w:bookmarkEnd w:id="70"/>
      <w:bookmarkEnd w:id="71"/>
      <w:bookmarkEnd w:id="72"/>
    </w:p>
    <w:tbl>
      <w:tblPr>
        <w:tblStyle w:val="23"/>
        <w:tblW w:w="8762" w:type="dxa"/>
        <w:tblInd w:w="0" w:type="dxa"/>
        <w:shd w:val="clear" w:color="auto" w:fill="FFFFFF" w:themeFill="background1"/>
        <w:tblLayout w:type="fixed"/>
        <w:tblCellMar>
          <w:top w:w="0" w:type="dxa"/>
          <w:left w:w="0" w:type="dxa"/>
          <w:bottom w:w="0" w:type="dxa"/>
          <w:right w:w="0" w:type="dxa"/>
        </w:tblCellMar>
      </w:tblPr>
      <w:tblGrid>
        <w:gridCol w:w="35"/>
        <w:gridCol w:w="819"/>
        <w:gridCol w:w="414"/>
        <w:gridCol w:w="1847"/>
        <w:gridCol w:w="1560"/>
        <w:gridCol w:w="414"/>
        <w:gridCol w:w="652"/>
        <w:gridCol w:w="511"/>
        <w:gridCol w:w="849"/>
        <w:gridCol w:w="519"/>
        <w:gridCol w:w="276"/>
        <w:gridCol w:w="866"/>
      </w:tblGrid>
      <w:tr>
        <w:tblPrEx>
          <w:shd w:val="clear" w:color="auto" w:fill="FFFFFF" w:themeFill="background1"/>
          <w:tblLayout w:type="fixed"/>
          <w:tblCellMar>
            <w:top w:w="0" w:type="dxa"/>
            <w:left w:w="0" w:type="dxa"/>
            <w:bottom w:w="0" w:type="dxa"/>
            <w:right w:w="0" w:type="dxa"/>
          </w:tblCellMar>
        </w:tblPrEx>
        <w:trPr>
          <w:trHeight w:val="375" w:hRule="atLeast"/>
        </w:trPr>
        <w:tc>
          <w:tcPr>
            <w:tcW w:w="35"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8727" w:type="dxa"/>
            <w:gridSpan w:val="11"/>
            <w:tcBorders>
              <w:top w:val="nil"/>
              <w:left w:val="nil"/>
              <w:bottom w:val="nil"/>
              <w:right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cs="宋体"/>
                <w:b/>
                <w:i w:val="0"/>
                <w:color w:val="000000"/>
                <w:kern w:val="0"/>
                <w:sz w:val="28"/>
                <w:szCs w:val="28"/>
                <w:u w:val="none"/>
                <w:lang w:val="en-US" w:eastAsia="zh-CN" w:bidi="ar"/>
              </w:rPr>
              <w:t>单位</w:t>
            </w:r>
            <w:r>
              <w:rPr>
                <w:rFonts w:hint="eastAsia" w:ascii="宋体" w:hAnsi="宋体" w:eastAsia="宋体" w:cs="宋体"/>
                <w:b/>
                <w:i w:val="0"/>
                <w:color w:val="000000"/>
                <w:kern w:val="0"/>
                <w:sz w:val="28"/>
                <w:szCs w:val="28"/>
                <w:u w:val="none"/>
                <w:lang w:val="en-US" w:eastAsia="zh-CN" w:bidi="ar"/>
              </w:rPr>
              <w:t>（单位）项目支出绩效自评表</w:t>
            </w:r>
          </w:p>
        </w:tc>
      </w:tr>
      <w:tr>
        <w:tblPrEx>
          <w:shd w:val="clear" w:color="auto" w:fill="FFFFFF" w:themeFill="background1"/>
          <w:tblLayout w:type="fixed"/>
          <w:tblCellMar>
            <w:top w:w="0" w:type="dxa"/>
            <w:left w:w="0" w:type="dxa"/>
            <w:bottom w:w="0" w:type="dxa"/>
            <w:right w:w="0" w:type="dxa"/>
          </w:tblCellMar>
        </w:tblPrEx>
        <w:trPr>
          <w:trHeight w:val="360" w:hRule="atLeast"/>
        </w:trPr>
        <w:tc>
          <w:tcPr>
            <w:tcW w:w="35"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8727" w:type="dxa"/>
            <w:gridSpan w:val="11"/>
            <w:tcBorders>
              <w:top w:val="nil"/>
              <w:left w:val="nil"/>
              <w:bottom w:val="nil"/>
              <w:right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（2024年度）</w:t>
            </w:r>
          </w:p>
        </w:tc>
      </w:tr>
      <w:tr>
        <w:tblPrEx>
          <w:shd w:val="clear" w:color="auto" w:fill="FFFFFF" w:themeFill="background1"/>
          <w:tblLayout w:type="fixed"/>
          <w:tblCellMar>
            <w:top w:w="0" w:type="dxa"/>
            <w:left w:w="0" w:type="dxa"/>
            <w:bottom w:w="0" w:type="dxa"/>
            <w:right w:w="0" w:type="dxa"/>
          </w:tblCellMar>
        </w:tblPrEx>
        <w:trPr>
          <w:trHeight w:val="390" w:hRule="atLeast"/>
        </w:trPr>
        <w:tc>
          <w:tcPr>
            <w:tcW w:w="35"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819" w:type="dxa"/>
            <w:tcBorders>
              <w:top w:val="nil"/>
              <w:left w:val="nil"/>
              <w:bottom w:val="single" w:color="000000" w:sz="4" w:space="0"/>
              <w:right w:val="nil"/>
            </w:tcBorders>
            <w:shd w:val="clear" w:color="auto" w:fill="FFFFFF" w:themeFill="background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预算单位（盖章）：                                                                                                  </w:t>
            </w:r>
          </w:p>
        </w:tc>
        <w:tc>
          <w:tcPr>
            <w:tcW w:w="414" w:type="dxa"/>
            <w:tcBorders>
              <w:top w:val="nil"/>
              <w:left w:val="nil"/>
              <w:bottom w:val="single" w:color="000000" w:sz="4" w:space="0"/>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847" w:type="dxa"/>
            <w:tcBorders>
              <w:top w:val="nil"/>
              <w:left w:val="nil"/>
              <w:bottom w:val="single" w:color="000000" w:sz="4" w:space="0"/>
              <w:right w:val="nil"/>
            </w:tcBorders>
            <w:shd w:val="clear" w:color="auto" w:fill="FFFFFF" w:themeFill="background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厦门市湖里区教师进修学校附属小学</w:t>
            </w:r>
          </w:p>
        </w:tc>
        <w:tc>
          <w:tcPr>
            <w:tcW w:w="1560" w:type="dxa"/>
            <w:tcBorders>
              <w:top w:val="nil"/>
              <w:left w:val="nil"/>
              <w:bottom w:val="single" w:color="000000" w:sz="4" w:space="0"/>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414" w:type="dxa"/>
            <w:tcBorders>
              <w:top w:val="nil"/>
              <w:left w:val="nil"/>
              <w:bottom w:val="single" w:color="000000" w:sz="4" w:space="0"/>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652" w:type="dxa"/>
            <w:tcBorders>
              <w:top w:val="nil"/>
              <w:left w:val="nil"/>
              <w:bottom w:val="single" w:color="000000" w:sz="4" w:space="0"/>
              <w:right w:val="nil"/>
            </w:tcBorders>
            <w:shd w:val="clear" w:color="auto" w:fill="FFFFFF" w:themeFill="background1"/>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511" w:type="dxa"/>
            <w:tcBorders>
              <w:top w:val="nil"/>
              <w:left w:val="nil"/>
              <w:bottom w:val="single" w:color="000000" w:sz="4" w:space="0"/>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849" w:type="dxa"/>
            <w:tcBorders>
              <w:top w:val="nil"/>
              <w:left w:val="nil"/>
              <w:bottom w:val="single" w:color="000000" w:sz="4" w:space="0"/>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519" w:type="dxa"/>
            <w:tcBorders>
              <w:top w:val="nil"/>
              <w:left w:val="nil"/>
              <w:bottom w:val="single" w:color="000000" w:sz="4" w:space="0"/>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276" w:type="dxa"/>
            <w:tcBorders>
              <w:top w:val="nil"/>
              <w:left w:val="nil"/>
              <w:bottom w:val="single" w:color="000000" w:sz="4" w:space="0"/>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866" w:type="dxa"/>
            <w:tcBorders>
              <w:top w:val="nil"/>
              <w:left w:val="nil"/>
              <w:bottom w:val="single" w:color="000000" w:sz="4" w:space="0"/>
              <w:right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单位：万元</w:t>
            </w:r>
          </w:p>
        </w:tc>
      </w:tr>
      <w:tr>
        <w:tblPrEx>
          <w:shd w:val="clear" w:color="auto" w:fill="FFFFFF" w:themeFill="background1"/>
          <w:tblLayout w:type="fixed"/>
          <w:tblCellMar>
            <w:top w:w="0" w:type="dxa"/>
            <w:left w:w="0" w:type="dxa"/>
            <w:bottom w:w="0" w:type="dxa"/>
            <w:right w:w="0" w:type="dxa"/>
          </w:tblCellMar>
        </w:tblPrEx>
        <w:trPr>
          <w:trHeight w:val="360" w:hRule="atLeast"/>
        </w:trPr>
        <w:tc>
          <w:tcPr>
            <w:tcW w:w="35"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233" w:type="dxa"/>
            <w:gridSpan w:val="2"/>
            <w:tcBorders>
              <w:top w:val="nil"/>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项目名称</w:t>
            </w:r>
          </w:p>
        </w:tc>
        <w:tc>
          <w:tcPr>
            <w:tcW w:w="1847" w:type="dxa"/>
            <w:tcBorders>
              <w:top w:val="single" w:color="000000" w:sz="4" w:space="0"/>
              <w:left w:val="single" w:color="000000" w:sz="4" w:space="0"/>
              <w:bottom w:val="single" w:color="000000" w:sz="4" w:space="0"/>
              <w:right w:val="nil"/>
            </w:tcBorders>
            <w:shd w:val="clear" w:color="auto" w:fill="FFFFFF" w:themeFill="background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义务教育阶段家庭经济困难学生营养餐补助</w:t>
            </w:r>
          </w:p>
        </w:tc>
        <w:tc>
          <w:tcPr>
            <w:tcW w:w="1560" w:type="dxa"/>
            <w:tcBorders>
              <w:top w:val="single" w:color="000000" w:sz="4" w:space="0"/>
              <w:left w:val="nil"/>
              <w:bottom w:val="single" w:color="000000" w:sz="4" w:space="0"/>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414" w:type="dxa"/>
            <w:tcBorders>
              <w:top w:val="single" w:color="000000" w:sz="4" w:space="0"/>
              <w:left w:val="nil"/>
              <w:bottom w:val="single" w:color="000000" w:sz="4" w:space="0"/>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652" w:type="dxa"/>
            <w:tcBorders>
              <w:top w:val="single" w:color="000000" w:sz="4" w:space="0"/>
              <w:left w:val="nil"/>
              <w:bottom w:val="single" w:color="000000" w:sz="4" w:space="0"/>
              <w:right w:val="nil"/>
            </w:tcBorders>
            <w:shd w:val="clear" w:color="auto" w:fill="FFFFFF" w:themeFill="background1"/>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511"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自评年度</w:t>
            </w:r>
          </w:p>
        </w:tc>
        <w:tc>
          <w:tcPr>
            <w:tcW w:w="2510"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2024年1月1日-2024年12月31日</w:t>
            </w:r>
          </w:p>
        </w:tc>
      </w:tr>
      <w:tr>
        <w:tblPrEx>
          <w:shd w:val="clear" w:color="auto" w:fill="FFFFFF" w:themeFill="background1"/>
          <w:tblLayout w:type="fixed"/>
          <w:tblCellMar>
            <w:top w:w="0" w:type="dxa"/>
            <w:left w:w="0" w:type="dxa"/>
            <w:bottom w:w="0" w:type="dxa"/>
            <w:right w:w="0" w:type="dxa"/>
          </w:tblCellMar>
        </w:tblPrEx>
        <w:trPr>
          <w:trHeight w:val="360" w:hRule="atLeast"/>
        </w:trPr>
        <w:tc>
          <w:tcPr>
            <w:tcW w:w="35"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23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主管</w:t>
            </w:r>
            <w:r>
              <w:rPr>
                <w:rFonts w:hint="eastAsia" w:ascii="宋体" w:hAnsi="宋体" w:cs="宋体"/>
                <w:b/>
                <w:i w:val="0"/>
                <w:color w:val="000000"/>
                <w:kern w:val="0"/>
                <w:sz w:val="24"/>
                <w:szCs w:val="24"/>
                <w:u w:val="none"/>
                <w:lang w:val="en-US" w:eastAsia="zh-CN" w:bidi="ar"/>
              </w:rPr>
              <w:t>单位</w:t>
            </w:r>
          </w:p>
        </w:tc>
        <w:tc>
          <w:tcPr>
            <w:tcW w:w="4473"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湖里区教育局</w:t>
            </w:r>
          </w:p>
        </w:tc>
        <w:tc>
          <w:tcPr>
            <w:tcW w:w="511"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实施单位</w:t>
            </w:r>
          </w:p>
        </w:tc>
        <w:tc>
          <w:tcPr>
            <w:tcW w:w="1644"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湖里区教师进修学校附属小学</w:t>
            </w:r>
          </w:p>
        </w:tc>
        <w:tc>
          <w:tcPr>
            <w:tcW w:w="866"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shd w:val="clear" w:color="auto" w:fill="FFFFFF" w:themeFill="background1"/>
          <w:tblLayout w:type="fixed"/>
          <w:tblCellMar>
            <w:top w:w="0" w:type="dxa"/>
            <w:left w:w="0" w:type="dxa"/>
            <w:bottom w:w="0" w:type="dxa"/>
            <w:right w:w="0" w:type="dxa"/>
          </w:tblCellMar>
        </w:tblPrEx>
        <w:trPr>
          <w:trHeight w:val="660" w:hRule="atLeast"/>
        </w:trPr>
        <w:tc>
          <w:tcPr>
            <w:tcW w:w="35"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233"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年度预算执行情况</w:t>
            </w:r>
          </w:p>
        </w:tc>
        <w:tc>
          <w:tcPr>
            <w:tcW w:w="1847"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年初预算数</w:t>
            </w:r>
          </w:p>
        </w:tc>
        <w:tc>
          <w:tcPr>
            <w:tcW w:w="41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已调整数</w:t>
            </w:r>
          </w:p>
        </w:tc>
        <w:tc>
          <w:tcPr>
            <w:tcW w:w="652"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调整后预算数</w:t>
            </w:r>
          </w:p>
        </w:tc>
        <w:tc>
          <w:tcPr>
            <w:tcW w:w="511"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全年执行数</w:t>
            </w:r>
          </w:p>
        </w:tc>
        <w:tc>
          <w:tcPr>
            <w:tcW w:w="849"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执行率</w:t>
            </w:r>
          </w:p>
        </w:tc>
        <w:tc>
          <w:tcPr>
            <w:tcW w:w="519" w:type="dxa"/>
            <w:tcBorders>
              <w:top w:val="single" w:color="000000" w:sz="4" w:space="0"/>
              <w:left w:val="single" w:color="000000" w:sz="4" w:space="0"/>
              <w:bottom w:val="single" w:color="000000" w:sz="4" w:space="0"/>
              <w:right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设置分值</w:t>
            </w:r>
          </w:p>
        </w:tc>
        <w:tc>
          <w:tcPr>
            <w:tcW w:w="276"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得分</w:t>
            </w:r>
          </w:p>
        </w:tc>
        <w:tc>
          <w:tcPr>
            <w:tcW w:w="866" w:type="dxa"/>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存在问题及原因</w:t>
            </w:r>
          </w:p>
        </w:tc>
      </w:tr>
      <w:tr>
        <w:tblPrEx>
          <w:shd w:val="clear" w:color="auto" w:fill="FFFFFF" w:themeFill="background1"/>
          <w:tblLayout w:type="fixed"/>
          <w:tblCellMar>
            <w:top w:w="0" w:type="dxa"/>
            <w:left w:w="0" w:type="dxa"/>
            <w:bottom w:w="0" w:type="dxa"/>
            <w:right w:w="0" w:type="dxa"/>
          </w:tblCellMar>
        </w:tblPrEx>
        <w:trPr>
          <w:trHeight w:val="330" w:hRule="atLeast"/>
        </w:trPr>
        <w:tc>
          <w:tcPr>
            <w:tcW w:w="35"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233"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847"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年度资金总额</w:t>
            </w:r>
          </w:p>
        </w:tc>
        <w:tc>
          <w:tcPr>
            <w:tcW w:w="1560"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1.32</w:t>
            </w:r>
          </w:p>
        </w:tc>
        <w:tc>
          <w:tcPr>
            <w:tcW w:w="41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652"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1.32</w:t>
            </w:r>
          </w:p>
        </w:tc>
        <w:tc>
          <w:tcPr>
            <w:tcW w:w="511"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0.87</w:t>
            </w:r>
          </w:p>
        </w:tc>
        <w:tc>
          <w:tcPr>
            <w:tcW w:w="849"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65.91%</w:t>
            </w:r>
          </w:p>
        </w:tc>
        <w:tc>
          <w:tcPr>
            <w:tcW w:w="519" w:type="dxa"/>
            <w:tcBorders>
              <w:top w:val="single" w:color="000000" w:sz="4" w:space="0"/>
              <w:left w:val="single" w:color="000000" w:sz="4" w:space="0"/>
              <w:bottom w:val="single" w:color="000000" w:sz="4" w:space="0"/>
              <w:right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276"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w:t>
            </w:r>
          </w:p>
        </w:tc>
        <w:tc>
          <w:tcPr>
            <w:tcW w:w="866"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部分困难生未在校用餐</w:t>
            </w:r>
          </w:p>
        </w:tc>
      </w:tr>
      <w:tr>
        <w:tblPrEx>
          <w:shd w:val="clear" w:color="auto" w:fill="FFFFFF" w:themeFill="background1"/>
          <w:tblLayout w:type="fixed"/>
          <w:tblCellMar>
            <w:top w:w="0" w:type="dxa"/>
            <w:left w:w="0" w:type="dxa"/>
            <w:bottom w:w="0" w:type="dxa"/>
            <w:right w:w="0" w:type="dxa"/>
          </w:tblCellMar>
        </w:tblPrEx>
        <w:trPr>
          <w:trHeight w:val="330" w:hRule="atLeast"/>
        </w:trPr>
        <w:tc>
          <w:tcPr>
            <w:tcW w:w="35"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233"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847"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其中：当年财政拨款</w:t>
            </w:r>
          </w:p>
        </w:tc>
        <w:tc>
          <w:tcPr>
            <w:tcW w:w="1560"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1.32</w:t>
            </w:r>
          </w:p>
        </w:tc>
        <w:tc>
          <w:tcPr>
            <w:tcW w:w="41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652"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1.32</w:t>
            </w:r>
          </w:p>
        </w:tc>
        <w:tc>
          <w:tcPr>
            <w:tcW w:w="511"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0.87</w:t>
            </w:r>
          </w:p>
        </w:tc>
        <w:tc>
          <w:tcPr>
            <w:tcW w:w="849"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65.91%</w:t>
            </w:r>
          </w:p>
        </w:tc>
        <w:tc>
          <w:tcPr>
            <w:tcW w:w="519" w:type="dxa"/>
            <w:tcBorders>
              <w:top w:val="single" w:color="000000" w:sz="4" w:space="0"/>
              <w:left w:val="single" w:color="000000" w:sz="4" w:space="0"/>
              <w:bottom w:val="single" w:color="000000" w:sz="4" w:space="0"/>
              <w:right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276"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无</w:t>
            </w:r>
          </w:p>
        </w:tc>
      </w:tr>
      <w:tr>
        <w:tblPrEx>
          <w:shd w:val="clear" w:color="auto" w:fill="FFFFFF" w:themeFill="background1"/>
          <w:tblLayout w:type="fixed"/>
          <w:tblCellMar>
            <w:top w:w="0" w:type="dxa"/>
            <w:left w:w="0" w:type="dxa"/>
            <w:bottom w:w="0" w:type="dxa"/>
            <w:right w:w="0" w:type="dxa"/>
          </w:tblCellMar>
        </w:tblPrEx>
        <w:trPr>
          <w:trHeight w:val="330" w:hRule="atLeast"/>
        </w:trPr>
        <w:tc>
          <w:tcPr>
            <w:tcW w:w="35"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233"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847"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 xml:space="preserve">     上年结转资金</w:t>
            </w:r>
          </w:p>
        </w:tc>
        <w:tc>
          <w:tcPr>
            <w:tcW w:w="1560"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652"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511"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849"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519" w:type="dxa"/>
            <w:tcBorders>
              <w:top w:val="single" w:color="000000" w:sz="4" w:space="0"/>
              <w:left w:val="single" w:color="000000" w:sz="4" w:space="0"/>
              <w:bottom w:val="single" w:color="000000" w:sz="4" w:space="0"/>
              <w:right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276"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shd w:val="clear" w:color="auto" w:fill="FFFFFF" w:themeFill="background1"/>
          <w:tblLayout w:type="fixed"/>
          <w:tblCellMar>
            <w:top w:w="0" w:type="dxa"/>
            <w:left w:w="0" w:type="dxa"/>
            <w:bottom w:w="0" w:type="dxa"/>
            <w:right w:w="0" w:type="dxa"/>
          </w:tblCellMar>
        </w:tblPrEx>
        <w:trPr>
          <w:trHeight w:val="330" w:hRule="atLeast"/>
        </w:trPr>
        <w:tc>
          <w:tcPr>
            <w:tcW w:w="35"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233"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847"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 xml:space="preserve">     其他资金</w:t>
            </w:r>
          </w:p>
        </w:tc>
        <w:tc>
          <w:tcPr>
            <w:tcW w:w="1560"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652"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511"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849"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519" w:type="dxa"/>
            <w:tcBorders>
              <w:top w:val="single" w:color="000000" w:sz="4" w:space="0"/>
              <w:left w:val="single" w:color="000000" w:sz="4" w:space="0"/>
              <w:bottom w:val="single" w:color="000000" w:sz="4" w:space="0"/>
              <w:right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276"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shd w:val="clear" w:color="auto" w:fill="FFFFFF" w:themeFill="background1"/>
          <w:tblLayout w:type="fixed"/>
          <w:tblCellMar>
            <w:top w:w="0" w:type="dxa"/>
            <w:left w:w="0" w:type="dxa"/>
            <w:bottom w:w="0" w:type="dxa"/>
            <w:right w:w="0" w:type="dxa"/>
          </w:tblCellMar>
        </w:tblPrEx>
        <w:trPr>
          <w:trHeight w:val="375" w:hRule="atLeast"/>
        </w:trPr>
        <w:tc>
          <w:tcPr>
            <w:tcW w:w="35"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819"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年度</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总体</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目标</w:t>
            </w:r>
          </w:p>
        </w:tc>
        <w:tc>
          <w:tcPr>
            <w:tcW w:w="4887"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预期目标</w:t>
            </w:r>
          </w:p>
        </w:tc>
        <w:tc>
          <w:tcPr>
            <w:tcW w:w="3021"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实际完成情况</w:t>
            </w:r>
          </w:p>
        </w:tc>
      </w:tr>
      <w:tr>
        <w:tblPrEx>
          <w:shd w:val="clear" w:color="auto" w:fill="FFFFFF" w:themeFill="background1"/>
          <w:tblLayout w:type="fixed"/>
          <w:tblCellMar>
            <w:top w:w="0" w:type="dxa"/>
            <w:left w:w="0" w:type="dxa"/>
            <w:bottom w:w="0" w:type="dxa"/>
            <w:right w:w="0" w:type="dxa"/>
          </w:tblCellMar>
        </w:tblPrEx>
        <w:trPr>
          <w:trHeight w:val="270" w:hRule="atLeast"/>
        </w:trPr>
        <w:tc>
          <w:tcPr>
            <w:tcW w:w="35"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81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4887" w:type="dxa"/>
            <w:gridSpan w:val="5"/>
            <w:vMerge w:val="restar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厦门市教育局等五</w:t>
            </w:r>
            <w:r>
              <w:rPr>
                <w:rFonts w:hint="eastAsia" w:ascii="宋体" w:hAnsi="宋体" w:cs="宋体"/>
                <w:i w:val="0"/>
                <w:color w:val="000000"/>
                <w:kern w:val="0"/>
                <w:sz w:val="24"/>
                <w:szCs w:val="24"/>
                <w:u w:val="none"/>
                <w:lang w:val="en-US" w:eastAsia="zh-CN" w:bidi="ar"/>
              </w:rPr>
              <w:t>单位</w:t>
            </w:r>
            <w:r>
              <w:rPr>
                <w:rFonts w:hint="eastAsia" w:ascii="宋体" w:hAnsi="宋体" w:eastAsia="宋体" w:cs="宋体"/>
                <w:i w:val="0"/>
                <w:color w:val="000000"/>
                <w:kern w:val="0"/>
                <w:sz w:val="24"/>
                <w:szCs w:val="24"/>
                <w:u w:val="none"/>
                <w:lang w:val="en-US" w:eastAsia="zh-CN" w:bidi="ar"/>
              </w:rPr>
              <w:t>关于印发《厦门市学生资助资金管理实施办法》的通知（厦教发〔2022〕83号）及厦门市教育局等八</w:t>
            </w:r>
            <w:r>
              <w:rPr>
                <w:rFonts w:hint="eastAsia" w:ascii="宋体" w:hAnsi="宋体" w:cs="宋体"/>
                <w:i w:val="0"/>
                <w:color w:val="000000"/>
                <w:kern w:val="0"/>
                <w:sz w:val="24"/>
                <w:szCs w:val="24"/>
                <w:u w:val="none"/>
                <w:lang w:val="en-US" w:eastAsia="zh-CN" w:bidi="ar"/>
              </w:rPr>
              <w:t>单位</w:t>
            </w:r>
            <w:r>
              <w:rPr>
                <w:rFonts w:hint="eastAsia" w:ascii="宋体" w:hAnsi="宋体" w:eastAsia="宋体" w:cs="宋体"/>
                <w:i w:val="0"/>
                <w:color w:val="000000"/>
                <w:kern w:val="0"/>
                <w:sz w:val="24"/>
                <w:szCs w:val="24"/>
                <w:u w:val="none"/>
                <w:lang w:val="en-US" w:eastAsia="zh-CN" w:bidi="ar"/>
              </w:rPr>
              <w:t>关于印发《厦门市家庭经济困难学生认定办法》的通知（厦教规【2022】3号）等文件，对义务教育阶段公办校（学校提供午餐）家庭经济困难学生营养餐补助，确保补助工作顺利实施。</w:t>
            </w:r>
          </w:p>
        </w:tc>
        <w:tc>
          <w:tcPr>
            <w:tcW w:w="3021" w:type="dxa"/>
            <w:gridSpan w:val="5"/>
            <w:vMerge w:val="restar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2024年完成春、秋两季关于我区义务教育阶段公办校（学校提供午餐）家庭经济困难学生营养餐补助对象审核及资金下拨。</w:t>
            </w:r>
          </w:p>
        </w:tc>
      </w:tr>
      <w:tr>
        <w:tblPrEx>
          <w:shd w:val="clear" w:color="auto" w:fill="FFFFFF" w:themeFill="background1"/>
          <w:tblLayout w:type="fixed"/>
          <w:tblCellMar>
            <w:top w:w="0" w:type="dxa"/>
            <w:left w:w="0" w:type="dxa"/>
            <w:bottom w:w="0" w:type="dxa"/>
            <w:right w:w="0" w:type="dxa"/>
          </w:tblCellMar>
        </w:tblPrEx>
        <w:trPr>
          <w:trHeight w:val="1560" w:hRule="atLeast"/>
        </w:trPr>
        <w:tc>
          <w:tcPr>
            <w:tcW w:w="35"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81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4887" w:type="dxa"/>
            <w:gridSpan w:val="5"/>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3021" w:type="dxa"/>
            <w:gridSpan w:val="5"/>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r>
        <w:tblPrEx>
          <w:shd w:val="clear" w:color="auto" w:fill="FFFFFF" w:themeFill="background1"/>
          <w:tblLayout w:type="fixed"/>
          <w:tblCellMar>
            <w:top w:w="0" w:type="dxa"/>
            <w:left w:w="0" w:type="dxa"/>
            <w:bottom w:w="0" w:type="dxa"/>
            <w:right w:w="0" w:type="dxa"/>
          </w:tblCellMar>
        </w:tblPrEx>
        <w:trPr>
          <w:trHeight w:val="675" w:hRule="atLeast"/>
        </w:trPr>
        <w:tc>
          <w:tcPr>
            <w:tcW w:w="35"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一级指标</w:t>
            </w:r>
          </w:p>
        </w:tc>
        <w:tc>
          <w:tcPr>
            <w:tcW w:w="1847"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二级指标</w:t>
            </w:r>
          </w:p>
        </w:tc>
        <w:tc>
          <w:tcPr>
            <w:tcW w:w="1560"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三级指标</w:t>
            </w:r>
          </w:p>
        </w:tc>
        <w:tc>
          <w:tcPr>
            <w:tcW w:w="41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指标类型</w:t>
            </w:r>
          </w:p>
        </w:tc>
        <w:tc>
          <w:tcPr>
            <w:tcW w:w="652"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绩效目标值</w:t>
            </w:r>
          </w:p>
        </w:tc>
        <w:tc>
          <w:tcPr>
            <w:tcW w:w="511"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实际完成值</w:t>
            </w:r>
          </w:p>
        </w:tc>
        <w:tc>
          <w:tcPr>
            <w:tcW w:w="849"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完成比例</w:t>
            </w:r>
          </w:p>
        </w:tc>
        <w:tc>
          <w:tcPr>
            <w:tcW w:w="519" w:type="dxa"/>
            <w:tcBorders>
              <w:top w:val="single" w:color="000000" w:sz="4" w:space="0"/>
              <w:left w:val="single" w:color="000000" w:sz="4" w:space="0"/>
              <w:bottom w:val="single" w:color="000000" w:sz="4" w:space="0"/>
              <w:right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设置分值</w:t>
            </w:r>
          </w:p>
        </w:tc>
        <w:tc>
          <w:tcPr>
            <w:tcW w:w="276"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得分</w:t>
            </w:r>
          </w:p>
        </w:tc>
        <w:tc>
          <w:tcPr>
            <w:tcW w:w="866" w:type="dxa"/>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存在问题及原因</w:t>
            </w:r>
          </w:p>
        </w:tc>
      </w:tr>
      <w:tr>
        <w:tblPrEx>
          <w:shd w:val="clear" w:color="auto" w:fill="FFFFFF" w:themeFill="background1"/>
          <w:tblLayout w:type="fixed"/>
          <w:tblCellMar>
            <w:top w:w="0" w:type="dxa"/>
            <w:left w:w="0" w:type="dxa"/>
            <w:bottom w:w="0" w:type="dxa"/>
            <w:right w:w="0" w:type="dxa"/>
          </w:tblCellMar>
        </w:tblPrEx>
        <w:trPr>
          <w:trHeight w:val="450" w:hRule="atLeast"/>
        </w:trPr>
        <w:tc>
          <w:tcPr>
            <w:tcW w:w="35"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819"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绩</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效</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指</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标</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完</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成</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情</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况</w:t>
            </w:r>
          </w:p>
        </w:tc>
        <w:tc>
          <w:tcPr>
            <w:tcW w:w="414"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产出指标</w:t>
            </w:r>
          </w:p>
        </w:tc>
        <w:tc>
          <w:tcPr>
            <w:tcW w:w="1847"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数量指标</w:t>
            </w:r>
          </w:p>
        </w:tc>
        <w:tc>
          <w:tcPr>
            <w:tcW w:w="1560"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审核义务教育阶段受助学生</w:t>
            </w:r>
          </w:p>
        </w:tc>
        <w:tc>
          <w:tcPr>
            <w:tcW w:w="414" w:type="dxa"/>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定量</w:t>
            </w:r>
          </w:p>
        </w:tc>
        <w:tc>
          <w:tcPr>
            <w:tcW w:w="652"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大于等于19人</w:t>
            </w:r>
          </w:p>
        </w:tc>
        <w:tc>
          <w:tcPr>
            <w:tcW w:w="511"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19人</w:t>
            </w:r>
          </w:p>
        </w:tc>
        <w:tc>
          <w:tcPr>
            <w:tcW w:w="849"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100.00%</w:t>
            </w:r>
          </w:p>
        </w:tc>
        <w:tc>
          <w:tcPr>
            <w:tcW w:w="519"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c>
          <w:tcPr>
            <w:tcW w:w="276"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c>
          <w:tcPr>
            <w:tcW w:w="866"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无</w:t>
            </w:r>
          </w:p>
        </w:tc>
      </w:tr>
      <w:tr>
        <w:tblPrEx>
          <w:shd w:val="clear" w:color="auto" w:fill="FFFFFF" w:themeFill="background1"/>
          <w:tblLayout w:type="fixed"/>
          <w:tblCellMar>
            <w:top w:w="0" w:type="dxa"/>
            <w:left w:w="0" w:type="dxa"/>
            <w:bottom w:w="0" w:type="dxa"/>
            <w:right w:w="0" w:type="dxa"/>
          </w:tblCellMar>
        </w:tblPrEx>
        <w:trPr>
          <w:trHeight w:val="450" w:hRule="atLeast"/>
        </w:trPr>
        <w:tc>
          <w:tcPr>
            <w:tcW w:w="35"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81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414"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847"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数量指标</w:t>
            </w:r>
          </w:p>
        </w:tc>
        <w:tc>
          <w:tcPr>
            <w:tcW w:w="1560"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全年营养餐补助学生</w:t>
            </w:r>
          </w:p>
        </w:tc>
        <w:tc>
          <w:tcPr>
            <w:tcW w:w="414" w:type="dxa"/>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定量</w:t>
            </w:r>
          </w:p>
        </w:tc>
        <w:tc>
          <w:tcPr>
            <w:tcW w:w="652"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大于等于16人</w:t>
            </w:r>
          </w:p>
        </w:tc>
        <w:tc>
          <w:tcPr>
            <w:tcW w:w="511"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16人</w:t>
            </w:r>
          </w:p>
        </w:tc>
        <w:tc>
          <w:tcPr>
            <w:tcW w:w="849"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100.00%</w:t>
            </w:r>
          </w:p>
        </w:tc>
        <w:tc>
          <w:tcPr>
            <w:tcW w:w="519"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c>
          <w:tcPr>
            <w:tcW w:w="276"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c>
          <w:tcPr>
            <w:tcW w:w="866"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无</w:t>
            </w:r>
          </w:p>
        </w:tc>
      </w:tr>
      <w:tr>
        <w:tblPrEx>
          <w:shd w:val="clear" w:color="auto" w:fill="FFFFFF" w:themeFill="background1"/>
          <w:tblLayout w:type="fixed"/>
          <w:tblCellMar>
            <w:top w:w="0" w:type="dxa"/>
            <w:left w:w="0" w:type="dxa"/>
            <w:bottom w:w="0" w:type="dxa"/>
            <w:right w:w="0" w:type="dxa"/>
          </w:tblCellMar>
        </w:tblPrEx>
        <w:trPr>
          <w:trHeight w:val="450" w:hRule="atLeast"/>
        </w:trPr>
        <w:tc>
          <w:tcPr>
            <w:tcW w:w="35"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81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414"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847"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成本指标</w:t>
            </w:r>
          </w:p>
        </w:tc>
        <w:tc>
          <w:tcPr>
            <w:tcW w:w="1560"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营养餐发放标准</w:t>
            </w:r>
          </w:p>
        </w:tc>
        <w:tc>
          <w:tcPr>
            <w:tcW w:w="414" w:type="dxa"/>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定量</w:t>
            </w:r>
          </w:p>
        </w:tc>
        <w:tc>
          <w:tcPr>
            <w:tcW w:w="652"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6元/餐</w:t>
            </w:r>
          </w:p>
        </w:tc>
        <w:tc>
          <w:tcPr>
            <w:tcW w:w="511"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6元/餐</w:t>
            </w:r>
          </w:p>
        </w:tc>
        <w:tc>
          <w:tcPr>
            <w:tcW w:w="849"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100.00%</w:t>
            </w:r>
          </w:p>
        </w:tc>
        <w:tc>
          <w:tcPr>
            <w:tcW w:w="519"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276"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无</w:t>
            </w:r>
          </w:p>
        </w:tc>
      </w:tr>
      <w:tr>
        <w:tblPrEx>
          <w:shd w:val="clear" w:color="auto" w:fill="FFFFFF" w:themeFill="background1"/>
          <w:tblLayout w:type="fixed"/>
          <w:tblCellMar>
            <w:top w:w="0" w:type="dxa"/>
            <w:left w:w="0" w:type="dxa"/>
            <w:bottom w:w="0" w:type="dxa"/>
            <w:right w:w="0" w:type="dxa"/>
          </w:tblCellMar>
        </w:tblPrEx>
        <w:trPr>
          <w:trHeight w:val="615" w:hRule="atLeast"/>
        </w:trPr>
        <w:tc>
          <w:tcPr>
            <w:tcW w:w="35"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81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414"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847"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时效指标</w:t>
            </w:r>
          </w:p>
        </w:tc>
        <w:tc>
          <w:tcPr>
            <w:tcW w:w="1560"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义务教育困难生资助资金下拨及时率</w:t>
            </w:r>
          </w:p>
        </w:tc>
        <w:tc>
          <w:tcPr>
            <w:tcW w:w="414" w:type="dxa"/>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定量</w:t>
            </w:r>
          </w:p>
        </w:tc>
        <w:tc>
          <w:tcPr>
            <w:tcW w:w="652"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c>
          <w:tcPr>
            <w:tcW w:w="511"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c>
          <w:tcPr>
            <w:tcW w:w="849"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100.00%</w:t>
            </w:r>
          </w:p>
        </w:tc>
        <w:tc>
          <w:tcPr>
            <w:tcW w:w="519"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276"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无</w:t>
            </w:r>
          </w:p>
        </w:tc>
      </w:tr>
      <w:tr>
        <w:tblPrEx>
          <w:shd w:val="clear" w:color="auto" w:fill="FFFFFF" w:themeFill="background1"/>
          <w:tblLayout w:type="fixed"/>
          <w:tblCellMar>
            <w:top w:w="0" w:type="dxa"/>
            <w:left w:w="0" w:type="dxa"/>
            <w:bottom w:w="0" w:type="dxa"/>
            <w:right w:w="0" w:type="dxa"/>
          </w:tblCellMar>
        </w:tblPrEx>
        <w:trPr>
          <w:trHeight w:val="615" w:hRule="atLeast"/>
        </w:trPr>
        <w:tc>
          <w:tcPr>
            <w:tcW w:w="35"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81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414" w:type="dxa"/>
            <w:tcBorders>
              <w:top w:val="nil"/>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效益指标</w:t>
            </w:r>
          </w:p>
        </w:tc>
        <w:tc>
          <w:tcPr>
            <w:tcW w:w="1847"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社会效益指标</w:t>
            </w:r>
          </w:p>
        </w:tc>
        <w:tc>
          <w:tcPr>
            <w:tcW w:w="1560"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改善受助学生学习生活质量</w:t>
            </w:r>
          </w:p>
        </w:tc>
        <w:tc>
          <w:tcPr>
            <w:tcW w:w="414" w:type="dxa"/>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定性</w:t>
            </w:r>
          </w:p>
        </w:tc>
        <w:tc>
          <w:tcPr>
            <w:tcW w:w="652"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有所改善</w:t>
            </w:r>
          </w:p>
        </w:tc>
        <w:tc>
          <w:tcPr>
            <w:tcW w:w="511"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有所改善</w:t>
            </w:r>
          </w:p>
        </w:tc>
        <w:tc>
          <w:tcPr>
            <w:tcW w:w="849"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100.00%</w:t>
            </w:r>
          </w:p>
        </w:tc>
        <w:tc>
          <w:tcPr>
            <w:tcW w:w="519"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w:t>
            </w:r>
          </w:p>
        </w:tc>
        <w:tc>
          <w:tcPr>
            <w:tcW w:w="276"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w:t>
            </w:r>
          </w:p>
        </w:tc>
        <w:tc>
          <w:tcPr>
            <w:tcW w:w="866"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无</w:t>
            </w:r>
          </w:p>
        </w:tc>
      </w:tr>
      <w:tr>
        <w:tblPrEx>
          <w:shd w:val="clear" w:color="auto" w:fill="FFFFFF" w:themeFill="background1"/>
          <w:tblLayout w:type="fixed"/>
          <w:tblCellMar>
            <w:top w:w="0" w:type="dxa"/>
            <w:left w:w="0" w:type="dxa"/>
            <w:bottom w:w="0" w:type="dxa"/>
            <w:right w:w="0" w:type="dxa"/>
          </w:tblCellMar>
        </w:tblPrEx>
        <w:trPr>
          <w:trHeight w:val="615" w:hRule="atLeast"/>
        </w:trPr>
        <w:tc>
          <w:tcPr>
            <w:tcW w:w="35"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81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满意度</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指标</w:t>
            </w:r>
          </w:p>
        </w:tc>
        <w:tc>
          <w:tcPr>
            <w:tcW w:w="1847" w:type="dxa"/>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服务对象满意度指标</w:t>
            </w:r>
          </w:p>
        </w:tc>
        <w:tc>
          <w:tcPr>
            <w:tcW w:w="1560"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受资助对象满意度</w:t>
            </w:r>
          </w:p>
        </w:tc>
        <w:tc>
          <w:tcPr>
            <w:tcW w:w="414" w:type="dxa"/>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定量</w:t>
            </w:r>
          </w:p>
        </w:tc>
        <w:tc>
          <w:tcPr>
            <w:tcW w:w="652"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大于等于90%</w:t>
            </w:r>
          </w:p>
        </w:tc>
        <w:tc>
          <w:tcPr>
            <w:tcW w:w="511"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c>
          <w:tcPr>
            <w:tcW w:w="849"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100.00%</w:t>
            </w:r>
          </w:p>
        </w:tc>
        <w:tc>
          <w:tcPr>
            <w:tcW w:w="519"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276"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无</w:t>
            </w:r>
          </w:p>
        </w:tc>
      </w:tr>
      <w:tr>
        <w:tblPrEx>
          <w:shd w:val="clear" w:color="auto" w:fill="FFFFFF" w:themeFill="background1"/>
          <w:tblLayout w:type="fixed"/>
          <w:tblCellMar>
            <w:top w:w="0" w:type="dxa"/>
            <w:left w:w="0" w:type="dxa"/>
            <w:bottom w:w="0" w:type="dxa"/>
            <w:right w:w="0" w:type="dxa"/>
          </w:tblCellMar>
        </w:tblPrEx>
        <w:trPr>
          <w:trHeight w:val="540" w:hRule="atLeast"/>
        </w:trPr>
        <w:tc>
          <w:tcPr>
            <w:tcW w:w="35"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7066" w:type="dxa"/>
            <w:gridSpan w:val="8"/>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总分</w:t>
            </w:r>
          </w:p>
        </w:tc>
        <w:tc>
          <w:tcPr>
            <w:tcW w:w="519"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100</w:t>
            </w:r>
          </w:p>
        </w:tc>
        <w:tc>
          <w:tcPr>
            <w:tcW w:w="276"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97</w:t>
            </w:r>
          </w:p>
        </w:tc>
        <w:tc>
          <w:tcPr>
            <w:tcW w:w="866"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shd w:val="clear" w:color="auto" w:fill="FFFFFF" w:themeFill="background1"/>
          <w:tblLayout w:type="fixed"/>
          <w:tblCellMar>
            <w:top w:w="0" w:type="dxa"/>
            <w:left w:w="0" w:type="dxa"/>
            <w:bottom w:w="0" w:type="dxa"/>
            <w:right w:w="0" w:type="dxa"/>
          </w:tblCellMar>
        </w:tblPrEx>
        <w:trPr>
          <w:trHeight w:val="1515" w:hRule="atLeast"/>
        </w:trPr>
        <w:tc>
          <w:tcPr>
            <w:tcW w:w="35"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8727" w:type="dxa"/>
            <w:gridSpan w:val="11"/>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填表说明：1.年度总体目标和绩效指标中的“具体指标”“年度指标值”按照</w:t>
            </w:r>
            <w:r>
              <w:rPr>
                <w:rFonts w:hint="eastAsia" w:ascii="宋体" w:hAnsi="宋体" w:cs="宋体"/>
                <w:i w:val="0"/>
                <w:color w:val="000000"/>
                <w:kern w:val="0"/>
                <w:sz w:val="20"/>
                <w:szCs w:val="20"/>
                <w:u w:val="none"/>
                <w:lang w:val="en-US" w:eastAsia="zh-CN" w:bidi="ar"/>
              </w:rPr>
              <w:t>单位</w:t>
            </w:r>
            <w:r>
              <w:rPr>
                <w:rFonts w:hint="eastAsia" w:ascii="宋体" w:hAnsi="宋体" w:eastAsia="宋体" w:cs="宋体"/>
                <w:i w:val="0"/>
                <w:color w:val="000000"/>
                <w:kern w:val="0"/>
                <w:sz w:val="20"/>
                <w:szCs w:val="20"/>
                <w:u w:val="none"/>
                <w:lang w:val="en-US" w:eastAsia="zh-CN" w:bidi="ar"/>
              </w:rPr>
              <w:t>预算批复的绩效目标填写，必须有量化指标。</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         2.设置分值原则：预算执行率和一级指标权重统一设置为：预算执行率10%、产出指标50%、效益指标30%、服务对象满意度指标10%。如有特殊情况，一级指标权重可做适当调整。二、三级指标应当根据指标重要程度等因素综合确定，准确反映项目的产出和效益。</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         3.存在问题及原因主要针对进度是否滞后，管理制度是否健全，是否违反财务管理制度，绩效目标完成情况是否明显偏离，以及其他资金使用及管理方面的问题进行阐述，并分析产生问题的原因。</w:t>
            </w:r>
          </w:p>
        </w:tc>
      </w:tr>
    </w:tbl>
    <w:p>
      <w:pPr>
        <w:pStyle w:val="29"/>
        <w:widowControl/>
        <w:spacing w:before="240" w:after="240"/>
        <w:jc w:val="both"/>
        <w:rPr>
          <w:rFonts w:hint="eastAsia" w:ascii="黑体" w:hAnsi="宋体" w:eastAsia="黑体" w:cs="黑体"/>
          <w:kern w:val="0"/>
          <w:sz w:val="36"/>
          <w:szCs w:val="36"/>
          <w:shd w:val="clear" w:fill="FFFFFF"/>
          <w:lang w:eastAsia="zh-CN" w:bidi="ar"/>
        </w:rPr>
      </w:pPr>
    </w:p>
    <w:bookmarkEnd w:id="4"/>
    <w:p>
      <w:pPr>
        <w:widowControl/>
        <w:spacing w:before="240" w:after="240"/>
        <w:jc w:val="left"/>
      </w:pPr>
    </w:p>
    <w:p>
      <w:pPr>
        <w:keepNext w:val="0"/>
        <w:keepLines w:val="0"/>
        <w:pageBreakBefore w:val="0"/>
        <w:widowControl w:val="0"/>
        <w:tabs>
          <w:tab w:val="left" w:pos="8415"/>
        </w:tabs>
        <w:kinsoku/>
        <w:wordWrap/>
        <w:overflowPunct/>
        <w:topLinePunct w:val="0"/>
        <w:autoSpaceDE/>
        <w:autoSpaceDN/>
        <w:bidi w:val="0"/>
        <w:adjustRightInd/>
        <w:snapToGrid/>
        <w:textAlignment w:val="auto"/>
      </w:pPr>
    </w:p>
    <w:sectPr>
      <w:footerReference r:id="rId6" w:type="default"/>
      <w:pgSz w:w="11906" w:h="16838"/>
      <w:pgMar w:top="1984" w:right="1083" w:bottom="1984" w:left="1083" w:header="0" w:footer="720" w:gutter="0"/>
      <w:cols w:space="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fang_song_gb2312">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w:t>
    </w:r>
    <w:r>
      <w:rPr>
        <w:rFonts w:ascii="宋体" w:hAnsi="宋体" w:eastAsia="宋体" w:cs="宋体"/>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3</w:t>
    </w:r>
    <w:r>
      <w:rPr>
        <w:rFonts w:ascii="宋体" w:hAnsi="宋体" w:eastAsia="宋体" w:cs="宋体"/>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5</w:t>
    </w:r>
    <w:r>
      <w:rPr>
        <w:rFonts w:ascii="宋体" w:hAnsi="宋体" w:eastAsia="宋体" w:cs="宋体"/>
        <w:sz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43</w:t>
    </w:r>
    <w:r>
      <w:rPr>
        <w:rFonts w:ascii="宋体" w:hAnsi="宋体" w:eastAsia="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6FF537"/>
    <w:multiLevelType w:val="singleLevel"/>
    <w:tmpl w:val="1B6FF53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08F29E0"/>
    <w:rsid w:val="012E69B7"/>
    <w:rsid w:val="047A0E0B"/>
    <w:rsid w:val="04B45CD5"/>
    <w:rsid w:val="05513516"/>
    <w:rsid w:val="07526A21"/>
    <w:rsid w:val="07C83E57"/>
    <w:rsid w:val="07D77B00"/>
    <w:rsid w:val="087315B2"/>
    <w:rsid w:val="0B3D583F"/>
    <w:rsid w:val="0B6D3F5E"/>
    <w:rsid w:val="0BDD315B"/>
    <w:rsid w:val="0DA614A9"/>
    <w:rsid w:val="0EFC7FC6"/>
    <w:rsid w:val="0F81345D"/>
    <w:rsid w:val="114C34B1"/>
    <w:rsid w:val="119D0391"/>
    <w:rsid w:val="12131EDD"/>
    <w:rsid w:val="121B49CF"/>
    <w:rsid w:val="123D386E"/>
    <w:rsid w:val="130D749E"/>
    <w:rsid w:val="146D403B"/>
    <w:rsid w:val="14931D9A"/>
    <w:rsid w:val="158F5762"/>
    <w:rsid w:val="15BF27EB"/>
    <w:rsid w:val="15F34113"/>
    <w:rsid w:val="17353367"/>
    <w:rsid w:val="181364F1"/>
    <w:rsid w:val="18226F9C"/>
    <w:rsid w:val="185F5BD2"/>
    <w:rsid w:val="19306710"/>
    <w:rsid w:val="1AE5652C"/>
    <w:rsid w:val="1BEA06A9"/>
    <w:rsid w:val="1BFF49D4"/>
    <w:rsid w:val="1C283157"/>
    <w:rsid w:val="1C3364D0"/>
    <w:rsid w:val="1CA7583F"/>
    <w:rsid w:val="1CFF118E"/>
    <w:rsid w:val="1FFD2033"/>
    <w:rsid w:val="208C266E"/>
    <w:rsid w:val="20BE1706"/>
    <w:rsid w:val="20E86783"/>
    <w:rsid w:val="20EE229E"/>
    <w:rsid w:val="21432C41"/>
    <w:rsid w:val="214A6097"/>
    <w:rsid w:val="2241595A"/>
    <w:rsid w:val="245E2C5B"/>
    <w:rsid w:val="24F205F1"/>
    <w:rsid w:val="26752B09"/>
    <w:rsid w:val="28EF3193"/>
    <w:rsid w:val="28FD618B"/>
    <w:rsid w:val="290B578A"/>
    <w:rsid w:val="29437B59"/>
    <w:rsid w:val="2CC80C48"/>
    <w:rsid w:val="307D560A"/>
    <w:rsid w:val="3139412F"/>
    <w:rsid w:val="31AA659F"/>
    <w:rsid w:val="31DD4E42"/>
    <w:rsid w:val="32181B2E"/>
    <w:rsid w:val="338A41BD"/>
    <w:rsid w:val="34DD252A"/>
    <w:rsid w:val="372871C7"/>
    <w:rsid w:val="37BE234C"/>
    <w:rsid w:val="38793B64"/>
    <w:rsid w:val="3964572F"/>
    <w:rsid w:val="399B5419"/>
    <w:rsid w:val="3A4B573D"/>
    <w:rsid w:val="3AF74C6B"/>
    <w:rsid w:val="3C2732D4"/>
    <w:rsid w:val="3C632D15"/>
    <w:rsid w:val="3D331D99"/>
    <w:rsid w:val="3DB301CC"/>
    <w:rsid w:val="3EC673F1"/>
    <w:rsid w:val="3F292E9F"/>
    <w:rsid w:val="40993FD4"/>
    <w:rsid w:val="411213CA"/>
    <w:rsid w:val="416B7BDF"/>
    <w:rsid w:val="418274D1"/>
    <w:rsid w:val="42297E6A"/>
    <w:rsid w:val="42642164"/>
    <w:rsid w:val="435173C6"/>
    <w:rsid w:val="43D24500"/>
    <w:rsid w:val="440C4477"/>
    <w:rsid w:val="441617D7"/>
    <w:rsid w:val="482D62BD"/>
    <w:rsid w:val="49C34B82"/>
    <w:rsid w:val="4A8E0F20"/>
    <w:rsid w:val="4ACE18A3"/>
    <w:rsid w:val="4B511ACD"/>
    <w:rsid w:val="4BEB0FE7"/>
    <w:rsid w:val="4C082A43"/>
    <w:rsid w:val="4D7D0A8B"/>
    <w:rsid w:val="4D8B7376"/>
    <w:rsid w:val="4DA97000"/>
    <w:rsid w:val="4E0D16A0"/>
    <w:rsid w:val="4E2731A3"/>
    <w:rsid w:val="4E3408B0"/>
    <w:rsid w:val="4E4B1F0D"/>
    <w:rsid w:val="501A5F5F"/>
    <w:rsid w:val="5184270B"/>
    <w:rsid w:val="53364469"/>
    <w:rsid w:val="539F370B"/>
    <w:rsid w:val="54971206"/>
    <w:rsid w:val="55594DA6"/>
    <w:rsid w:val="56616621"/>
    <w:rsid w:val="56765C7E"/>
    <w:rsid w:val="56BE4067"/>
    <w:rsid w:val="57027A70"/>
    <w:rsid w:val="579F1678"/>
    <w:rsid w:val="57CF6A8C"/>
    <w:rsid w:val="5A3E2BA3"/>
    <w:rsid w:val="5A675794"/>
    <w:rsid w:val="5AE27CBF"/>
    <w:rsid w:val="5AF207D0"/>
    <w:rsid w:val="5B365CD7"/>
    <w:rsid w:val="5C0F3F90"/>
    <w:rsid w:val="5C796616"/>
    <w:rsid w:val="5DB8388D"/>
    <w:rsid w:val="5DBA13DA"/>
    <w:rsid w:val="5EEE0880"/>
    <w:rsid w:val="5F442C89"/>
    <w:rsid w:val="5FEA2086"/>
    <w:rsid w:val="61A30468"/>
    <w:rsid w:val="626C0DFB"/>
    <w:rsid w:val="638E6A54"/>
    <w:rsid w:val="64721697"/>
    <w:rsid w:val="64CA1399"/>
    <w:rsid w:val="64D4244C"/>
    <w:rsid w:val="65DD71EF"/>
    <w:rsid w:val="67AE1BA2"/>
    <w:rsid w:val="67C718BC"/>
    <w:rsid w:val="68512CF6"/>
    <w:rsid w:val="6A7D568F"/>
    <w:rsid w:val="6CAA41D0"/>
    <w:rsid w:val="6CFD4287"/>
    <w:rsid w:val="6DD36C85"/>
    <w:rsid w:val="6FFC373E"/>
    <w:rsid w:val="72457F81"/>
    <w:rsid w:val="72B61362"/>
    <w:rsid w:val="73C469C1"/>
    <w:rsid w:val="73F144C2"/>
    <w:rsid w:val="749F7C59"/>
    <w:rsid w:val="752F5716"/>
    <w:rsid w:val="75AC4E11"/>
    <w:rsid w:val="76DB0B66"/>
    <w:rsid w:val="7723054E"/>
    <w:rsid w:val="77333907"/>
    <w:rsid w:val="77D66952"/>
    <w:rsid w:val="7C87192C"/>
    <w:rsid w:val="7CD652D7"/>
    <w:rsid w:val="7F83103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rFonts w:eastAsia="仿宋"/>
      <w:bCs/>
      <w:kern w:val="44"/>
      <w:sz w:val="32"/>
      <w:szCs w:val="44"/>
    </w:rPr>
  </w:style>
  <w:style w:type="paragraph" w:styleId="4">
    <w:name w:val="heading 2"/>
    <w:basedOn w:val="5"/>
    <w:next w:val="5"/>
    <w:qFormat/>
    <w:uiPriority w:val="0"/>
    <w:pPr>
      <w:keepNext/>
      <w:keepLines/>
      <w:spacing w:before="260" w:after="260" w:line="416" w:lineRule="auto"/>
      <w:outlineLvl w:val="1"/>
    </w:pPr>
    <w:rPr>
      <w:rFonts w:ascii="Arial" w:hAnsi="Arial" w:eastAsia="仿宋"/>
      <w:bCs/>
      <w:sz w:val="32"/>
      <w:szCs w:val="32"/>
    </w:rPr>
  </w:style>
  <w:style w:type="paragraph" w:styleId="6">
    <w:name w:val="heading 3"/>
    <w:basedOn w:val="1"/>
    <w:next w:val="1"/>
    <w:link w:val="28"/>
    <w:qFormat/>
    <w:uiPriority w:val="0"/>
    <w:pPr>
      <w:keepNext/>
      <w:keepLines/>
      <w:spacing w:before="260" w:after="260" w:line="416" w:lineRule="auto"/>
      <w:outlineLvl w:val="2"/>
    </w:pPr>
    <w:rPr>
      <w:rFonts w:eastAsia="仿宋"/>
      <w:bCs/>
      <w:sz w:val="32"/>
      <w:szCs w:val="32"/>
    </w:rPr>
  </w:style>
  <w:style w:type="paragraph" w:styleId="7">
    <w:name w:val="heading 4"/>
    <w:basedOn w:val="5"/>
    <w:next w:val="5"/>
    <w:link w:val="24"/>
    <w:qFormat/>
    <w:uiPriority w:val="0"/>
    <w:pPr>
      <w:keepNext/>
      <w:keepLines/>
      <w:spacing w:before="280" w:after="290" w:line="376" w:lineRule="auto"/>
      <w:outlineLvl w:val="3"/>
    </w:pPr>
    <w:rPr>
      <w:rFonts w:ascii="Cambria" w:hAnsi="Cambria" w:eastAsia="仿宋"/>
      <w:bCs/>
      <w:sz w:val="32"/>
      <w:szCs w:val="28"/>
    </w:rPr>
  </w:style>
  <w:style w:type="character" w:default="1" w:styleId="20">
    <w:name w:val="Default Paragraph Font"/>
    <w:semiHidden/>
    <w:unhideWhenUsed/>
    <w:qFormat/>
    <w:uiPriority w:val="1"/>
  </w:style>
  <w:style w:type="table" w:default="1" w:styleId="23">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1.正文"/>
    <w:basedOn w:val="1"/>
    <w:qFormat/>
    <w:uiPriority w:val="0"/>
    <w:pPr>
      <w:spacing w:before="0" w:beforeAutospacing="0" w:after="0" w:afterAutospacing="0"/>
      <w:ind w:left="0" w:right="0"/>
      <w:jc w:val="left"/>
    </w:pPr>
    <w:rPr>
      <w:rFonts w:hint="eastAsia" w:ascii="宋体" w:hAnsi="Times New Roman" w:eastAsia="宋体" w:cs="宋体"/>
      <w:kern w:val="0"/>
      <w:sz w:val="24"/>
      <w:szCs w:val="24"/>
      <w:lang w:val="en-US" w:eastAsia="zh-CN" w:bidi="ar"/>
    </w:rPr>
  </w:style>
  <w:style w:type="paragraph" w:styleId="5">
    <w:name w:val="No Spacing"/>
    <w:link w:val="25"/>
    <w:qFormat/>
    <w:uiPriority w:val="0"/>
    <w:pPr>
      <w:ind w:firstLine="200" w:firstLineChars="200"/>
    </w:pPr>
    <w:rPr>
      <w:rFonts w:ascii="Times New Roman" w:hAnsi="Times New Roman" w:eastAsia="仿宋_GB2312" w:cs="Times New Roman"/>
      <w:sz w:val="30"/>
      <w:szCs w:val="22"/>
      <w:lang w:val="en-US" w:eastAsia="zh-CN" w:bidi="ar-SA"/>
    </w:rPr>
  </w:style>
  <w:style w:type="paragraph" w:styleId="8">
    <w:name w:val="toc 7"/>
    <w:basedOn w:val="1"/>
    <w:next w:val="1"/>
    <w:qFormat/>
    <w:uiPriority w:val="0"/>
    <w:pPr>
      <w:ind w:left="1260"/>
      <w:jc w:val="left"/>
    </w:pPr>
    <w:rPr>
      <w:sz w:val="20"/>
      <w:szCs w:val="20"/>
    </w:rPr>
  </w:style>
  <w:style w:type="paragraph" w:styleId="9">
    <w:name w:val="Document Map"/>
    <w:basedOn w:val="1"/>
    <w:qFormat/>
    <w:uiPriority w:val="0"/>
    <w:pPr>
      <w:shd w:val="clear" w:color="auto" w:fill="000080"/>
    </w:pPr>
  </w:style>
  <w:style w:type="paragraph" w:styleId="10">
    <w:name w:val="toc 5"/>
    <w:basedOn w:val="1"/>
    <w:next w:val="1"/>
    <w:qFormat/>
    <w:uiPriority w:val="0"/>
    <w:pPr>
      <w:ind w:left="840"/>
      <w:jc w:val="left"/>
    </w:pPr>
    <w:rPr>
      <w:sz w:val="20"/>
      <w:szCs w:val="20"/>
    </w:rPr>
  </w:style>
  <w:style w:type="paragraph" w:styleId="11">
    <w:name w:val="toc 3"/>
    <w:next w:val="6"/>
    <w:qFormat/>
    <w:uiPriority w:val="0"/>
    <w:pPr>
      <w:adjustRightInd w:val="0"/>
      <w:snapToGrid w:val="0"/>
      <w:spacing w:line="360" w:lineRule="auto"/>
      <w:ind w:firstLine="400" w:firstLineChars="400"/>
      <w:jc w:val="left"/>
    </w:pPr>
    <w:rPr>
      <w:rFonts w:ascii="Times New Roman" w:hAnsi="Times New Roman" w:eastAsia="仿宋" w:cs="Times New Roman"/>
      <w:sz w:val="32"/>
      <w:szCs w:val="20"/>
      <w:lang w:val="en-US" w:eastAsia="en-US" w:bidi="ar-SA"/>
    </w:rPr>
  </w:style>
  <w:style w:type="paragraph" w:styleId="12">
    <w:name w:val="toc 8"/>
    <w:basedOn w:val="1"/>
    <w:next w:val="1"/>
    <w:qFormat/>
    <w:uiPriority w:val="0"/>
    <w:pPr>
      <w:ind w:left="1470"/>
      <w:jc w:val="left"/>
    </w:pPr>
    <w:rPr>
      <w:sz w:val="20"/>
      <w:szCs w:val="20"/>
    </w:rPr>
  </w:style>
  <w:style w:type="paragraph" w:styleId="13">
    <w:name w:val="footer"/>
    <w:basedOn w:val="1"/>
    <w:link w:val="26"/>
    <w:qFormat/>
    <w:uiPriority w:val="0"/>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toc 1"/>
    <w:next w:val="5"/>
    <w:qFormat/>
    <w:uiPriority w:val="0"/>
    <w:pPr>
      <w:adjustRightInd w:val="0"/>
      <w:snapToGrid w:val="0"/>
      <w:spacing w:line="360" w:lineRule="auto"/>
      <w:jc w:val="left"/>
    </w:pPr>
    <w:rPr>
      <w:rFonts w:ascii="Times New Roman" w:hAnsi="Times New Roman" w:eastAsia="仿宋" w:cs="Times New Roman"/>
      <w:bCs/>
      <w:sz w:val="32"/>
      <w:szCs w:val="20"/>
      <w:lang w:val="en-US" w:eastAsia="en-US" w:bidi="ar-SA"/>
    </w:rPr>
  </w:style>
  <w:style w:type="paragraph" w:styleId="16">
    <w:name w:val="toc 4"/>
    <w:basedOn w:val="1"/>
    <w:next w:val="1"/>
    <w:qFormat/>
    <w:uiPriority w:val="0"/>
    <w:pPr>
      <w:ind w:left="630"/>
      <w:jc w:val="left"/>
    </w:pPr>
    <w:rPr>
      <w:sz w:val="20"/>
      <w:szCs w:val="20"/>
    </w:rPr>
  </w:style>
  <w:style w:type="paragraph" w:styleId="17">
    <w:name w:val="toc 6"/>
    <w:basedOn w:val="1"/>
    <w:next w:val="1"/>
    <w:qFormat/>
    <w:uiPriority w:val="0"/>
    <w:pPr>
      <w:ind w:left="1050"/>
      <w:jc w:val="left"/>
    </w:pPr>
    <w:rPr>
      <w:sz w:val="20"/>
      <w:szCs w:val="20"/>
    </w:rPr>
  </w:style>
  <w:style w:type="paragraph" w:styleId="18">
    <w:name w:val="toc 2"/>
    <w:next w:val="5"/>
    <w:qFormat/>
    <w:uiPriority w:val="0"/>
    <w:pPr>
      <w:adjustRightInd w:val="0"/>
      <w:snapToGrid w:val="0"/>
      <w:spacing w:line="360" w:lineRule="auto"/>
      <w:ind w:firstLine="200" w:firstLineChars="200"/>
      <w:jc w:val="left"/>
    </w:pPr>
    <w:rPr>
      <w:rFonts w:ascii="Times New Roman" w:hAnsi="Times New Roman" w:eastAsia="仿宋" w:cs="Times New Roman"/>
      <w:iCs/>
      <w:sz w:val="32"/>
      <w:szCs w:val="20"/>
      <w:lang w:val="en-US" w:eastAsia="en-US" w:bidi="ar-SA"/>
    </w:rPr>
  </w:style>
  <w:style w:type="paragraph" w:styleId="19">
    <w:name w:val="toc 9"/>
    <w:basedOn w:val="1"/>
    <w:next w:val="1"/>
    <w:qFormat/>
    <w:uiPriority w:val="0"/>
    <w:pPr>
      <w:ind w:left="1680"/>
      <w:jc w:val="left"/>
    </w:pPr>
    <w:rPr>
      <w:sz w:val="20"/>
      <w:szCs w:val="20"/>
    </w:rPr>
  </w:style>
  <w:style w:type="character" w:styleId="21">
    <w:name w:val="page number"/>
    <w:basedOn w:val="20"/>
    <w:qFormat/>
    <w:uiPriority w:val="0"/>
  </w:style>
  <w:style w:type="character" w:styleId="22">
    <w:name w:val="Hyperlink"/>
    <w:qFormat/>
    <w:uiPriority w:val="0"/>
    <w:rPr>
      <w:rFonts w:ascii="宋体" w:hAnsi="宋体" w:eastAsia="仿宋" w:cs="Times New Roman"/>
      <w:kern w:val="2"/>
      <w:sz w:val="32"/>
      <w:szCs w:val="32"/>
      <w:lang w:val="en-US" w:eastAsia="zh-CN" w:bidi="ar-SA"/>
    </w:rPr>
  </w:style>
  <w:style w:type="character" w:customStyle="1" w:styleId="24">
    <w:name w:val="标题 4 字符"/>
    <w:basedOn w:val="20"/>
    <w:link w:val="7"/>
    <w:qFormat/>
    <w:uiPriority w:val="0"/>
    <w:rPr>
      <w:rFonts w:ascii="Cambria" w:hAnsi="Cambria" w:eastAsia="仿宋"/>
      <w:bCs/>
      <w:kern w:val="2"/>
      <w:sz w:val="32"/>
      <w:szCs w:val="28"/>
    </w:rPr>
  </w:style>
  <w:style w:type="character" w:customStyle="1" w:styleId="25">
    <w:name w:val="无间隔 字符"/>
    <w:link w:val="5"/>
    <w:qFormat/>
    <w:locked/>
    <w:uiPriority w:val="0"/>
    <w:rPr>
      <w:rFonts w:eastAsia="仿宋_GB2312"/>
      <w:sz w:val="30"/>
      <w:szCs w:val="22"/>
      <w:lang w:bidi="ar-SA"/>
    </w:rPr>
  </w:style>
  <w:style w:type="character" w:customStyle="1" w:styleId="26">
    <w:name w:val="页脚 字符"/>
    <w:basedOn w:val="20"/>
    <w:link w:val="13"/>
    <w:qFormat/>
    <w:uiPriority w:val="0"/>
    <w:rPr>
      <w:kern w:val="2"/>
      <w:sz w:val="18"/>
      <w:szCs w:val="18"/>
    </w:rPr>
  </w:style>
  <w:style w:type="paragraph" w:styleId="27">
    <w:name w:val="List Paragraph"/>
    <w:basedOn w:val="1"/>
    <w:qFormat/>
    <w:uiPriority w:val="0"/>
    <w:pPr>
      <w:ind w:firstLine="420" w:firstLineChars="200"/>
    </w:pPr>
  </w:style>
  <w:style w:type="character" w:customStyle="1" w:styleId="28">
    <w:name w:val="标题 3 字符"/>
    <w:basedOn w:val="20"/>
    <w:link w:val="6"/>
    <w:qFormat/>
    <w:uiPriority w:val="0"/>
    <w:rPr>
      <w:rFonts w:eastAsia="仿宋"/>
      <w:bCs/>
      <w:kern w:val="2"/>
      <w:sz w:val="32"/>
      <w:szCs w:val="32"/>
    </w:rPr>
  </w:style>
  <w:style w:type="paragraph" w:customStyle="1" w:styleId="29">
    <w:name w:val="MsoNormal"/>
    <w:basedOn w:val="1"/>
    <w:qFormat/>
    <w:uiPriority w:val="0"/>
  </w:style>
  <w:style w:type="paragraph" w:customStyle="1" w:styleId="30">
    <w:name w:val="p"/>
    <w:basedOn w:val="1"/>
    <w:qFormat/>
    <w:uiPriority w:val="0"/>
  </w:style>
  <w:style w:type="character" w:customStyle="1" w:styleId="31">
    <w:name w:val="15"/>
    <w:basedOn w:val="20"/>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7559B6-2DC7-41B5-818F-6E7F243775C0}">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28</Pages>
  <Words>885</Words>
  <Characters>928</Characters>
  <Lines>1</Lines>
  <Paragraphs>1</Paragraphs>
  <TotalTime>0</TotalTime>
  <ScaleCrop>false</ScaleCrop>
  <LinksUpToDate>false</LinksUpToDate>
  <CharactersWithSpaces>1045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2022-03-23T12:40:00Z</dcterms:created>
  <dc:creator>Administrator</dc:creator>
  <cp:lastModifiedBy>Administrator</cp:lastModifiedBy>
  <cp:lastPrinted>2025-07-09T07:55:00Z</cp:lastPrinted>
  <dcterms:modified xsi:type="dcterms:W3CDTF">2025-09-16T04:57:55Z</dcterms:modified>
  <dc:title>××年度××部门/单位</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51EA75710E61423394694D1476351CDD_13</vt:lpwstr>
  </property>
  <property fmtid="{D5CDD505-2E9C-101B-9397-08002B2CF9AE}" pid="3" name="KSOProductBuildVer">
    <vt:lpwstr>2052-11.8.2.8053</vt:lpwstr>
  </property>
  <property fmtid="{D5CDD505-2E9C-101B-9397-08002B2CF9AE}" pid="4" name="KSOTemplateDocerSaveRecord">
    <vt:lpwstr>eyJoZGlkIjoiMTNkYzZmNmZlYzczMzc1ZDY0ZWU4YzBmOTZlMTA5YjcifQ==</vt:lpwstr>
  </property>
</Properties>
</file>