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widowControl/>
        <w:jc w:val="center"/>
        <w:rPr>
          <w:sz w:val="32"/>
          <w:szCs w:val="32"/>
          <w:highlight w:val="none"/>
        </w:rPr>
      </w:pPr>
    </w:p>
    <w:p>
      <w:pPr>
        <w:widowControl/>
        <w:jc w:val="both"/>
        <w:rPr>
          <w:sz w:val="84"/>
          <w:szCs w:val="84"/>
          <w:highlight w:val="none"/>
        </w:rPr>
      </w:pPr>
    </w:p>
    <w:p>
      <w:pPr>
        <w:pStyle w:val="7"/>
        <w:widowControl/>
        <w:spacing w:before="319" w:after="319" w:line="240" w:lineRule="auto"/>
        <w:ind w:firstLine="883" w:firstLineChars="200"/>
        <w:jc w:val="both"/>
        <w:rPr>
          <w:rFonts w:hint="eastAsia" w:ascii="黑体" w:hAnsi="宋体" w:eastAsia="黑体" w:cs="方正小标宋简体"/>
          <w:b/>
          <w:bCs/>
          <w:i w:val="0"/>
          <w:iCs w:val="0"/>
          <w:color w:val="auto"/>
          <w:kern w:val="0"/>
          <w:sz w:val="44"/>
          <w:szCs w:val="44"/>
          <w:shd w:val="clear" w:fill="FFFFFF"/>
          <w:lang w:val="en-US" w:eastAsia="zh-CN" w:bidi="ar"/>
        </w:rPr>
        <w:sectPr>
          <w:footerReference r:id="rId3" w:type="default"/>
          <w:pgSz w:w="11906" w:h="16838"/>
          <w:pgMar w:top="1440" w:right="1083" w:bottom="1440" w:left="1083" w:header="0" w:footer="720" w:gutter="0"/>
          <w:pgBorders>
            <w:top w:val="none" w:sz="0" w:space="0"/>
            <w:left w:val="none" w:sz="0" w:space="0"/>
            <w:bottom w:val="none" w:sz="0" w:space="0"/>
            <w:right w:val="none" w:sz="0" w:space="0"/>
          </w:pgBorders>
          <w:pgNumType w:fmt="decimal"/>
          <w:cols w:space="720" w:num="1"/>
          <w:rtlGutter w:val="0"/>
          <w:docGrid w:type="lines" w:linePitch="317" w:charSpace="0"/>
        </w:sectPr>
      </w:pPr>
      <w:r>
        <w:rPr>
          <w:rFonts w:hint="eastAsia" w:ascii="黑体" w:hAnsi="宋体" w:eastAsia="黑体" w:cs="方正小标宋简体"/>
          <w:b/>
          <w:bCs/>
          <w:i w:val="0"/>
          <w:iCs w:val="0"/>
          <w:color w:val="auto"/>
          <w:kern w:val="0"/>
          <w:sz w:val="44"/>
          <w:szCs w:val="44"/>
          <w:shd w:val="clear" w:fill="FFFFFF"/>
          <w:lang w:val="en-US" w:eastAsia="zh-CN" w:bidi="ar"/>
        </w:rPr>
        <w:t>2024年度厦门市湖里实验小学单位决算</w:t>
      </w:r>
    </w:p>
    <w:p>
      <w:pPr>
        <w:widowControl/>
        <w:spacing w:before="0" w:beforeLines="0" w:after="0" w:afterLines="0" w:line="240" w:lineRule="auto"/>
        <w:ind w:left="0" w:leftChars="0" w:right="0" w:rightChars="0" w:firstLine="0" w:firstLineChars="0"/>
        <w:jc w:val="center"/>
        <w:rPr>
          <w:rFonts w:hint="eastAsia" w:ascii="仿宋" w:hAnsi="仿宋" w:eastAsia="仿宋" w:cs="仿宋"/>
          <w:b/>
          <w:bCs/>
          <w:kern w:val="0"/>
          <w:sz w:val="32"/>
          <w:szCs w:val="32"/>
        </w:rPr>
      </w:pPr>
      <w:bookmarkStart w:id="0" w:name="a000"/>
      <w:r>
        <w:rPr>
          <w:rFonts w:hint="eastAsia" w:ascii="仿宋" w:hAnsi="仿宋" w:eastAsia="仿宋" w:cs="仿宋"/>
          <w:b/>
          <w:bCs/>
          <w:kern w:val="0"/>
          <w:sz w:val="32"/>
          <w:szCs w:val="32"/>
        </w:rPr>
        <w:t>目录</w:t>
      </w:r>
    </w:p>
    <w:p>
      <w:pPr>
        <w:tabs>
          <w:tab w:val="right" w:leader="dot" w:pos="9730"/>
        </w:tabs>
        <w:adjustRightInd w:val="0"/>
        <w:snapToGrid w:val="0"/>
        <w:spacing w:line="360" w:lineRule="auto"/>
        <w:ind w:firstLine="640" w:firstLineChars="200"/>
        <w:jc w:val="left"/>
        <w:rPr>
          <w:rFonts w:ascii="Calibri" w:hAnsi="Calibri" w:eastAsia="仿宋" w:cs="Times New Roman"/>
          <w:iCs/>
          <w:sz w:val="22"/>
          <w:szCs w:val="20"/>
          <w:lang w:val="en-US" w:eastAsia="en-US" w:bidi="ar-SA"/>
        </w:rPr>
      </w:pPr>
      <w:r>
        <w:rPr>
          <w:rFonts w:hint="eastAsia" w:ascii="仿宋" w:hAnsi="仿宋" w:eastAsia="仿宋" w:cs="仿宋"/>
          <w:b w:val="0"/>
          <w:bCs/>
          <w:iCs/>
          <w:kern w:val="2"/>
          <w:sz w:val="32"/>
          <w:szCs w:val="32"/>
          <w:lang w:val="en-US" w:eastAsia="zh-CN" w:bidi="ar-SA"/>
        </w:rPr>
        <w:fldChar w:fldCharType="begin"/>
      </w:r>
      <w:r>
        <w:rPr>
          <w:rFonts w:hint="eastAsia" w:ascii="仿宋" w:hAnsi="仿宋" w:eastAsia="仿宋" w:cs="仿宋"/>
          <w:b w:val="0"/>
          <w:bCs/>
          <w:iCs/>
          <w:kern w:val="2"/>
          <w:sz w:val="32"/>
          <w:szCs w:val="32"/>
          <w:lang w:val="en-US" w:eastAsia="zh-CN" w:bidi="ar-SA"/>
        </w:rPr>
        <w:instrText xml:space="preserve">TOC \o "1-3" \h \u </w:instrText>
      </w:r>
      <w:r>
        <w:rPr>
          <w:rFonts w:hint="eastAsia" w:ascii="仿宋" w:hAnsi="仿宋" w:eastAsia="仿宋" w:cs="仿宋"/>
          <w:b w:val="0"/>
          <w:bCs/>
          <w:iCs/>
          <w:kern w:val="2"/>
          <w:sz w:val="32"/>
          <w:szCs w:val="32"/>
          <w:lang w:val="en-US" w:eastAsia="zh-CN" w:bidi="ar-SA"/>
        </w:rPr>
        <w:fldChar w:fldCharType="separate"/>
      </w:r>
      <w:r>
        <w:rPr>
          <w:rFonts w:ascii="Times New Roman" w:hAnsi="Times New Roman" w:eastAsia="仿宋" w:cs="Times New Roman"/>
          <w:iCs/>
          <w:sz w:val="32"/>
          <w:szCs w:val="20"/>
          <w:lang w:val="en-US" w:eastAsia="en-US" w:bidi="ar-SA"/>
        </w:rPr>
        <w:fldChar w:fldCharType="begin"/>
      </w:r>
      <w:r>
        <w:rPr>
          <w:rFonts w:ascii="Times New Roman" w:hAnsi="Times New Roman" w:eastAsia="仿宋" w:cs="Times New Roman"/>
          <w:iCs/>
          <w:sz w:val="32"/>
          <w:szCs w:val="20"/>
          <w:lang w:val="en-US" w:eastAsia="en-US" w:bidi="ar-SA"/>
        </w:rPr>
        <w:instrText xml:space="preserve"> HYPERLINK \l "_Toc256000093" </w:instrText>
      </w:r>
      <w:r>
        <w:rPr>
          <w:rFonts w:ascii="Times New Roman" w:hAnsi="Times New Roman" w:eastAsia="仿宋" w:cs="Times New Roman"/>
          <w:iCs/>
          <w:sz w:val="32"/>
          <w:szCs w:val="20"/>
          <w:lang w:val="en-US" w:eastAsia="en-US" w:bidi="ar-SA"/>
        </w:rPr>
        <w:fldChar w:fldCharType="separate"/>
      </w:r>
      <w:r>
        <w:rPr>
          <w:rFonts w:ascii="黑体" w:hAnsi="黑体" w:eastAsia="黑体" w:cs="黑体"/>
          <w:iCs/>
          <w:kern w:val="2"/>
          <w:sz w:val="32"/>
          <w:szCs w:val="32"/>
          <w:lang w:val="en-US" w:eastAsia="zh-CN" w:bidi="ar-SA"/>
        </w:rPr>
        <w:t>第一部分</w:t>
      </w:r>
      <w:r>
        <w:rPr>
          <w:rFonts w:ascii="Times New Roman" w:hAnsi="Times New Roman" w:eastAsia="仿宋" w:cs="Times New Roman"/>
          <w:iCs/>
          <w:sz w:val="32"/>
          <w:szCs w:val="20"/>
          <w:lang w:val="en-US" w:eastAsia="en-US" w:bidi="ar-SA"/>
        </w:rPr>
        <w:tab/>
      </w:r>
      <w:r>
        <w:rPr>
          <w:rFonts w:hint="eastAsia" w:eastAsia="仿宋" w:cs="Times New Roman"/>
          <w:iCs/>
          <w:sz w:val="32"/>
          <w:szCs w:val="20"/>
          <w:lang w:val="en-US" w:eastAsia="zh-CN" w:bidi="ar-SA"/>
        </w:rPr>
        <w:t>4</w:t>
      </w:r>
      <w:r>
        <w:rPr>
          <w:rFonts w:ascii="Times New Roman" w:hAnsi="Times New Roman" w:eastAsia="仿宋" w:cs="Times New Roman"/>
          <w:iCs/>
          <w:sz w:val="32"/>
          <w:szCs w:val="20"/>
          <w:lang w:val="en-US" w:eastAsia="en-US" w:bidi="ar-SA"/>
        </w:rPr>
        <w:fldChar w:fldCharType="end"/>
      </w:r>
    </w:p>
    <w:p>
      <w:pPr>
        <w:tabs>
          <w:tab w:val="right" w:leader="dot" w:pos="9730"/>
        </w:tabs>
        <w:adjustRightInd w:val="0"/>
        <w:snapToGrid w:val="0"/>
        <w:spacing w:line="360" w:lineRule="auto"/>
        <w:ind w:firstLine="640" w:firstLineChars="200"/>
        <w:jc w:val="left"/>
        <w:rPr>
          <w:rFonts w:ascii="Calibri" w:hAnsi="Calibri" w:eastAsia="仿宋" w:cs="Times New Roman"/>
          <w:iCs/>
          <w:sz w:val="22"/>
          <w:szCs w:val="20"/>
          <w:lang w:val="en-US" w:eastAsia="en-US" w:bidi="ar-SA"/>
        </w:rPr>
      </w:pPr>
      <w:r>
        <w:rPr>
          <w:rFonts w:ascii="Times New Roman" w:hAnsi="Times New Roman" w:eastAsia="仿宋" w:cs="Times New Roman"/>
          <w:iCs/>
          <w:sz w:val="32"/>
          <w:szCs w:val="20"/>
          <w:lang w:val="en-US" w:eastAsia="en-US" w:bidi="ar-SA"/>
        </w:rPr>
        <w:fldChar w:fldCharType="begin"/>
      </w:r>
      <w:r>
        <w:rPr>
          <w:rFonts w:ascii="Times New Roman" w:hAnsi="Times New Roman" w:eastAsia="仿宋" w:cs="Times New Roman"/>
          <w:iCs/>
          <w:sz w:val="32"/>
          <w:szCs w:val="20"/>
          <w:lang w:val="en-US" w:eastAsia="en-US" w:bidi="ar-SA"/>
        </w:rPr>
        <w:instrText xml:space="preserve"> HYPERLINK \l "_Toc256000094" </w:instrText>
      </w:r>
      <w:r>
        <w:rPr>
          <w:rFonts w:ascii="Times New Roman" w:hAnsi="Times New Roman" w:eastAsia="仿宋" w:cs="Times New Roman"/>
          <w:iCs/>
          <w:sz w:val="32"/>
          <w:szCs w:val="20"/>
          <w:lang w:val="en-US" w:eastAsia="en-US" w:bidi="ar-SA"/>
        </w:rPr>
        <w:fldChar w:fldCharType="separate"/>
      </w:r>
      <w:r>
        <w:rPr>
          <w:rFonts w:ascii="黑体" w:hAnsi="黑体" w:eastAsia="黑体" w:cs="黑体"/>
          <w:iCs/>
          <w:kern w:val="2"/>
          <w:sz w:val="32"/>
          <w:szCs w:val="32"/>
          <w:lang w:val="en-US" w:eastAsia="zh-CN" w:bidi="ar-SA"/>
        </w:rPr>
        <w:t>单位概况</w:t>
      </w:r>
      <w:r>
        <w:rPr>
          <w:rFonts w:ascii="Times New Roman" w:hAnsi="Times New Roman" w:eastAsia="仿宋" w:cs="Times New Roman"/>
          <w:iCs/>
          <w:sz w:val="32"/>
          <w:szCs w:val="20"/>
          <w:lang w:val="en-US" w:eastAsia="en-US" w:bidi="ar-SA"/>
        </w:rPr>
        <w:tab/>
      </w:r>
      <w:r>
        <w:rPr>
          <w:rFonts w:hint="eastAsia" w:eastAsia="仿宋" w:cs="Times New Roman"/>
          <w:iCs/>
          <w:sz w:val="32"/>
          <w:szCs w:val="20"/>
          <w:lang w:val="en-US" w:eastAsia="zh-CN" w:bidi="ar-SA"/>
        </w:rPr>
        <w:t>4</w:t>
      </w:r>
      <w:r>
        <w:rPr>
          <w:rFonts w:ascii="Times New Roman" w:hAnsi="Times New Roman" w:eastAsia="仿宋" w:cs="Times New Roman"/>
          <w:iCs/>
          <w:sz w:val="32"/>
          <w:szCs w:val="20"/>
          <w:lang w:val="en-US" w:eastAsia="en-US" w:bidi="ar-SA"/>
        </w:rPr>
        <w:fldChar w:fldCharType="end"/>
      </w:r>
    </w:p>
    <w:p>
      <w:pPr>
        <w:tabs>
          <w:tab w:val="right" w:leader="dot" w:pos="9730"/>
        </w:tabs>
        <w:adjustRightInd w:val="0"/>
        <w:snapToGrid w:val="0"/>
        <w:spacing w:line="360" w:lineRule="auto"/>
        <w:ind w:firstLine="1280" w:firstLineChars="400"/>
        <w:jc w:val="left"/>
        <w:rPr>
          <w:rFonts w:ascii="Calibri" w:hAnsi="Calibri" w:eastAsia="仿宋" w:cs="Times New Roman"/>
          <w:sz w:val="22"/>
          <w:szCs w:val="20"/>
          <w:lang w:val="en-US" w:eastAsia="en-US" w:bidi="ar-SA"/>
        </w:rPr>
      </w:pPr>
      <w:r>
        <w:rPr>
          <w:rFonts w:ascii="Times New Roman" w:hAnsi="Times New Roman" w:eastAsia="仿宋" w:cs="Times New Roman"/>
          <w:sz w:val="32"/>
          <w:szCs w:val="20"/>
          <w:lang w:val="en-US" w:eastAsia="en-US" w:bidi="ar-SA"/>
        </w:rPr>
        <w:fldChar w:fldCharType="begin"/>
      </w:r>
      <w:r>
        <w:rPr>
          <w:rFonts w:ascii="Times New Roman" w:hAnsi="Times New Roman" w:eastAsia="仿宋" w:cs="Times New Roman"/>
          <w:sz w:val="32"/>
          <w:szCs w:val="20"/>
          <w:lang w:val="en-US" w:eastAsia="en-US" w:bidi="ar-SA"/>
        </w:rPr>
        <w:instrText xml:space="preserve"> HYPERLINK \l "_Toc256000095" </w:instrText>
      </w:r>
      <w:r>
        <w:rPr>
          <w:rFonts w:ascii="Times New Roman" w:hAnsi="Times New Roman" w:eastAsia="仿宋" w:cs="Times New Roman"/>
          <w:sz w:val="32"/>
          <w:szCs w:val="20"/>
          <w:lang w:val="en-US" w:eastAsia="en-US" w:bidi="ar-SA"/>
        </w:rPr>
        <w:fldChar w:fldCharType="separate"/>
      </w:r>
      <w:r>
        <w:rPr>
          <w:rFonts w:ascii="黑体" w:hAnsi="黑体" w:eastAsia="黑体" w:cs="黑体"/>
          <w:kern w:val="2"/>
          <w:sz w:val="32"/>
          <w:szCs w:val="32"/>
          <w:lang w:val="en-US" w:eastAsia="zh-CN" w:bidi="ar-SA"/>
        </w:rPr>
        <w:t>一、单位主要职责</w:t>
      </w:r>
      <w:r>
        <w:rPr>
          <w:rFonts w:ascii="Times New Roman" w:hAnsi="Times New Roman" w:eastAsia="仿宋" w:cs="Times New Roman"/>
          <w:sz w:val="32"/>
          <w:szCs w:val="20"/>
          <w:lang w:val="en-US" w:eastAsia="en-US" w:bidi="ar-SA"/>
        </w:rPr>
        <w:tab/>
      </w:r>
      <w:r>
        <w:rPr>
          <w:rFonts w:hint="eastAsia" w:eastAsia="仿宋" w:cs="Times New Roman"/>
          <w:sz w:val="32"/>
          <w:szCs w:val="20"/>
          <w:lang w:val="en-US" w:eastAsia="zh-CN" w:bidi="ar-SA"/>
        </w:rPr>
        <w:t>4</w:t>
      </w:r>
      <w:r>
        <w:rPr>
          <w:rFonts w:ascii="Times New Roman" w:hAnsi="Times New Roman" w:eastAsia="仿宋" w:cs="Times New Roman"/>
          <w:sz w:val="32"/>
          <w:szCs w:val="20"/>
          <w:lang w:val="en-US" w:eastAsia="en-US" w:bidi="ar-SA"/>
        </w:rPr>
        <w:fldChar w:fldCharType="end"/>
      </w:r>
    </w:p>
    <w:p>
      <w:pPr>
        <w:tabs>
          <w:tab w:val="right" w:leader="dot" w:pos="9730"/>
        </w:tabs>
        <w:adjustRightInd w:val="0"/>
        <w:snapToGrid w:val="0"/>
        <w:spacing w:line="360" w:lineRule="auto"/>
        <w:ind w:firstLine="1280" w:firstLineChars="400"/>
        <w:jc w:val="left"/>
        <w:rPr>
          <w:rFonts w:ascii="Calibri" w:hAnsi="Calibri" w:eastAsia="仿宋" w:cs="Times New Roman"/>
          <w:sz w:val="22"/>
          <w:szCs w:val="20"/>
          <w:lang w:val="en-US" w:eastAsia="en-US" w:bidi="ar-SA"/>
        </w:rPr>
      </w:pPr>
      <w:r>
        <w:rPr>
          <w:rFonts w:ascii="Times New Roman" w:hAnsi="Times New Roman" w:eastAsia="仿宋" w:cs="Times New Roman"/>
          <w:sz w:val="32"/>
          <w:szCs w:val="20"/>
          <w:lang w:val="en-US" w:eastAsia="en-US" w:bidi="ar-SA"/>
        </w:rPr>
        <w:fldChar w:fldCharType="begin"/>
      </w:r>
      <w:r>
        <w:rPr>
          <w:rFonts w:ascii="Times New Roman" w:hAnsi="Times New Roman" w:eastAsia="仿宋" w:cs="Times New Roman"/>
          <w:sz w:val="32"/>
          <w:szCs w:val="20"/>
          <w:lang w:val="en-US" w:eastAsia="en-US" w:bidi="ar-SA"/>
        </w:rPr>
        <w:instrText xml:space="preserve"> HYPERLINK \l "_Toc256000096" </w:instrText>
      </w:r>
      <w:r>
        <w:rPr>
          <w:rFonts w:ascii="Times New Roman" w:hAnsi="Times New Roman" w:eastAsia="仿宋" w:cs="Times New Roman"/>
          <w:sz w:val="32"/>
          <w:szCs w:val="20"/>
          <w:lang w:val="en-US" w:eastAsia="en-US" w:bidi="ar-SA"/>
        </w:rPr>
        <w:fldChar w:fldCharType="separate"/>
      </w:r>
      <w:r>
        <w:rPr>
          <w:rFonts w:ascii="黑体" w:hAnsi="黑体" w:eastAsia="黑体" w:cs="黑体"/>
          <w:kern w:val="2"/>
          <w:sz w:val="32"/>
          <w:szCs w:val="32"/>
          <w:lang w:val="en-US" w:eastAsia="zh-CN" w:bidi="ar-SA"/>
        </w:rPr>
        <w:t>二、单位基本情况</w:t>
      </w:r>
      <w:r>
        <w:rPr>
          <w:rFonts w:ascii="Times New Roman" w:hAnsi="Times New Roman" w:eastAsia="仿宋" w:cs="Times New Roman"/>
          <w:sz w:val="32"/>
          <w:szCs w:val="20"/>
          <w:lang w:val="en-US" w:eastAsia="en-US" w:bidi="ar-SA"/>
        </w:rPr>
        <w:tab/>
      </w:r>
      <w:r>
        <w:rPr>
          <w:rFonts w:hint="eastAsia" w:eastAsia="仿宋" w:cs="Times New Roman"/>
          <w:sz w:val="32"/>
          <w:szCs w:val="20"/>
          <w:lang w:val="en-US" w:eastAsia="zh-CN" w:bidi="ar-SA"/>
        </w:rPr>
        <w:t>4</w:t>
      </w:r>
      <w:r>
        <w:rPr>
          <w:rFonts w:ascii="Times New Roman" w:hAnsi="Times New Roman" w:eastAsia="仿宋" w:cs="Times New Roman"/>
          <w:sz w:val="32"/>
          <w:szCs w:val="20"/>
          <w:lang w:val="en-US" w:eastAsia="en-US" w:bidi="ar-SA"/>
        </w:rPr>
        <w:fldChar w:fldCharType="end"/>
      </w:r>
    </w:p>
    <w:p>
      <w:pPr>
        <w:tabs>
          <w:tab w:val="right" w:leader="dot" w:pos="9730"/>
        </w:tabs>
        <w:adjustRightInd w:val="0"/>
        <w:snapToGrid w:val="0"/>
        <w:spacing w:line="360" w:lineRule="auto"/>
        <w:ind w:firstLine="1280" w:firstLineChars="400"/>
        <w:jc w:val="left"/>
        <w:rPr>
          <w:rFonts w:ascii="Calibri" w:hAnsi="Calibri" w:eastAsia="仿宋" w:cs="Times New Roman"/>
          <w:sz w:val="22"/>
          <w:szCs w:val="20"/>
          <w:lang w:val="en-US" w:eastAsia="en-US" w:bidi="ar-SA"/>
        </w:rPr>
      </w:pPr>
      <w:r>
        <w:rPr>
          <w:rFonts w:ascii="Times New Roman" w:hAnsi="Times New Roman" w:eastAsia="仿宋" w:cs="Times New Roman"/>
          <w:sz w:val="32"/>
          <w:szCs w:val="20"/>
          <w:lang w:val="en-US" w:eastAsia="en-US" w:bidi="ar-SA"/>
        </w:rPr>
        <w:fldChar w:fldCharType="begin"/>
      </w:r>
      <w:r>
        <w:rPr>
          <w:rFonts w:ascii="Times New Roman" w:hAnsi="Times New Roman" w:eastAsia="仿宋" w:cs="Times New Roman"/>
          <w:sz w:val="32"/>
          <w:szCs w:val="20"/>
          <w:lang w:val="en-US" w:eastAsia="en-US" w:bidi="ar-SA"/>
        </w:rPr>
        <w:instrText xml:space="preserve"> HYPERLINK \l "_Toc256000097" </w:instrText>
      </w:r>
      <w:r>
        <w:rPr>
          <w:rFonts w:ascii="Times New Roman" w:hAnsi="Times New Roman" w:eastAsia="仿宋" w:cs="Times New Roman"/>
          <w:sz w:val="32"/>
          <w:szCs w:val="20"/>
          <w:lang w:val="en-US" w:eastAsia="en-US" w:bidi="ar-SA"/>
        </w:rPr>
        <w:fldChar w:fldCharType="separate"/>
      </w:r>
      <w:r>
        <w:rPr>
          <w:rFonts w:ascii="黑体" w:hAnsi="黑体" w:eastAsia="黑体" w:cs="黑体"/>
          <w:kern w:val="2"/>
          <w:sz w:val="32"/>
          <w:szCs w:val="32"/>
          <w:lang w:val="en-US" w:eastAsia="zh-CN" w:bidi="ar-SA"/>
        </w:rPr>
        <w:t>三、单位主要工作总结</w:t>
      </w:r>
      <w:r>
        <w:rPr>
          <w:rFonts w:ascii="Times New Roman" w:hAnsi="Times New Roman" w:eastAsia="仿宋" w:cs="Times New Roman"/>
          <w:sz w:val="32"/>
          <w:szCs w:val="20"/>
          <w:lang w:val="en-US" w:eastAsia="en-US" w:bidi="ar-SA"/>
        </w:rPr>
        <w:tab/>
      </w:r>
      <w:r>
        <w:rPr>
          <w:rFonts w:hint="eastAsia" w:eastAsia="仿宋" w:cs="Times New Roman"/>
          <w:sz w:val="32"/>
          <w:szCs w:val="20"/>
          <w:lang w:val="en-US" w:eastAsia="zh-CN" w:bidi="ar-SA"/>
        </w:rPr>
        <w:t>4</w:t>
      </w:r>
      <w:r>
        <w:rPr>
          <w:rFonts w:ascii="Times New Roman" w:hAnsi="Times New Roman" w:eastAsia="仿宋" w:cs="Times New Roman"/>
          <w:sz w:val="32"/>
          <w:szCs w:val="20"/>
          <w:lang w:val="en-US" w:eastAsia="en-US" w:bidi="ar-SA"/>
        </w:rPr>
        <w:fldChar w:fldCharType="end"/>
      </w:r>
    </w:p>
    <w:p>
      <w:pPr>
        <w:tabs>
          <w:tab w:val="right" w:leader="dot" w:pos="9730"/>
        </w:tabs>
        <w:adjustRightInd w:val="0"/>
        <w:snapToGrid w:val="0"/>
        <w:spacing w:line="360" w:lineRule="auto"/>
        <w:ind w:firstLine="640" w:firstLineChars="200"/>
        <w:jc w:val="left"/>
        <w:rPr>
          <w:rFonts w:ascii="Calibri" w:hAnsi="Calibri" w:eastAsia="仿宋" w:cs="Times New Roman"/>
          <w:iCs/>
          <w:sz w:val="22"/>
          <w:szCs w:val="20"/>
          <w:lang w:val="en-US" w:eastAsia="en-US" w:bidi="ar-SA"/>
        </w:rPr>
      </w:pPr>
      <w:r>
        <w:rPr>
          <w:rFonts w:ascii="Times New Roman" w:hAnsi="Times New Roman" w:eastAsia="仿宋" w:cs="Times New Roman"/>
          <w:iCs/>
          <w:sz w:val="32"/>
          <w:szCs w:val="20"/>
          <w:lang w:val="en-US" w:eastAsia="en-US" w:bidi="ar-SA"/>
        </w:rPr>
        <w:fldChar w:fldCharType="begin"/>
      </w:r>
      <w:r>
        <w:rPr>
          <w:rFonts w:ascii="Times New Roman" w:hAnsi="Times New Roman" w:eastAsia="仿宋" w:cs="Times New Roman"/>
          <w:iCs/>
          <w:sz w:val="32"/>
          <w:szCs w:val="20"/>
          <w:lang w:val="en-US" w:eastAsia="en-US" w:bidi="ar-SA"/>
        </w:rPr>
        <w:instrText xml:space="preserve"> HYPERLINK \l "_Toc256000098" </w:instrText>
      </w:r>
      <w:r>
        <w:rPr>
          <w:rFonts w:ascii="Times New Roman" w:hAnsi="Times New Roman" w:eastAsia="仿宋" w:cs="Times New Roman"/>
          <w:iCs/>
          <w:sz w:val="32"/>
          <w:szCs w:val="20"/>
          <w:lang w:val="en-US" w:eastAsia="en-US" w:bidi="ar-SA"/>
        </w:rPr>
        <w:fldChar w:fldCharType="separate"/>
      </w:r>
      <w:r>
        <w:rPr>
          <w:rFonts w:ascii="黑体" w:hAnsi="黑体" w:eastAsia="黑体" w:cs="黑体"/>
          <w:iCs/>
          <w:kern w:val="2"/>
          <w:sz w:val="32"/>
          <w:szCs w:val="32"/>
          <w:lang w:val="en-US" w:eastAsia="zh-CN" w:bidi="ar-SA"/>
        </w:rPr>
        <w:t>第二部分</w:t>
      </w:r>
      <w:r>
        <w:rPr>
          <w:rFonts w:ascii="Times New Roman" w:hAnsi="Times New Roman" w:eastAsia="仿宋" w:cs="Times New Roman"/>
          <w:iCs/>
          <w:sz w:val="32"/>
          <w:szCs w:val="20"/>
          <w:lang w:val="en-US" w:eastAsia="en-US" w:bidi="ar-SA"/>
        </w:rPr>
        <w:tab/>
      </w:r>
      <w:r>
        <w:rPr>
          <w:rFonts w:hint="eastAsia" w:eastAsia="仿宋" w:cs="Times New Roman"/>
          <w:iCs/>
          <w:sz w:val="32"/>
          <w:szCs w:val="20"/>
          <w:lang w:val="en-US" w:eastAsia="zh-CN" w:bidi="ar-SA"/>
        </w:rPr>
        <w:t>6</w:t>
      </w:r>
      <w:r>
        <w:rPr>
          <w:rFonts w:ascii="Times New Roman" w:hAnsi="Times New Roman" w:eastAsia="仿宋" w:cs="Times New Roman"/>
          <w:iCs/>
          <w:sz w:val="32"/>
          <w:szCs w:val="20"/>
          <w:lang w:val="en-US" w:eastAsia="en-US" w:bidi="ar-SA"/>
        </w:rPr>
        <w:fldChar w:fldCharType="end"/>
      </w:r>
    </w:p>
    <w:p>
      <w:pPr>
        <w:tabs>
          <w:tab w:val="right" w:leader="dot" w:pos="9730"/>
        </w:tabs>
        <w:adjustRightInd w:val="0"/>
        <w:snapToGrid w:val="0"/>
        <w:spacing w:line="360" w:lineRule="auto"/>
        <w:ind w:firstLine="640" w:firstLineChars="200"/>
        <w:jc w:val="left"/>
        <w:rPr>
          <w:rFonts w:ascii="Calibri" w:hAnsi="Calibri" w:eastAsia="仿宋" w:cs="Times New Roman"/>
          <w:iCs/>
          <w:sz w:val="22"/>
          <w:szCs w:val="20"/>
          <w:lang w:val="en-US" w:eastAsia="en-US" w:bidi="ar-SA"/>
        </w:rPr>
      </w:pPr>
      <w:r>
        <w:rPr>
          <w:rFonts w:ascii="Times New Roman" w:hAnsi="Times New Roman" w:eastAsia="仿宋" w:cs="Times New Roman"/>
          <w:iCs/>
          <w:sz w:val="32"/>
          <w:szCs w:val="20"/>
          <w:lang w:val="en-US" w:eastAsia="en-US" w:bidi="ar-SA"/>
        </w:rPr>
        <w:fldChar w:fldCharType="begin"/>
      </w:r>
      <w:r>
        <w:rPr>
          <w:rFonts w:ascii="Times New Roman" w:hAnsi="Times New Roman" w:eastAsia="仿宋" w:cs="Times New Roman"/>
          <w:iCs/>
          <w:sz w:val="32"/>
          <w:szCs w:val="20"/>
          <w:lang w:val="en-US" w:eastAsia="en-US" w:bidi="ar-SA"/>
        </w:rPr>
        <w:instrText xml:space="preserve"> HYPERLINK \l "_Toc256000099" </w:instrText>
      </w:r>
      <w:r>
        <w:rPr>
          <w:rFonts w:ascii="Times New Roman" w:hAnsi="Times New Roman" w:eastAsia="仿宋" w:cs="Times New Roman"/>
          <w:iCs/>
          <w:sz w:val="32"/>
          <w:szCs w:val="20"/>
          <w:lang w:val="en-US" w:eastAsia="en-US" w:bidi="ar-SA"/>
        </w:rPr>
        <w:fldChar w:fldCharType="separate"/>
      </w:r>
      <w:r>
        <w:rPr>
          <w:rFonts w:ascii="黑体" w:hAnsi="黑体" w:eastAsia="黑体" w:cs="黑体"/>
          <w:iCs/>
          <w:kern w:val="2"/>
          <w:sz w:val="32"/>
          <w:szCs w:val="32"/>
          <w:lang w:val="en-US" w:eastAsia="zh-CN" w:bidi="ar-SA"/>
        </w:rPr>
        <w:t>2024年度决算表</w:t>
      </w:r>
      <w:r>
        <w:rPr>
          <w:rFonts w:ascii="Times New Roman" w:hAnsi="Times New Roman" w:eastAsia="仿宋" w:cs="Times New Roman"/>
          <w:iCs/>
          <w:sz w:val="32"/>
          <w:szCs w:val="20"/>
          <w:lang w:val="en-US" w:eastAsia="en-US" w:bidi="ar-SA"/>
        </w:rPr>
        <w:tab/>
      </w:r>
      <w:r>
        <w:rPr>
          <w:rFonts w:hint="eastAsia" w:eastAsia="仿宋" w:cs="Times New Roman"/>
          <w:iCs/>
          <w:sz w:val="32"/>
          <w:szCs w:val="20"/>
          <w:lang w:val="en-US" w:eastAsia="zh-CN" w:bidi="ar-SA"/>
        </w:rPr>
        <w:t>6</w:t>
      </w:r>
      <w:r>
        <w:rPr>
          <w:rFonts w:ascii="Times New Roman" w:hAnsi="Times New Roman" w:eastAsia="仿宋" w:cs="Times New Roman"/>
          <w:iCs/>
          <w:sz w:val="32"/>
          <w:szCs w:val="20"/>
          <w:lang w:val="en-US" w:eastAsia="en-US" w:bidi="ar-SA"/>
        </w:rPr>
        <w:fldChar w:fldCharType="end"/>
      </w:r>
    </w:p>
    <w:p>
      <w:pPr>
        <w:tabs>
          <w:tab w:val="right" w:leader="dot" w:pos="9730"/>
        </w:tabs>
        <w:adjustRightInd w:val="0"/>
        <w:snapToGrid w:val="0"/>
        <w:spacing w:line="360" w:lineRule="auto"/>
        <w:ind w:firstLine="1280" w:firstLineChars="400"/>
        <w:jc w:val="left"/>
        <w:rPr>
          <w:rFonts w:ascii="Calibri" w:hAnsi="Calibri" w:eastAsia="仿宋" w:cs="Times New Roman"/>
          <w:sz w:val="22"/>
          <w:szCs w:val="20"/>
          <w:lang w:val="en-US" w:eastAsia="en-US" w:bidi="ar-SA"/>
        </w:rPr>
      </w:pPr>
      <w:r>
        <w:rPr>
          <w:rFonts w:ascii="Times New Roman" w:hAnsi="Times New Roman" w:eastAsia="仿宋" w:cs="Times New Roman"/>
          <w:sz w:val="32"/>
          <w:szCs w:val="20"/>
          <w:lang w:val="en-US" w:eastAsia="en-US" w:bidi="ar-SA"/>
        </w:rPr>
        <w:fldChar w:fldCharType="begin"/>
      </w:r>
      <w:r>
        <w:rPr>
          <w:rFonts w:ascii="Times New Roman" w:hAnsi="Times New Roman" w:eastAsia="仿宋" w:cs="Times New Roman"/>
          <w:sz w:val="32"/>
          <w:szCs w:val="20"/>
          <w:lang w:val="en-US" w:eastAsia="en-US" w:bidi="ar-SA"/>
        </w:rPr>
        <w:instrText xml:space="preserve"> HYPERLINK \l "_Toc256000100" </w:instrText>
      </w:r>
      <w:r>
        <w:rPr>
          <w:rFonts w:ascii="Times New Roman" w:hAnsi="Times New Roman" w:eastAsia="仿宋" w:cs="Times New Roman"/>
          <w:sz w:val="32"/>
          <w:szCs w:val="20"/>
          <w:lang w:val="en-US" w:eastAsia="en-US" w:bidi="ar-SA"/>
        </w:rPr>
        <w:fldChar w:fldCharType="separate"/>
      </w:r>
      <w:r>
        <w:rPr>
          <w:rFonts w:ascii="黑体" w:hAnsi="黑体" w:eastAsia="黑体" w:cs="黑体"/>
          <w:kern w:val="2"/>
          <w:sz w:val="32"/>
          <w:szCs w:val="32"/>
          <w:lang w:val="en-US" w:eastAsia="zh-CN" w:bidi="ar-SA"/>
        </w:rPr>
        <w:t>一、收入支出决算总表</w:t>
      </w:r>
      <w:r>
        <w:rPr>
          <w:rFonts w:ascii="Times New Roman" w:hAnsi="Times New Roman" w:eastAsia="仿宋" w:cs="Times New Roman"/>
          <w:sz w:val="32"/>
          <w:szCs w:val="20"/>
          <w:lang w:val="en-US" w:eastAsia="en-US" w:bidi="ar-SA"/>
        </w:rPr>
        <w:tab/>
      </w:r>
      <w:r>
        <w:rPr>
          <w:rFonts w:hint="eastAsia" w:eastAsia="仿宋" w:cs="Times New Roman"/>
          <w:sz w:val="32"/>
          <w:szCs w:val="20"/>
          <w:lang w:val="en-US" w:eastAsia="zh-CN" w:bidi="ar-SA"/>
        </w:rPr>
        <w:t>6</w:t>
      </w:r>
      <w:r>
        <w:rPr>
          <w:rFonts w:ascii="Times New Roman" w:hAnsi="Times New Roman" w:eastAsia="仿宋" w:cs="Times New Roman"/>
          <w:sz w:val="32"/>
          <w:szCs w:val="20"/>
          <w:lang w:val="en-US" w:eastAsia="en-US" w:bidi="ar-SA"/>
        </w:rPr>
        <w:fldChar w:fldCharType="end"/>
      </w:r>
    </w:p>
    <w:p>
      <w:pPr>
        <w:tabs>
          <w:tab w:val="right" w:leader="dot" w:pos="9730"/>
        </w:tabs>
        <w:adjustRightInd w:val="0"/>
        <w:snapToGrid w:val="0"/>
        <w:spacing w:line="360" w:lineRule="auto"/>
        <w:ind w:firstLine="1280" w:firstLineChars="400"/>
        <w:jc w:val="left"/>
        <w:rPr>
          <w:rFonts w:ascii="Calibri" w:hAnsi="Calibri" w:eastAsia="仿宋" w:cs="Times New Roman"/>
          <w:sz w:val="22"/>
          <w:szCs w:val="20"/>
          <w:lang w:val="en-US" w:eastAsia="en-US" w:bidi="ar-SA"/>
        </w:rPr>
      </w:pPr>
      <w:r>
        <w:rPr>
          <w:rFonts w:ascii="Times New Roman" w:hAnsi="Times New Roman" w:eastAsia="仿宋" w:cs="Times New Roman"/>
          <w:sz w:val="32"/>
          <w:szCs w:val="20"/>
          <w:lang w:val="en-US" w:eastAsia="en-US" w:bidi="ar-SA"/>
        </w:rPr>
        <w:fldChar w:fldCharType="begin"/>
      </w:r>
      <w:r>
        <w:rPr>
          <w:rFonts w:ascii="Times New Roman" w:hAnsi="Times New Roman" w:eastAsia="仿宋" w:cs="Times New Roman"/>
          <w:sz w:val="32"/>
          <w:szCs w:val="20"/>
          <w:lang w:val="en-US" w:eastAsia="en-US" w:bidi="ar-SA"/>
        </w:rPr>
        <w:instrText xml:space="preserve"> HYPERLINK \l "_Toc256000101" </w:instrText>
      </w:r>
      <w:r>
        <w:rPr>
          <w:rFonts w:ascii="Times New Roman" w:hAnsi="Times New Roman" w:eastAsia="仿宋" w:cs="Times New Roman"/>
          <w:sz w:val="32"/>
          <w:szCs w:val="20"/>
          <w:lang w:val="en-US" w:eastAsia="en-US" w:bidi="ar-SA"/>
        </w:rPr>
        <w:fldChar w:fldCharType="separate"/>
      </w:r>
      <w:r>
        <w:rPr>
          <w:rFonts w:ascii="黑体" w:hAnsi="黑体" w:eastAsia="黑体" w:cs="黑体"/>
          <w:kern w:val="2"/>
          <w:sz w:val="32"/>
          <w:szCs w:val="32"/>
          <w:lang w:val="en-US" w:eastAsia="zh-CN" w:bidi="ar-SA"/>
        </w:rPr>
        <w:t>二、收入决算表</w:t>
      </w:r>
      <w:r>
        <w:rPr>
          <w:rFonts w:ascii="Times New Roman" w:hAnsi="Times New Roman" w:eastAsia="仿宋" w:cs="Times New Roman"/>
          <w:sz w:val="32"/>
          <w:szCs w:val="20"/>
          <w:lang w:val="en-US" w:eastAsia="en-US" w:bidi="ar-SA"/>
        </w:rPr>
        <w:tab/>
      </w:r>
      <w:r>
        <w:rPr>
          <w:rFonts w:hint="eastAsia" w:ascii="Times New Roman" w:hAnsi="Times New Roman" w:eastAsia="仿宋" w:cs="Times New Roman"/>
          <w:sz w:val="32"/>
          <w:szCs w:val="20"/>
          <w:lang w:val="en-US" w:eastAsia="zh-CN" w:bidi="ar-SA"/>
        </w:rPr>
        <w:t>8</w:t>
      </w:r>
      <w:r>
        <w:rPr>
          <w:rFonts w:ascii="Times New Roman" w:hAnsi="Times New Roman" w:eastAsia="仿宋" w:cs="Times New Roman"/>
          <w:sz w:val="32"/>
          <w:szCs w:val="20"/>
          <w:lang w:val="en-US" w:eastAsia="en-US" w:bidi="ar-SA"/>
        </w:rPr>
        <w:fldChar w:fldCharType="end"/>
      </w:r>
    </w:p>
    <w:p>
      <w:pPr>
        <w:tabs>
          <w:tab w:val="right" w:leader="dot" w:pos="9730"/>
        </w:tabs>
        <w:adjustRightInd w:val="0"/>
        <w:snapToGrid w:val="0"/>
        <w:spacing w:line="360" w:lineRule="auto"/>
        <w:ind w:firstLine="1280" w:firstLineChars="400"/>
        <w:jc w:val="left"/>
        <w:rPr>
          <w:rFonts w:hint="eastAsia" w:ascii="Calibri" w:hAnsi="Calibri" w:eastAsia="仿宋" w:cs="Times New Roman"/>
          <w:sz w:val="22"/>
          <w:szCs w:val="20"/>
          <w:lang w:val="en-US" w:eastAsia="zh-CN" w:bidi="ar-SA"/>
        </w:rPr>
      </w:pPr>
      <w:r>
        <w:rPr>
          <w:rFonts w:ascii="Times New Roman" w:hAnsi="Times New Roman" w:eastAsia="仿宋" w:cs="Times New Roman"/>
          <w:sz w:val="32"/>
          <w:szCs w:val="20"/>
          <w:lang w:val="en-US" w:eastAsia="en-US" w:bidi="ar-SA"/>
        </w:rPr>
        <w:fldChar w:fldCharType="begin"/>
      </w:r>
      <w:r>
        <w:rPr>
          <w:rFonts w:ascii="Times New Roman" w:hAnsi="Times New Roman" w:eastAsia="仿宋" w:cs="Times New Roman"/>
          <w:sz w:val="32"/>
          <w:szCs w:val="20"/>
          <w:lang w:val="en-US" w:eastAsia="en-US" w:bidi="ar-SA"/>
        </w:rPr>
        <w:instrText xml:space="preserve"> HYPERLINK \l "_Toc256000102" </w:instrText>
      </w:r>
      <w:r>
        <w:rPr>
          <w:rFonts w:ascii="Times New Roman" w:hAnsi="Times New Roman" w:eastAsia="仿宋" w:cs="Times New Roman"/>
          <w:sz w:val="32"/>
          <w:szCs w:val="20"/>
          <w:lang w:val="en-US" w:eastAsia="en-US" w:bidi="ar-SA"/>
        </w:rPr>
        <w:fldChar w:fldCharType="separate"/>
      </w:r>
      <w:r>
        <w:rPr>
          <w:rFonts w:ascii="黑体" w:hAnsi="黑体" w:eastAsia="黑体" w:cs="黑体"/>
          <w:kern w:val="2"/>
          <w:sz w:val="32"/>
          <w:szCs w:val="32"/>
          <w:lang w:val="en-US" w:eastAsia="zh-CN" w:bidi="ar-SA"/>
        </w:rPr>
        <w:t>三、支出决算表</w:t>
      </w:r>
      <w:r>
        <w:rPr>
          <w:rFonts w:ascii="Times New Roman" w:hAnsi="Times New Roman" w:eastAsia="仿宋" w:cs="Times New Roman"/>
          <w:sz w:val="32"/>
          <w:szCs w:val="20"/>
          <w:lang w:val="en-US" w:eastAsia="en-US" w:bidi="ar-SA"/>
        </w:rPr>
        <w:tab/>
      </w:r>
      <w:r>
        <w:rPr>
          <w:rFonts w:hint="eastAsia" w:ascii="Times New Roman" w:hAnsi="Times New Roman" w:eastAsia="仿宋" w:cs="Times New Roman"/>
          <w:sz w:val="32"/>
          <w:szCs w:val="20"/>
          <w:lang w:val="en-US" w:eastAsia="zh-CN" w:bidi="ar-SA"/>
        </w:rPr>
        <w:t>1</w:t>
      </w:r>
      <w:r>
        <w:rPr>
          <w:rFonts w:ascii="Times New Roman" w:hAnsi="Times New Roman" w:eastAsia="仿宋" w:cs="Times New Roman"/>
          <w:sz w:val="32"/>
          <w:szCs w:val="20"/>
          <w:lang w:val="en-US" w:eastAsia="en-US" w:bidi="ar-SA"/>
        </w:rPr>
        <w:fldChar w:fldCharType="end"/>
      </w:r>
      <w:r>
        <w:rPr>
          <w:rFonts w:hint="eastAsia" w:ascii="Times New Roman" w:hAnsi="Times New Roman" w:eastAsia="仿宋" w:cs="Times New Roman"/>
          <w:sz w:val="32"/>
          <w:szCs w:val="20"/>
          <w:lang w:val="en-US" w:eastAsia="zh-CN" w:bidi="ar-SA"/>
        </w:rPr>
        <w:t>0</w:t>
      </w:r>
    </w:p>
    <w:p>
      <w:pPr>
        <w:tabs>
          <w:tab w:val="right" w:leader="dot" w:pos="9730"/>
        </w:tabs>
        <w:adjustRightInd w:val="0"/>
        <w:snapToGrid w:val="0"/>
        <w:spacing w:line="360" w:lineRule="auto"/>
        <w:ind w:firstLine="1280" w:firstLineChars="400"/>
        <w:jc w:val="left"/>
        <w:rPr>
          <w:rFonts w:hint="eastAsia" w:ascii="Calibri" w:hAnsi="Calibri" w:eastAsia="仿宋" w:cs="Times New Roman"/>
          <w:sz w:val="22"/>
          <w:szCs w:val="20"/>
          <w:lang w:val="en-US" w:eastAsia="zh-CN" w:bidi="ar-SA"/>
        </w:rPr>
      </w:pPr>
      <w:r>
        <w:rPr>
          <w:rFonts w:ascii="Times New Roman" w:hAnsi="Times New Roman" w:eastAsia="仿宋" w:cs="Times New Roman"/>
          <w:sz w:val="32"/>
          <w:szCs w:val="20"/>
          <w:lang w:val="en-US" w:eastAsia="en-US" w:bidi="ar-SA"/>
        </w:rPr>
        <w:fldChar w:fldCharType="begin"/>
      </w:r>
      <w:r>
        <w:rPr>
          <w:rFonts w:ascii="Times New Roman" w:hAnsi="Times New Roman" w:eastAsia="仿宋" w:cs="Times New Roman"/>
          <w:sz w:val="32"/>
          <w:szCs w:val="20"/>
          <w:lang w:val="en-US" w:eastAsia="en-US" w:bidi="ar-SA"/>
        </w:rPr>
        <w:instrText xml:space="preserve"> HYPERLINK \l "_Toc256000103" </w:instrText>
      </w:r>
      <w:r>
        <w:rPr>
          <w:rFonts w:ascii="Times New Roman" w:hAnsi="Times New Roman" w:eastAsia="仿宋" w:cs="Times New Roman"/>
          <w:sz w:val="32"/>
          <w:szCs w:val="20"/>
          <w:lang w:val="en-US" w:eastAsia="en-US" w:bidi="ar-SA"/>
        </w:rPr>
        <w:fldChar w:fldCharType="separate"/>
      </w:r>
      <w:r>
        <w:rPr>
          <w:rFonts w:ascii="黑体" w:hAnsi="黑体" w:eastAsia="黑体" w:cs="黑体"/>
          <w:kern w:val="2"/>
          <w:sz w:val="32"/>
          <w:szCs w:val="32"/>
          <w:lang w:val="en-US" w:eastAsia="zh-CN" w:bidi="ar-SA"/>
        </w:rPr>
        <w:t>四、财政拨款收入支出决算总表</w:t>
      </w:r>
      <w:r>
        <w:rPr>
          <w:rFonts w:ascii="Times New Roman" w:hAnsi="Times New Roman" w:eastAsia="仿宋" w:cs="Times New Roman"/>
          <w:sz w:val="32"/>
          <w:szCs w:val="20"/>
          <w:lang w:val="en-US" w:eastAsia="en-US" w:bidi="ar-SA"/>
        </w:rPr>
        <w:tab/>
      </w:r>
      <w:r>
        <w:rPr>
          <w:rFonts w:hint="eastAsia" w:ascii="Times New Roman" w:hAnsi="Times New Roman" w:eastAsia="仿宋" w:cs="Times New Roman"/>
          <w:sz w:val="32"/>
          <w:szCs w:val="20"/>
          <w:lang w:val="en-US" w:eastAsia="zh-CN" w:bidi="ar-SA"/>
        </w:rPr>
        <w:t>1</w:t>
      </w:r>
      <w:r>
        <w:rPr>
          <w:rFonts w:ascii="Times New Roman" w:hAnsi="Times New Roman" w:eastAsia="仿宋" w:cs="Times New Roman"/>
          <w:sz w:val="32"/>
          <w:szCs w:val="20"/>
          <w:lang w:val="en-US" w:eastAsia="en-US" w:bidi="ar-SA"/>
        </w:rPr>
        <w:fldChar w:fldCharType="end"/>
      </w:r>
      <w:r>
        <w:rPr>
          <w:rFonts w:hint="eastAsia" w:ascii="Times New Roman" w:hAnsi="Times New Roman" w:eastAsia="仿宋" w:cs="Times New Roman"/>
          <w:sz w:val="32"/>
          <w:szCs w:val="20"/>
          <w:lang w:val="en-US" w:eastAsia="zh-CN" w:bidi="ar-SA"/>
        </w:rPr>
        <w:t>2</w:t>
      </w:r>
    </w:p>
    <w:p>
      <w:pPr>
        <w:tabs>
          <w:tab w:val="right" w:leader="dot" w:pos="9730"/>
        </w:tabs>
        <w:adjustRightInd w:val="0"/>
        <w:snapToGrid w:val="0"/>
        <w:spacing w:line="360" w:lineRule="auto"/>
        <w:ind w:firstLine="1280" w:firstLineChars="400"/>
        <w:jc w:val="left"/>
        <w:rPr>
          <w:rFonts w:hint="eastAsia" w:ascii="Calibri" w:hAnsi="Calibri" w:eastAsia="仿宋" w:cs="Times New Roman"/>
          <w:sz w:val="22"/>
          <w:szCs w:val="20"/>
          <w:lang w:val="en-US" w:eastAsia="zh-CN" w:bidi="ar-SA"/>
        </w:rPr>
      </w:pPr>
      <w:r>
        <w:rPr>
          <w:rFonts w:ascii="Times New Roman" w:hAnsi="Times New Roman" w:eastAsia="仿宋" w:cs="Times New Roman"/>
          <w:sz w:val="32"/>
          <w:szCs w:val="20"/>
          <w:lang w:val="en-US" w:eastAsia="en-US" w:bidi="ar-SA"/>
        </w:rPr>
        <w:fldChar w:fldCharType="begin"/>
      </w:r>
      <w:r>
        <w:rPr>
          <w:rFonts w:ascii="Times New Roman" w:hAnsi="Times New Roman" w:eastAsia="仿宋" w:cs="Times New Roman"/>
          <w:sz w:val="32"/>
          <w:szCs w:val="20"/>
          <w:lang w:val="en-US" w:eastAsia="en-US" w:bidi="ar-SA"/>
        </w:rPr>
        <w:instrText xml:space="preserve"> HYPERLINK \l "_Toc256000104" </w:instrText>
      </w:r>
      <w:r>
        <w:rPr>
          <w:rFonts w:ascii="Times New Roman" w:hAnsi="Times New Roman" w:eastAsia="仿宋" w:cs="Times New Roman"/>
          <w:sz w:val="32"/>
          <w:szCs w:val="20"/>
          <w:lang w:val="en-US" w:eastAsia="en-US" w:bidi="ar-SA"/>
        </w:rPr>
        <w:fldChar w:fldCharType="separate"/>
      </w:r>
      <w:r>
        <w:rPr>
          <w:rFonts w:ascii="黑体" w:hAnsi="黑体" w:eastAsia="黑体" w:cs="黑体"/>
          <w:kern w:val="2"/>
          <w:sz w:val="32"/>
          <w:szCs w:val="32"/>
          <w:lang w:val="en-US" w:eastAsia="zh-CN" w:bidi="ar-SA"/>
        </w:rPr>
        <w:t>五、一般公共预算财政拨款支出决算表</w:t>
      </w:r>
      <w:r>
        <w:rPr>
          <w:rFonts w:ascii="Times New Roman" w:hAnsi="Times New Roman" w:eastAsia="仿宋" w:cs="Times New Roman"/>
          <w:sz w:val="32"/>
          <w:szCs w:val="20"/>
          <w:lang w:val="en-US" w:eastAsia="en-US" w:bidi="ar-SA"/>
        </w:rPr>
        <w:tab/>
      </w:r>
      <w:r>
        <w:rPr>
          <w:rFonts w:hint="eastAsia" w:ascii="Times New Roman" w:hAnsi="Times New Roman" w:eastAsia="仿宋" w:cs="Times New Roman"/>
          <w:sz w:val="32"/>
          <w:szCs w:val="20"/>
          <w:lang w:val="en-US" w:eastAsia="zh-CN" w:bidi="ar-SA"/>
        </w:rPr>
        <w:t>1</w:t>
      </w:r>
      <w:r>
        <w:rPr>
          <w:rFonts w:ascii="Times New Roman" w:hAnsi="Times New Roman" w:eastAsia="仿宋" w:cs="Times New Roman"/>
          <w:sz w:val="32"/>
          <w:szCs w:val="20"/>
          <w:lang w:val="en-US" w:eastAsia="en-US" w:bidi="ar-SA"/>
        </w:rPr>
        <w:fldChar w:fldCharType="end"/>
      </w:r>
      <w:r>
        <w:rPr>
          <w:rFonts w:hint="eastAsia" w:ascii="Times New Roman" w:hAnsi="Times New Roman" w:eastAsia="仿宋" w:cs="Times New Roman"/>
          <w:sz w:val="32"/>
          <w:szCs w:val="20"/>
          <w:lang w:val="en-US" w:eastAsia="zh-CN" w:bidi="ar-SA"/>
        </w:rPr>
        <w:t>4</w:t>
      </w:r>
    </w:p>
    <w:p>
      <w:pPr>
        <w:tabs>
          <w:tab w:val="right" w:leader="dot" w:pos="9730"/>
        </w:tabs>
        <w:adjustRightInd w:val="0"/>
        <w:snapToGrid w:val="0"/>
        <w:spacing w:line="360" w:lineRule="auto"/>
        <w:ind w:firstLine="1280" w:firstLineChars="400"/>
        <w:jc w:val="left"/>
        <w:rPr>
          <w:rFonts w:hint="eastAsia" w:ascii="Calibri" w:hAnsi="Calibri" w:eastAsia="仿宋" w:cs="Times New Roman"/>
          <w:sz w:val="22"/>
          <w:szCs w:val="20"/>
          <w:lang w:val="en-US" w:eastAsia="zh-CN" w:bidi="ar-SA"/>
        </w:rPr>
      </w:pPr>
      <w:r>
        <w:rPr>
          <w:rFonts w:ascii="Times New Roman" w:hAnsi="Times New Roman" w:eastAsia="仿宋" w:cs="Times New Roman"/>
          <w:sz w:val="32"/>
          <w:szCs w:val="20"/>
          <w:lang w:val="en-US" w:eastAsia="en-US" w:bidi="ar-SA"/>
        </w:rPr>
        <w:fldChar w:fldCharType="begin"/>
      </w:r>
      <w:r>
        <w:rPr>
          <w:rFonts w:ascii="Times New Roman" w:hAnsi="Times New Roman" w:eastAsia="仿宋" w:cs="Times New Roman"/>
          <w:sz w:val="32"/>
          <w:szCs w:val="20"/>
          <w:lang w:val="en-US" w:eastAsia="en-US" w:bidi="ar-SA"/>
        </w:rPr>
        <w:instrText xml:space="preserve"> HYPERLINK \l "_Toc256000105" </w:instrText>
      </w:r>
      <w:r>
        <w:rPr>
          <w:rFonts w:ascii="Times New Roman" w:hAnsi="Times New Roman" w:eastAsia="仿宋" w:cs="Times New Roman"/>
          <w:sz w:val="32"/>
          <w:szCs w:val="20"/>
          <w:lang w:val="en-US" w:eastAsia="en-US" w:bidi="ar-SA"/>
        </w:rPr>
        <w:fldChar w:fldCharType="separate"/>
      </w:r>
      <w:r>
        <w:rPr>
          <w:rFonts w:ascii="黑体" w:hAnsi="黑体" w:eastAsia="黑体" w:cs="黑体"/>
          <w:kern w:val="2"/>
          <w:sz w:val="32"/>
          <w:szCs w:val="32"/>
          <w:lang w:val="en-US" w:eastAsia="zh-CN" w:bidi="ar-SA"/>
        </w:rPr>
        <w:t>六、一般公共预算财政拨款基本支出决算表</w:t>
      </w:r>
      <w:r>
        <w:rPr>
          <w:rFonts w:ascii="Times New Roman" w:hAnsi="Times New Roman" w:eastAsia="仿宋" w:cs="Times New Roman"/>
          <w:sz w:val="32"/>
          <w:szCs w:val="20"/>
          <w:lang w:val="en-US" w:eastAsia="en-US" w:bidi="ar-SA"/>
        </w:rPr>
        <w:tab/>
      </w:r>
      <w:r>
        <w:rPr>
          <w:rFonts w:hint="eastAsia" w:ascii="Times New Roman" w:hAnsi="Times New Roman" w:eastAsia="仿宋" w:cs="Times New Roman"/>
          <w:sz w:val="32"/>
          <w:szCs w:val="20"/>
          <w:lang w:val="en-US" w:eastAsia="zh-CN" w:bidi="ar-SA"/>
        </w:rPr>
        <w:t>1</w:t>
      </w:r>
      <w:r>
        <w:rPr>
          <w:rFonts w:ascii="Times New Roman" w:hAnsi="Times New Roman" w:eastAsia="仿宋" w:cs="Times New Roman"/>
          <w:sz w:val="32"/>
          <w:szCs w:val="20"/>
          <w:lang w:val="en-US" w:eastAsia="en-US" w:bidi="ar-SA"/>
        </w:rPr>
        <w:fldChar w:fldCharType="end"/>
      </w:r>
      <w:r>
        <w:rPr>
          <w:rFonts w:hint="eastAsia" w:ascii="Times New Roman" w:hAnsi="Times New Roman" w:eastAsia="仿宋" w:cs="Times New Roman"/>
          <w:sz w:val="32"/>
          <w:szCs w:val="20"/>
          <w:lang w:val="en-US" w:eastAsia="zh-CN" w:bidi="ar-SA"/>
        </w:rPr>
        <w:t>5</w:t>
      </w:r>
    </w:p>
    <w:p>
      <w:pPr>
        <w:tabs>
          <w:tab w:val="right" w:leader="dot" w:pos="9730"/>
        </w:tabs>
        <w:adjustRightInd w:val="0"/>
        <w:snapToGrid w:val="0"/>
        <w:spacing w:line="360" w:lineRule="auto"/>
        <w:ind w:firstLine="1280" w:firstLineChars="400"/>
        <w:jc w:val="left"/>
        <w:rPr>
          <w:rFonts w:hint="eastAsia" w:ascii="Calibri" w:hAnsi="Calibri" w:eastAsia="仿宋" w:cs="Times New Roman"/>
          <w:sz w:val="22"/>
          <w:szCs w:val="20"/>
          <w:lang w:val="en-US" w:eastAsia="zh-CN" w:bidi="ar-SA"/>
        </w:rPr>
      </w:pPr>
      <w:r>
        <w:rPr>
          <w:rFonts w:ascii="Times New Roman" w:hAnsi="Times New Roman" w:eastAsia="仿宋" w:cs="Times New Roman"/>
          <w:sz w:val="32"/>
          <w:szCs w:val="20"/>
          <w:lang w:val="en-US" w:eastAsia="en-US" w:bidi="ar-SA"/>
        </w:rPr>
        <w:fldChar w:fldCharType="begin"/>
      </w:r>
      <w:r>
        <w:rPr>
          <w:rFonts w:ascii="Times New Roman" w:hAnsi="Times New Roman" w:eastAsia="仿宋" w:cs="Times New Roman"/>
          <w:sz w:val="32"/>
          <w:szCs w:val="20"/>
          <w:lang w:val="en-US" w:eastAsia="en-US" w:bidi="ar-SA"/>
        </w:rPr>
        <w:instrText xml:space="preserve"> HYPERLINK \l "_Toc256000106" </w:instrText>
      </w:r>
      <w:r>
        <w:rPr>
          <w:rFonts w:ascii="Times New Roman" w:hAnsi="Times New Roman" w:eastAsia="仿宋" w:cs="Times New Roman"/>
          <w:sz w:val="32"/>
          <w:szCs w:val="20"/>
          <w:lang w:val="en-US" w:eastAsia="en-US" w:bidi="ar-SA"/>
        </w:rPr>
        <w:fldChar w:fldCharType="separate"/>
      </w:r>
      <w:r>
        <w:rPr>
          <w:rFonts w:ascii="黑体" w:hAnsi="黑体" w:eastAsia="黑体" w:cs="黑体"/>
          <w:kern w:val="2"/>
          <w:sz w:val="32"/>
          <w:szCs w:val="32"/>
          <w:lang w:val="en-US" w:eastAsia="zh-CN" w:bidi="ar-SA"/>
        </w:rPr>
        <w:t>七、一般公共预算财政拨款“三公”经费支出决算表</w:t>
      </w:r>
      <w:r>
        <w:rPr>
          <w:rFonts w:ascii="Times New Roman" w:hAnsi="Times New Roman" w:eastAsia="仿宋" w:cs="Times New Roman"/>
          <w:sz w:val="32"/>
          <w:szCs w:val="20"/>
          <w:lang w:val="en-US" w:eastAsia="en-US" w:bidi="ar-SA"/>
        </w:rPr>
        <w:tab/>
      </w:r>
      <w:r>
        <w:rPr>
          <w:rFonts w:hint="eastAsia" w:ascii="Times New Roman" w:hAnsi="Times New Roman" w:eastAsia="仿宋" w:cs="Times New Roman"/>
          <w:sz w:val="32"/>
          <w:szCs w:val="20"/>
          <w:lang w:val="en-US" w:eastAsia="zh-CN" w:bidi="ar-SA"/>
        </w:rPr>
        <w:t>1</w:t>
      </w:r>
      <w:r>
        <w:rPr>
          <w:rFonts w:ascii="Times New Roman" w:hAnsi="Times New Roman" w:eastAsia="仿宋" w:cs="Times New Roman"/>
          <w:sz w:val="32"/>
          <w:szCs w:val="20"/>
          <w:lang w:val="en-US" w:eastAsia="en-US" w:bidi="ar-SA"/>
        </w:rPr>
        <w:fldChar w:fldCharType="end"/>
      </w:r>
      <w:r>
        <w:rPr>
          <w:rFonts w:hint="eastAsia" w:ascii="Times New Roman" w:hAnsi="Times New Roman" w:eastAsia="仿宋" w:cs="Times New Roman"/>
          <w:sz w:val="32"/>
          <w:szCs w:val="20"/>
          <w:lang w:val="en-US" w:eastAsia="zh-CN" w:bidi="ar-SA"/>
        </w:rPr>
        <w:t>7</w:t>
      </w:r>
    </w:p>
    <w:p>
      <w:pPr>
        <w:tabs>
          <w:tab w:val="right" w:leader="dot" w:pos="9730"/>
        </w:tabs>
        <w:adjustRightInd w:val="0"/>
        <w:snapToGrid w:val="0"/>
        <w:spacing w:line="360" w:lineRule="auto"/>
        <w:ind w:firstLine="1280" w:firstLineChars="400"/>
        <w:jc w:val="left"/>
        <w:rPr>
          <w:rFonts w:hint="eastAsia" w:ascii="Calibri" w:hAnsi="Calibri" w:eastAsia="仿宋" w:cs="Times New Roman"/>
          <w:sz w:val="22"/>
          <w:szCs w:val="20"/>
          <w:lang w:val="en-US" w:eastAsia="zh-CN" w:bidi="ar-SA"/>
        </w:rPr>
      </w:pPr>
      <w:r>
        <w:rPr>
          <w:rFonts w:ascii="Times New Roman" w:hAnsi="Times New Roman" w:eastAsia="仿宋" w:cs="Times New Roman"/>
          <w:sz w:val="32"/>
          <w:szCs w:val="20"/>
          <w:lang w:val="en-US" w:eastAsia="en-US" w:bidi="ar-SA"/>
        </w:rPr>
        <w:fldChar w:fldCharType="begin"/>
      </w:r>
      <w:r>
        <w:rPr>
          <w:rFonts w:ascii="Times New Roman" w:hAnsi="Times New Roman" w:eastAsia="仿宋" w:cs="Times New Roman"/>
          <w:sz w:val="32"/>
          <w:szCs w:val="20"/>
          <w:lang w:val="en-US" w:eastAsia="en-US" w:bidi="ar-SA"/>
        </w:rPr>
        <w:instrText xml:space="preserve"> HYPERLINK \l "_Toc256000107" </w:instrText>
      </w:r>
      <w:r>
        <w:rPr>
          <w:rFonts w:ascii="Times New Roman" w:hAnsi="Times New Roman" w:eastAsia="仿宋" w:cs="Times New Roman"/>
          <w:sz w:val="32"/>
          <w:szCs w:val="20"/>
          <w:lang w:val="en-US" w:eastAsia="en-US" w:bidi="ar-SA"/>
        </w:rPr>
        <w:fldChar w:fldCharType="separate"/>
      </w:r>
      <w:r>
        <w:rPr>
          <w:rFonts w:ascii="黑体" w:hAnsi="黑体" w:eastAsia="黑体" w:cs="黑体"/>
          <w:kern w:val="2"/>
          <w:sz w:val="32"/>
          <w:szCs w:val="32"/>
          <w:lang w:val="en-US" w:eastAsia="zh-CN" w:bidi="ar-SA"/>
        </w:rPr>
        <w:t>八、政府性基金预算财政拨款收入支出决算表</w:t>
      </w:r>
      <w:r>
        <w:rPr>
          <w:rFonts w:ascii="Times New Roman" w:hAnsi="Times New Roman" w:eastAsia="仿宋" w:cs="Times New Roman"/>
          <w:sz w:val="32"/>
          <w:szCs w:val="20"/>
          <w:lang w:val="en-US" w:eastAsia="en-US" w:bidi="ar-SA"/>
        </w:rPr>
        <w:tab/>
      </w:r>
      <w:r>
        <w:rPr>
          <w:rFonts w:hint="eastAsia" w:ascii="Times New Roman" w:hAnsi="Times New Roman" w:eastAsia="仿宋" w:cs="Times New Roman"/>
          <w:sz w:val="32"/>
          <w:szCs w:val="20"/>
          <w:lang w:val="en-US" w:eastAsia="zh-CN" w:bidi="ar-SA"/>
        </w:rPr>
        <w:t>1</w:t>
      </w:r>
      <w:r>
        <w:rPr>
          <w:rFonts w:ascii="Times New Roman" w:hAnsi="Times New Roman" w:eastAsia="仿宋" w:cs="Times New Roman"/>
          <w:sz w:val="32"/>
          <w:szCs w:val="20"/>
          <w:lang w:val="en-US" w:eastAsia="en-US" w:bidi="ar-SA"/>
        </w:rPr>
        <w:fldChar w:fldCharType="end"/>
      </w:r>
      <w:r>
        <w:rPr>
          <w:rFonts w:hint="eastAsia" w:ascii="Times New Roman" w:hAnsi="Times New Roman" w:eastAsia="仿宋" w:cs="Times New Roman"/>
          <w:sz w:val="32"/>
          <w:szCs w:val="20"/>
          <w:lang w:val="en-US" w:eastAsia="zh-CN" w:bidi="ar-SA"/>
        </w:rPr>
        <w:t>7</w:t>
      </w:r>
    </w:p>
    <w:p>
      <w:pPr>
        <w:tabs>
          <w:tab w:val="right" w:leader="dot" w:pos="9730"/>
        </w:tabs>
        <w:adjustRightInd w:val="0"/>
        <w:snapToGrid w:val="0"/>
        <w:spacing w:line="360" w:lineRule="auto"/>
        <w:ind w:firstLine="1280" w:firstLineChars="400"/>
        <w:jc w:val="left"/>
        <w:rPr>
          <w:rFonts w:hint="eastAsia" w:ascii="Calibri" w:hAnsi="Calibri" w:eastAsia="仿宋" w:cs="Times New Roman"/>
          <w:sz w:val="22"/>
          <w:szCs w:val="20"/>
          <w:lang w:val="en-US" w:eastAsia="zh-CN" w:bidi="ar-SA"/>
        </w:rPr>
      </w:pPr>
      <w:r>
        <w:rPr>
          <w:rFonts w:ascii="Times New Roman" w:hAnsi="Times New Roman" w:eastAsia="仿宋" w:cs="Times New Roman"/>
          <w:sz w:val="32"/>
          <w:szCs w:val="20"/>
          <w:lang w:val="en-US" w:eastAsia="en-US" w:bidi="ar-SA"/>
        </w:rPr>
        <w:fldChar w:fldCharType="begin"/>
      </w:r>
      <w:r>
        <w:rPr>
          <w:rFonts w:ascii="Times New Roman" w:hAnsi="Times New Roman" w:eastAsia="仿宋" w:cs="Times New Roman"/>
          <w:sz w:val="32"/>
          <w:szCs w:val="20"/>
          <w:lang w:val="en-US" w:eastAsia="en-US" w:bidi="ar-SA"/>
        </w:rPr>
        <w:instrText xml:space="preserve"> HYPERLINK \l "_Toc256000108" </w:instrText>
      </w:r>
      <w:r>
        <w:rPr>
          <w:rFonts w:ascii="Times New Roman" w:hAnsi="Times New Roman" w:eastAsia="仿宋" w:cs="Times New Roman"/>
          <w:sz w:val="32"/>
          <w:szCs w:val="20"/>
          <w:lang w:val="en-US" w:eastAsia="en-US" w:bidi="ar-SA"/>
        </w:rPr>
        <w:fldChar w:fldCharType="separate"/>
      </w:r>
      <w:r>
        <w:rPr>
          <w:rFonts w:ascii="黑体" w:hAnsi="黑体" w:eastAsia="黑体" w:cs="黑体"/>
          <w:kern w:val="2"/>
          <w:sz w:val="32"/>
          <w:szCs w:val="32"/>
          <w:lang w:val="en-US" w:eastAsia="zh-CN" w:bidi="ar-SA"/>
        </w:rPr>
        <w:t>九、国有资本经营预算财政拨款支出决算表</w:t>
      </w:r>
      <w:r>
        <w:rPr>
          <w:rFonts w:ascii="Times New Roman" w:hAnsi="Times New Roman" w:eastAsia="仿宋" w:cs="Times New Roman"/>
          <w:sz w:val="32"/>
          <w:szCs w:val="20"/>
          <w:lang w:val="en-US" w:eastAsia="en-US" w:bidi="ar-SA"/>
        </w:rPr>
        <w:tab/>
      </w:r>
      <w:r>
        <w:rPr>
          <w:rFonts w:hint="eastAsia" w:ascii="Times New Roman" w:hAnsi="Times New Roman" w:eastAsia="仿宋" w:cs="Times New Roman"/>
          <w:sz w:val="32"/>
          <w:szCs w:val="20"/>
          <w:lang w:val="en-US" w:eastAsia="zh-CN" w:bidi="ar-SA"/>
        </w:rPr>
        <w:t>1</w:t>
      </w:r>
      <w:r>
        <w:rPr>
          <w:rFonts w:ascii="Times New Roman" w:hAnsi="Times New Roman" w:eastAsia="仿宋" w:cs="Times New Roman"/>
          <w:sz w:val="32"/>
          <w:szCs w:val="20"/>
          <w:lang w:val="en-US" w:eastAsia="en-US" w:bidi="ar-SA"/>
        </w:rPr>
        <w:fldChar w:fldCharType="end"/>
      </w:r>
      <w:r>
        <w:rPr>
          <w:rFonts w:hint="eastAsia" w:ascii="Times New Roman" w:hAnsi="Times New Roman" w:eastAsia="仿宋" w:cs="Times New Roman"/>
          <w:sz w:val="32"/>
          <w:szCs w:val="20"/>
          <w:lang w:val="en-US" w:eastAsia="zh-CN" w:bidi="ar-SA"/>
        </w:rPr>
        <w:t>8</w:t>
      </w:r>
    </w:p>
    <w:p>
      <w:pPr>
        <w:tabs>
          <w:tab w:val="right" w:leader="dot" w:pos="9730"/>
        </w:tabs>
        <w:adjustRightInd w:val="0"/>
        <w:snapToGrid w:val="0"/>
        <w:spacing w:line="360" w:lineRule="auto"/>
        <w:ind w:firstLine="640" w:firstLineChars="200"/>
        <w:jc w:val="left"/>
        <w:rPr>
          <w:rFonts w:hint="eastAsia" w:ascii="Calibri" w:hAnsi="Calibri" w:eastAsia="仿宋" w:cs="Times New Roman"/>
          <w:iCs/>
          <w:sz w:val="22"/>
          <w:szCs w:val="20"/>
          <w:lang w:val="en-US" w:eastAsia="zh-CN" w:bidi="ar-SA"/>
        </w:rPr>
      </w:pPr>
      <w:r>
        <w:rPr>
          <w:rFonts w:ascii="Times New Roman" w:hAnsi="Times New Roman" w:eastAsia="仿宋" w:cs="Times New Roman"/>
          <w:iCs/>
          <w:sz w:val="32"/>
          <w:szCs w:val="20"/>
          <w:lang w:val="en-US" w:eastAsia="en-US" w:bidi="ar-SA"/>
        </w:rPr>
        <w:fldChar w:fldCharType="begin"/>
      </w:r>
      <w:r>
        <w:rPr>
          <w:rFonts w:ascii="Times New Roman" w:hAnsi="Times New Roman" w:eastAsia="仿宋" w:cs="Times New Roman"/>
          <w:iCs/>
          <w:sz w:val="32"/>
          <w:szCs w:val="20"/>
          <w:lang w:val="en-US" w:eastAsia="en-US" w:bidi="ar-SA"/>
        </w:rPr>
        <w:instrText xml:space="preserve"> HYPERLINK \l "_Toc256000109" </w:instrText>
      </w:r>
      <w:r>
        <w:rPr>
          <w:rFonts w:ascii="Times New Roman" w:hAnsi="Times New Roman" w:eastAsia="仿宋" w:cs="Times New Roman"/>
          <w:iCs/>
          <w:sz w:val="32"/>
          <w:szCs w:val="20"/>
          <w:lang w:val="en-US" w:eastAsia="en-US" w:bidi="ar-SA"/>
        </w:rPr>
        <w:fldChar w:fldCharType="separate"/>
      </w:r>
      <w:r>
        <w:rPr>
          <w:rFonts w:ascii="黑体" w:hAnsi="黑体" w:eastAsia="黑体" w:cs="黑体"/>
          <w:iCs/>
          <w:kern w:val="2"/>
          <w:sz w:val="32"/>
          <w:szCs w:val="32"/>
          <w:lang w:val="en-US" w:eastAsia="zh-CN" w:bidi="ar-SA"/>
        </w:rPr>
        <w:t>第三部分</w:t>
      </w:r>
      <w:r>
        <w:rPr>
          <w:rFonts w:ascii="Times New Roman" w:hAnsi="Times New Roman" w:eastAsia="仿宋" w:cs="Times New Roman"/>
          <w:iCs/>
          <w:sz w:val="32"/>
          <w:szCs w:val="20"/>
          <w:lang w:val="en-US" w:eastAsia="en-US" w:bidi="ar-SA"/>
        </w:rPr>
        <w:tab/>
      </w:r>
      <w:r>
        <w:rPr>
          <w:rFonts w:hint="eastAsia" w:ascii="Times New Roman" w:hAnsi="Times New Roman" w:eastAsia="仿宋" w:cs="Times New Roman"/>
          <w:iCs/>
          <w:sz w:val="32"/>
          <w:szCs w:val="20"/>
          <w:lang w:val="en-US" w:eastAsia="zh-CN" w:bidi="ar-SA"/>
        </w:rPr>
        <w:t>1</w:t>
      </w:r>
      <w:r>
        <w:rPr>
          <w:rFonts w:ascii="Times New Roman" w:hAnsi="Times New Roman" w:eastAsia="仿宋" w:cs="Times New Roman"/>
          <w:iCs/>
          <w:sz w:val="32"/>
          <w:szCs w:val="20"/>
          <w:lang w:val="en-US" w:eastAsia="en-US" w:bidi="ar-SA"/>
        </w:rPr>
        <w:fldChar w:fldCharType="end"/>
      </w:r>
      <w:r>
        <w:rPr>
          <w:rFonts w:hint="eastAsia" w:ascii="Times New Roman" w:hAnsi="Times New Roman" w:eastAsia="仿宋" w:cs="Times New Roman"/>
          <w:iCs/>
          <w:sz w:val="32"/>
          <w:szCs w:val="20"/>
          <w:lang w:val="en-US" w:eastAsia="zh-CN" w:bidi="ar-SA"/>
        </w:rPr>
        <w:t>9</w:t>
      </w:r>
    </w:p>
    <w:p>
      <w:pPr>
        <w:tabs>
          <w:tab w:val="right" w:leader="dot" w:pos="9730"/>
        </w:tabs>
        <w:adjustRightInd w:val="0"/>
        <w:snapToGrid w:val="0"/>
        <w:spacing w:line="360" w:lineRule="auto"/>
        <w:ind w:firstLine="640" w:firstLineChars="200"/>
        <w:jc w:val="left"/>
        <w:rPr>
          <w:rFonts w:hint="eastAsia" w:ascii="Calibri" w:hAnsi="Calibri" w:eastAsia="仿宋" w:cs="Times New Roman"/>
          <w:iCs/>
          <w:sz w:val="22"/>
          <w:szCs w:val="20"/>
          <w:lang w:val="en-US" w:eastAsia="zh-CN" w:bidi="ar-SA"/>
        </w:rPr>
      </w:pPr>
      <w:r>
        <w:rPr>
          <w:rFonts w:ascii="Times New Roman" w:hAnsi="Times New Roman" w:eastAsia="仿宋" w:cs="Times New Roman"/>
          <w:iCs/>
          <w:sz w:val="32"/>
          <w:szCs w:val="20"/>
          <w:lang w:val="en-US" w:eastAsia="en-US" w:bidi="ar-SA"/>
        </w:rPr>
        <w:fldChar w:fldCharType="begin"/>
      </w:r>
      <w:r>
        <w:rPr>
          <w:rFonts w:ascii="Times New Roman" w:hAnsi="Times New Roman" w:eastAsia="仿宋" w:cs="Times New Roman"/>
          <w:iCs/>
          <w:sz w:val="32"/>
          <w:szCs w:val="20"/>
          <w:lang w:val="en-US" w:eastAsia="en-US" w:bidi="ar-SA"/>
        </w:rPr>
        <w:instrText xml:space="preserve"> HYPERLINK \l "_Toc256000110" </w:instrText>
      </w:r>
      <w:r>
        <w:rPr>
          <w:rFonts w:ascii="Times New Roman" w:hAnsi="Times New Roman" w:eastAsia="仿宋" w:cs="Times New Roman"/>
          <w:iCs/>
          <w:sz w:val="32"/>
          <w:szCs w:val="20"/>
          <w:lang w:val="en-US" w:eastAsia="en-US" w:bidi="ar-SA"/>
        </w:rPr>
        <w:fldChar w:fldCharType="separate"/>
      </w:r>
      <w:r>
        <w:rPr>
          <w:rFonts w:ascii="黑体" w:hAnsi="黑体" w:eastAsia="黑体" w:cs="黑体"/>
          <w:iCs/>
          <w:kern w:val="2"/>
          <w:sz w:val="32"/>
          <w:szCs w:val="32"/>
          <w:lang w:val="en-US" w:eastAsia="zh-CN" w:bidi="ar-SA"/>
        </w:rPr>
        <w:t>2024年度决算情况说明</w:t>
      </w:r>
      <w:r>
        <w:rPr>
          <w:rFonts w:ascii="Times New Roman" w:hAnsi="Times New Roman" w:eastAsia="仿宋" w:cs="Times New Roman"/>
          <w:iCs/>
          <w:sz w:val="32"/>
          <w:szCs w:val="20"/>
          <w:lang w:val="en-US" w:eastAsia="en-US" w:bidi="ar-SA"/>
        </w:rPr>
        <w:tab/>
      </w:r>
      <w:r>
        <w:rPr>
          <w:rFonts w:hint="eastAsia" w:ascii="Times New Roman" w:hAnsi="Times New Roman" w:eastAsia="仿宋" w:cs="Times New Roman"/>
          <w:iCs/>
          <w:sz w:val="32"/>
          <w:szCs w:val="20"/>
          <w:lang w:val="en-US" w:eastAsia="zh-CN" w:bidi="ar-SA"/>
        </w:rPr>
        <w:t>1</w:t>
      </w:r>
      <w:r>
        <w:rPr>
          <w:rFonts w:ascii="Times New Roman" w:hAnsi="Times New Roman" w:eastAsia="仿宋" w:cs="Times New Roman"/>
          <w:iCs/>
          <w:sz w:val="32"/>
          <w:szCs w:val="20"/>
          <w:lang w:val="en-US" w:eastAsia="en-US" w:bidi="ar-SA"/>
        </w:rPr>
        <w:fldChar w:fldCharType="end"/>
      </w:r>
      <w:r>
        <w:rPr>
          <w:rFonts w:hint="eastAsia" w:ascii="Times New Roman" w:hAnsi="Times New Roman" w:eastAsia="仿宋" w:cs="Times New Roman"/>
          <w:iCs/>
          <w:sz w:val="32"/>
          <w:szCs w:val="20"/>
          <w:lang w:val="en-US" w:eastAsia="zh-CN" w:bidi="ar-SA"/>
        </w:rPr>
        <w:t>9</w:t>
      </w:r>
    </w:p>
    <w:p>
      <w:pPr>
        <w:tabs>
          <w:tab w:val="right" w:leader="dot" w:pos="9730"/>
        </w:tabs>
        <w:adjustRightInd w:val="0"/>
        <w:snapToGrid w:val="0"/>
        <w:spacing w:line="360" w:lineRule="auto"/>
        <w:ind w:firstLine="1280" w:firstLineChars="400"/>
        <w:jc w:val="left"/>
        <w:rPr>
          <w:rFonts w:hint="eastAsia" w:ascii="Calibri" w:hAnsi="Calibri" w:eastAsia="仿宋" w:cs="Times New Roman"/>
          <w:sz w:val="22"/>
          <w:szCs w:val="20"/>
          <w:lang w:val="en-US" w:eastAsia="zh-CN" w:bidi="ar-SA"/>
        </w:rPr>
      </w:pPr>
      <w:r>
        <w:rPr>
          <w:rFonts w:ascii="Times New Roman" w:hAnsi="Times New Roman" w:eastAsia="仿宋" w:cs="Times New Roman"/>
          <w:sz w:val="32"/>
          <w:szCs w:val="20"/>
          <w:lang w:val="en-US" w:eastAsia="en-US" w:bidi="ar-SA"/>
        </w:rPr>
        <w:fldChar w:fldCharType="begin"/>
      </w:r>
      <w:r>
        <w:rPr>
          <w:rFonts w:ascii="Times New Roman" w:hAnsi="Times New Roman" w:eastAsia="仿宋" w:cs="Times New Roman"/>
          <w:sz w:val="32"/>
          <w:szCs w:val="20"/>
          <w:lang w:val="en-US" w:eastAsia="en-US" w:bidi="ar-SA"/>
        </w:rPr>
        <w:instrText xml:space="preserve"> HYPERLINK \l "_Toc256000111" </w:instrText>
      </w:r>
      <w:r>
        <w:rPr>
          <w:rFonts w:ascii="Times New Roman" w:hAnsi="Times New Roman" w:eastAsia="仿宋" w:cs="Times New Roman"/>
          <w:sz w:val="32"/>
          <w:szCs w:val="20"/>
          <w:lang w:val="en-US" w:eastAsia="en-US" w:bidi="ar-SA"/>
        </w:rPr>
        <w:fldChar w:fldCharType="separate"/>
      </w:r>
      <w:r>
        <w:rPr>
          <w:rFonts w:ascii="黑体" w:hAnsi="黑体" w:eastAsia="黑体" w:cs="黑体"/>
          <w:kern w:val="2"/>
          <w:sz w:val="32"/>
          <w:szCs w:val="32"/>
          <w:lang w:val="en-US" w:eastAsia="zh-CN" w:bidi="ar-SA"/>
        </w:rPr>
        <w:t>一、收入支出决算总体情况说明</w:t>
      </w:r>
      <w:r>
        <w:rPr>
          <w:rFonts w:ascii="Times New Roman" w:hAnsi="Times New Roman" w:eastAsia="仿宋" w:cs="Times New Roman"/>
          <w:sz w:val="32"/>
          <w:szCs w:val="20"/>
          <w:lang w:val="en-US" w:eastAsia="en-US" w:bidi="ar-SA"/>
        </w:rPr>
        <w:tab/>
      </w:r>
      <w:r>
        <w:rPr>
          <w:rFonts w:hint="eastAsia" w:ascii="Times New Roman" w:hAnsi="Times New Roman" w:eastAsia="仿宋" w:cs="Times New Roman"/>
          <w:sz w:val="32"/>
          <w:szCs w:val="20"/>
          <w:lang w:val="en-US" w:eastAsia="zh-CN" w:bidi="ar-SA"/>
        </w:rPr>
        <w:t>1</w:t>
      </w:r>
      <w:r>
        <w:rPr>
          <w:rFonts w:ascii="Times New Roman" w:hAnsi="Times New Roman" w:eastAsia="仿宋" w:cs="Times New Roman"/>
          <w:sz w:val="32"/>
          <w:szCs w:val="20"/>
          <w:lang w:val="en-US" w:eastAsia="en-US" w:bidi="ar-SA"/>
        </w:rPr>
        <w:fldChar w:fldCharType="end"/>
      </w:r>
      <w:r>
        <w:rPr>
          <w:rFonts w:hint="eastAsia" w:ascii="Times New Roman" w:hAnsi="Times New Roman" w:eastAsia="仿宋" w:cs="Times New Roman"/>
          <w:sz w:val="32"/>
          <w:szCs w:val="20"/>
          <w:lang w:val="en-US" w:eastAsia="zh-CN" w:bidi="ar-SA"/>
        </w:rPr>
        <w:t>9</w:t>
      </w:r>
    </w:p>
    <w:p>
      <w:pPr>
        <w:tabs>
          <w:tab w:val="right" w:leader="dot" w:pos="9730"/>
        </w:tabs>
        <w:adjustRightInd w:val="0"/>
        <w:snapToGrid w:val="0"/>
        <w:spacing w:line="360" w:lineRule="auto"/>
        <w:ind w:firstLine="1280" w:firstLineChars="400"/>
        <w:jc w:val="left"/>
        <w:rPr>
          <w:rFonts w:hint="eastAsia" w:ascii="Calibri" w:hAnsi="Calibri" w:eastAsia="仿宋" w:cs="Times New Roman"/>
          <w:sz w:val="22"/>
          <w:szCs w:val="20"/>
          <w:lang w:val="en-US" w:eastAsia="zh-CN" w:bidi="ar-SA"/>
        </w:rPr>
      </w:pPr>
      <w:r>
        <w:rPr>
          <w:rFonts w:ascii="Times New Roman" w:hAnsi="Times New Roman" w:eastAsia="仿宋" w:cs="Times New Roman"/>
          <w:sz w:val="32"/>
          <w:szCs w:val="20"/>
          <w:lang w:val="en-US" w:eastAsia="en-US" w:bidi="ar-SA"/>
        </w:rPr>
        <w:fldChar w:fldCharType="begin"/>
      </w:r>
      <w:r>
        <w:rPr>
          <w:rFonts w:ascii="Times New Roman" w:hAnsi="Times New Roman" w:eastAsia="仿宋" w:cs="Times New Roman"/>
          <w:sz w:val="32"/>
          <w:szCs w:val="20"/>
          <w:lang w:val="en-US" w:eastAsia="en-US" w:bidi="ar-SA"/>
        </w:rPr>
        <w:instrText xml:space="preserve"> HYPERLINK \l "_Toc256000112" </w:instrText>
      </w:r>
      <w:r>
        <w:rPr>
          <w:rFonts w:ascii="Times New Roman" w:hAnsi="Times New Roman" w:eastAsia="仿宋" w:cs="Times New Roman"/>
          <w:sz w:val="32"/>
          <w:szCs w:val="20"/>
          <w:lang w:val="en-US" w:eastAsia="en-US" w:bidi="ar-SA"/>
        </w:rPr>
        <w:fldChar w:fldCharType="separate"/>
      </w:r>
      <w:r>
        <w:rPr>
          <w:rFonts w:ascii="黑体" w:hAnsi="黑体" w:eastAsia="黑体" w:cs="黑体"/>
          <w:kern w:val="2"/>
          <w:sz w:val="32"/>
          <w:szCs w:val="32"/>
          <w:lang w:val="en-US" w:eastAsia="zh-CN" w:bidi="ar-SA"/>
        </w:rPr>
        <w:t>二、财政拨款收入支出决算总体情况说明</w:t>
      </w:r>
      <w:r>
        <w:rPr>
          <w:rFonts w:ascii="Times New Roman" w:hAnsi="Times New Roman" w:eastAsia="仿宋" w:cs="Times New Roman"/>
          <w:sz w:val="32"/>
          <w:szCs w:val="20"/>
          <w:lang w:val="en-US" w:eastAsia="en-US" w:bidi="ar-SA"/>
        </w:rPr>
        <w:tab/>
      </w:r>
      <w:r>
        <w:rPr>
          <w:rFonts w:hint="eastAsia" w:ascii="Times New Roman" w:hAnsi="Times New Roman" w:eastAsia="仿宋" w:cs="Times New Roman"/>
          <w:sz w:val="32"/>
          <w:szCs w:val="20"/>
          <w:lang w:val="en-US" w:eastAsia="zh-CN" w:bidi="ar-SA"/>
        </w:rPr>
        <w:t>2</w:t>
      </w:r>
      <w:r>
        <w:rPr>
          <w:rFonts w:ascii="Times New Roman" w:hAnsi="Times New Roman" w:eastAsia="仿宋" w:cs="Times New Roman"/>
          <w:sz w:val="32"/>
          <w:szCs w:val="20"/>
          <w:lang w:val="en-US" w:eastAsia="en-US" w:bidi="ar-SA"/>
        </w:rPr>
        <w:fldChar w:fldCharType="end"/>
      </w:r>
      <w:r>
        <w:rPr>
          <w:rFonts w:hint="eastAsia" w:ascii="Times New Roman" w:hAnsi="Times New Roman" w:eastAsia="仿宋" w:cs="Times New Roman"/>
          <w:sz w:val="32"/>
          <w:szCs w:val="20"/>
          <w:lang w:val="en-US" w:eastAsia="zh-CN" w:bidi="ar-SA"/>
        </w:rPr>
        <w:t>0</w:t>
      </w:r>
    </w:p>
    <w:p>
      <w:pPr>
        <w:tabs>
          <w:tab w:val="right" w:leader="dot" w:pos="9730"/>
        </w:tabs>
        <w:adjustRightInd w:val="0"/>
        <w:snapToGrid w:val="0"/>
        <w:spacing w:line="360" w:lineRule="auto"/>
        <w:ind w:firstLine="1280" w:firstLineChars="400"/>
        <w:jc w:val="left"/>
        <w:rPr>
          <w:rFonts w:hint="eastAsia" w:ascii="Calibri" w:hAnsi="Calibri" w:eastAsia="仿宋" w:cs="Times New Roman"/>
          <w:sz w:val="22"/>
          <w:szCs w:val="20"/>
          <w:lang w:val="en-US" w:eastAsia="zh-CN" w:bidi="ar-SA"/>
        </w:rPr>
      </w:pPr>
      <w:r>
        <w:rPr>
          <w:rFonts w:ascii="Times New Roman" w:hAnsi="Times New Roman" w:eastAsia="仿宋" w:cs="Times New Roman"/>
          <w:sz w:val="32"/>
          <w:szCs w:val="20"/>
          <w:lang w:val="en-US" w:eastAsia="en-US" w:bidi="ar-SA"/>
        </w:rPr>
        <w:fldChar w:fldCharType="begin"/>
      </w:r>
      <w:r>
        <w:rPr>
          <w:rFonts w:ascii="Times New Roman" w:hAnsi="Times New Roman" w:eastAsia="仿宋" w:cs="Times New Roman"/>
          <w:sz w:val="32"/>
          <w:szCs w:val="20"/>
          <w:lang w:val="en-US" w:eastAsia="en-US" w:bidi="ar-SA"/>
        </w:rPr>
        <w:instrText xml:space="preserve"> HYPERLINK \l "_Toc256000113" </w:instrText>
      </w:r>
      <w:r>
        <w:rPr>
          <w:rFonts w:ascii="Times New Roman" w:hAnsi="Times New Roman" w:eastAsia="仿宋" w:cs="Times New Roman"/>
          <w:sz w:val="32"/>
          <w:szCs w:val="20"/>
          <w:lang w:val="en-US" w:eastAsia="en-US" w:bidi="ar-SA"/>
        </w:rPr>
        <w:fldChar w:fldCharType="separate"/>
      </w:r>
      <w:r>
        <w:rPr>
          <w:rFonts w:ascii="黑体" w:hAnsi="黑体" w:eastAsia="黑体" w:cs="黑体"/>
          <w:kern w:val="2"/>
          <w:sz w:val="32"/>
          <w:szCs w:val="32"/>
          <w:lang w:val="en-US" w:eastAsia="zh-CN" w:bidi="ar-SA"/>
        </w:rPr>
        <w:t>三、一般公共预算拨款支出决算情况说明</w:t>
      </w:r>
      <w:r>
        <w:rPr>
          <w:rFonts w:ascii="Times New Roman" w:hAnsi="Times New Roman" w:eastAsia="仿宋" w:cs="Times New Roman"/>
          <w:sz w:val="32"/>
          <w:szCs w:val="20"/>
          <w:lang w:val="en-US" w:eastAsia="en-US" w:bidi="ar-SA"/>
        </w:rPr>
        <w:tab/>
      </w:r>
      <w:r>
        <w:rPr>
          <w:rFonts w:hint="eastAsia" w:ascii="Times New Roman" w:hAnsi="Times New Roman" w:eastAsia="仿宋" w:cs="Times New Roman"/>
          <w:sz w:val="32"/>
          <w:szCs w:val="20"/>
          <w:lang w:val="en-US" w:eastAsia="zh-CN" w:bidi="ar-SA"/>
        </w:rPr>
        <w:t>2</w:t>
      </w:r>
      <w:r>
        <w:rPr>
          <w:rFonts w:ascii="Times New Roman" w:hAnsi="Times New Roman" w:eastAsia="仿宋" w:cs="Times New Roman"/>
          <w:sz w:val="32"/>
          <w:szCs w:val="20"/>
          <w:lang w:val="en-US" w:eastAsia="en-US" w:bidi="ar-SA"/>
        </w:rPr>
        <w:fldChar w:fldCharType="end"/>
      </w:r>
      <w:r>
        <w:rPr>
          <w:rFonts w:hint="eastAsia" w:ascii="Times New Roman" w:hAnsi="Times New Roman" w:eastAsia="仿宋" w:cs="Times New Roman"/>
          <w:sz w:val="32"/>
          <w:szCs w:val="20"/>
          <w:lang w:val="en-US" w:eastAsia="zh-CN" w:bidi="ar-SA"/>
        </w:rPr>
        <w:t>0</w:t>
      </w:r>
    </w:p>
    <w:p>
      <w:pPr>
        <w:tabs>
          <w:tab w:val="right" w:leader="dot" w:pos="9730"/>
        </w:tabs>
        <w:adjustRightInd w:val="0"/>
        <w:snapToGrid w:val="0"/>
        <w:spacing w:line="360" w:lineRule="auto"/>
        <w:ind w:firstLine="1280" w:firstLineChars="400"/>
        <w:jc w:val="left"/>
        <w:rPr>
          <w:rFonts w:hint="eastAsia" w:ascii="Calibri" w:hAnsi="Calibri" w:eastAsia="仿宋" w:cs="Times New Roman"/>
          <w:sz w:val="22"/>
          <w:szCs w:val="20"/>
          <w:lang w:val="en-US" w:eastAsia="zh-CN" w:bidi="ar-SA"/>
        </w:rPr>
      </w:pPr>
      <w:r>
        <w:rPr>
          <w:rFonts w:ascii="Times New Roman" w:hAnsi="Times New Roman" w:eastAsia="仿宋" w:cs="Times New Roman"/>
          <w:sz w:val="32"/>
          <w:szCs w:val="20"/>
          <w:lang w:val="en-US" w:eastAsia="en-US" w:bidi="ar-SA"/>
        </w:rPr>
        <w:fldChar w:fldCharType="begin"/>
      </w:r>
      <w:r>
        <w:rPr>
          <w:rFonts w:ascii="Times New Roman" w:hAnsi="Times New Roman" w:eastAsia="仿宋" w:cs="Times New Roman"/>
          <w:sz w:val="32"/>
          <w:szCs w:val="20"/>
          <w:lang w:val="en-US" w:eastAsia="en-US" w:bidi="ar-SA"/>
        </w:rPr>
        <w:instrText xml:space="preserve"> HYPERLINK \l "_Toc256000114" </w:instrText>
      </w:r>
      <w:r>
        <w:rPr>
          <w:rFonts w:ascii="Times New Roman" w:hAnsi="Times New Roman" w:eastAsia="仿宋" w:cs="Times New Roman"/>
          <w:sz w:val="32"/>
          <w:szCs w:val="20"/>
          <w:lang w:val="en-US" w:eastAsia="en-US" w:bidi="ar-SA"/>
        </w:rPr>
        <w:fldChar w:fldCharType="separate"/>
      </w:r>
      <w:r>
        <w:rPr>
          <w:rFonts w:ascii="黑体" w:hAnsi="黑体" w:eastAsia="黑体" w:cs="黑体"/>
          <w:kern w:val="2"/>
          <w:sz w:val="32"/>
          <w:szCs w:val="32"/>
          <w:lang w:val="en-US" w:eastAsia="zh-CN" w:bidi="ar-SA"/>
        </w:rPr>
        <w:t>四、政府性基金预算财政拨款支出决算情况说明</w:t>
      </w:r>
      <w:r>
        <w:rPr>
          <w:rFonts w:ascii="Times New Roman" w:hAnsi="Times New Roman" w:eastAsia="仿宋" w:cs="Times New Roman"/>
          <w:sz w:val="32"/>
          <w:szCs w:val="20"/>
          <w:lang w:val="en-US" w:eastAsia="en-US" w:bidi="ar-SA"/>
        </w:rPr>
        <w:tab/>
      </w:r>
      <w:r>
        <w:rPr>
          <w:rFonts w:hint="eastAsia" w:ascii="Times New Roman" w:hAnsi="Times New Roman" w:eastAsia="仿宋" w:cs="Times New Roman"/>
          <w:sz w:val="32"/>
          <w:szCs w:val="20"/>
          <w:lang w:val="en-US" w:eastAsia="zh-CN" w:bidi="ar-SA"/>
        </w:rPr>
        <w:t>2</w:t>
      </w:r>
      <w:r>
        <w:rPr>
          <w:rFonts w:ascii="Times New Roman" w:hAnsi="Times New Roman" w:eastAsia="仿宋" w:cs="Times New Roman"/>
          <w:sz w:val="32"/>
          <w:szCs w:val="20"/>
          <w:lang w:val="en-US" w:eastAsia="en-US" w:bidi="ar-SA"/>
        </w:rPr>
        <w:fldChar w:fldCharType="end"/>
      </w:r>
      <w:r>
        <w:rPr>
          <w:rFonts w:hint="eastAsia" w:ascii="Times New Roman" w:hAnsi="Times New Roman" w:eastAsia="仿宋" w:cs="Times New Roman"/>
          <w:sz w:val="32"/>
          <w:szCs w:val="20"/>
          <w:lang w:val="en-US" w:eastAsia="zh-CN" w:bidi="ar-SA"/>
        </w:rPr>
        <w:t>1</w:t>
      </w:r>
    </w:p>
    <w:p>
      <w:pPr>
        <w:tabs>
          <w:tab w:val="right" w:leader="dot" w:pos="9730"/>
        </w:tabs>
        <w:adjustRightInd w:val="0"/>
        <w:snapToGrid w:val="0"/>
        <w:spacing w:line="360" w:lineRule="auto"/>
        <w:ind w:firstLine="1280" w:firstLineChars="400"/>
        <w:jc w:val="left"/>
        <w:rPr>
          <w:rFonts w:hint="eastAsia" w:ascii="Calibri" w:hAnsi="Calibri" w:eastAsia="仿宋" w:cs="Times New Roman"/>
          <w:sz w:val="22"/>
          <w:szCs w:val="20"/>
          <w:lang w:val="en-US" w:eastAsia="zh-CN" w:bidi="ar-SA"/>
        </w:rPr>
      </w:pPr>
      <w:r>
        <w:rPr>
          <w:rFonts w:ascii="Times New Roman" w:hAnsi="Times New Roman" w:eastAsia="仿宋" w:cs="Times New Roman"/>
          <w:sz w:val="32"/>
          <w:szCs w:val="20"/>
          <w:lang w:val="en-US" w:eastAsia="en-US" w:bidi="ar-SA"/>
        </w:rPr>
        <w:fldChar w:fldCharType="begin"/>
      </w:r>
      <w:r>
        <w:rPr>
          <w:rFonts w:ascii="Times New Roman" w:hAnsi="Times New Roman" w:eastAsia="仿宋" w:cs="Times New Roman"/>
          <w:sz w:val="32"/>
          <w:szCs w:val="20"/>
          <w:lang w:val="en-US" w:eastAsia="en-US" w:bidi="ar-SA"/>
        </w:rPr>
        <w:instrText xml:space="preserve"> HYPERLINK \l "_Toc256000115" </w:instrText>
      </w:r>
      <w:r>
        <w:rPr>
          <w:rFonts w:ascii="Times New Roman" w:hAnsi="Times New Roman" w:eastAsia="仿宋" w:cs="Times New Roman"/>
          <w:sz w:val="32"/>
          <w:szCs w:val="20"/>
          <w:lang w:val="en-US" w:eastAsia="en-US" w:bidi="ar-SA"/>
        </w:rPr>
        <w:fldChar w:fldCharType="separate"/>
      </w:r>
      <w:r>
        <w:rPr>
          <w:rFonts w:ascii="黑体" w:hAnsi="黑体" w:eastAsia="黑体" w:cs="黑体"/>
          <w:kern w:val="2"/>
          <w:sz w:val="32"/>
          <w:szCs w:val="32"/>
          <w:lang w:val="en-US" w:eastAsia="zh-CN" w:bidi="ar-SA"/>
        </w:rPr>
        <w:t>五、国有资本经营预算财政拨款支出决算情况说明</w:t>
      </w:r>
      <w:r>
        <w:rPr>
          <w:rFonts w:ascii="Times New Roman" w:hAnsi="Times New Roman" w:eastAsia="仿宋" w:cs="Times New Roman"/>
          <w:sz w:val="32"/>
          <w:szCs w:val="20"/>
          <w:lang w:val="en-US" w:eastAsia="en-US" w:bidi="ar-SA"/>
        </w:rPr>
        <w:tab/>
      </w:r>
      <w:r>
        <w:rPr>
          <w:rFonts w:hint="eastAsia" w:ascii="Times New Roman" w:hAnsi="Times New Roman" w:eastAsia="仿宋" w:cs="Times New Roman"/>
          <w:sz w:val="32"/>
          <w:szCs w:val="20"/>
          <w:lang w:val="en-US" w:eastAsia="zh-CN" w:bidi="ar-SA"/>
        </w:rPr>
        <w:t>2</w:t>
      </w:r>
      <w:r>
        <w:rPr>
          <w:rFonts w:ascii="Times New Roman" w:hAnsi="Times New Roman" w:eastAsia="仿宋" w:cs="Times New Roman"/>
          <w:sz w:val="32"/>
          <w:szCs w:val="20"/>
          <w:lang w:val="en-US" w:eastAsia="en-US" w:bidi="ar-SA"/>
        </w:rPr>
        <w:fldChar w:fldCharType="end"/>
      </w:r>
      <w:r>
        <w:rPr>
          <w:rFonts w:hint="eastAsia" w:ascii="Times New Roman" w:hAnsi="Times New Roman" w:eastAsia="仿宋" w:cs="Times New Roman"/>
          <w:sz w:val="32"/>
          <w:szCs w:val="20"/>
          <w:lang w:val="en-US" w:eastAsia="zh-CN" w:bidi="ar-SA"/>
        </w:rPr>
        <w:t>2</w:t>
      </w:r>
    </w:p>
    <w:p>
      <w:pPr>
        <w:tabs>
          <w:tab w:val="right" w:leader="dot" w:pos="9730"/>
        </w:tabs>
        <w:adjustRightInd w:val="0"/>
        <w:snapToGrid w:val="0"/>
        <w:spacing w:line="360" w:lineRule="auto"/>
        <w:ind w:firstLine="1280" w:firstLineChars="400"/>
        <w:jc w:val="left"/>
        <w:rPr>
          <w:rFonts w:hint="eastAsia" w:ascii="Calibri" w:hAnsi="Calibri" w:eastAsia="仿宋" w:cs="Times New Roman"/>
          <w:sz w:val="22"/>
          <w:szCs w:val="20"/>
          <w:lang w:val="en-US" w:eastAsia="zh-CN" w:bidi="ar-SA"/>
        </w:rPr>
      </w:pPr>
      <w:r>
        <w:rPr>
          <w:rFonts w:ascii="Times New Roman" w:hAnsi="Times New Roman" w:eastAsia="仿宋" w:cs="Times New Roman"/>
          <w:sz w:val="32"/>
          <w:szCs w:val="20"/>
          <w:lang w:val="en-US" w:eastAsia="en-US" w:bidi="ar-SA"/>
        </w:rPr>
        <w:fldChar w:fldCharType="begin"/>
      </w:r>
      <w:r>
        <w:rPr>
          <w:rFonts w:ascii="Times New Roman" w:hAnsi="Times New Roman" w:eastAsia="仿宋" w:cs="Times New Roman"/>
          <w:sz w:val="32"/>
          <w:szCs w:val="20"/>
          <w:lang w:val="en-US" w:eastAsia="en-US" w:bidi="ar-SA"/>
        </w:rPr>
        <w:instrText xml:space="preserve"> HYPERLINK \l "_Toc256000116" </w:instrText>
      </w:r>
      <w:r>
        <w:rPr>
          <w:rFonts w:ascii="Times New Roman" w:hAnsi="Times New Roman" w:eastAsia="仿宋" w:cs="Times New Roman"/>
          <w:sz w:val="32"/>
          <w:szCs w:val="20"/>
          <w:lang w:val="en-US" w:eastAsia="en-US" w:bidi="ar-SA"/>
        </w:rPr>
        <w:fldChar w:fldCharType="separate"/>
      </w:r>
      <w:r>
        <w:rPr>
          <w:rFonts w:ascii="黑体" w:hAnsi="黑体" w:eastAsia="黑体" w:cs="黑体"/>
          <w:kern w:val="2"/>
          <w:sz w:val="32"/>
          <w:szCs w:val="32"/>
          <w:lang w:val="en-US" w:eastAsia="zh-CN" w:bidi="ar-SA"/>
        </w:rPr>
        <w:t>六、一般公共预算财政拨款基本支出决算情况说明</w:t>
      </w:r>
      <w:r>
        <w:rPr>
          <w:rFonts w:ascii="Times New Roman" w:hAnsi="Times New Roman" w:eastAsia="仿宋" w:cs="Times New Roman"/>
          <w:sz w:val="32"/>
          <w:szCs w:val="20"/>
          <w:lang w:val="en-US" w:eastAsia="en-US" w:bidi="ar-SA"/>
        </w:rPr>
        <w:tab/>
      </w:r>
      <w:r>
        <w:rPr>
          <w:rFonts w:hint="eastAsia" w:ascii="Times New Roman" w:hAnsi="Times New Roman" w:eastAsia="仿宋" w:cs="Times New Roman"/>
          <w:sz w:val="32"/>
          <w:szCs w:val="20"/>
          <w:lang w:val="en-US" w:eastAsia="zh-CN" w:bidi="ar-SA"/>
        </w:rPr>
        <w:t>2</w:t>
      </w:r>
      <w:r>
        <w:rPr>
          <w:rFonts w:ascii="Times New Roman" w:hAnsi="Times New Roman" w:eastAsia="仿宋" w:cs="Times New Roman"/>
          <w:sz w:val="32"/>
          <w:szCs w:val="20"/>
          <w:lang w:val="en-US" w:eastAsia="en-US" w:bidi="ar-SA"/>
        </w:rPr>
        <w:fldChar w:fldCharType="end"/>
      </w:r>
      <w:r>
        <w:rPr>
          <w:rFonts w:hint="eastAsia" w:ascii="Times New Roman" w:hAnsi="Times New Roman" w:eastAsia="仿宋" w:cs="Times New Roman"/>
          <w:sz w:val="32"/>
          <w:szCs w:val="20"/>
          <w:lang w:val="en-US" w:eastAsia="zh-CN" w:bidi="ar-SA"/>
        </w:rPr>
        <w:t>2</w:t>
      </w:r>
    </w:p>
    <w:p>
      <w:pPr>
        <w:tabs>
          <w:tab w:val="right" w:leader="dot" w:pos="9730"/>
        </w:tabs>
        <w:adjustRightInd w:val="0"/>
        <w:snapToGrid w:val="0"/>
        <w:spacing w:line="360" w:lineRule="auto"/>
        <w:ind w:firstLine="1280" w:firstLineChars="400"/>
        <w:jc w:val="left"/>
        <w:rPr>
          <w:rFonts w:hint="eastAsia" w:ascii="Calibri" w:hAnsi="Calibri" w:eastAsia="仿宋" w:cs="Times New Roman"/>
          <w:sz w:val="22"/>
          <w:szCs w:val="20"/>
          <w:lang w:val="en-US" w:eastAsia="zh-CN" w:bidi="ar-SA"/>
        </w:rPr>
      </w:pPr>
      <w:r>
        <w:rPr>
          <w:rFonts w:ascii="Times New Roman" w:hAnsi="Times New Roman" w:eastAsia="仿宋" w:cs="Times New Roman"/>
          <w:sz w:val="32"/>
          <w:szCs w:val="20"/>
          <w:lang w:val="en-US" w:eastAsia="en-US" w:bidi="ar-SA"/>
        </w:rPr>
        <w:fldChar w:fldCharType="begin"/>
      </w:r>
      <w:r>
        <w:rPr>
          <w:rFonts w:ascii="Times New Roman" w:hAnsi="Times New Roman" w:eastAsia="仿宋" w:cs="Times New Roman"/>
          <w:sz w:val="32"/>
          <w:szCs w:val="20"/>
          <w:lang w:val="en-US" w:eastAsia="en-US" w:bidi="ar-SA"/>
        </w:rPr>
        <w:instrText xml:space="preserve"> HYPERLINK \l "_Toc256000117" </w:instrText>
      </w:r>
      <w:r>
        <w:rPr>
          <w:rFonts w:ascii="Times New Roman" w:hAnsi="Times New Roman" w:eastAsia="仿宋" w:cs="Times New Roman"/>
          <w:sz w:val="32"/>
          <w:szCs w:val="20"/>
          <w:lang w:val="en-US" w:eastAsia="en-US" w:bidi="ar-SA"/>
        </w:rPr>
        <w:fldChar w:fldCharType="separate"/>
      </w:r>
      <w:r>
        <w:rPr>
          <w:rFonts w:ascii="黑体" w:hAnsi="黑体" w:eastAsia="黑体" w:cs="黑体"/>
          <w:kern w:val="2"/>
          <w:sz w:val="32"/>
          <w:szCs w:val="32"/>
          <w:lang w:val="en-US" w:eastAsia="zh-CN" w:bidi="ar-SA"/>
        </w:rPr>
        <w:t>七、一般公共预算拨款“三公”经费支出决算情况说明</w:t>
      </w:r>
      <w:r>
        <w:rPr>
          <w:rFonts w:ascii="Times New Roman" w:hAnsi="Times New Roman" w:eastAsia="仿宋" w:cs="Times New Roman"/>
          <w:sz w:val="32"/>
          <w:szCs w:val="20"/>
          <w:lang w:val="en-US" w:eastAsia="en-US" w:bidi="ar-SA"/>
        </w:rPr>
        <w:tab/>
      </w:r>
      <w:r>
        <w:rPr>
          <w:rFonts w:hint="eastAsia" w:ascii="Times New Roman" w:hAnsi="Times New Roman" w:eastAsia="仿宋" w:cs="Times New Roman"/>
          <w:sz w:val="32"/>
          <w:szCs w:val="20"/>
          <w:lang w:val="en-US" w:eastAsia="zh-CN" w:bidi="ar-SA"/>
        </w:rPr>
        <w:t>2</w:t>
      </w:r>
      <w:r>
        <w:rPr>
          <w:rFonts w:ascii="Times New Roman" w:hAnsi="Times New Roman" w:eastAsia="仿宋" w:cs="Times New Roman"/>
          <w:sz w:val="32"/>
          <w:szCs w:val="20"/>
          <w:lang w:val="en-US" w:eastAsia="en-US" w:bidi="ar-SA"/>
        </w:rPr>
        <w:fldChar w:fldCharType="end"/>
      </w:r>
      <w:r>
        <w:rPr>
          <w:rFonts w:hint="eastAsia" w:ascii="Times New Roman" w:hAnsi="Times New Roman" w:eastAsia="仿宋" w:cs="Times New Roman"/>
          <w:sz w:val="32"/>
          <w:szCs w:val="20"/>
          <w:lang w:val="en-US" w:eastAsia="zh-CN" w:bidi="ar-SA"/>
        </w:rPr>
        <w:t>3</w:t>
      </w:r>
    </w:p>
    <w:p>
      <w:pPr>
        <w:tabs>
          <w:tab w:val="right" w:leader="dot" w:pos="9730"/>
        </w:tabs>
        <w:adjustRightInd w:val="0"/>
        <w:snapToGrid w:val="0"/>
        <w:spacing w:line="360" w:lineRule="auto"/>
        <w:ind w:firstLine="1280" w:firstLineChars="400"/>
        <w:jc w:val="left"/>
        <w:rPr>
          <w:rFonts w:hint="eastAsia" w:ascii="Calibri" w:hAnsi="Calibri" w:eastAsia="仿宋" w:cs="Times New Roman"/>
          <w:sz w:val="22"/>
          <w:szCs w:val="20"/>
          <w:lang w:val="en-US" w:eastAsia="zh-CN" w:bidi="ar-SA"/>
        </w:rPr>
      </w:pPr>
      <w:r>
        <w:rPr>
          <w:rFonts w:ascii="Times New Roman" w:hAnsi="Times New Roman" w:eastAsia="仿宋" w:cs="Times New Roman"/>
          <w:sz w:val="32"/>
          <w:szCs w:val="20"/>
          <w:lang w:val="en-US" w:eastAsia="en-US" w:bidi="ar-SA"/>
        </w:rPr>
        <w:fldChar w:fldCharType="begin"/>
      </w:r>
      <w:r>
        <w:rPr>
          <w:rFonts w:ascii="Times New Roman" w:hAnsi="Times New Roman" w:eastAsia="仿宋" w:cs="Times New Roman"/>
          <w:sz w:val="32"/>
          <w:szCs w:val="20"/>
          <w:lang w:val="en-US" w:eastAsia="en-US" w:bidi="ar-SA"/>
        </w:rPr>
        <w:instrText xml:space="preserve"> HYPERLINK \l "_Toc256000118" </w:instrText>
      </w:r>
      <w:r>
        <w:rPr>
          <w:rFonts w:ascii="Times New Roman" w:hAnsi="Times New Roman" w:eastAsia="仿宋" w:cs="Times New Roman"/>
          <w:sz w:val="32"/>
          <w:szCs w:val="20"/>
          <w:lang w:val="en-US" w:eastAsia="en-US" w:bidi="ar-SA"/>
        </w:rPr>
        <w:fldChar w:fldCharType="separate"/>
      </w:r>
      <w:r>
        <w:rPr>
          <w:rFonts w:ascii="黑体" w:hAnsi="黑体" w:eastAsia="黑体" w:cs="黑体"/>
          <w:kern w:val="2"/>
          <w:sz w:val="32"/>
          <w:szCs w:val="32"/>
          <w:lang w:val="en-US" w:eastAsia="zh-CN" w:bidi="ar-SA"/>
        </w:rPr>
        <w:t>八、预算绩效情况说明</w:t>
      </w:r>
      <w:r>
        <w:rPr>
          <w:rFonts w:ascii="Times New Roman" w:hAnsi="Times New Roman" w:eastAsia="仿宋" w:cs="Times New Roman"/>
          <w:sz w:val="32"/>
          <w:szCs w:val="20"/>
          <w:lang w:val="en-US" w:eastAsia="en-US" w:bidi="ar-SA"/>
        </w:rPr>
        <w:tab/>
      </w:r>
      <w:r>
        <w:rPr>
          <w:rFonts w:hint="eastAsia" w:ascii="Times New Roman" w:hAnsi="Times New Roman" w:eastAsia="仿宋" w:cs="Times New Roman"/>
          <w:sz w:val="32"/>
          <w:szCs w:val="20"/>
          <w:lang w:val="en-US" w:eastAsia="zh-CN" w:bidi="ar-SA"/>
        </w:rPr>
        <w:t>2</w:t>
      </w:r>
      <w:r>
        <w:rPr>
          <w:rFonts w:ascii="Times New Roman" w:hAnsi="Times New Roman" w:eastAsia="仿宋" w:cs="Times New Roman"/>
          <w:sz w:val="32"/>
          <w:szCs w:val="20"/>
          <w:lang w:val="en-US" w:eastAsia="en-US" w:bidi="ar-SA"/>
        </w:rPr>
        <w:fldChar w:fldCharType="end"/>
      </w:r>
      <w:r>
        <w:rPr>
          <w:rFonts w:hint="eastAsia" w:ascii="Times New Roman" w:hAnsi="Times New Roman" w:eastAsia="仿宋" w:cs="Times New Roman"/>
          <w:sz w:val="32"/>
          <w:szCs w:val="20"/>
          <w:lang w:val="en-US" w:eastAsia="zh-CN" w:bidi="ar-SA"/>
        </w:rPr>
        <w:t>4</w:t>
      </w:r>
    </w:p>
    <w:p>
      <w:pPr>
        <w:tabs>
          <w:tab w:val="right" w:leader="dot" w:pos="9730"/>
        </w:tabs>
        <w:adjustRightInd w:val="0"/>
        <w:snapToGrid w:val="0"/>
        <w:spacing w:line="360" w:lineRule="auto"/>
        <w:ind w:firstLine="1280" w:firstLineChars="400"/>
        <w:jc w:val="left"/>
        <w:rPr>
          <w:rFonts w:hint="eastAsia" w:ascii="Calibri" w:hAnsi="Calibri" w:eastAsia="仿宋" w:cs="Times New Roman"/>
          <w:sz w:val="22"/>
          <w:szCs w:val="20"/>
          <w:lang w:val="en-US" w:eastAsia="zh-CN" w:bidi="ar-SA"/>
        </w:rPr>
      </w:pPr>
      <w:r>
        <w:rPr>
          <w:rFonts w:ascii="Times New Roman" w:hAnsi="Times New Roman" w:eastAsia="仿宋" w:cs="Times New Roman"/>
          <w:sz w:val="32"/>
          <w:szCs w:val="20"/>
          <w:lang w:val="en-US" w:eastAsia="en-US" w:bidi="ar-SA"/>
        </w:rPr>
        <w:fldChar w:fldCharType="begin"/>
      </w:r>
      <w:r>
        <w:rPr>
          <w:rFonts w:ascii="Times New Roman" w:hAnsi="Times New Roman" w:eastAsia="仿宋" w:cs="Times New Roman"/>
          <w:sz w:val="32"/>
          <w:szCs w:val="20"/>
          <w:lang w:val="en-US" w:eastAsia="en-US" w:bidi="ar-SA"/>
        </w:rPr>
        <w:instrText xml:space="preserve"> HYPERLINK \l "_Toc256000119" </w:instrText>
      </w:r>
      <w:r>
        <w:rPr>
          <w:rFonts w:ascii="Times New Roman" w:hAnsi="Times New Roman" w:eastAsia="仿宋" w:cs="Times New Roman"/>
          <w:sz w:val="32"/>
          <w:szCs w:val="20"/>
          <w:lang w:val="en-US" w:eastAsia="en-US" w:bidi="ar-SA"/>
        </w:rPr>
        <w:fldChar w:fldCharType="separate"/>
      </w:r>
      <w:r>
        <w:rPr>
          <w:rFonts w:ascii="黑体" w:hAnsi="黑体" w:eastAsia="黑体" w:cs="黑体"/>
          <w:kern w:val="2"/>
          <w:sz w:val="32"/>
          <w:szCs w:val="32"/>
          <w:lang w:val="en-US" w:eastAsia="zh-CN" w:bidi="ar-SA"/>
        </w:rPr>
        <w:t>九、其他重要事项说明</w:t>
      </w:r>
      <w:r>
        <w:rPr>
          <w:rFonts w:ascii="Times New Roman" w:hAnsi="Times New Roman" w:eastAsia="仿宋" w:cs="Times New Roman"/>
          <w:sz w:val="32"/>
          <w:szCs w:val="20"/>
          <w:lang w:val="en-US" w:eastAsia="en-US" w:bidi="ar-SA"/>
        </w:rPr>
        <w:tab/>
      </w:r>
      <w:r>
        <w:rPr>
          <w:rFonts w:hint="eastAsia" w:ascii="Times New Roman" w:hAnsi="Times New Roman" w:eastAsia="仿宋" w:cs="Times New Roman"/>
          <w:sz w:val="32"/>
          <w:szCs w:val="20"/>
          <w:lang w:val="en-US" w:eastAsia="zh-CN" w:bidi="ar-SA"/>
        </w:rPr>
        <w:t>2</w:t>
      </w:r>
      <w:r>
        <w:rPr>
          <w:rFonts w:ascii="Times New Roman" w:hAnsi="Times New Roman" w:eastAsia="仿宋" w:cs="Times New Roman"/>
          <w:sz w:val="32"/>
          <w:szCs w:val="20"/>
          <w:lang w:val="en-US" w:eastAsia="en-US" w:bidi="ar-SA"/>
        </w:rPr>
        <w:fldChar w:fldCharType="end"/>
      </w:r>
      <w:r>
        <w:rPr>
          <w:rFonts w:hint="eastAsia" w:ascii="Times New Roman" w:hAnsi="Times New Roman" w:eastAsia="仿宋" w:cs="Times New Roman"/>
          <w:sz w:val="32"/>
          <w:szCs w:val="20"/>
          <w:lang w:val="en-US" w:eastAsia="zh-CN" w:bidi="ar-SA"/>
        </w:rPr>
        <w:t>4</w:t>
      </w:r>
    </w:p>
    <w:p>
      <w:pPr>
        <w:tabs>
          <w:tab w:val="right" w:leader="dot" w:pos="9730"/>
        </w:tabs>
        <w:adjustRightInd w:val="0"/>
        <w:snapToGrid w:val="0"/>
        <w:spacing w:line="360" w:lineRule="auto"/>
        <w:ind w:firstLine="640" w:firstLineChars="200"/>
        <w:jc w:val="left"/>
        <w:rPr>
          <w:rFonts w:hint="eastAsia" w:ascii="Calibri" w:hAnsi="Calibri" w:eastAsia="仿宋" w:cs="Times New Roman"/>
          <w:iCs/>
          <w:sz w:val="22"/>
          <w:szCs w:val="20"/>
          <w:lang w:val="en-US" w:eastAsia="zh-CN" w:bidi="ar-SA"/>
        </w:rPr>
      </w:pPr>
      <w:r>
        <w:rPr>
          <w:rFonts w:ascii="Times New Roman" w:hAnsi="Times New Roman" w:eastAsia="仿宋" w:cs="Times New Roman"/>
          <w:iCs/>
          <w:sz w:val="32"/>
          <w:szCs w:val="20"/>
          <w:lang w:val="en-US" w:eastAsia="en-US" w:bidi="ar-SA"/>
        </w:rPr>
        <w:fldChar w:fldCharType="begin"/>
      </w:r>
      <w:r>
        <w:rPr>
          <w:rFonts w:ascii="Times New Roman" w:hAnsi="Times New Roman" w:eastAsia="仿宋" w:cs="Times New Roman"/>
          <w:iCs/>
          <w:sz w:val="32"/>
          <w:szCs w:val="20"/>
          <w:lang w:val="en-US" w:eastAsia="en-US" w:bidi="ar-SA"/>
        </w:rPr>
        <w:instrText xml:space="preserve"> HYPERLINK \l "_Toc256000120" </w:instrText>
      </w:r>
      <w:r>
        <w:rPr>
          <w:rFonts w:ascii="Times New Roman" w:hAnsi="Times New Roman" w:eastAsia="仿宋" w:cs="Times New Roman"/>
          <w:iCs/>
          <w:sz w:val="32"/>
          <w:szCs w:val="20"/>
          <w:lang w:val="en-US" w:eastAsia="en-US" w:bidi="ar-SA"/>
        </w:rPr>
        <w:fldChar w:fldCharType="separate"/>
      </w:r>
      <w:r>
        <w:rPr>
          <w:rFonts w:ascii="黑体" w:hAnsi="黑体" w:eastAsia="黑体" w:cs="黑体"/>
          <w:iCs/>
          <w:kern w:val="2"/>
          <w:sz w:val="32"/>
          <w:szCs w:val="32"/>
          <w:lang w:val="en-US" w:eastAsia="zh-CN" w:bidi="ar-SA"/>
        </w:rPr>
        <w:t>第四部分</w:t>
      </w:r>
      <w:r>
        <w:rPr>
          <w:rFonts w:ascii="Times New Roman" w:hAnsi="Times New Roman" w:eastAsia="仿宋" w:cs="Times New Roman"/>
          <w:iCs/>
          <w:sz w:val="32"/>
          <w:szCs w:val="20"/>
          <w:lang w:val="en-US" w:eastAsia="en-US" w:bidi="ar-SA"/>
        </w:rPr>
        <w:tab/>
      </w:r>
      <w:r>
        <w:rPr>
          <w:rFonts w:hint="eastAsia" w:ascii="Times New Roman" w:hAnsi="Times New Roman" w:eastAsia="仿宋" w:cs="Times New Roman"/>
          <w:iCs/>
          <w:sz w:val="32"/>
          <w:szCs w:val="20"/>
          <w:lang w:val="en-US" w:eastAsia="zh-CN" w:bidi="ar-SA"/>
        </w:rPr>
        <w:t>2</w:t>
      </w:r>
      <w:r>
        <w:rPr>
          <w:rFonts w:ascii="Times New Roman" w:hAnsi="Times New Roman" w:eastAsia="仿宋" w:cs="Times New Roman"/>
          <w:iCs/>
          <w:sz w:val="32"/>
          <w:szCs w:val="20"/>
          <w:lang w:val="en-US" w:eastAsia="en-US" w:bidi="ar-SA"/>
        </w:rPr>
        <w:fldChar w:fldCharType="end"/>
      </w:r>
      <w:r>
        <w:rPr>
          <w:rFonts w:hint="eastAsia" w:ascii="Times New Roman" w:hAnsi="Times New Roman" w:eastAsia="仿宋" w:cs="Times New Roman"/>
          <w:iCs/>
          <w:sz w:val="32"/>
          <w:szCs w:val="20"/>
          <w:lang w:val="en-US" w:eastAsia="zh-CN" w:bidi="ar-SA"/>
        </w:rPr>
        <w:t>5</w:t>
      </w:r>
    </w:p>
    <w:p>
      <w:pPr>
        <w:tabs>
          <w:tab w:val="right" w:leader="dot" w:pos="9730"/>
        </w:tabs>
        <w:adjustRightInd w:val="0"/>
        <w:snapToGrid w:val="0"/>
        <w:spacing w:line="360" w:lineRule="auto"/>
        <w:ind w:firstLine="640" w:firstLineChars="200"/>
        <w:jc w:val="left"/>
        <w:rPr>
          <w:rFonts w:ascii="Calibri" w:hAnsi="Calibri" w:eastAsia="仿宋" w:cs="Times New Roman"/>
          <w:iCs/>
          <w:sz w:val="22"/>
          <w:szCs w:val="20"/>
          <w:lang w:val="en-US" w:eastAsia="en-US" w:bidi="ar-SA"/>
        </w:rPr>
      </w:pPr>
      <w:r>
        <w:rPr>
          <w:rFonts w:ascii="Times New Roman" w:hAnsi="Times New Roman" w:eastAsia="仿宋" w:cs="Times New Roman"/>
          <w:iCs/>
          <w:sz w:val="32"/>
          <w:szCs w:val="20"/>
          <w:lang w:val="en-US" w:eastAsia="en-US" w:bidi="ar-SA"/>
        </w:rPr>
        <w:fldChar w:fldCharType="begin"/>
      </w:r>
      <w:r>
        <w:rPr>
          <w:rFonts w:ascii="Times New Roman" w:hAnsi="Times New Roman" w:eastAsia="仿宋" w:cs="Times New Roman"/>
          <w:iCs/>
          <w:sz w:val="32"/>
          <w:szCs w:val="20"/>
          <w:lang w:val="en-US" w:eastAsia="en-US" w:bidi="ar-SA"/>
        </w:rPr>
        <w:instrText xml:space="preserve"> HYPERLINK \l "_Toc256000121" </w:instrText>
      </w:r>
      <w:r>
        <w:rPr>
          <w:rFonts w:ascii="Times New Roman" w:hAnsi="Times New Roman" w:eastAsia="仿宋" w:cs="Times New Roman"/>
          <w:iCs/>
          <w:sz w:val="32"/>
          <w:szCs w:val="20"/>
          <w:lang w:val="en-US" w:eastAsia="en-US" w:bidi="ar-SA"/>
        </w:rPr>
        <w:fldChar w:fldCharType="separate"/>
      </w:r>
      <w:r>
        <w:rPr>
          <w:rFonts w:ascii="黑体" w:hAnsi="黑体" w:eastAsia="黑体" w:cs="黑体"/>
          <w:iCs/>
          <w:kern w:val="2"/>
          <w:sz w:val="32"/>
          <w:szCs w:val="32"/>
          <w:lang w:val="en-US" w:eastAsia="zh-CN" w:bidi="ar-SA"/>
        </w:rPr>
        <w:t>名词解释</w:t>
      </w:r>
      <w:r>
        <w:rPr>
          <w:rFonts w:ascii="Times New Roman" w:hAnsi="Times New Roman" w:eastAsia="仿宋" w:cs="Times New Roman"/>
          <w:iCs/>
          <w:sz w:val="32"/>
          <w:szCs w:val="20"/>
          <w:lang w:val="en-US" w:eastAsia="en-US" w:bidi="ar-SA"/>
        </w:rPr>
        <w:tab/>
      </w:r>
      <w:r>
        <w:rPr>
          <w:rFonts w:hint="eastAsia" w:eastAsia="仿宋" w:cs="Times New Roman"/>
          <w:iCs/>
          <w:sz w:val="32"/>
          <w:szCs w:val="20"/>
          <w:lang w:val="en-US" w:eastAsia="zh-CN" w:bidi="ar-SA"/>
        </w:rPr>
        <w:t>25</w:t>
      </w:r>
      <w:r>
        <w:rPr>
          <w:rFonts w:ascii="Times New Roman" w:hAnsi="Times New Roman" w:eastAsia="仿宋" w:cs="Times New Roman"/>
          <w:iCs/>
          <w:sz w:val="32"/>
          <w:szCs w:val="20"/>
          <w:lang w:val="en-US" w:eastAsia="en-US" w:bidi="ar-SA"/>
        </w:rPr>
        <w:fldChar w:fldCharType="end"/>
      </w:r>
    </w:p>
    <w:p>
      <w:pPr>
        <w:tabs>
          <w:tab w:val="right" w:leader="dot" w:pos="9730"/>
        </w:tabs>
        <w:adjustRightInd w:val="0"/>
        <w:snapToGrid w:val="0"/>
        <w:spacing w:line="360" w:lineRule="auto"/>
        <w:ind w:firstLine="640" w:firstLineChars="200"/>
        <w:jc w:val="left"/>
        <w:rPr>
          <w:rFonts w:hint="eastAsia" w:ascii="Calibri" w:hAnsi="Calibri" w:eastAsia="仿宋" w:cs="Times New Roman"/>
          <w:iCs/>
          <w:sz w:val="22"/>
          <w:szCs w:val="20"/>
          <w:lang w:val="en-US" w:eastAsia="zh-CN" w:bidi="ar-SA"/>
        </w:rPr>
      </w:pPr>
      <w:r>
        <w:rPr>
          <w:rFonts w:ascii="Times New Roman" w:hAnsi="Times New Roman" w:eastAsia="仿宋" w:cs="Times New Roman"/>
          <w:iCs/>
          <w:sz w:val="32"/>
          <w:szCs w:val="20"/>
          <w:lang w:val="en-US" w:eastAsia="en-US" w:bidi="ar-SA"/>
        </w:rPr>
        <w:fldChar w:fldCharType="begin"/>
      </w:r>
      <w:r>
        <w:rPr>
          <w:rFonts w:ascii="Times New Roman" w:hAnsi="Times New Roman" w:eastAsia="仿宋" w:cs="Times New Roman"/>
          <w:iCs/>
          <w:sz w:val="32"/>
          <w:szCs w:val="20"/>
          <w:lang w:val="en-US" w:eastAsia="en-US" w:bidi="ar-SA"/>
        </w:rPr>
        <w:instrText xml:space="preserve"> HYPERLINK \l "_Toc256000122" </w:instrText>
      </w:r>
      <w:r>
        <w:rPr>
          <w:rFonts w:ascii="Times New Roman" w:hAnsi="Times New Roman" w:eastAsia="仿宋" w:cs="Times New Roman"/>
          <w:iCs/>
          <w:sz w:val="32"/>
          <w:szCs w:val="20"/>
          <w:lang w:val="en-US" w:eastAsia="en-US" w:bidi="ar-SA"/>
        </w:rPr>
        <w:fldChar w:fldCharType="separate"/>
      </w:r>
      <w:r>
        <w:rPr>
          <w:rFonts w:ascii="黑体" w:hAnsi="黑体" w:eastAsia="黑体" w:cs="黑体"/>
          <w:iCs/>
          <w:kern w:val="2"/>
          <w:sz w:val="32"/>
          <w:szCs w:val="32"/>
          <w:lang w:val="en-US" w:eastAsia="zh-CN" w:bidi="ar-SA"/>
        </w:rPr>
        <w:t>第五部分</w:t>
      </w:r>
      <w:r>
        <w:rPr>
          <w:rFonts w:ascii="Times New Roman" w:hAnsi="Times New Roman" w:eastAsia="仿宋" w:cs="Times New Roman"/>
          <w:iCs/>
          <w:sz w:val="32"/>
          <w:szCs w:val="20"/>
          <w:lang w:val="en-US" w:eastAsia="en-US" w:bidi="ar-SA"/>
        </w:rPr>
        <w:tab/>
      </w:r>
      <w:r>
        <w:rPr>
          <w:rFonts w:hint="eastAsia" w:eastAsia="仿宋" w:cs="Times New Roman"/>
          <w:iCs/>
          <w:sz w:val="32"/>
          <w:szCs w:val="20"/>
          <w:lang w:val="en-US" w:eastAsia="zh-CN" w:bidi="ar-SA"/>
        </w:rPr>
        <w:t>28</w:t>
      </w:r>
      <w:r>
        <w:rPr>
          <w:rFonts w:ascii="Times New Roman" w:hAnsi="Times New Roman" w:eastAsia="仿宋" w:cs="Times New Roman"/>
          <w:iCs/>
          <w:sz w:val="32"/>
          <w:szCs w:val="20"/>
          <w:lang w:val="en-US" w:eastAsia="en-US" w:bidi="ar-SA"/>
        </w:rPr>
        <w:fldChar w:fldCharType="end"/>
      </w:r>
    </w:p>
    <w:p>
      <w:pPr>
        <w:tabs>
          <w:tab w:val="right" w:leader="dot" w:pos="9730"/>
        </w:tabs>
        <w:adjustRightInd w:val="0"/>
        <w:snapToGrid w:val="0"/>
        <w:spacing w:line="360" w:lineRule="auto"/>
        <w:ind w:firstLine="640" w:firstLineChars="200"/>
        <w:jc w:val="left"/>
        <w:rPr>
          <w:rFonts w:hint="eastAsia" w:ascii="Calibri" w:hAnsi="Calibri" w:eastAsia="仿宋" w:cs="Times New Roman"/>
          <w:iCs/>
          <w:sz w:val="22"/>
          <w:szCs w:val="20"/>
          <w:lang w:val="en-US" w:eastAsia="zh-CN" w:bidi="ar-SA"/>
        </w:rPr>
      </w:pPr>
      <w:r>
        <w:rPr>
          <w:rFonts w:ascii="Times New Roman" w:hAnsi="Times New Roman" w:eastAsia="仿宋" w:cs="Times New Roman"/>
          <w:iCs/>
          <w:sz w:val="32"/>
          <w:szCs w:val="20"/>
          <w:lang w:val="en-US" w:eastAsia="en-US" w:bidi="ar-SA"/>
        </w:rPr>
        <w:fldChar w:fldCharType="begin"/>
      </w:r>
      <w:r>
        <w:rPr>
          <w:rFonts w:ascii="Times New Roman" w:hAnsi="Times New Roman" w:eastAsia="仿宋" w:cs="Times New Roman"/>
          <w:iCs/>
          <w:sz w:val="32"/>
          <w:szCs w:val="20"/>
          <w:lang w:val="en-US" w:eastAsia="en-US" w:bidi="ar-SA"/>
        </w:rPr>
        <w:instrText xml:space="preserve"> HYPERLINK \l "_Toc256000123" </w:instrText>
      </w:r>
      <w:r>
        <w:rPr>
          <w:rFonts w:ascii="Times New Roman" w:hAnsi="Times New Roman" w:eastAsia="仿宋" w:cs="Times New Roman"/>
          <w:iCs/>
          <w:sz w:val="32"/>
          <w:szCs w:val="20"/>
          <w:lang w:val="en-US" w:eastAsia="en-US" w:bidi="ar-SA"/>
        </w:rPr>
        <w:fldChar w:fldCharType="separate"/>
      </w:r>
      <w:r>
        <w:rPr>
          <w:rFonts w:ascii="黑体" w:hAnsi="黑体" w:eastAsia="黑体" w:cs="黑体"/>
          <w:iCs/>
          <w:kern w:val="2"/>
          <w:sz w:val="32"/>
          <w:szCs w:val="32"/>
          <w:lang w:val="en-US" w:eastAsia="zh-CN" w:bidi="ar-SA"/>
        </w:rPr>
        <w:t>附件</w:t>
      </w:r>
      <w:r>
        <w:rPr>
          <w:rFonts w:ascii="Times New Roman" w:hAnsi="Times New Roman" w:eastAsia="仿宋" w:cs="Times New Roman"/>
          <w:iCs/>
          <w:sz w:val="32"/>
          <w:szCs w:val="20"/>
          <w:lang w:val="en-US" w:eastAsia="en-US" w:bidi="ar-SA"/>
        </w:rPr>
        <w:tab/>
      </w:r>
      <w:r>
        <w:rPr>
          <w:rFonts w:hint="eastAsia" w:eastAsia="仿宋" w:cs="Times New Roman"/>
          <w:iCs/>
          <w:sz w:val="32"/>
          <w:szCs w:val="20"/>
          <w:lang w:val="en-US" w:eastAsia="zh-CN" w:bidi="ar-SA"/>
        </w:rPr>
        <w:t>28</w:t>
      </w:r>
      <w:r>
        <w:rPr>
          <w:rFonts w:ascii="Times New Roman" w:hAnsi="Times New Roman" w:eastAsia="仿宋" w:cs="Times New Roman"/>
          <w:iCs/>
          <w:sz w:val="32"/>
          <w:szCs w:val="20"/>
          <w:lang w:val="en-US" w:eastAsia="en-US" w:bidi="ar-SA"/>
        </w:rPr>
        <w:fldChar w:fldCharType="end"/>
      </w:r>
    </w:p>
    <w:p>
      <w:pPr>
        <w:keepNext w:val="0"/>
        <w:keepLines w:val="0"/>
        <w:widowControl/>
        <w:suppressLineNumbers w:val="0"/>
        <w:shd w:val="clear" w:fill="FFFFFF"/>
        <w:spacing w:before="240" w:beforeAutospacing="0" w:after="240" w:afterAutospacing="0"/>
        <w:ind w:left="0" w:right="0"/>
        <w:jc w:val="center"/>
        <w:rPr>
          <w:rFonts w:hint="eastAsia" w:ascii="黑体" w:hAnsi="黑体" w:eastAsia="黑体" w:cs="黑体"/>
          <w:b w:val="0"/>
          <w:bCs/>
          <w:kern w:val="0"/>
          <w:sz w:val="32"/>
          <w:szCs w:val="32"/>
          <w:shd w:val="clear" w:fill="FFFFFF"/>
          <w:lang w:bidi="ar"/>
        </w:rPr>
      </w:pPr>
      <w:r>
        <w:rPr>
          <w:rFonts w:hint="eastAsia" w:ascii="仿宋" w:hAnsi="仿宋" w:eastAsia="仿宋" w:cs="仿宋"/>
          <w:b w:val="0"/>
          <w:bCs/>
          <w:kern w:val="2"/>
          <w:sz w:val="32"/>
          <w:szCs w:val="32"/>
          <w:lang w:val="en-US" w:eastAsia="zh-CN" w:bidi="ar-SA"/>
        </w:rPr>
        <w:fldChar w:fldCharType="end"/>
      </w:r>
    </w:p>
    <w:p>
      <w:pPr>
        <w:keepNext w:val="0"/>
        <w:keepLines w:val="0"/>
        <w:widowControl/>
        <w:suppressLineNumbers w:val="0"/>
        <w:shd w:val="clear" w:fill="FFFFFF"/>
        <w:spacing w:before="240" w:beforeAutospacing="0" w:after="240" w:afterAutospacing="0"/>
        <w:ind w:left="0" w:right="0"/>
        <w:jc w:val="center"/>
        <w:rPr>
          <w:rFonts w:hint="eastAsia" w:ascii="黑体" w:hAnsi="黑体" w:eastAsia="黑体" w:cs="黑体"/>
          <w:b w:val="0"/>
          <w:bCs/>
          <w:kern w:val="0"/>
          <w:sz w:val="32"/>
          <w:szCs w:val="32"/>
          <w:shd w:val="clear" w:fill="FFFFFF"/>
          <w:lang w:bidi="ar"/>
        </w:rPr>
      </w:pPr>
    </w:p>
    <w:p>
      <w:pPr>
        <w:keepNext w:val="0"/>
        <w:keepLines w:val="0"/>
        <w:widowControl/>
        <w:suppressLineNumbers w:val="0"/>
        <w:shd w:val="clear" w:fill="FFFFFF"/>
        <w:spacing w:before="240" w:beforeAutospacing="0" w:after="240" w:afterAutospacing="0"/>
        <w:ind w:left="0" w:right="0"/>
        <w:jc w:val="center"/>
        <w:rPr>
          <w:rFonts w:hint="eastAsia" w:ascii="黑体" w:hAnsi="黑体" w:eastAsia="黑体" w:cs="黑体"/>
          <w:b w:val="0"/>
          <w:bCs/>
          <w:kern w:val="0"/>
          <w:sz w:val="32"/>
          <w:szCs w:val="32"/>
          <w:shd w:val="clear" w:fill="FFFFFF"/>
          <w:lang w:bidi="ar"/>
        </w:rPr>
      </w:pPr>
    </w:p>
    <w:p>
      <w:pPr>
        <w:keepNext w:val="0"/>
        <w:keepLines w:val="0"/>
        <w:widowControl/>
        <w:suppressLineNumbers w:val="0"/>
        <w:shd w:val="clear" w:fill="FFFFFF"/>
        <w:spacing w:before="240" w:beforeAutospacing="0" w:after="240" w:afterAutospacing="0"/>
        <w:ind w:left="0" w:right="0"/>
        <w:jc w:val="center"/>
        <w:rPr>
          <w:rFonts w:hint="eastAsia" w:ascii="黑体" w:hAnsi="黑体" w:eastAsia="黑体" w:cs="黑体"/>
          <w:b w:val="0"/>
          <w:bCs/>
          <w:kern w:val="0"/>
          <w:sz w:val="32"/>
          <w:szCs w:val="32"/>
          <w:shd w:val="clear" w:fill="FFFFFF"/>
          <w:lang w:bidi="ar"/>
        </w:rPr>
      </w:pPr>
    </w:p>
    <w:p>
      <w:pPr>
        <w:keepNext w:val="0"/>
        <w:keepLines w:val="0"/>
        <w:widowControl/>
        <w:suppressLineNumbers w:val="0"/>
        <w:shd w:val="clear" w:fill="FFFFFF"/>
        <w:spacing w:before="240" w:beforeAutospacing="0" w:after="240" w:afterAutospacing="0"/>
        <w:ind w:left="0" w:right="0"/>
        <w:jc w:val="center"/>
        <w:rPr>
          <w:rFonts w:hint="eastAsia" w:ascii="黑体" w:hAnsi="黑体" w:eastAsia="黑体" w:cs="黑体"/>
          <w:b w:val="0"/>
          <w:bCs/>
          <w:kern w:val="0"/>
          <w:sz w:val="32"/>
          <w:szCs w:val="32"/>
          <w:shd w:val="clear" w:fill="FFFFFF"/>
          <w:lang w:bidi="ar"/>
        </w:rPr>
      </w:pPr>
    </w:p>
    <w:p>
      <w:pPr>
        <w:keepNext w:val="0"/>
        <w:keepLines w:val="0"/>
        <w:widowControl/>
        <w:suppressLineNumbers w:val="0"/>
        <w:shd w:val="clear" w:fill="FFFFFF"/>
        <w:spacing w:before="240" w:beforeAutospacing="0" w:after="240" w:afterAutospacing="0"/>
        <w:ind w:left="0" w:right="0"/>
        <w:jc w:val="center"/>
        <w:rPr>
          <w:rFonts w:hint="eastAsia" w:ascii="黑体" w:hAnsi="黑体" w:eastAsia="黑体" w:cs="黑体"/>
          <w:b w:val="0"/>
          <w:bCs/>
          <w:kern w:val="0"/>
          <w:sz w:val="32"/>
          <w:szCs w:val="32"/>
          <w:shd w:val="clear" w:fill="FFFFFF"/>
          <w:lang w:bidi="ar"/>
        </w:rPr>
      </w:pPr>
    </w:p>
    <w:p>
      <w:pPr>
        <w:keepNext w:val="0"/>
        <w:keepLines w:val="0"/>
        <w:widowControl/>
        <w:suppressLineNumbers w:val="0"/>
        <w:shd w:val="clear" w:fill="FFFFFF"/>
        <w:spacing w:before="240" w:beforeAutospacing="0" w:after="240" w:afterAutospacing="0"/>
        <w:ind w:left="0" w:right="0"/>
        <w:jc w:val="center"/>
        <w:rPr>
          <w:rFonts w:hint="eastAsia" w:ascii="黑体" w:hAnsi="黑体" w:eastAsia="黑体" w:cs="黑体"/>
          <w:b w:val="0"/>
          <w:bCs/>
          <w:kern w:val="0"/>
          <w:sz w:val="32"/>
          <w:szCs w:val="32"/>
          <w:shd w:val="clear" w:fill="FFFFFF"/>
          <w:lang w:bidi="ar"/>
        </w:rPr>
      </w:pPr>
    </w:p>
    <w:p>
      <w:pPr>
        <w:keepNext w:val="0"/>
        <w:keepLines w:val="0"/>
        <w:widowControl/>
        <w:suppressLineNumbers w:val="0"/>
        <w:shd w:val="clear" w:fill="FFFFFF"/>
        <w:spacing w:before="240" w:beforeAutospacing="0" w:after="240" w:afterAutospacing="0"/>
        <w:ind w:left="0" w:right="0"/>
        <w:jc w:val="center"/>
        <w:rPr>
          <w:rFonts w:hint="eastAsia" w:ascii="黑体" w:hAnsi="宋体" w:eastAsia="黑体" w:cs="黑体"/>
          <w:kern w:val="0"/>
          <w:sz w:val="36"/>
          <w:szCs w:val="36"/>
          <w:shd w:val="clear" w:fill="FFFFFF"/>
        </w:rPr>
        <w:sectPr>
          <w:footerReference r:id="rId4" w:type="default"/>
          <w:pgSz w:w="11906" w:h="16383"/>
          <w:pgMar w:top="1440" w:right="1083" w:bottom="1440" w:left="1083" w:header="720" w:footer="720" w:gutter="0"/>
          <w:pgNumType w:fmt="decimal"/>
          <w:cols w:space="0" w:num="1"/>
          <w:rtlGutter w:val="0"/>
          <w:docGrid w:linePitch="0" w:charSpace="0"/>
        </w:sectPr>
      </w:pPr>
    </w:p>
    <w:p>
      <w:pPr>
        <w:keepNext w:val="0"/>
        <w:keepLines w:val="0"/>
        <w:widowControl/>
        <w:suppressLineNumbers w:val="0"/>
        <w:shd w:val="clear" w:fill="FFFFFF"/>
        <w:spacing w:before="240" w:beforeAutospacing="0" w:after="240" w:afterAutospacing="0"/>
        <w:ind w:left="0" w:right="0"/>
        <w:jc w:val="center"/>
        <w:rPr>
          <w:rFonts w:hint="eastAsia" w:ascii="宋体" w:hAnsi="宋体" w:eastAsia="宋体" w:cs="宋体"/>
          <w:kern w:val="0"/>
          <w:sz w:val="24"/>
          <w:szCs w:val="24"/>
          <w:shd w:val="clear" w:fill="FFFFFF"/>
        </w:rPr>
      </w:pPr>
      <w:r>
        <w:rPr>
          <w:rFonts w:hint="eastAsia" w:ascii="黑体" w:hAnsi="宋体" w:eastAsia="黑体" w:cs="黑体"/>
          <w:kern w:val="0"/>
          <w:sz w:val="36"/>
          <w:szCs w:val="36"/>
          <w:shd w:val="clear" w:fill="FFFFFF"/>
        </w:rPr>
        <w:t xml:space="preserve">第一部分 </w:t>
      </w:r>
      <w:r>
        <w:rPr>
          <w:rFonts w:hint="eastAsia" w:ascii="黑体" w:hAnsi="宋体" w:eastAsia="黑体" w:cs="黑体"/>
          <w:kern w:val="0"/>
          <w:sz w:val="36"/>
          <w:szCs w:val="36"/>
          <w:shd w:val="clear" w:fill="FFFFFF"/>
          <w:lang w:eastAsia="zh-CN"/>
        </w:rPr>
        <w:t>单位</w:t>
      </w:r>
      <w:r>
        <w:rPr>
          <w:rFonts w:hint="eastAsia" w:ascii="黑体" w:hAnsi="宋体" w:eastAsia="黑体" w:cs="黑体"/>
          <w:kern w:val="0"/>
          <w:sz w:val="36"/>
          <w:szCs w:val="36"/>
          <w:shd w:val="clear" w:fill="FFFFFF"/>
        </w:rPr>
        <w:t>概况</w:t>
      </w:r>
    </w:p>
    <w:p>
      <w:pPr>
        <w:keepNext w:val="0"/>
        <w:keepLines w:val="0"/>
        <w:widowControl/>
        <w:suppressLineNumbers w:val="0"/>
        <w:shd w:val="clear" w:fill="FFFFFF"/>
        <w:spacing w:before="240" w:beforeAutospacing="0" w:after="240" w:afterAutospacing="0"/>
        <w:ind w:left="0" w:right="0"/>
        <w:jc w:val="center"/>
        <w:rPr>
          <w:rFonts w:hint="eastAsia" w:ascii="宋体" w:hAnsi="宋体" w:eastAsia="宋体" w:cs="宋体"/>
          <w:kern w:val="0"/>
          <w:sz w:val="24"/>
          <w:szCs w:val="24"/>
          <w:shd w:val="clear" w:fill="FFFFFF"/>
        </w:rPr>
      </w:pPr>
      <w:r>
        <w:rPr>
          <w:rFonts w:hint="eastAsia" w:ascii="黑体" w:hAnsi="宋体" w:eastAsia="黑体" w:cs="黑体"/>
          <w:kern w:val="0"/>
          <w:sz w:val="36"/>
          <w:szCs w:val="36"/>
          <w:shd w:val="clear" w:fill="FFFFFF"/>
        </w:rPr>
        <w:t xml:space="preserve"> </w:t>
      </w:r>
    </w:p>
    <w:p>
      <w:pPr>
        <w:keepNext w:val="0"/>
        <w:keepLines w:val="0"/>
        <w:widowControl/>
        <w:suppressLineNumbers w:val="0"/>
        <w:shd w:val="clear" w:fill="FFFFFF"/>
        <w:spacing w:before="240" w:beforeAutospacing="0" w:after="240" w:afterAutospacing="0" w:line="600" w:lineRule="atLeast"/>
        <w:ind w:left="0" w:right="0" w:firstLine="640"/>
        <w:rPr>
          <w:rFonts w:hint="eastAsia" w:ascii="宋体" w:hAnsi="宋体" w:eastAsia="宋体" w:cs="宋体"/>
          <w:kern w:val="0"/>
          <w:sz w:val="24"/>
          <w:szCs w:val="24"/>
          <w:shd w:val="clear" w:fill="FFFFFF"/>
        </w:rPr>
      </w:pPr>
      <w:r>
        <w:rPr>
          <w:rFonts w:hint="eastAsia" w:ascii="黑体" w:hAnsi="宋体" w:eastAsia="黑体" w:cs="黑体"/>
          <w:kern w:val="0"/>
          <w:sz w:val="32"/>
          <w:szCs w:val="32"/>
          <w:shd w:val="clear" w:fill="FFFFFF"/>
        </w:rPr>
        <w:t>一、</w:t>
      </w:r>
      <w:r>
        <w:rPr>
          <w:rFonts w:hint="eastAsia" w:ascii="黑体" w:hAnsi="宋体" w:eastAsia="黑体" w:cs="黑体"/>
          <w:kern w:val="0"/>
          <w:sz w:val="32"/>
          <w:szCs w:val="32"/>
          <w:shd w:val="clear" w:fill="FFFFFF"/>
          <w:lang w:eastAsia="zh-CN"/>
        </w:rPr>
        <w:t>单位</w:t>
      </w:r>
      <w:r>
        <w:rPr>
          <w:rFonts w:hint="eastAsia" w:ascii="黑体" w:hAnsi="宋体" w:eastAsia="黑体" w:cs="黑体"/>
          <w:kern w:val="0"/>
          <w:sz w:val="32"/>
          <w:szCs w:val="32"/>
          <w:shd w:val="clear" w:fill="FFFFFF"/>
        </w:rPr>
        <w:t>主要职责</w:t>
      </w:r>
    </w:p>
    <w:p>
      <w:pPr>
        <w:keepNext w:val="0"/>
        <w:keepLines w:val="0"/>
        <w:widowControl/>
        <w:suppressLineNumbers w:val="0"/>
        <w:adjustRightInd w:val="0"/>
        <w:snapToGrid w:val="0"/>
        <w:spacing w:line="560" w:lineRule="exact"/>
        <w:ind w:left="0" w:firstLine="640" w:firstLineChars="200"/>
        <w:jc w:val="both"/>
        <w:rPr>
          <w:rFonts w:hint="eastAsia" w:ascii="仿宋" w:hAnsi="仿宋" w:eastAsia="仿宋" w:cs="仿宋"/>
          <w:kern w:val="0"/>
          <w:sz w:val="32"/>
          <w:szCs w:val="32"/>
          <w:shd w:val="clear" w:fill="FFFFFF"/>
        </w:rPr>
      </w:pPr>
      <w:r>
        <w:rPr>
          <w:rFonts w:hint="eastAsia" w:ascii="仿宋" w:hAnsi="仿宋" w:eastAsia="仿宋" w:cs="仿宋"/>
          <w:kern w:val="0"/>
          <w:sz w:val="32"/>
          <w:szCs w:val="32"/>
          <w:shd w:val="clear" w:fill="FFFFFF"/>
        </w:rPr>
        <w:t>厦门市湖里实验小学部门的主要职责是：</w:t>
      </w:r>
    </w:p>
    <w:p>
      <w:pPr>
        <w:keepNext w:val="0"/>
        <w:keepLines w:val="0"/>
        <w:widowControl/>
        <w:suppressLineNumbers w:val="0"/>
        <w:adjustRightInd w:val="0"/>
        <w:snapToGrid w:val="0"/>
        <w:spacing w:line="560" w:lineRule="exact"/>
        <w:ind w:left="0" w:firstLine="640" w:firstLineChars="200"/>
        <w:jc w:val="both"/>
        <w:rPr>
          <w:rFonts w:hint="default" w:ascii="仿宋_GB2312" w:hAnsi="仿宋" w:eastAsia="仿宋_GB2312" w:cs="仿宋_GB2312"/>
          <w:kern w:val="0"/>
          <w:sz w:val="32"/>
          <w:szCs w:val="32"/>
        </w:rPr>
      </w:pPr>
      <w:r>
        <w:rPr>
          <w:rFonts w:hint="default" w:ascii="仿宋_GB2312" w:hAnsi="仿宋" w:eastAsia="仿宋_GB2312" w:cs="仿宋_GB2312"/>
          <w:kern w:val="0"/>
          <w:sz w:val="32"/>
          <w:szCs w:val="32"/>
        </w:rPr>
        <w:t>（一）实施小学义务教育，促进基础教育发展。</w:t>
      </w:r>
    </w:p>
    <w:p>
      <w:pPr>
        <w:keepNext w:val="0"/>
        <w:keepLines w:val="0"/>
        <w:widowControl/>
        <w:suppressLineNumbers w:val="0"/>
        <w:shd w:val="clear" w:fill="FFFFFF"/>
        <w:spacing w:before="240" w:beforeAutospacing="0" w:after="240" w:afterAutospacing="0" w:line="600" w:lineRule="atLeast"/>
        <w:ind w:left="0" w:right="0" w:firstLine="640"/>
        <w:jc w:val="both"/>
        <w:rPr>
          <w:rFonts w:hint="eastAsia" w:ascii="宋体" w:hAnsi="宋体" w:eastAsia="宋体" w:cs="宋体"/>
          <w:kern w:val="0"/>
          <w:sz w:val="24"/>
          <w:szCs w:val="24"/>
          <w:shd w:val="clear" w:fill="FFFFFF"/>
        </w:rPr>
      </w:pPr>
      <w:r>
        <w:rPr>
          <w:rFonts w:hint="default" w:ascii="仿宋_GB2312" w:hAnsi="仿宋" w:eastAsia="仿宋_GB2312" w:cs="仿宋_GB2312"/>
          <w:kern w:val="0"/>
          <w:sz w:val="32"/>
          <w:szCs w:val="32"/>
          <w:shd w:val="clear" w:fill="FFFFFF"/>
        </w:rPr>
        <w:t>（二）实施小学学历教育。</w:t>
      </w:r>
    </w:p>
    <w:p>
      <w:pPr>
        <w:keepNext w:val="0"/>
        <w:keepLines w:val="0"/>
        <w:widowControl/>
        <w:suppressLineNumbers w:val="0"/>
        <w:shd w:val="clear" w:fill="FFFFFF"/>
        <w:spacing w:before="240" w:beforeAutospacing="0" w:after="240" w:afterAutospacing="0" w:line="600" w:lineRule="atLeast"/>
        <w:ind w:left="0" w:right="0" w:firstLine="640"/>
        <w:rPr>
          <w:rFonts w:hint="eastAsia" w:ascii="宋体" w:hAnsi="宋体" w:eastAsia="宋体" w:cs="宋体"/>
          <w:kern w:val="0"/>
          <w:sz w:val="24"/>
          <w:szCs w:val="24"/>
          <w:shd w:val="clear" w:fill="FFFFFF"/>
        </w:rPr>
      </w:pPr>
      <w:r>
        <w:rPr>
          <w:rFonts w:hint="eastAsia" w:ascii="黑体" w:hAnsi="宋体" w:eastAsia="黑体" w:cs="黑体"/>
          <w:kern w:val="0"/>
          <w:sz w:val="32"/>
          <w:szCs w:val="32"/>
          <w:shd w:val="clear" w:fill="FFFFFF"/>
        </w:rPr>
        <w:t>二、</w:t>
      </w:r>
      <w:r>
        <w:rPr>
          <w:rFonts w:hint="eastAsia" w:ascii="黑体" w:hAnsi="宋体" w:eastAsia="黑体" w:cs="黑体"/>
          <w:kern w:val="0"/>
          <w:sz w:val="32"/>
          <w:szCs w:val="32"/>
          <w:shd w:val="clear" w:fill="FFFFFF"/>
          <w:lang w:eastAsia="zh-CN"/>
        </w:rPr>
        <w:t>单位</w:t>
      </w:r>
      <w:r>
        <w:rPr>
          <w:rFonts w:hint="eastAsia" w:ascii="黑体" w:hAnsi="宋体" w:eastAsia="黑体" w:cs="黑体"/>
          <w:kern w:val="0"/>
          <w:sz w:val="32"/>
          <w:szCs w:val="32"/>
          <w:shd w:val="clear" w:fill="FFFFFF"/>
        </w:rPr>
        <w:t>基本情况</w:t>
      </w:r>
    </w:p>
    <w:p>
      <w:pPr>
        <w:keepNext w:val="0"/>
        <w:keepLines w:val="0"/>
        <w:widowControl/>
        <w:suppressLineNumbers w:val="0"/>
        <w:shd w:val="clear" w:fill="FFFFFF"/>
        <w:spacing w:before="240" w:beforeAutospacing="0" w:after="240" w:afterAutospacing="0" w:line="600" w:lineRule="atLeast"/>
        <w:ind w:left="0" w:right="0" w:firstLine="640"/>
        <w:rPr>
          <w:rFonts w:hint="eastAsia" w:ascii="宋体" w:hAnsi="宋体" w:eastAsia="宋体" w:cs="宋体"/>
          <w:kern w:val="0"/>
          <w:sz w:val="24"/>
          <w:szCs w:val="24"/>
          <w:shd w:val="clear" w:fill="FFFFFF"/>
        </w:rPr>
      </w:pPr>
      <w:r>
        <w:rPr>
          <w:rFonts w:ascii="仿宋" w:hAnsi="仿宋" w:eastAsia="仿宋" w:cs="仿宋"/>
          <w:spacing w:val="0"/>
          <w:kern w:val="0"/>
          <w:sz w:val="32"/>
          <w:szCs w:val="32"/>
        </w:rPr>
        <w:t>从决算单位构成看，本单位包括</w:t>
      </w:r>
      <w:r>
        <w:rPr>
          <w:rFonts w:hint="eastAsia" w:ascii="仿宋" w:hAnsi="仿宋" w:eastAsia="仿宋" w:cs="仿宋"/>
          <w:spacing w:val="0"/>
          <w:kern w:val="0"/>
          <w:sz w:val="32"/>
          <w:szCs w:val="32"/>
          <w:lang w:val="en-US" w:eastAsia="zh-CN"/>
        </w:rPr>
        <w:t>4</w:t>
      </w:r>
      <w:r>
        <w:rPr>
          <w:rFonts w:ascii="仿宋" w:hAnsi="仿宋" w:eastAsia="仿宋" w:cs="仿宋"/>
          <w:spacing w:val="0"/>
          <w:kern w:val="0"/>
          <w:sz w:val="32"/>
          <w:szCs w:val="32"/>
        </w:rPr>
        <w:t>个内设机构，其中：列入2024年决算编制范围的单位详细情况见下表</w:t>
      </w:r>
      <w:r>
        <w:rPr>
          <w:rFonts w:hint="eastAsia" w:ascii="仿宋" w:hAnsi="仿宋" w:eastAsia="仿宋" w:cs="仿宋"/>
          <w:kern w:val="0"/>
          <w:sz w:val="32"/>
          <w:szCs w:val="32"/>
          <w:shd w:val="clear" w:fill="FFFFFF"/>
        </w:rPr>
        <w:t>:</w:t>
      </w:r>
    </w:p>
    <w:tbl>
      <w:tblPr>
        <w:tblStyle w:val="26"/>
        <w:tblW w:w="70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1425"/>
        <w:gridCol w:w="5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664" w:hRule="atLeast"/>
          <w:jc w:val="center"/>
        </w:trPr>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fill="FFFFFF"/>
              <w:spacing w:before="0" w:beforeAutospacing="1" w:after="0" w:afterAutospacing="1" w:line="600" w:lineRule="atLeast"/>
              <w:ind w:left="0" w:right="0"/>
              <w:jc w:val="center"/>
              <w:rPr>
                <w:rFonts w:hint="eastAsia" w:ascii="宋体" w:hAnsi="宋体" w:eastAsia="宋体" w:cs="宋体"/>
                <w:kern w:val="0"/>
                <w:sz w:val="24"/>
                <w:szCs w:val="24"/>
                <w:shd w:val="clear" w:fill="FFFFFF"/>
                <w:lang w:val="en-US" w:eastAsia="zh-CN"/>
              </w:rPr>
            </w:pPr>
            <w:r>
              <w:rPr>
                <w:rFonts w:hint="eastAsia" w:ascii="宋体" w:hAnsi="宋体" w:eastAsia="宋体" w:cs="宋体"/>
                <w:kern w:val="0"/>
                <w:sz w:val="24"/>
                <w:szCs w:val="24"/>
                <w:shd w:val="clear" w:fill="FFFFFF"/>
                <w:lang w:val="en-US" w:eastAsia="zh-CN"/>
              </w:rPr>
              <w:t>序号</w:t>
            </w:r>
          </w:p>
        </w:tc>
        <w:tc>
          <w:tcPr>
            <w:tcW w:w="565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hd w:val="clear" w:fill="FFFFFF"/>
              <w:spacing w:before="0" w:beforeAutospacing="1" w:after="0" w:afterAutospacing="1" w:line="600" w:lineRule="atLeast"/>
              <w:ind w:left="0" w:right="0"/>
              <w:jc w:val="center"/>
              <w:rPr>
                <w:rFonts w:hint="eastAsia" w:ascii="宋体" w:hAnsi="宋体" w:eastAsia="宋体" w:cs="宋体"/>
                <w:kern w:val="0"/>
                <w:sz w:val="24"/>
                <w:szCs w:val="24"/>
                <w:shd w:val="clear" w:fill="FFFFFF"/>
              </w:rPr>
            </w:pPr>
            <w:r>
              <w:rPr>
                <w:rFonts w:hint="eastAsia" w:ascii="仿宋" w:hAnsi="仿宋" w:eastAsia="仿宋" w:cs="仿宋"/>
                <w:kern w:val="0"/>
                <w:sz w:val="32"/>
                <w:szCs w:val="32"/>
                <w:shd w:val="clear" w:fill="FFFFFF"/>
              </w:rPr>
              <w:t>单位</w:t>
            </w:r>
            <w:r>
              <w:rPr>
                <w:rFonts w:hint="eastAsia" w:ascii="仿宋" w:hAnsi="仿宋" w:eastAsia="仿宋" w:cs="仿宋"/>
                <w:kern w:val="0"/>
                <w:sz w:val="32"/>
                <w:szCs w:val="32"/>
                <w:shd w:val="clear" w:fill="FFFFFF"/>
                <w:lang w:eastAsia="zh-CN"/>
              </w:rPr>
              <w:t>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42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hd w:val="clear" w:fill="FFFFFF"/>
              <w:spacing w:before="0" w:beforeAutospacing="1" w:after="0" w:afterAutospacing="1" w:line="600" w:lineRule="atLeast"/>
              <w:ind w:left="0" w:right="0"/>
              <w:jc w:val="center"/>
              <w:rPr>
                <w:rFonts w:hint="eastAsia" w:ascii="宋体" w:hAnsi="宋体" w:eastAsia="仿宋" w:cs="宋体"/>
                <w:kern w:val="0"/>
                <w:sz w:val="24"/>
                <w:szCs w:val="24"/>
                <w:shd w:val="clear" w:fill="FFFFFF"/>
                <w:lang w:val="en-US" w:eastAsia="zh-CN"/>
              </w:rPr>
            </w:pPr>
            <w:r>
              <w:rPr>
                <w:rFonts w:hint="eastAsia" w:ascii="仿宋" w:hAnsi="仿宋" w:eastAsia="仿宋" w:cs="仿宋"/>
                <w:b/>
                <w:kern w:val="0"/>
                <w:sz w:val="32"/>
                <w:szCs w:val="32"/>
                <w:shd w:val="clear" w:fill="FFFFFF"/>
                <w:lang w:val="en-US" w:eastAsia="zh-CN"/>
              </w:rPr>
              <w:t>1</w:t>
            </w:r>
          </w:p>
        </w:tc>
        <w:tc>
          <w:tcPr>
            <w:tcW w:w="5654"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hd w:val="clear" w:fill="FFFFFF"/>
              <w:spacing w:before="0" w:beforeAutospacing="1" w:after="0" w:afterAutospacing="1" w:line="600" w:lineRule="atLeast"/>
              <w:ind w:left="0" w:right="0"/>
              <w:jc w:val="center"/>
              <w:rPr>
                <w:rFonts w:hint="default" w:ascii="宋体" w:hAnsi="宋体" w:eastAsia="仿宋" w:cs="宋体"/>
                <w:kern w:val="0"/>
                <w:sz w:val="24"/>
                <w:szCs w:val="24"/>
                <w:shd w:val="clear" w:fill="FFFFFF"/>
                <w:lang w:val="en-US" w:eastAsia="zh-CN"/>
              </w:rPr>
            </w:pPr>
            <w:r>
              <w:rPr>
                <w:rFonts w:hint="eastAsia" w:ascii="仿宋" w:hAnsi="仿宋" w:eastAsia="仿宋" w:cs="仿宋"/>
                <w:b w:val="0"/>
                <w:kern w:val="0"/>
                <w:sz w:val="32"/>
                <w:szCs w:val="32"/>
                <w:shd w:val="clear" w:fill="FFFFFF"/>
              </w:rPr>
              <w:t>厦门市湖里实验小学</w:t>
            </w:r>
          </w:p>
        </w:tc>
      </w:tr>
    </w:tbl>
    <w:p>
      <w:pPr>
        <w:keepNext w:val="0"/>
        <w:keepLines w:val="0"/>
        <w:widowControl/>
        <w:suppressLineNumbers w:val="0"/>
        <w:shd w:val="clear" w:fill="FFFFFF"/>
        <w:spacing w:before="240" w:beforeAutospacing="0" w:after="240" w:afterAutospacing="0" w:line="600" w:lineRule="atLeast"/>
        <w:ind w:left="0" w:right="0" w:firstLine="640"/>
        <w:rPr>
          <w:rFonts w:hint="eastAsia" w:ascii="宋体" w:hAnsi="宋体" w:eastAsia="宋体" w:cs="宋体"/>
          <w:kern w:val="0"/>
          <w:sz w:val="24"/>
          <w:szCs w:val="24"/>
          <w:shd w:val="clear" w:fill="FFFFFF"/>
        </w:rPr>
      </w:pPr>
      <w:r>
        <w:rPr>
          <w:rFonts w:hint="eastAsia" w:ascii="黑体" w:hAnsi="宋体" w:eastAsia="黑体" w:cs="黑体"/>
          <w:kern w:val="0"/>
          <w:sz w:val="32"/>
          <w:szCs w:val="32"/>
          <w:shd w:val="clear" w:fill="FFFFFF"/>
        </w:rPr>
        <w:t>三、</w:t>
      </w:r>
      <w:r>
        <w:rPr>
          <w:rFonts w:hint="eastAsia" w:ascii="黑体" w:hAnsi="宋体" w:eastAsia="黑体" w:cs="黑体"/>
          <w:kern w:val="0"/>
          <w:sz w:val="32"/>
          <w:szCs w:val="32"/>
          <w:shd w:val="clear" w:fill="FFFFFF"/>
          <w:lang w:eastAsia="zh-CN"/>
        </w:rPr>
        <w:t>单位</w:t>
      </w:r>
      <w:r>
        <w:rPr>
          <w:rFonts w:hint="eastAsia" w:ascii="黑体" w:hAnsi="宋体" w:eastAsia="黑体" w:cs="黑体"/>
          <w:kern w:val="0"/>
          <w:sz w:val="32"/>
          <w:szCs w:val="32"/>
          <w:shd w:val="clear" w:fill="FFFFFF"/>
        </w:rPr>
        <w:t>主要工作总结</w:t>
      </w:r>
    </w:p>
    <w:p>
      <w:pPr>
        <w:keepNext w:val="0"/>
        <w:keepLines w:val="0"/>
        <w:widowControl/>
        <w:suppressLineNumbers w:val="0"/>
        <w:shd w:val="clear" w:fill="FFFFFF"/>
        <w:spacing w:before="240" w:beforeAutospacing="0" w:after="240" w:afterAutospacing="0" w:line="600" w:lineRule="atLeast"/>
        <w:ind w:left="0" w:right="0" w:firstLine="640"/>
        <w:jc w:val="both"/>
        <w:rPr>
          <w:rFonts w:hint="default" w:ascii="仿宋" w:hAnsi="仿宋" w:eastAsia="仿宋" w:cs="仿宋"/>
          <w:kern w:val="0"/>
          <w:sz w:val="32"/>
          <w:szCs w:val="32"/>
        </w:rPr>
      </w:pPr>
      <w:r>
        <w:rPr>
          <w:rFonts w:hint="default" w:ascii="仿宋" w:hAnsi="仿宋" w:eastAsia="仿宋" w:cs="仿宋"/>
          <w:kern w:val="0"/>
          <w:sz w:val="32"/>
          <w:szCs w:val="32"/>
        </w:rPr>
        <w:t>202</w:t>
      </w:r>
      <w:r>
        <w:rPr>
          <w:rFonts w:hint="eastAsia" w:ascii="仿宋" w:hAnsi="仿宋" w:eastAsia="仿宋" w:cs="仿宋"/>
          <w:kern w:val="0"/>
          <w:sz w:val="32"/>
          <w:szCs w:val="32"/>
          <w:lang w:val="en-US" w:eastAsia="zh-CN"/>
        </w:rPr>
        <w:t>4</w:t>
      </w:r>
      <w:r>
        <w:rPr>
          <w:rFonts w:hint="default" w:ascii="仿宋" w:hAnsi="仿宋" w:eastAsia="仿宋" w:cs="仿宋"/>
          <w:kern w:val="0"/>
          <w:sz w:val="32"/>
          <w:szCs w:val="32"/>
        </w:rPr>
        <w:t>年，厦门市湖里实验小学主要任务是：</w:t>
      </w:r>
      <w:r>
        <w:rPr>
          <w:rFonts w:hint="eastAsia" w:ascii="仿宋" w:hAnsi="仿宋" w:eastAsia="仿宋" w:cs="仿宋"/>
          <w:kern w:val="0"/>
          <w:sz w:val="32"/>
          <w:szCs w:val="32"/>
        </w:rPr>
        <w:t>在集团党总支的带领下，实小校区全面贯彻党的教育方针，落实立德树人根本任务，提升教育教学质量，全体师生砥砺奋进，各项工作取得新成效。在2024年福建省基础教育教学成果奖评选中，我校以出色的教育实践和创新成果荣获特等奖。现回顾本学期的工作并将主要工作情况总结如下</w:t>
      </w:r>
      <w:r>
        <w:rPr>
          <w:rFonts w:hint="default" w:ascii="仿宋" w:hAnsi="仿宋" w:eastAsia="仿宋" w:cs="仿宋"/>
          <w:kern w:val="0"/>
          <w:sz w:val="32"/>
          <w:szCs w:val="32"/>
        </w:rPr>
        <w:t>。围绕上述任务，重点完成以下工作：</w:t>
      </w:r>
    </w:p>
    <w:p>
      <w:pPr>
        <w:keepNext w:val="0"/>
        <w:keepLines w:val="0"/>
        <w:widowControl/>
        <w:suppressLineNumbers w:val="0"/>
        <w:shd w:val="clear" w:fill="FFFFFF"/>
        <w:spacing w:before="240" w:beforeAutospacing="0" w:after="240" w:afterAutospacing="0" w:line="600" w:lineRule="atLeast"/>
        <w:ind w:left="0" w:right="0" w:firstLine="640"/>
        <w:jc w:val="both"/>
        <w:rPr>
          <w:rFonts w:hint="default" w:ascii="仿宋" w:hAnsi="仿宋" w:eastAsia="仿宋" w:cs="仿宋"/>
          <w:kern w:val="0"/>
          <w:sz w:val="32"/>
          <w:szCs w:val="32"/>
        </w:rPr>
      </w:pPr>
      <w:r>
        <w:rPr>
          <w:rFonts w:hint="default" w:ascii="仿宋" w:hAnsi="仿宋" w:eastAsia="仿宋" w:cs="仿宋"/>
          <w:kern w:val="0"/>
          <w:sz w:val="32"/>
          <w:szCs w:val="32"/>
        </w:rPr>
        <w:t xml:space="preserve">  （一）</w:t>
      </w:r>
      <w:r>
        <w:rPr>
          <w:rFonts w:hint="eastAsia" w:ascii="仿宋" w:hAnsi="仿宋" w:eastAsia="仿宋" w:cs="仿宋"/>
          <w:kern w:val="0"/>
          <w:sz w:val="32"/>
          <w:szCs w:val="32"/>
          <w:lang w:val="en-US" w:eastAsia="zh-CN"/>
        </w:rPr>
        <w:t>立德树人筑基业，家校携手育桃李</w:t>
      </w:r>
      <w:r>
        <w:rPr>
          <w:rFonts w:hint="default" w:ascii="仿宋" w:hAnsi="仿宋" w:eastAsia="仿宋" w:cs="仿宋"/>
          <w:kern w:val="0"/>
          <w:sz w:val="32"/>
          <w:szCs w:val="32"/>
          <w:lang w:val="en-US" w:eastAsia="zh-CN"/>
        </w:rPr>
        <w:t>。</w:t>
      </w:r>
    </w:p>
    <w:p>
      <w:pPr>
        <w:keepNext w:val="0"/>
        <w:keepLines w:val="0"/>
        <w:widowControl/>
        <w:suppressLineNumbers w:val="0"/>
        <w:shd w:val="clear" w:fill="FFFFFF"/>
        <w:spacing w:before="240" w:beforeAutospacing="0" w:after="240" w:afterAutospacing="0" w:line="600" w:lineRule="atLeast"/>
        <w:ind w:right="0" w:firstLine="960" w:firstLineChars="300"/>
        <w:jc w:val="both"/>
        <w:rPr>
          <w:rFonts w:hint="default" w:ascii="仿宋" w:hAnsi="仿宋" w:eastAsia="仿宋" w:cs="仿宋"/>
          <w:kern w:val="0"/>
          <w:sz w:val="32"/>
          <w:szCs w:val="32"/>
          <w:lang w:val="en-US" w:eastAsia="zh-CN"/>
        </w:rPr>
      </w:pPr>
      <w:r>
        <w:rPr>
          <w:rFonts w:hint="default" w:ascii="仿宋" w:hAnsi="仿宋" w:eastAsia="仿宋" w:cs="仿宋"/>
          <w:kern w:val="0"/>
          <w:sz w:val="32"/>
          <w:szCs w:val="32"/>
        </w:rPr>
        <w:t>（二）</w:t>
      </w:r>
      <w:r>
        <w:rPr>
          <w:rFonts w:hint="eastAsia" w:ascii="仿宋" w:hAnsi="仿宋" w:eastAsia="仿宋" w:cs="仿宋"/>
          <w:kern w:val="0"/>
          <w:sz w:val="32"/>
          <w:szCs w:val="32"/>
          <w:lang w:val="en-US" w:eastAsia="zh-CN"/>
        </w:rPr>
        <w:t>教学工作扎实有效，夯实常规保质量</w:t>
      </w:r>
      <w:r>
        <w:rPr>
          <w:rFonts w:hint="default" w:ascii="仿宋" w:hAnsi="仿宋" w:eastAsia="仿宋" w:cs="仿宋"/>
          <w:kern w:val="0"/>
          <w:sz w:val="32"/>
          <w:szCs w:val="32"/>
          <w:lang w:val="en-US" w:eastAsia="zh-CN"/>
        </w:rPr>
        <w:t>。</w:t>
      </w:r>
    </w:p>
    <w:p>
      <w:pPr>
        <w:keepNext w:val="0"/>
        <w:keepLines w:val="0"/>
        <w:widowControl/>
        <w:suppressLineNumbers w:val="0"/>
        <w:shd w:val="clear" w:fill="FFFFFF"/>
        <w:spacing w:before="240" w:beforeAutospacing="0" w:after="240" w:afterAutospacing="0" w:line="600" w:lineRule="atLeast"/>
        <w:ind w:right="0" w:firstLine="960" w:firstLineChars="300"/>
        <w:jc w:val="both"/>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（三）</w:t>
      </w:r>
      <w:r>
        <w:rPr>
          <w:rFonts w:hint="eastAsia" w:ascii="仿宋" w:hAnsi="仿宋" w:eastAsia="仿宋" w:cs="仿宋"/>
          <w:kern w:val="0"/>
          <w:sz w:val="32"/>
          <w:szCs w:val="32"/>
          <w:lang w:val="en-US" w:eastAsia="zh-CN"/>
        </w:rPr>
        <w:t>深耕细研结硕果，强师赋能具成效</w:t>
      </w:r>
      <w:r>
        <w:rPr>
          <w:rFonts w:hint="default" w:ascii="仿宋" w:hAnsi="仿宋" w:eastAsia="仿宋" w:cs="仿宋"/>
          <w:kern w:val="0"/>
          <w:sz w:val="32"/>
          <w:szCs w:val="32"/>
          <w:lang w:val="en-US" w:eastAsia="zh-CN"/>
        </w:rPr>
        <w:t>。</w:t>
      </w:r>
    </w:p>
    <w:p>
      <w:pPr>
        <w:keepNext w:val="0"/>
        <w:keepLines w:val="0"/>
        <w:widowControl/>
        <w:suppressLineNumbers w:val="0"/>
        <w:shd w:val="clear" w:fill="FFFFFF"/>
        <w:spacing w:before="240" w:beforeAutospacing="0" w:after="240" w:afterAutospacing="0" w:line="600" w:lineRule="atLeast"/>
        <w:ind w:right="0" w:firstLine="960" w:firstLineChars="300"/>
        <w:jc w:val="both"/>
        <w:rPr>
          <w:rFonts w:hint="eastAsia"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（四）</w:t>
      </w:r>
      <w:r>
        <w:rPr>
          <w:rFonts w:hint="eastAsia" w:ascii="仿宋" w:hAnsi="仿宋" w:eastAsia="仿宋" w:cs="仿宋"/>
          <w:kern w:val="0"/>
          <w:sz w:val="32"/>
          <w:szCs w:val="32"/>
          <w:lang w:val="en-US" w:eastAsia="zh-CN"/>
        </w:rPr>
        <w:t>绷紧师生安全弦，守护校园筑防线</w:t>
      </w:r>
      <w:r>
        <w:rPr>
          <w:rFonts w:hint="default" w:ascii="仿宋" w:hAnsi="仿宋" w:eastAsia="仿宋" w:cs="仿宋"/>
          <w:kern w:val="0"/>
          <w:sz w:val="32"/>
          <w:szCs w:val="32"/>
          <w:lang w:val="en-US" w:eastAsia="zh-CN"/>
        </w:rPr>
        <w:t>。</w:t>
      </w:r>
    </w:p>
    <w:p>
      <w:pPr>
        <w:keepNext w:val="0"/>
        <w:keepLines w:val="0"/>
        <w:widowControl/>
        <w:suppressLineNumbers w:val="0"/>
        <w:shd w:val="clear" w:fill="FFFFFF"/>
        <w:spacing w:before="240" w:beforeAutospacing="0" w:after="240" w:afterAutospacing="0" w:line="600" w:lineRule="atLeast"/>
        <w:ind w:right="0" w:firstLine="960" w:firstLineChars="300"/>
        <w:jc w:val="both"/>
        <w:rPr>
          <w:rFonts w:hint="default" w:ascii="仿宋" w:hAnsi="仿宋" w:eastAsia="仿宋" w:cs="仿宋"/>
          <w:kern w:val="0"/>
          <w:sz w:val="32"/>
          <w:szCs w:val="32"/>
        </w:rPr>
      </w:pPr>
      <w:r>
        <w:rPr>
          <w:rFonts w:hint="default" w:ascii="仿宋" w:hAnsi="仿宋" w:eastAsia="仿宋" w:cs="仿宋"/>
          <w:kern w:val="0"/>
          <w:sz w:val="32"/>
          <w:szCs w:val="32"/>
        </w:rPr>
        <w:t>（五）</w:t>
      </w:r>
      <w:r>
        <w:rPr>
          <w:rFonts w:hint="eastAsia" w:ascii="仿宋" w:hAnsi="仿宋" w:eastAsia="仿宋" w:cs="仿宋"/>
          <w:kern w:val="0"/>
          <w:sz w:val="32"/>
          <w:szCs w:val="32"/>
          <w:lang w:val="en-US" w:eastAsia="zh-CN"/>
        </w:rPr>
        <w:t>工会凝聚职工力量，精心策划活动</w:t>
      </w:r>
      <w:r>
        <w:rPr>
          <w:rFonts w:hint="default" w:ascii="仿宋" w:hAnsi="仿宋" w:eastAsia="仿宋" w:cs="仿宋"/>
          <w:kern w:val="0"/>
          <w:sz w:val="32"/>
          <w:szCs w:val="32"/>
          <w:lang w:val="en-US" w:eastAsia="zh-CN"/>
        </w:rPr>
        <w:t>。</w:t>
      </w: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8"/>
        <w:widowControl/>
        <w:numPr>
          <w:ilvl w:val="0"/>
          <w:numId w:val="1"/>
        </w:numPr>
        <w:spacing w:before="240" w:after="240"/>
        <w:ind w:firstLine="720" w:firstLineChars="200"/>
        <w:jc w:val="center"/>
        <w:rPr>
          <w:rFonts w:ascii="黑体" w:hAnsi="黑体" w:eastAsia="黑体" w:cs="黑体"/>
          <w:kern w:val="0"/>
          <w:sz w:val="36"/>
          <w:szCs w:val="36"/>
        </w:rPr>
      </w:pPr>
      <w:r>
        <w:rPr>
          <w:rFonts w:ascii="黑体" w:hAnsi="黑体" w:eastAsia="黑体" w:cs="黑体"/>
          <w:kern w:val="0"/>
          <w:sz w:val="36"/>
          <w:szCs w:val="36"/>
        </w:rPr>
        <w:t>202</w:t>
      </w:r>
      <w:r>
        <w:rPr>
          <w:rFonts w:hint="eastAsia" w:ascii="黑体" w:hAnsi="黑体" w:eastAsia="黑体" w:cs="黑体"/>
          <w:kern w:val="0"/>
          <w:sz w:val="36"/>
          <w:szCs w:val="36"/>
          <w:lang w:val="en-US" w:eastAsia="zh-CN"/>
        </w:rPr>
        <w:t>4</w:t>
      </w:r>
      <w:r>
        <w:rPr>
          <w:rFonts w:ascii="黑体" w:hAnsi="黑体" w:eastAsia="黑体" w:cs="黑体"/>
          <w:kern w:val="0"/>
          <w:sz w:val="36"/>
          <w:szCs w:val="36"/>
        </w:rPr>
        <w:t>年度部门决算表</w:t>
      </w:r>
    </w:p>
    <w:p>
      <w:pPr>
        <w:pStyle w:val="29"/>
        <w:widowControl/>
        <w:spacing w:before="100" w:after="100"/>
        <w:ind w:left="0" w:right="0" w:firstLine="0"/>
        <w:jc w:val="left"/>
        <w:rPr>
          <w:rFonts w:ascii="Times New Roman" w:hAnsi="Times New Roman" w:eastAsia="Times New Roman" w:cs="Times New Roman"/>
          <w:kern w:val="0"/>
          <w:sz w:val="24"/>
        </w:rPr>
      </w:pPr>
      <w:r>
        <w:rPr>
          <w:rFonts w:ascii="黑体" w:hAnsi="黑体" w:eastAsia="黑体" w:cs="黑体"/>
          <w:kern w:val="0"/>
          <w:sz w:val="32"/>
          <w:szCs w:val="32"/>
        </w:rPr>
        <w:t>一、收入支出决算总表</w:t>
      </w:r>
    </w:p>
    <w:p>
      <w:pPr>
        <w:pStyle w:val="29"/>
        <w:widowControl/>
        <w:spacing w:before="100" w:after="100"/>
        <w:ind w:left="0" w:right="0" w:firstLine="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6"/>
        <w:tblW w:w="9066" w:type="dxa"/>
        <w:jc w:val="center"/>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512"/>
        <w:gridCol w:w="1510"/>
        <w:gridCol w:w="1511"/>
        <w:gridCol w:w="1511"/>
        <w:gridCol w:w="1511"/>
        <w:gridCol w:w="15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blHeader/>
          <w:jc w:val="center"/>
        </w:trPr>
        <w:tc>
          <w:tcPr>
            <w:tcW w:w="9066" w:type="dxa"/>
            <w:gridSpan w:val="6"/>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blHeader/>
          <w:jc w:val="center"/>
        </w:trPr>
        <w:tc>
          <w:tcPr>
            <w:tcW w:w="3022"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blHeader/>
          <w:jc w:val="center"/>
        </w:trPr>
        <w:tc>
          <w:tcPr>
            <w:tcW w:w="151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单位：厦门市湖里实验小学</w:t>
            </w:r>
          </w:p>
        </w:tc>
        <w:tc>
          <w:tcPr>
            <w:tcW w:w="151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151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453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收入</w:t>
            </w:r>
          </w:p>
        </w:tc>
        <w:tc>
          <w:tcPr>
            <w:tcW w:w="453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行次</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行次</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栏次</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栏次</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一、一般公共预算财政拨款收入</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4,261.9</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一、一般公共服务支出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二、政府性基金预算财政拨款收入</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二、外交支出</w:t>
            </w:r>
            <w:r>
              <w:rPr>
                <w:rFonts w:ascii="Times New Roman" w:hAnsi="Times New Roman" w:eastAsia="Times New Roman" w:cs="Times New Roman"/>
                <w:b w:val="0"/>
                <w:bCs w:val="0"/>
                <w:i w:val="0"/>
                <w:iCs w:val="0"/>
                <w:smallCaps w:val="0"/>
                <w:color w:val="000000"/>
                <w:kern w:val="0"/>
                <w:sz w:val="18"/>
                <w:szCs w:val="18"/>
              </w:rPr>
              <w:t xml:space="preserve">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三、国有资本经营预算财政拨款收入</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三、国防支出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四、上级补助收入</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四、公共安全支出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五、事业收入</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五、教育支出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3,585.15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六、经营收入</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六、科学技术支出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七、附属单位上缴收入</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七、文化旅游体育与传媒支出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八、其他收入</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八、社会保障和就业支出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461.61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九、卫生健康支出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155.99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十、节能环保支出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十一、城乡社区支出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十二、农林水支出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十三、交通运输支出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十四、资源勘探工业信息等支出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十五、商业服务业等支出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十六、金融支出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十七、援助其他地区支出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十八、自然资源海洋气象等支出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十九、住房保障支出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二十、粮油物资储备支出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二十一、国有资本经营预算支出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二十二、灾害防治及应急管理支出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pStyle w:val="9"/>
              <w:ind w:left="0" w:leftChars="0" w:firstLine="0" w:firstLineChars="0"/>
              <w:rPr>
                <w:rFonts w:ascii="Times New Roman" w:hAnsi="Times New Roman" w:eastAsia="Times New Roman" w:cs="Times New Roman"/>
                <w:b w:val="0"/>
                <w:bCs w:val="0"/>
                <w:i w:val="0"/>
                <w:iCs w:val="0"/>
                <w:smallCaps w:val="0"/>
                <w:color w:val="000000"/>
                <w:kern w:val="0"/>
                <w:sz w:val="18"/>
                <w:szCs w:val="18"/>
              </w:rPr>
            </w:pP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b w:val="0"/>
                <w:bCs w:val="0"/>
                <w:i w:val="0"/>
                <w:iCs w:val="0"/>
                <w:smallCaps w:val="0"/>
                <w:color w:val="000000"/>
                <w:kern w:val="0"/>
                <w:sz w:val="18"/>
                <w:szCs w:val="18"/>
              </w:rPr>
            </w:pP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二十三、其他支出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二十四、债务还本支出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二十五、债务付息支出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56</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二十六、抗疫特别国债安排的支出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本年收入合计</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4,263.9</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本年支出合计</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4,263.9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使用非财政拨款结余（含专用结余）</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结余分配</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年初结转和结余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年末结转和结余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60</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总计</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4,263.9</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总计</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4,263.9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9066" w:type="dxa"/>
            <w:gridSpan w:val="6"/>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w:t>
            </w:r>
            <w:r>
              <w:rPr>
                <w:rFonts w:ascii="Times New Roman" w:hAnsi="Times New Roman" w:eastAsia="Times New Roman" w:cs="Times New Roman"/>
                <w:b w:val="0"/>
                <w:bCs w:val="0"/>
                <w:i w:val="0"/>
                <w:iCs w:val="0"/>
                <w:smallCaps w:val="0"/>
                <w:color w:val="000000"/>
                <w:kern w:val="0"/>
                <w:sz w:val="18"/>
                <w:szCs w:val="18"/>
              </w:rPr>
              <w:t>1.</w:t>
            </w:r>
            <w:r>
              <w:rPr>
                <w:b w:val="0"/>
                <w:bCs w:val="0"/>
                <w:i w:val="0"/>
                <w:iCs w:val="0"/>
                <w:smallCaps w:val="0"/>
                <w:color w:val="000000"/>
                <w:kern w:val="0"/>
                <w:sz w:val="18"/>
                <w:szCs w:val="18"/>
              </w:rPr>
              <w:t>本表反映部门本年度的总收支和年末结转结余情况。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9066" w:type="dxa"/>
            <w:gridSpan w:val="6"/>
            <w:tcMar>
              <w:top w:w="20" w:type="dxa"/>
              <w:left w:w="485"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r>
              <w:rPr>
                <w:b w:val="0"/>
                <w:bCs w:val="0"/>
                <w:i w:val="0"/>
                <w:iCs w:val="0"/>
                <w:smallCaps w:val="0"/>
                <w:color w:val="000000"/>
                <w:kern w:val="0"/>
                <w:sz w:val="18"/>
                <w:szCs w:val="18"/>
              </w:rPr>
              <w:t>本套报表金额单位转换时可能存在尾数误差。</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29"/>
        <w:widowControl/>
        <w:spacing w:before="100" w:after="100"/>
        <w:ind w:left="720" w:right="0" w:firstLine="0"/>
        <w:jc w:val="left"/>
        <w:rPr>
          <w:rFonts w:ascii="Times New Roman" w:hAnsi="Times New Roman" w:eastAsia="Times New Roman" w:cs="Times New Roman"/>
          <w:kern w:val="0"/>
          <w:sz w:val="24"/>
        </w:rPr>
      </w:pPr>
      <w:r>
        <w:rPr>
          <w:rFonts w:ascii="宋体" w:hAnsi="宋体" w:cs="宋体"/>
          <w:spacing w:val="0"/>
          <w:kern w:val="0"/>
          <w:sz w:val="32"/>
          <w:szCs w:val="32"/>
        </w:rPr>
        <w:t> </w:t>
      </w:r>
    </w:p>
    <w:p>
      <w:pPr>
        <w:sectPr>
          <w:footerReference r:id="rId5" w:type="default"/>
          <w:pgSz w:w="11906" w:h="16383"/>
          <w:pgMar w:top="1440" w:right="1803" w:bottom="1440" w:left="1803" w:header="720" w:footer="720" w:gutter="0"/>
          <w:pgNumType w:fmt="decimal" w:start="4"/>
          <w:cols w:space="0" w:num="1"/>
          <w:rtlGutter w:val="0"/>
          <w:docGrid w:linePitch="0" w:charSpace="0"/>
        </w:sectPr>
      </w:pPr>
    </w:p>
    <w:p>
      <w:pPr>
        <w:widowControl/>
        <w:numPr>
          <w:ilvl w:val="0"/>
          <w:numId w:val="2"/>
        </w:numPr>
        <w:jc w:val="left"/>
        <w:rPr>
          <w:rFonts w:ascii="等线" w:hAnsi="等线" w:eastAsia="等线" w:cs="Times New Roman"/>
          <w:b/>
          <w:bCs/>
          <w:kern w:val="0"/>
          <w:sz w:val="32"/>
          <w:szCs w:val="32"/>
        </w:rPr>
      </w:pPr>
      <w:bookmarkStart w:id="1" w:name="_Toc256000039"/>
      <w:bookmarkStart w:id="2" w:name="_Toc256000101"/>
      <w:bookmarkStart w:id="3" w:name="_Toc256000008"/>
      <w:bookmarkStart w:id="4" w:name="_Toc256000070"/>
      <w:r>
        <w:rPr>
          <w:rFonts w:ascii="等线" w:hAnsi="等线" w:eastAsia="等线" w:cs="Times New Roman"/>
          <w:b/>
          <w:bCs/>
          <w:kern w:val="0"/>
          <w:sz w:val="32"/>
          <w:szCs w:val="32"/>
        </w:rPr>
        <w:t>收入决算表</w:t>
      </w:r>
      <w:bookmarkEnd w:id="1"/>
      <w:bookmarkEnd w:id="2"/>
      <w:bookmarkEnd w:id="3"/>
      <w:bookmarkEnd w:id="4"/>
    </w:p>
    <w:tbl>
      <w:tblPr>
        <w:tblStyle w:val="26"/>
        <w:tblW w:w="906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007"/>
        <w:gridCol w:w="1007"/>
        <w:gridCol w:w="1007"/>
        <w:gridCol w:w="1008"/>
        <w:gridCol w:w="1007"/>
        <w:gridCol w:w="1008"/>
        <w:gridCol w:w="1007"/>
        <w:gridCol w:w="1008"/>
        <w:gridCol w:w="10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cantSplit/>
          <w:trHeight w:val="0" w:hRule="atLeast"/>
        </w:trPr>
        <w:tc>
          <w:tcPr>
            <w:tcW w:w="9066" w:type="dxa"/>
            <w:gridSpan w:val="9"/>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cantSplit/>
          <w:trHeight w:val="0" w:hRule="atLeast"/>
        </w:trPr>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cantSplit/>
          <w:trHeight w:val="0" w:hRule="atLeast"/>
        </w:trPr>
        <w:tc>
          <w:tcPr>
            <w:tcW w:w="4029"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单位：厦门市湖里实验小学</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10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cantSplit/>
          <w:trHeight w:val="0" w:hRule="atLeast"/>
        </w:trPr>
        <w:tc>
          <w:tcPr>
            <w:tcW w:w="2014"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p>
        </w:tc>
        <w:tc>
          <w:tcPr>
            <w:tcW w:w="10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本年收入合计</w:t>
            </w:r>
          </w:p>
        </w:tc>
        <w:tc>
          <w:tcPr>
            <w:tcW w:w="100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财政拨款收入</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上级补助收入</w:t>
            </w:r>
          </w:p>
        </w:tc>
        <w:tc>
          <w:tcPr>
            <w:tcW w:w="100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事业收入</w:t>
            </w:r>
          </w:p>
        </w:tc>
        <w:tc>
          <w:tcPr>
            <w:tcW w:w="10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经营收入</w:t>
            </w:r>
          </w:p>
        </w:tc>
        <w:tc>
          <w:tcPr>
            <w:tcW w:w="100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附属单位上缴收入</w:t>
            </w:r>
          </w:p>
        </w:tc>
        <w:tc>
          <w:tcPr>
            <w:tcW w:w="10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cantSplit/>
          <w:trHeight w:val="312" w:hRule="atLeast"/>
        </w:trPr>
        <w:tc>
          <w:tcPr>
            <w:tcW w:w="10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科目代码</w:t>
            </w:r>
          </w:p>
        </w:tc>
        <w:tc>
          <w:tcPr>
            <w:tcW w:w="10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科目名称</w:t>
            </w: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cantSplit/>
          <w:trHeight w:val="312" w:hRule="atLeast"/>
        </w:trPr>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cantSplit/>
          <w:trHeight w:val="0" w:hRule="atLeast"/>
        </w:trPr>
        <w:tc>
          <w:tcPr>
            <w:tcW w:w="2014"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栏次</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cantSplit/>
          <w:trHeight w:val="0" w:hRule="atLeast"/>
        </w:trPr>
        <w:tc>
          <w:tcPr>
            <w:tcW w:w="2014"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4,263.9</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4,263.9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cantSplit/>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教育支出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3,585.15</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3,585.15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cantSplit/>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教育管理事务</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cantSplit/>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2050199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其他教育管理事务支出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cantSplit/>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普通教育</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3,232.3</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3,232.3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cantSplit/>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小学教育</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2,969.79</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2,969.79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cantSplit/>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其他普通教育支出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262.51</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262.51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cantSplit/>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教育费附加安排的支出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349.85</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349.85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cantSplit/>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其他教育费附加安排的支出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349.85</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349.85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cantSplit/>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社会保障和就业支出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461.61</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461.61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cantSplit/>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行政事业单位养老支出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461.61</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461.61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cantSplit/>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事业单位离退休</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89.32</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89.32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cantSplit/>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机关事业单位基本养老保险缴费支出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241.11</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241.11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cantSplit/>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机关事业单位职业年金缴费支出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131.18</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131.18</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cantSplit/>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卫生健康支出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155.99</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155.99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cantSplit/>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行政事业单位医疗</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155.99</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155.99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cantSplit/>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事业单位医疗</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103.24</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103.24</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cantSplit/>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其他行政事业单位医疗支出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52.75</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52.75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cantSplit/>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住房保障支出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59.15</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59.15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cantSplit/>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住房改革支出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59.15</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59.15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cantSplit/>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购房补贴</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59.15</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59.15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cantSplit/>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cantSplit/>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彩票公益金安排的支出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cantSplit/>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用于体育事业的彩票公益金支出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cantSplit/>
          <w:trHeight w:val="0" w:hRule="atLeast"/>
        </w:trPr>
        <w:tc>
          <w:tcPr>
            <w:tcW w:w="9066" w:type="dxa"/>
            <w:gridSpan w:val="9"/>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注：本表反映部门本年度取得的各项收入情况。</w:t>
            </w:r>
          </w:p>
        </w:tc>
      </w:tr>
    </w:tbl>
    <w:p>
      <w:pPr>
        <w:pStyle w:val="9"/>
        <w:numPr>
          <w:ilvl w:val="0"/>
          <w:numId w:val="0"/>
        </w:num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29"/>
        <w:widowControl/>
        <w:spacing w:before="100" w:after="100"/>
        <w:ind w:left="720" w:right="0" w:firstLine="0"/>
        <w:jc w:val="left"/>
        <w:rPr>
          <w:rFonts w:ascii="宋体" w:hAnsi="宋体" w:cs="宋体"/>
          <w:spacing w:val="0"/>
          <w:kern w:val="0"/>
          <w:sz w:val="32"/>
          <w:szCs w:val="32"/>
        </w:rPr>
      </w:pPr>
      <w:r>
        <w:rPr>
          <w:rFonts w:ascii="宋体" w:hAnsi="宋体" w:cs="宋体"/>
          <w:spacing w:val="0"/>
          <w:kern w:val="0"/>
          <w:sz w:val="32"/>
          <w:szCs w:val="32"/>
        </w:rPr>
        <w:t> </w:t>
      </w:r>
    </w:p>
    <w:p>
      <w:pPr>
        <w:pStyle w:val="29"/>
        <w:widowControl/>
        <w:spacing w:before="100" w:after="100"/>
        <w:ind w:left="720" w:right="0" w:firstLine="0"/>
        <w:jc w:val="left"/>
        <w:rPr>
          <w:rFonts w:ascii="宋体" w:hAnsi="宋体" w:cs="宋体"/>
          <w:spacing w:val="0"/>
          <w:kern w:val="0"/>
          <w:sz w:val="32"/>
          <w:szCs w:val="32"/>
        </w:rPr>
      </w:pPr>
    </w:p>
    <w:p>
      <w:pPr>
        <w:pStyle w:val="29"/>
        <w:widowControl/>
        <w:spacing w:before="100" w:after="100"/>
        <w:ind w:left="720" w:right="0" w:firstLine="0"/>
        <w:jc w:val="left"/>
        <w:rPr>
          <w:rFonts w:ascii="宋体" w:hAnsi="宋体" w:cs="宋体"/>
          <w:spacing w:val="0"/>
          <w:kern w:val="0"/>
          <w:sz w:val="32"/>
          <w:szCs w:val="32"/>
        </w:rPr>
      </w:pPr>
    </w:p>
    <w:p>
      <w:pPr>
        <w:pStyle w:val="29"/>
        <w:widowControl/>
        <w:spacing w:before="100" w:after="100"/>
        <w:ind w:left="720" w:right="0" w:firstLine="0"/>
        <w:jc w:val="left"/>
        <w:rPr>
          <w:rFonts w:ascii="宋体" w:hAnsi="宋体" w:cs="宋体"/>
          <w:spacing w:val="0"/>
          <w:kern w:val="0"/>
          <w:sz w:val="32"/>
          <w:szCs w:val="32"/>
        </w:rPr>
      </w:pPr>
    </w:p>
    <w:p>
      <w:pPr>
        <w:pStyle w:val="29"/>
        <w:widowControl/>
        <w:spacing w:before="100" w:after="100"/>
        <w:ind w:left="720" w:right="0" w:firstLine="0"/>
        <w:jc w:val="left"/>
        <w:rPr>
          <w:rFonts w:ascii="宋体" w:hAnsi="宋体" w:cs="宋体"/>
          <w:spacing w:val="0"/>
          <w:kern w:val="0"/>
          <w:sz w:val="32"/>
          <w:szCs w:val="32"/>
        </w:rPr>
      </w:pPr>
    </w:p>
    <w:p>
      <w:pPr>
        <w:pStyle w:val="29"/>
        <w:widowControl/>
        <w:spacing w:before="100" w:after="100"/>
        <w:ind w:left="720" w:right="0" w:firstLine="0"/>
        <w:jc w:val="left"/>
        <w:rPr>
          <w:rFonts w:ascii="宋体" w:hAnsi="宋体" w:cs="宋体"/>
          <w:spacing w:val="0"/>
          <w:kern w:val="0"/>
          <w:sz w:val="32"/>
          <w:szCs w:val="32"/>
        </w:rPr>
      </w:pPr>
    </w:p>
    <w:p>
      <w:pPr>
        <w:pStyle w:val="29"/>
        <w:widowControl/>
        <w:spacing w:before="100" w:after="100"/>
        <w:ind w:left="720" w:right="0" w:firstLine="0"/>
        <w:jc w:val="left"/>
        <w:rPr>
          <w:rFonts w:ascii="宋体" w:hAnsi="宋体" w:cs="宋体"/>
          <w:spacing w:val="0"/>
          <w:kern w:val="0"/>
          <w:sz w:val="32"/>
          <w:szCs w:val="32"/>
        </w:rPr>
      </w:pPr>
    </w:p>
    <w:p>
      <w:pPr>
        <w:pStyle w:val="29"/>
        <w:widowControl/>
        <w:spacing w:before="100" w:after="100"/>
        <w:ind w:left="720" w:right="0" w:firstLine="0"/>
        <w:jc w:val="left"/>
        <w:rPr>
          <w:rFonts w:ascii="宋体" w:hAnsi="宋体" w:cs="宋体"/>
          <w:spacing w:val="0"/>
          <w:kern w:val="0"/>
          <w:sz w:val="32"/>
          <w:szCs w:val="32"/>
        </w:rPr>
      </w:pPr>
    </w:p>
    <w:p>
      <w:pPr>
        <w:pStyle w:val="29"/>
        <w:widowControl/>
        <w:spacing w:before="100" w:after="100"/>
        <w:ind w:left="720" w:right="0" w:firstLine="0"/>
        <w:jc w:val="left"/>
        <w:rPr>
          <w:rFonts w:ascii="宋体" w:hAnsi="宋体" w:cs="宋体"/>
          <w:spacing w:val="0"/>
          <w:kern w:val="0"/>
          <w:sz w:val="32"/>
          <w:szCs w:val="32"/>
        </w:rPr>
      </w:pPr>
    </w:p>
    <w:p>
      <w:pPr>
        <w:pStyle w:val="29"/>
        <w:widowControl/>
        <w:spacing w:before="100" w:after="100"/>
        <w:ind w:right="0"/>
        <w:jc w:val="left"/>
        <w:rPr>
          <w:rFonts w:ascii="宋体" w:hAnsi="宋体" w:cs="宋体"/>
          <w:spacing w:val="0"/>
          <w:kern w:val="0"/>
          <w:sz w:val="32"/>
          <w:szCs w:val="32"/>
        </w:rPr>
      </w:pPr>
    </w:p>
    <w:p>
      <w:pPr>
        <w:pStyle w:val="29"/>
        <w:widowControl/>
        <w:spacing w:before="100" w:after="100"/>
        <w:ind w:right="0"/>
        <w:jc w:val="left"/>
        <w:rPr>
          <w:rFonts w:ascii="宋体" w:hAnsi="宋体" w:cs="宋体"/>
          <w:spacing w:val="0"/>
          <w:kern w:val="0"/>
          <w:sz w:val="32"/>
          <w:szCs w:val="32"/>
        </w:rPr>
      </w:pPr>
    </w:p>
    <w:p>
      <w:pPr>
        <w:pStyle w:val="29"/>
        <w:widowControl/>
        <w:spacing w:before="100" w:after="100"/>
        <w:ind w:right="0"/>
        <w:jc w:val="left"/>
        <w:rPr>
          <w:rFonts w:ascii="宋体" w:hAnsi="宋体" w:cs="宋体"/>
          <w:spacing w:val="0"/>
          <w:kern w:val="0"/>
          <w:sz w:val="32"/>
          <w:szCs w:val="32"/>
        </w:rPr>
      </w:pPr>
    </w:p>
    <w:p>
      <w:pPr>
        <w:pStyle w:val="29"/>
        <w:widowControl/>
        <w:spacing w:before="100" w:after="100"/>
        <w:ind w:right="0"/>
        <w:jc w:val="left"/>
        <w:rPr>
          <w:rFonts w:ascii="宋体" w:hAnsi="宋体" w:cs="宋体"/>
          <w:spacing w:val="0"/>
          <w:kern w:val="0"/>
          <w:sz w:val="32"/>
          <w:szCs w:val="32"/>
        </w:rPr>
      </w:pPr>
    </w:p>
    <w:p>
      <w:pPr>
        <w:pStyle w:val="29"/>
        <w:widowControl/>
        <w:spacing w:before="100" w:after="100"/>
        <w:ind w:right="0"/>
        <w:jc w:val="left"/>
        <w:rPr>
          <w:rFonts w:ascii="宋体" w:hAnsi="宋体" w:cs="宋体"/>
          <w:spacing w:val="0"/>
          <w:kern w:val="0"/>
          <w:sz w:val="32"/>
          <w:szCs w:val="32"/>
        </w:rPr>
      </w:pPr>
    </w:p>
    <w:p>
      <w:pPr>
        <w:pStyle w:val="29"/>
        <w:widowControl/>
        <w:spacing w:before="100" w:after="100"/>
        <w:ind w:right="0"/>
        <w:jc w:val="left"/>
        <w:rPr>
          <w:rFonts w:ascii="宋体" w:hAnsi="宋体" w:cs="宋体"/>
          <w:spacing w:val="0"/>
          <w:kern w:val="0"/>
          <w:sz w:val="32"/>
          <w:szCs w:val="32"/>
        </w:rPr>
      </w:pPr>
    </w:p>
    <w:p>
      <w:pPr>
        <w:pStyle w:val="29"/>
        <w:widowControl/>
        <w:spacing w:before="100" w:after="100"/>
        <w:ind w:right="0"/>
        <w:jc w:val="left"/>
        <w:rPr>
          <w:rFonts w:ascii="宋体" w:hAnsi="宋体" w:cs="宋体"/>
          <w:spacing w:val="0"/>
          <w:kern w:val="0"/>
          <w:sz w:val="32"/>
          <w:szCs w:val="32"/>
        </w:rPr>
      </w:pPr>
    </w:p>
    <w:p>
      <w:pPr>
        <w:pStyle w:val="29"/>
        <w:widowControl/>
        <w:spacing w:before="100" w:after="100"/>
        <w:ind w:right="0"/>
        <w:jc w:val="left"/>
        <w:rPr>
          <w:rFonts w:ascii="宋体" w:hAnsi="宋体" w:cs="宋体"/>
          <w:spacing w:val="0"/>
          <w:kern w:val="0"/>
          <w:sz w:val="32"/>
          <w:szCs w:val="32"/>
        </w:rPr>
      </w:pPr>
    </w:p>
    <w:p>
      <w:pPr>
        <w:pStyle w:val="29"/>
        <w:widowControl/>
        <w:spacing w:before="100" w:after="100"/>
        <w:ind w:right="0"/>
        <w:jc w:val="left"/>
        <w:rPr>
          <w:rFonts w:ascii="宋体" w:hAnsi="宋体" w:cs="宋体"/>
          <w:spacing w:val="0"/>
          <w:kern w:val="0"/>
          <w:sz w:val="32"/>
          <w:szCs w:val="32"/>
        </w:rPr>
      </w:pPr>
    </w:p>
    <w:p>
      <w:pPr>
        <w:pStyle w:val="6"/>
        <w:spacing w:before="100" w:after="100" w:line="240" w:lineRule="auto"/>
        <w:ind w:left="720" w:right="0" w:hanging="720" w:firstLineChars="0"/>
        <w:rPr>
          <w:rFonts w:ascii="Times New Roman" w:hAnsi="Times New Roman" w:eastAsia="Times New Roman" w:cs="Times New Roman"/>
          <w:b/>
          <w:bCs/>
          <w:kern w:val="0"/>
          <w:sz w:val="28"/>
          <w:szCs w:val="28"/>
        </w:rPr>
      </w:pPr>
      <w:bookmarkStart w:id="5" w:name="_Toc256000071"/>
      <w:bookmarkStart w:id="6" w:name="_Toc256000040"/>
      <w:bookmarkStart w:id="7" w:name="_Toc256000102"/>
      <w:bookmarkStart w:id="8" w:name="_Toc256000009"/>
      <w:r>
        <w:rPr>
          <w:rFonts w:ascii="黑体" w:hAnsi="黑体" w:eastAsia="黑体" w:cs="黑体"/>
          <w:b/>
          <w:spacing w:val="0"/>
        </w:rPr>
        <w:t>三、支出决算表</w:t>
      </w:r>
      <w:bookmarkEnd w:id="5"/>
      <w:bookmarkEnd w:id="6"/>
      <w:bookmarkEnd w:id="7"/>
      <w:bookmarkEnd w:id="8"/>
    </w:p>
    <w:tbl>
      <w:tblPr>
        <w:tblStyle w:val="26"/>
        <w:tblW w:w="89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913"/>
        <w:gridCol w:w="847"/>
        <w:gridCol w:w="827"/>
        <w:gridCol w:w="912"/>
        <w:gridCol w:w="914"/>
        <w:gridCol w:w="913"/>
        <w:gridCol w:w="914"/>
        <w:gridCol w:w="913"/>
        <w:gridCol w:w="914"/>
        <w:gridCol w:w="9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8980" w:type="dxa"/>
            <w:gridSpan w:val="1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9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4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2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4413" w:type="dxa"/>
            <w:gridSpan w:val="5"/>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单位：厦门市湖里实验小学</w:t>
            </w:r>
          </w:p>
        </w:tc>
        <w:tc>
          <w:tcPr>
            <w:tcW w:w="9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91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3499"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p>
        </w:tc>
        <w:tc>
          <w:tcPr>
            <w:tcW w:w="91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本年支出合计</w:t>
            </w:r>
          </w:p>
        </w:tc>
        <w:tc>
          <w:tcPr>
            <w:tcW w:w="91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基本支出</w:t>
            </w:r>
          </w:p>
        </w:tc>
        <w:tc>
          <w:tcPr>
            <w:tcW w:w="91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项目支出</w:t>
            </w:r>
          </w:p>
        </w:tc>
        <w:tc>
          <w:tcPr>
            <w:tcW w:w="91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上缴上级支出</w:t>
            </w:r>
          </w:p>
        </w:tc>
        <w:tc>
          <w:tcPr>
            <w:tcW w:w="91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经营支出</w:t>
            </w:r>
          </w:p>
        </w:tc>
        <w:tc>
          <w:tcPr>
            <w:tcW w:w="91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2587" w:type="dxa"/>
            <w:gridSpan w:val="3"/>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科目代码</w:t>
            </w:r>
          </w:p>
        </w:tc>
        <w:tc>
          <w:tcPr>
            <w:tcW w:w="91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科目名称</w:t>
            </w:r>
          </w:p>
        </w:tc>
        <w:tc>
          <w:tcPr>
            <w:tcW w:w="91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1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1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2587"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1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1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1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1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3499"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栏次</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3499"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4,263.9</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3,729.16</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534.73</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258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教育支出</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3,585.15</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3,052.41</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532.73</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258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20501</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教育管理事务</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258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2050199</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其他教育管理事务支出</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258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普通教育</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3,232.3</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3,052.41</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179.89</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258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小学教育</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2,969.79</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2,969.79</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258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其他普通教育支出</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262.51</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82.62</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179.89</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258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教育费附加安排的支出</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349.85</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349.85</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258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其他教育费附加安排的支出</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349.85</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349.85</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258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社会保障和就业支出</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461.61</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461.61</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258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行政事业单位养老支出</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461.61</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461.61</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258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事业单位离退休</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89.32</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89.32</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258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机关事业单位基本养老保险缴费支出</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241.11</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241.11</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258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机关事业单位职业年金缴费支出</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131.18</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131.18</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258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卫生健康支出</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155.99</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155.99</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258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行政事业单位医疗</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155.99</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155.99</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258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事业单位医疗</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103.24</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103.24</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258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其他行政事业单位医疗支出</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52.75</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52.75</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258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住房保障支出</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59.15</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59.15</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258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住房改革支出</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59.15</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59.15</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258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购房补贴</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59.15</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59.15</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258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其他支出</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258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彩票公益金安排的支出</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258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9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用于体育事业的彩票公益金支出</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8980" w:type="dxa"/>
            <w:gridSpan w:val="1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注：本表反映部门本年度各项支出情况。</w:t>
            </w:r>
          </w:p>
        </w:tc>
      </w:tr>
    </w:tbl>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r>
        <w:rPr>
          <w:rFonts w:ascii="Times New Roman" w:hAnsi="Times New Roman" w:eastAsia="Times New Roman" w:cs="Times New Roman"/>
          <w:spacing w:val="0"/>
          <w:kern w:val="0"/>
          <w:sz w:val="27"/>
          <w:szCs w:val="27"/>
        </w:rPr>
        <w:t> </w:t>
      </w: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6"/>
        <w:spacing w:before="100" w:after="100" w:line="240" w:lineRule="auto"/>
        <w:ind w:left="720" w:right="0" w:hanging="720" w:firstLineChars="0"/>
        <w:rPr>
          <w:rFonts w:ascii="Times New Roman" w:hAnsi="Times New Roman" w:eastAsia="Times New Roman" w:cs="Times New Roman"/>
          <w:b/>
          <w:bCs/>
          <w:kern w:val="0"/>
          <w:sz w:val="28"/>
          <w:szCs w:val="28"/>
        </w:rPr>
      </w:pPr>
      <w:bookmarkStart w:id="9" w:name="_Toc256000010"/>
      <w:bookmarkStart w:id="10" w:name="_Toc256000041"/>
      <w:bookmarkStart w:id="11" w:name="_Toc256000072"/>
      <w:bookmarkStart w:id="12" w:name="_Toc256000103"/>
      <w:r>
        <w:rPr>
          <w:rFonts w:ascii="黑体" w:hAnsi="黑体" w:eastAsia="黑体" w:cs="黑体"/>
          <w:b/>
          <w:spacing w:val="0"/>
        </w:rPr>
        <w:t>四、财政拨款收入支出决算总表</w:t>
      </w:r>
      <w:bookmarkEnd w:id="9"/>
      <w:bookmarkEnd w:id="10"/>
      <w:bookmarkEnd w:id="11"/>
      <w:bookmarkEnd w:id="12"/>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6"/>
        <w:tblW w:w="9066" w:type="dxa"/>
        <w:tblInd w:w="-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007"/>
        <w:gridCol w:w="1007"/>
        <w:gridCol w:w="1007"/>
        <w:gridCol w:w="1007"/>
        <w:gridCol w:w="1"/>
        <w:gridCol w:w="1007"/>
        <w:gridCol w:w="1007"/>
        <w:gridCol w:w="1"/>
        <w:gridCol w:w="1007"/>
        <w:gridCol w:w="1007"/>
        <w:gridCol w:w="1"/>
        <w:gridCol w:w="10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9066" w:type="dxa"/>
            <w:gridSpan w:val="12"/>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财政拨款收入支出决算总表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2014"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单位：厦门市湖里实验小学</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1008"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302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收入</w:t>
            </w:r>
          </w:p>
        </w:tc>
        <w:tc>
          <w:tcPr>
            <w:tcW w:w="6045" w:type="dxa"/>
            <w:gridSpan w:val="9"/>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行次</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行次</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一般公共预算财政拨款</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政府性基金预算财政拨款</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栏次</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栏次</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一、一般公共预算财政拨款</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4,261.9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一、一般公共服务支出</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二、政府性基金预算财政拨款</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二、外交支出</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三、国有资本经营预算财政拨款</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三、国防支出</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四、公共安全支出</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五、教育支出</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3,585.15</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3,585.15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六、科学技术支出</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七、文化旅游体育与传媒支出</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八、社会保障和就业支出</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461.61</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461.61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九、卫生健康支出</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155.99</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155.99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十、节能环保支出</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十一、城乡社区支出</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十二、农林水支出</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十三、交通运输支出</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十四、资源勘探工业信息等支出</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十五、商业服务业等支出</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十六、金融支出</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十七、援助其他地区支出</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十八、自然资源海洋气象等支出</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十九、住房保障支出</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59.15</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59.15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二十、粮油物资储备支出</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二十一、国有资本经营预算支出</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二十二、灾害防治及应急管理支出</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二十三、其他支出</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二十四、债务还本支出</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56</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二十五、债务付息支出</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二十六、抗疫特别国债安排的支出</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本年收入合计</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4,263.9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本年支出合计</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4,263.9</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4,261.9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年初财政拨款结转和结余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年末财政拨款结转和结余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60</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一、一般公共预算财政拨款</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二、政府性基金预算财政拨款</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三、国有资本经营预算财政拨款</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总计</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4,263.9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总计</w:t>
            </w:r>
            <w:r>
              <w:rPr>
                <w:rFonts w:ascii="Times New Roman" w:hAnsi="Times New Roman" w:eastAsia="Times New Roman" w:cs="Times New Roman"/>
                <w:b w:val="0"/>
                <w:bCs w:val="0"/>
                <w:i w:val="0"/>
                <w:iCs w:val="0"/>
                <w:smallCaps w:val="0"/>
                <w:color w:val="000000"/>
                <w:kern w:val="0"/>
                <w:sz w:val="18"/>
                <w:szCs w:val="18"/>
              </w:rPr>
              <w:t xml:space="preserve">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4,263.9</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4,261.9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9066" w:type="dxa"/>
            <w:gridSpan w:val="12"/>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注：本表反映部门本年度一般公共预算财政拨款、政府性基金预算财政拨款和国有资本经营预算财政拨款的总收支和年末结转结余情况。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r>
        <w:rPr>
          <w:rFonts w:ascii="Times New Roman" w:hAnsi="Times New Roman" w:eastAsia="Times New Roman" w:cs="Times New Roman"/>
          <w:spacing w:val="0"/>
          <w:kern w:val="0"/>
          <w:sz w:val="27"/>
          <w:szCs w:val="27"/>
        </w:rPr>
        <w:t> </w:t>
      </w: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6"/>
        <w:spacing w:before="100" w:after="100" w:line="240" w:lineRule="auto"/>
        <w:ind w:left="720" w:right="0" w:hanging="720" w:firstLineChars="0"/>
        <w:rPr>
          <w:rFonts w:ascii="Times New Roman" w:hAnsi="Times New Roman" w:eastAsia="Times New Roman" w:cs="Times New Roman"/>
          <w:b/>
          <w:bCs/>
          <w:kern w:val="0"/>
          <w:sz w:val="28"/>
          <w:szCs w:val="28"/>
        </w:rPr>
      </w:pPr>
      <w:bookmarkStart w:id="13" w:name="_Toc256000042"/>
      <w:bookmarkStart w:id="14" w:name="_Toc256000104"/>
      <w:bookmarkStart w:id="15" w:name="_Toc256000011"/>
      <w:bookmarkStart w:id="16" w:name="_Toc256000073"/>
      <w:r>
        <w:rPr>
          <w:rFonts w:ascii="黑体" w:hAnsi="黑体" w:eastAsia="黑体" w:cs="黑体"/>
          <w:b/>
          <w:spacing w:val="0"/>
        </w:rPr>
        <w:t>五、一般公共预算财政拨款支出决算表</w:t>
      </w:r>
      <w:bookmarkEnd w:id="13"/>
      <w:bookmarkEnd w:id="14"/>
      <w:bookmarkEnd w:id="15"/>
      <w:bookmarkEnd w:id="16"/>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6"/>
        <w:tblW w:w="9066" w:type="dxa"/>
        <w:tblInd w:w="-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133"/>
        <w:gridCol w:w="1322"/>
        <w:gridCol w:w="1323"/>
        <w:gridCol w:w="1322"/>
        <w:gridCol w:w="1322"/>
        <w:gridCol w:w="1322"/>
        <w:gridCol w:w="13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blHeader/>
        </w:trPr>
        <w:tc>
          <w:tcPr>
            <w:tcW w:w="9066" w:type="dxa"/>
            <w:gridSpan w:val="7"/>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blHeader/>
        </w:trPr>
        <w:tc>
          <w:tcPr>
            <w:tcW w:w="11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6422" w:type="dxa"/>
            <w:gridSpan w:val="5"/>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单位：厦门市湖里实验小学</w:t>
            </w:r>
          </w:p>
        </w:tc>
        <w:tc>
          <w:tcPr>
            <w:tcW w:w="13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13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5100"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p>
        </w:tc>
        <w:tc>
          <w:tcPr>
            <w:tcW w:w="396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blHeader/>
        </w:trPr>
        <w:tc>
          <w:tcPr>
            <w:tcW w:w="3778" w:type="dxa"/>
            <w:gridSpan w:val="3"/>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科目代码</w:t>
            </w:r>
          </w:p>
        </w:tc>
        <w:tc>
          <w:tcPr>
            <w:tcW w:w="132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科目名称</w:t>
            </w:r>
          </w:p>
        </w:tc>
        <w:tc>
          <w:tcPr>
            <w:tcW w:w="132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小计</w:t>
            </w:r>
          </w:p>
        </w:tc>
        <w:tc>
          <w:tcPr>
            <w:tcW w:w="132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基本支出</w:t>
            </w:r>
          </w:p>
        </w:tc>
        <w:tc>
          <w:tcPr>
            <w:tcW w:w="132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blHeader/>
        </w:trPr>
        <w:tc>
          <w:tcPr>
            <w:tcW w:w="3778"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blHeader/>
        </w:trPr>
        <w:tc>
          <w:tcPr>
            <w:tcW w:w="3778"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5100"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4,261.9</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3,729.16</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532.73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教育支出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3,585.15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3,052.41</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532.73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20501</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教育管理事务</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2050199</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其他教育管理事务支出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普通教育</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3,232.3</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3,052.41</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179.89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小学教育</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2,969.79</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2,969.79</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其他普通教育支出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262.51</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82.62</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179.89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教育费附加安排的支出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349.85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349.85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其他教育费附加安排的支出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349.85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349.85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社会保障和就业支出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461.61</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461.61</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行政事业单位养老支出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461.61</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461.61</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事业单位离退休</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89.32</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89.32</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机关事业单位基本养老保险缴费支出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241.11</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241.11</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机关事业单位职业年金缴费支出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131.18</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131.18</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卫生健康支出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155.99</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155.99</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行政事业单位医疗</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155.99</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155.99</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事业单位医疗</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103.24</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103.24</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其他行政事业单位医疗支出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52.75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52.75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住房保障支出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59.15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59.15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住房改革支出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59.15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59.15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购房补贴</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59.15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59.15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9066" w:type="dxa"/>
            <w:gridSpan w:val="7"/>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注：本表反映部门本年度一般公共预算财政拨款支出情况。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29"/>
        <w:widowControl/>
        <w:spacing w:before="100" w:after="100"/>
        <w:ind w:left="0" w:right="0" w:firstLine="0"/>
        <w:jc w:val="left"/>
        <w:rPr>
          <w:rFonts w:ascii="宋体" w:hAnsi="宋体" w:cs="宋体"/>
          <w:spacing w:val="0"/>
          <w:kern w:val="0"/>
          <w:sz w:val="24"/>
        </w:rPr>
      </w:pPr>
      <w:r>
        <w:rPr>
          <w:rFonts w:ascii="宋体" w:hAnsi="宋体" w:cs="宋体"/>
          <w:spacing w:val="0"/>
          <w:kern w:val="0"/>
          <w:sz w:val="24"/>
        </w:rPr>
        <w:t> </w:t>
      </w:r>
    </w:p>
    <w:p>
      <w:pPr>
        <w:pStyle w:val="29"/>
        <w:widowControl/>
        <w:spacing w:before="100" w:after="100"/>
        <w:ind w:left="0" w:right="0" w:firstLine="0"/>
        <w:jc w:val="left"/>
        <w:rPr>
          <w:rFonts w:ascii="宋体" w:hAnsi="宋体" w:cs="宋体"/>
          <w:spacing w:val="0"/>
          <w:kern w:val="0"/>
          <w:sz w:val="24"/>
        </w:rPr>
      </w:pPr>
    </w:p>
    <w:p>
      <w:pPr>
        <w:pStyle w:val="6"/>
        <w:spacing w:before="100" w:after="100" w:line="240" w:lineRule="auto"/>
        <w:ind w:left="720" w:right="0" w:hanging="720" w:firstLineChars="0"/>
        <w:rPr>
          <w:rFonts w:ascii="Times New Roman" w:hAnsi="Times New Roman" w:eastAsia="Times New Roman" w:cs="Times New Roman"/>
          <w:b/>
          <w:bCs/>
          <w:kern w:val="0"/>
          <w:sz w:val="28"/>
          <w:szCs w:val="28"/>
        </w:rPr>
      </w:pPr>
      <w:bookmarkStart w:id="17" w:name="_Toc256000074"/>
      <w:bookmarkStart w:id="18" w:name="_Toc256000012"/>
      <w:bookmarkStart w:id="19" w:name="_Toc256000105"/>
      <w:bookmarkStart w:id="20" w:name="_Toc256000043"/>
      <w:r>
        <w:rPr>
          <w:rFonts w:ascii="黑体" w:hAnsi="黑体" w:eastAsia="黑体" w:cs="黑体"/>
          <w:b/>
          <w:spacing w:val="0"/>
        </w:rPr>
        <w:t>六、一般公共预算财政拨款基本支出决算表</w:t>
      </w:r>
      <w:bookmarkEnd w:id="17"/>
      <w:bookmarkEnd w:id="18"/>
      <w:bookmarkEnd w:id="19"/>
      <w:bookmarkEnd w:id="20"/>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6"/>
        <w:tblW w:w="9066"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007"/>
        <w:gridCol w:w="1007"/>
        <w:gridCol w:w="1007"/>
        <w:gridCol w:w="1008"/>
        <w:gridCol w:w="1007"/>
        <w:gridCol w:w="1008"/>
        <w:gridCol w:w="1007"/>
        <w:gridCol w:w="1008"/>
        <w:gridCol w:w="10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9066" w:type="dxa"/>
            <w:gridSpan w:val="9"/>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一般公共预算财政拨款基本支出决算表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公开</w:t>
            </w:r>
            <w:r>
              <w:rPr>
                <w:rFonts w:ascii="Times New Roman" w:hAnsi="Times New Roman" w:eastAsia="Times New Roman" w:cs="Times New Roman"/>
                <w:b w:val="0"/>
                <w:bCs w:val="0"/>
                <w:i w:val="0"/>
                <w:iCs w:val="0"/>
                <w:smallCaps w:val="0"/>
                <w:color w:val="000000"/>
                <w:kern w:val="0"/>
                <w:sz w:val="18"/>
                <w:szCs w:val="18"/>
              </w:rPr>
              <w:t>06</w:t>
            </w:r>
            <w:r>
              <w:rPr>
                <w:b w:val="0"/>
                <w:bCs w:val="0"/>
                <w:i w:val="0"/>
                <w:iCs w:val="0"/>
                <w:smallCaps w:val="0"/>
                <w:color w:val="000000"/>
                <w:kern w:val="0"/>
                <w:sz w:val="18"/>
                <w:szCs w:val="18"/>
              </w:rPr>
              <w:t>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4029"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单位：厦门市湖里实验小学</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10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经济分类科目编码</w:t>
            </w:r>
          </w:p>
        </w:tc>
        <w:tc>
          <w:tcPr>
            <w:tcW w:w="10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科目名称</w:t>
            </w:r>
          </w:p>
        </w:tc>
        <w:tc>
          <w:tcPr>
            <w:tcW w:w="10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w:t>
            </w:r>
          </w:p>
        </w:tc>
        <w:tc>
          <w:tcPr>
            <w:tcW w:w="100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经济分类科目编码</w:t>
            </w:r>
          </w:p>
        </w:tc>
        <w:tc>
          <w:tcPr>
            <w:tcW w:w="10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科目名称</w:t>
            </w:r>
          </w:p>
        </w:tc>
        <w:tc>
          <w:tcPr>
            <w:tcW w:w="100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w:t>
            </w:r>
          </w:p>
        </w:tc>
        <w:tc>
          <w:tcPr>
            <w:tcW w:w="10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经济分类科目编码</w:t>
            </w:r>
          </w:p>
        </w:tc>
        <w:tc>
          <w:tcPr>
            <w:tcW w:w="100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科目名称</w:t>
            </w:r>
          </w:p>
        </w:tc>
        <w:tc>
          <w:tcPr>
            <w:tcW w:w="10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工资福利支出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3,255.45</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商品和服务支出</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340.72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30703</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国内债务发行费用</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基本工资</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427.18</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办公费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120.89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30704</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国外债务发行费用</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津贴补贴</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652.76</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印刷费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资本性支出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奖金</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1,006</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咨询费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31001</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房屋建筑物购建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30106</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伙食补助费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30204</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手续费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31002</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办公设备购置</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30107</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绩效工资</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187.85</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水费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10.76</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31003</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专用设备购置</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30108</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机关事业单位基本养老保险缴费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241.11</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30206</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电费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25.42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31005</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基础设施建设</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职业年金缴费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131.18</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30207</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邮电费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0.65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31006</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大型修缮</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30110</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职工基本医疗保险缴费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103.24</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30208</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取暖费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31007</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信息网络及软件购置更新</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公务员医疗补助缴费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物业管理费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31008</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物资储备</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其他社会保障缴费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71.74</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差旅费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31009</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土地补偿</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住房公积金</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259.32</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因公出国（境）费用</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31010</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安置补助</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30114</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医疗费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维修（护）费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40.22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31011</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地上附着物和青苗补偿</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30199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其他工资福利支出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175.08</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30214</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租赁费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31012</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拆迁补偿</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对个人和家庭的补助</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100.74</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会议费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31013</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公务用车购置</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离休费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30216</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培训费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28.79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31019</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其他交通工具购置</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退休费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30217</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公务接待费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31021</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文物和陈列品购置</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退职（役）费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30218</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专用材料费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31022</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无形资产购置</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30304</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抚恤金</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30224</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被装购置费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31099</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其他资本性支出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生活补助</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4.39</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专用燃料费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对企业补助</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30306</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救济费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30226</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劳务费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24.96</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31201</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资本金注入</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30307</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医疗费补助</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30227</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委托业务费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31203</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政府投资基金股权投资</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30308</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助学金</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30228</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工会经费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58.64</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31204</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费用补贴</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奖励金</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7.02</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福利费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31205</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利息补贴</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30310</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个人农业生产补贴</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30231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公务用车运行维护费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31206</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其他资本性补助</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30311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代缴社会保险费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30239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其他交通费用</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31299</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其他对企业补助</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30399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其他对个人和家庭的补助</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89.32</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30240</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税金及附加费用</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30299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其他商品和服务支出</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16.64</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39907</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国家赔偿费用支出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债务利息及费用支出</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39908</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对民间非营利组织和群众性自治组织补贴</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国内债务付息</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39909</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经常性赠与</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国外债务付息</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39910</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资本性赠与</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39999</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2014"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人员经费合计</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3,356.19</w:t>
            </w:r>
          </w:p>
        </w:tc>
        <w:tc>
          <w:tcPr>
            <w:tcW w:w="4030"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公用经费合计</w:t>
            </w:r>
          </w:p>
        </w:tc>
        <w:tc>
          <w:tcPr>
            <w:tcW w:w="201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372.97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9066" w:type="dxa"/>
            <w:gridSpan w:val="9"/>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注：本表反映部门本年度一般公共预算财政拨款基本支出明细情况。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r>
        <w:rPr>
          <w:rFonts w:ascii="Times New Roman" w:hAnsi="Times New Roman" w:eastAsia="Times New Roman" w:cs="Times New Roman"/>
          <w:spacing w:val="0"/>
          <w:kern w:val="0"/>
          <w:sz w:val="27"/>
          <w:szCs w:val="27"/>
        </w:rPr>
        <w:t> </w:t>
      </w: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29"/>
        <w:widowControl/>
        <w:spacing w:before="100" w:after="100"/>
        <w:ind w:left="0" w:right="0" w:firstLine="0"/>
        <w:jc w:val="left"/>
        <w:rPr>
          <w:rFonts w:ascii="Times New Roman" w:hAnsi="Times New Roman" w:eastAsia="Times New Roman" w:cs="Times New Roman"/>
          <w:spacing w:val="0"/>
          <w:kern w:val="0"/>
          <w:sz w:val="27"/>
          <w:szCs w:val="27"/>
        </w:rPr>
      </w:pPr>
    </w:p>
    <w:p>
      <w:pPr>
        <w:pStyle w:val="6"/>
        <w:spacing w:before="100" w:after="100" w:line="240" w:lineRule="auto"/>
        <w:ind w:left="720" w:right="0" w:hanging="720" w:firstLineChars="0"/>
        <w:rPr>
          <w:rFonts w:ascii="Times New Roman" w:hAnsi="Times New Roman" w:eastAsia="Times New Roman" w:cs="Times New Roman"/>
          <w:b/>
          <w:bCs/>
          <w:kern w:val="0"/>
          <w:sz w:val="28"/>
          <w:szCs w:val="28"/>
        </w:rPr>
      </w:pPr>
      <w:bookmarkStart w:id="21" w:name="_Toc256000044"/>
      <w:bookmarkStart w:id="22" w:name="_Toc256000106"/>
      <w:bookmarkStart w:id="23" w:name="_Toc256000075"/>
      <w:bookmarkStart w:id="24" w:name="_Toc256000013"/>
      <w:r>
        <w:rPr>
          <w:rFonts w:ascii="黑体" w:hAnsi="黑体" w:eastAsia="黑体" w:cs="黑体"/>
          <w:b/>
          <w:spacing w:val="0"/>
        </w:rPr>
        <w:t>七、一般公共预算财政拨款“三公”经费支出决算表</w:t>
      </w:r>
      <w:bookmarkEnd w:id="21"/>
      <w:bookmarkEnd w:id="22"/>
      <w:bookmarkEnd w:id="23"/>
      <w:bookmarkEnd w:id="24"/>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6"/>
        <w:tblW w:w="9066" w:type="dxa"/>
        <w:jc w:val="center"/>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55"/>
        <w:gridCol w:w="755"/>
        <w:gridCol w:w="755"/>
        <w:gridCol w:w="755"/>
        <w:gridCol w:w="1"/>
        <w:gridCol w:w="755"/>
        <w:gridCol w:w="755"/>
        <w:gridCol w:w="755"/>
        <w:gridCol w:w="1"/>
        <w:gridCol w:w="755"/>
        <w:gridCol w:w="1"/>
        <w:gridCol w:w="755"/>
        <w:gridCol w:w="1"/>
        <w:gridCol w:w="755"/>
        <w:gridCol w:w="755"/>
        <w:gridCol w:w="1"/>
        <w:gridCol w:w="7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blHeader/>
          <w:jc w:val="center"/>
        </w:trPr>
        <w:tc>
          <w:tcPr>
            <w:tcW w:w="9066" w:type="dxa"/>
            <w:gridSpan w:val="17"/>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一般公共预算财政拨款</w:t>
            </w:r>
            <w:r>
              <w:rPr>
                <w:rFonts w:ascii="Times New Roman" w:hAnsi="Times New Roman" w:eastAsia="Times New Roman" w:cs="Times New Roman"/>
                <w:b w:val="0"/>
                <w:bCs w:val="0"/>
                <w:i w:val="0"/>
                <w:iCs w:val="0"/>
                <w:smallCaps w:val="0"/>
                <w:color w:val="000000"/>
                <w:kern w:val="0"/>
                <w:sz w:val="32"/>
                <w:szCs w:val="32"/>
              </w:rPr>
              <w:t>“</w:t>
            </w:r>
            <w:r>
              <w:rPr>
                <w:b w:val="0"/>
                <w:bCs w:val="0"/>
                <w:i w:val="0"/>
                <w:iCs w:val="0"/>
                <w:smallCaps w:val="0"/>
                <w:color w:val="000000"/>
                <w:kern w:val="0"/>
                <w:sz w:val="32"/>
                <w:szCs w:val="32"/>
              </w:rPr>
              <w:t>三公</w:t>
            </w:r>
            <w:r>
              <w:rPr>
                <w:rFonts w:ascii="Times New Roman" w:hAnsi="Times New Roman" w:eastAsia="Times New Roman" w:cs="Times New Roman"/>
                <w:b w:val="0"/>
                <w:bCs w:val="0"/>
                <w:i w:val="0"/>
                <w:iCs w:val="0"/>
                <w:smallCaps w:val="0"/>
                <w:color w:val="000000"/>
                <w:kern w:val="0"/>
                <w:sz w:val="32"/>
                <w:szCs w:val="32"/>
              </w:rPr>
              <w:t>”</w:t>
            </w:r>
            <w:r>
              <w:rPr>
                <w:b w:val="0"/>
                <w:bCs w:val="0"/>
                <w:i w:val="0"/>
                <w:iCs w:val="0"/>
                <w:smallCaps w:val="0"/>
                <w:color w:val="000000"/>
                <w:kern w:val="0"/>
                <w:sz w:val="32"/>
                <w:szCs w:val="32"/>
              </w:rPr>
              <w:t>经费支出决算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blHeader/>
          <w:jc w:val="center"/>
        </w:trPr>
        <w:tc>
          <w:tcPr>
            <w:tcW w:w="7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4531" w:type="dxa"/>
            <w:gridSpan w:val="7"/>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单位：厦门市湖里实验小学</w:t>
            </w:r>
          </w:p>
        </w:tc>
        <w:tc>
          <w:tcPr>
            <w:tcW w:w="75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75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4531" w:type="dxa"/>
            <w:gridSpan w:val="7"/>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预算数</w:t>
            </w:r>
          </w:p>
        </w:tc>
        <w:tc>
          <w:tcPr>
            <w:tcW w:w="4535" w:type="dxa"/>
            <w:gridSpan w:val="10"/>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blHeader/>
          <w:jc w:val="center"/>
        </w:trPr>
        <w:tc>
          <w:tcPr>
            <w:tcW w:w="7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7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因公出国</w:t>
            </w:r>
            <w:r>
              <w:rPr>
                <w:rFonts w:ascii="Times New Roman" w:hAnsi="Times New Roman" w:eastAsia="Times New Roman" w:cs="Times New Roman"/>
                <w:b w:val="0"/>
                <w:bCs w:val="0"/>
                <w:i w:val="0"/>
                <w:iCs w:val="0"/>
                <w:smallCaps w:val="0"/>
                <w:color w:val="000000"/>
                <w:kern w:val="0"/>
                <w:sz w:val="18"/>
                <w:szCs w:val="18"/>
              </w:rPr>
              <w:t xml:space="preserve"> </w:t>
            </w:r>
            <w:r>
              <w:rPr>
                <w:b w:val="0"/>
                <w:bCs w:val="0"/>
                <w:i w:val="0"/>
                <w:iCs w:val="0"/>
                <w:smallCaps w:val="0"/>
                <w:color w:val="000000"/>
                <w:kern w:val="0"/>
                <w:sz w:val="18"/>
                <w:szCs w:val="18"/>
              </w:rPr>
              <w:t>（境）费</w:t>
            </w:r>
          </w:p>
        </w:tc>
        <w:tc>
          <w:tcPr>
            <w:tcW w:w="2266"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公务用车购置及运行维护费</w:t>
            </w:r>
          </w:p>
        </w:tc>
        <w:tc>
          <w:tcPr>
            <w:tcW w:w="7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公务接待费</w:t>
            </w:r>
          </w:p>
        </w:tc>
        <w:tc>
          <w:tcPr>
            <w:tcW w:w="7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756" w:type="dxa"/>
            <w:gridSpan w:val="2"/>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因公出国</w:t>
            </w:r>
            <w:r>
              <w:rPr>
                <w:rFonts w:ascii="Times New Roman" w:hAnsi="Times New Roman" w:eastAsia="Times New Roman" w:cs="Times New Roman"/>
                <w:b w:val="0"/>
                <w:bCs w:val="0"/>
                <w:i w:val="0"/>
                <w:iCs w:val="0"/>
                <w:smallCaps w:val="0"/>
                <w:color w:val="000000"/>
                <w:kern w:val="0"/>
                <w:sz w:val="18"/>
                <w:szCs w:val="18"/>
              </w:rPr>
              <w:t xml:space="preserve"> </w:t>
            </w:r>
            <w:r>
              <w:rPr>
                <w:b w:val="0"/>
                <w:bCs w:val="0"/>
                <w:i w:val="0"/>
                <w:iCs w:val="0"/>
                <w:smallCaps w:val="0"/>
                <w:color w:val="000000"/>
                <w:kern w:val="0"/>
                <w:sz w:val="18"/>
                <w:szCs w:val="18"/>
              </w:rPr>
              <w:t>（境）费</w:t>
            </w:r>
          </w:p>
        </w:tc>
        <w:tc>
          <w:tcPr>
            <w:tcW w:w="2267" w:type="dxa"/>
            <w:gridSpan w:val="5"/>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公务用车购置及运行维护费</w:t>
            </w:r>
          </w:p>
        </w:tc>
        <w:tc>
          <w:tcPr>
            <w:tcW w:w="757" w:type="dxa"/>
            <w:gridSpan w:val="2"/>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blHeader/>
          <w:jc w:val="center"/>
        </w:trPr>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小计</w:t>
            </w:r>
            <w:r>
              <w:rPr>
                <w:rFonts w:ascii="Times New Roman" w:hAnsi="Times New Roman" w:eastAsia="Times New Roman" w:cs="Times New Roman"/>
                <w:b w:val="0"/>
                <w:bCs w:val="0"/>
                <w:i w:val="0"/>
                <w:iCs w:val="0"/>
                <w:smallCaps w:val="0"/>
                <w:color w:val="000000"/>
                <w:kern w:val="0"/>
                <w:sz w:val="18"/>
                <w:szCs w:val="18"/>
              </w:rPr>
              <w:t xml:space="preserve"> </w:t>
            </w:r>
          </w:p>
        </w:tc>
        <w:tc>
          <w:tcPr>
            <w:tcW w:w="7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公务用车购置费</w:t>
            </w:r>
          </w:p>
        </w:tc>
        <w:tc>
          <w:tcPr>
            <w:tcW w:w="756" w:type="dxa"/>
            <w:gridSpan w:val="2"/>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公务用车运行维护费</w:t>
            </w: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小计</w:t>
            </w:r>
            <w:r>
              <w:rPr>
                <w:rFonts w:ascii="Times New Roman" w:hAnsi="Times New Roman" w:eastAsia="Times New Roman" w:cs="Times New Roman"/>
                <w:b w:val="0"/>
                <w:bCs w:val="0"/>
                <w:i w:val="0"/>
                <w:iCs w:val="0"/>
                <w:smallCaps w:val="0"/>
                <w:color w:val="000000"/>
                <w:kern w:val="0"/>
                <w:sz w:val="18"/>
                <w:szCs w:val="18"/>
              </w:rPr>
              <w:t xml:space="preserve"> </w:t>
            </w:r>
          </w:p>
        </w:tc>
        <w:tc>
          <w:tcPr>
            <w:tcW w:w="756" w:type="dxa"/>
            <w:gridSpan w:val="2"/>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公务用车购置费</w:t>
            </w:r>
          </w:p>
        </w:tc>
        <w:tc>
          <w:tcPr>
            <w:tcW w:w="7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公务用车运行维护费</w:t>
            </w:r>
          </w:p>
        </w:tc>
        <w:tc>
          <w:tcPr>
            <w:tcW w:w="757"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blHeader/>
          <w:jc w:val="center"/>
        </w:trPr>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7"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75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75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75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75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75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bookmarkStart w:id="71" w:name="_GoBack" w:colFirst="1" w:colLast="11"/>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r>
      <w:bookmarkEnd w:id="71"/>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9066" w:type="dxa"/>
            <w:gridSpan w:val="17"/>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注：本表反映部门本年度财政拨款</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三公</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经费支出预决算情况。其中，预算数为</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三公</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经费全年预算数，反映按规定程序调整后的预算数；决算数是包括当年财政拨款和以前年度结转资金安排的实际支出。</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28"/>
        <w:widowControl/>
        <w:spacing w:before="100" w:after="100"/>
        <w:ind w:left="0" w:right="0" w:firstLine="640" w:firstLineChars="200"/>
        <w:jc w:val="left"/>
        <w:rPr>
          <w:rFonts w:ascii="宋体" w:hAnsi="宋体" w:cs="宋体"/>
          <w:kern w:val="0"/>
          <w:sz w:val="24"/>
        </w:rPr>
      </w:pPr>
      <w:r>
        <w:rPr>
          <w:rFonts w:hint="eastAsia" w:ascii="仿宋" w:hAnsi="仿宋" w:eastAsia="仿宋" w:cs="仿宋"/>
          <w:b w:val="0"/>
          <w:bCs w:val="0"/>
          <w:i w:val="0"/>
          <w:iCs w:val="0"/>
          <w:smallCaps w:val="0"/>
          <w:color w:val="000000"/>
          <w:kern w:val="0"/>
          <w:sz w:val="32"/>
          <w:szCs w:val="32"/>
          <w:lang w:eastAsia="zh-CN"/>
        </w:rPr>
        <w:t>本单位</w:t>
      </w:r>
      <w:r>
        <w:rPr>
          <w:rFonts w:hint="eastAsia" w:ascii="仿宋" w:hAnsi="仿宋" w:eastAsia="仿宋" w:cs="仿宋"/>
          <w:b w:val="0"/>
          <w:bCs w:val="0"/>
          <w:i w:val="0"/>
          <w:iCs w:val="0"/>
          <w:smallCaps w:val="0"/>
          <w:color w:val="000000"/>
          <w:kern w:val="0"/>
          <w:sz w:val="32"/>
          <w:szCs w:val="32"/>
          <w:lang w:val="en-US" w:eastAsia="zh-CN"/>
        </w:rPr>
        <w:t>2024年度没有使用一般公共预算财政拨款安排的“三公”经费支出。</w:t>
      </w:r>
    </w:p>
    <w:p>
      <w:pPr>
        <w:pStyle w:val="28"/>
        <w:widowControl/>
        <w:spacing w:before="100" w:after="100"/>
        <w:ind w:left="0" w:right="0" w:firstLine="0"/>
        <w:jc w:val="left"/>
        <w:rPr>
          <w:rFonts w:ascii="宋体" w:hAnsi="宋体" w:cs="宋体"/>
          <w:spacing w:val="0"/>
          <w:kern w:val="0"/>
          <w:sz w:val="32"/>
          <w:szCs w:val="32"/>
        </w:rPr>
      </w:pPr>
    </w:p>
    <w:p>
      <w:pPr>
        <w:pStyle w:val="6"/>
        <w:spacing w:before="100" w:after="100" w:line="240" w:lineRule="auto"/>
        <w:ind w:left="0" w:right="0" w:firstLine="0" w:firstLineChars="0"/>
        <w:rPr>
          <w:rFonts w:ascii="Times New Roman" w:hAnsi="Times New Roman" w:eastAsia="Times New Roman" w:cs="Times New Roman"/>
          <w:b/>
          <w:bCs/>
          <w:kern w:val="0"/>
          <w:sz w:val="28"/>
          <w:szCs w:val="28"/>
        </w:rPr>
      </w:pPr>
      <w:bookmarkStart w:id="25" w:name="_Toc256000014"/>
      <w:bookmarkStart w:id="26" w:name="_Toc256000107"/>
      <w:bookmarkStart w:id="27" w:name="_Toc256000076"/>
      <w:bookmarkStart w:id="28" w:name="_Toc256000045"/>
      <w:r>
        <w:rPr>
          <w:rFonts w:ascii="黑体" w:hAnsi="黑体" w:eastAsia="黑体" w:cs="黑体"/>
          <w:b/>
          <w:spacing w:val="0"/>
        </w:rPr>
        <w:t>八、政府性基金预算财政拨款收入支出决算表</w:t>
      </w:r>
      <w:bookmarkEnd w:id="25"/>
      <w:bookmarkEnd w:id="26"/>
      <w:bookmarkEnd w:id="27"/>
      <w:bookmarkEnd w:id="28"/>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6"/>
        <w:tblpPr w:leftFromText="180" w:rightFromText="180" w:vertAnchor="text" w:horzAnchor="page" w:tblpXSpec="center" w:tblpY="552"/>
        <w:tblOverlap w:val="never"/>
        <w:tblW w:w="9066"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133"/>
        <w:gridCol w:w="1133"/>
        <w:gridCol w:w="1133"/>
        <w:gridCol w:w="1134"/>
        <w:gridCol w:w="1133"/>
        <w:gridCol w:w="1133"/>
        <w:gridCol w:w="1134"/>
        <w:gridCol w:w="11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blHeader/>
          <w:jc w:val="center"/>
        </w:trPr>
        <w:tc>
          <w:tcPr>
            <w:tcW w:w="9066" w:type="dxa"/>
            <w:gridSpan w:val="8"/>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blHeader/>
          <w:jc w:val="center"/>
        </w:trPr>
        <w:tc>
          <w:tcPr>
            <w:tcW w:w="11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4533"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单位：厦门市湖里实验小学</w:t>
            </w:r>
          </w:p>
        </w:tc>
        <w:tc>
          <w:tcPr>
            <w:tcW w:w="11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11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blHeader/>
          <w:jc w:val="center"/>
        </w:trPr>
        <w:tc>
          <w:tcPr>
            <w:tcW w:w="226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p>
        </w:tc>
        <w:tc>
          <w:tcPr>
            <w:tcW w:w="113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年初结转和结余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13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本年收入</w:t>
            </w:r>
          </w:p>
        </w:tc>
        <w:tc>
          <w:tcPr>
            <w:tcW w:w="340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本年支出</w:t>
            </w:r>
          </w:p>
        </w:tc>
        <w:tc>
          <w:tcPr>
            <w:tcW w:w="113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blHeader/>
          <w:jc w:val="center"/>
        </w:trPr>
        <w:tc>
          <w:tcPr>
            <w:tcW w:w="113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支出功能分类科目编码</w:t>
            </w:r>
          </w:p>
        </w:tc>
        <w:tc>
          <w:tcPr>
            <w:tcW w:w="113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科目名称</w:t>
            </w: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小计</w:t>
            </w:r>
          </w:p>
        </w:tc>
        <w:tc>
          <w:tcPr>
            <w:tcW w:w="113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基本支出</w:t>
            </w:r>
            <w:r>
              <w:rPr>
                <w:rFonts w:ascii="Times New Roman" w:hAnsi="Times New Roman" w:eastAsia="Times New Roman" w:cs="Times New Roman"/>
                <w:b w:val="0"/>
                <w:bCs w:val="0"/>
                <w:i w:val="0"/>
                <w:iCs w:val="0"/>
                <w:smallCaps w:val="0"/>
                <w:color w:val="000000"/>
                <w:kern w:val="0"/>
                <w:sz w:val="18"/>
                <w:szCs w:val="18"/>
              </w:rPr>
              <w:t xml:space="preserve"> </w:t>
            </w:r>
          </w:p>
        </w:tc>
        <w:tc>
          <w:tcPr>
            <w:tcW w:w="113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项目支出</w:t>
            </w: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blHeader/>
          <w:jc w:val="center"/>
        </w:trPr>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226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栏次</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226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其他支出</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彩票公益金安排的支出</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用于体育事业的彩票公益金支出</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9066" w:type="dxa"/>
            <w:gridSpan w:val="8"/>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注：本表反映部门本年度政府性基金预算财政拨款收入、支出及结转和结余情况。</w:t>
            </w:r>
          </w:p>
        </w:tc>
      </w:tr>
    </w:tbl>
    <w:p>
      <w:pPr>
        <w:widowControl/>
        <w:jc w:val="left"/>
        <w:rPr>
          <w:rFonts w:ascii="黑体" w:hAnsi="黑体" w:eastAsia="黑体" w:cs="黑体"/>
          <w:b/>
          <w:spacing w:val="0"/>
        </w:rPr>
      </w:pPr>
      <w:bookmarkStart w:id="29" w:name="_Toc256000077"/>
      <w:bookmarkStart w:id="30" w:name="_Toc256000015"/>
      <w:bookmarkStart w:id="31" w:name="_Toc256000108"/>
      <w:bookmarkStart w:id="32" w:name="_Toc256000046"/>
    </w:p>
    <w:p>
      <w:pPr>
        <w:pStyle w:val="5"/>
        <w:ind w:left="0" w:leftChars="0" w:firstLine="0" w:firstLineChars="0"/>
        <w:rPr>
          <w:rFonts w:ascii="黑体" w:hAnsi="黑体" w:eastAsia="黑体" w:cs="黑体"/>
          <w:b/>
          <w:spacing w:val="0"/>
          <w:sz w:val="21"/>
          <w:szCs w:val="21"/>
        </w:rPr>
      </w:pPr>
    </w:p>
    <w:p>
      <w:pPr>
        <w:pStyle w:val="6"/>
        <w:spacing w:before="100" w:after="100" w:line="240" w:lineRule="auto"/>
        <w:ind w:left="0" w:right="0" w:firstLine="0" w:firstLineChars="0"/>
        <w:rPr>
          <w:rFonts w:ascii="Times New Roman" w:hAnsi="Times New Roman" w:eastAsia="Times New Roman" w:cs="Times New Roman"/>
          <w:vanish/>
          <w:kern w:val="0"/>
          <w:sz w:val="24"/>
        </w:rPr>
      </w:pPr>
      <w:r>
        <w:rPr>
          <w:rFonts w:ascii="黑体" w:hAnsi="黑体" w:eastAsia="黑体" w:cs="黑体"/>
          <w:b/>
          <w:spacing w:val="0"/>
        </w:rPr>
        <w:t>九、国有资本经营预算财政拨款支出决算表</w:t>
      </w:r>
      <w:bookmarkEnd w:id="29"/>
      <w:bookmarkEnd w:id="30"/>
      <w:bookmarkEnd w:id="31"/>
      <w:bookmarkEnd w:id="32"/>
      <w:r>
        <w:rPr>
          <w:rFonts w:ascii="Times New Roman" w:hAnsi="Times New Roman" w:eastAsia="Times New Roman" w:cs="Times New Roman"/>
          <w:vanish/>
          <w:kern w:val="0"/>
          <w:sz w:val="24"/>
        </w:rPr>
        <w:t>word horizontal layout</w:t>
      </w:r>
    </w:p>
    <w:tbl>
      <w:tblPr>
        <w:tblStyle w:val="26"/>
        <w:tblW w:w="9066" w:type="dxa"/>
        <w:jc w:val="center"/>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813"/>
        <w:gridCol w:w="1813"/>
        <w:gridCol w:w="1813"/>
        <w:gridCol w:w="1814"/>
        <w:gridCol w:w="18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blHeader/>
          <w:jc w:val="center"/>
        </w:trPr>
        <w:tc>
          <w:tcPr>
            <w:tcW w:w="9066" w:type="dxa"/>
            <w:gridSpan w:val="5"/>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blHeader/>
          <w:jc w:val="center"/>
        </w:trPr>
        <w:tc>
          <w:tcPr>
            <w:tcW w:w="18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362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单位：厦门市湖里实验小学</w:t>
            </w:r>
          </w:p>
        </w:tc>
        <w:tc>
          <w:tcPr>
            <w:tcW w:w="18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181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362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p>
        </w:tc>
        <w:tc>
          <w:tcPr>
            <w:tcW w:w="544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blHeader/>
          <w:jc w:val="center"/>
        </w:trPr>
        <w:tc>
          <w:tcPr>
            <w:tcW w:w="181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科目代码</w:t>
            </w:r>
          </w:p>
        </w:tc>
        <w:tc>
          <w:tcPr>
            <w:tcW w:w="181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科目名称</w:t>
            </w:r>
          </w:p>
        </w:tc>
        <w:tc>
          <w:tcPr>
            <w:tcW w:w="181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181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基本支出</w:t>
            </w:r>
          </w:p>
        </w:tc>
        <w:tc>
          <w:tcPr>
            <w:tcW w:w="181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blHeader/>
          <w:jc w:val="center"/>
        </w:trPr>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blHeader/>
          <w:jc w:val="center"/>
        </w:trPr>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362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栏次</w:t>
            </w:r>
          </w:p>
        </w:tc>
        <w:tc>
          <w:tcPr>
            <w:tcW w:w="1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8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362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1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9066" w:type="dxa"/>
            <w:gridSpan w:val="5"/>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注：本表反映部门本年度国有资本经营预算财政拨款支出情况。</w:t>
            </w:r>
          </w:p>
        </w:tc>
      </w:tr>
    </w:tbl>
    <w:p>
      <w:pPr>
        <w:widowControl/>
        <w:jc w:val="left"/>
        <w:rPr>
          <w:rFonts w:ascii="Times New Roman" w:hAnsi="Times New Roman" w:eastAsia="Times New Roman" w:cs="Times New Roman"/>
          <w:kern w:val="0"/>
          <w:sz w:val="24"/>
        </w:rPr>
      </w:pPr>
    </w:p>
    <w:p>
      <w:pPr>
        <w:pStyle w:val="2"/>
        <w:rPr>
          <w:rFonts w:ascii="Times New Roman" w:hAnsi="Times New Roman" w:eastAsia="Times New Roman" w:cs="Times New Roman"/>
          <w:kern w:val="0"/>
          <w:sz w:val="24"/>
        </w:rPr>
      </w:pPr>
    </w:p>
    <w:p>
      <w:pPr>
        <w:pStyle w:val="2"/>
        <w:ind w:firstLine="640" w:firstLineChars="200"/>
        <w:rPr>
          <w:rFonts w:ascii="Times New Roman" w:hAnsi="Times New Roman" w:eastAsia="Times New Roman" w:cs="Times New Roman"/>
          <w:kern w:val="0"/>
          <w:sz w:val="24"/>
        </w:rPr>
        <w:sectPr>
          <w:footerReference r:id="rId6" w:type="default"/>
          <w:pgSz w:w="11906" w:h="16383"/>
          <w:pgMar w:top="1440" w:right="1803" w:bottom="1440" w:left="1803" w:header="720" w:footer="720" w:gutter="0"/>
          <w:pgNumType w:fmt="decimal"/>
          <w:cols w:space="0" w:num="1"/>
          <w:rtlGutter w:val="0"/>
          <w:docGrid w:linePitch="0" w:charSpace="0"/>
        </w:sectPr>
      </w:pPr>
      <w:r>
        <w:rPr>
          <w:rFonts w:hint="eastAsia" w:ascii="仿宋" w:hAnsi="仿宋" w:eastAsia="仿宋" w:cs="仿宋"/>
          <w:kern w:val="0"/>
          <w:sz w:val="32"/>
          <w:szCs w:val="32"/>
        </w:rPr>
        <w:t>本</w:t>
      </w:r>
      <w:r>
        <w:rPr>
          <w:rFonts w:hint="eastAsia" w:ascii="仿宋" w:hAnsi="仿宋" w:eastAsia="仿宋" w:cs="仿宋"/>
          <w:kern w:val="0"/>
          <w:sz w:val="32"/>
          <w:szCs w:val="32"/>
          <w:lang w:eastAsia="zh-CN"/>
        </w:rPr>
        <w:t>单位</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年度没有使用国有资本经营预算财政拨款安排的</w:t>
      </w:r>
      <w:r>
        <w:rPr>
          <w:rFonts w:hint="eastAsia" w:ascii="仿宋" w:hAnsi="仿宋" w:eastAsia="仿宋" w:cs="仿宋"/>
          <w:kern w:val="0"/>
          <w:sz w:val="32"/>
          <w:szCs w:val="32"/>
          <w:lang w:eastAsia="zh-CN"/>
        </w:rPr>
        <w:t>支出。</w:t>
      </w:r>
    </w:p>
    <w:p>
      <w:pPr>
        <w:widowControl/>
        <w:spacing w:before="240" w:after="240"/>
        <w:ind w:firstLine="1080" w:firstLineChars="300"/>
        <w:jc w:val="both"/>
        <w:rPr>
          <w:rFonts w:ascii="Times New Roman" w:hAnsi="Times New Roman" w:eastAsia="Times New Roman" w:cs="Times New Roman"/>
          <w:kern w:val="0"/>
          <w:sz w:val="24"/>
        </w:rPr>
      </w:pPr>
      <w:r>
        <w:rPr>
          <w:rFonts w:ascii="黑体" w:hAnsi="黑体" w:eastAsia="黑体" w:cs="黑体"/>
          <w:kern w:val="0"/>
          <w:sz w:val="36"/>
          <w:szCs w:val="36"/>
        </w:rPr>
        <w:t>第三部分 202</w:t>
      </w:r>
      <w:r>
        <w:rPr>
          <w:rFonts w:hint="eastAsia" w:ascii="黑体" w:hAnsi="黑体" w:eastAsia="黑体" w:cs="黑体"/>
          <w:kern w:val="0"/>
          <w:sz w:val="36"/>
          <w:szCs w:val="36"/>
          <w:lang w:val="en-US" w:eastAsia="zh-CN"/>
        </w:rPr>
        <w:t>4</w:t>
      </w:r>
      <w:r>
        <w:rPr>
          <w:rFonts w:ascii="黑体" w:hAnsi="黑体" w:eastAsia="黑体" w:cs="黑体"/>
          <w:kern w:val="0"/>
          <w:sz w:val="36"/>
          <w:szCs w:val="36"/>
        </w:rPr>
        <w:t>年度部门决算情况说明</w:t>
      </w:r>
    </w:p>
    <w:p>
      <w:pPr>
        <w:pStyle w:val="6"/>
        <w:spacing w:before="100" w:after="100" w:line="600" w:lineRule="atLeast"/>
        <w:ind w:left="0" w:leftChars="0" w:right="0" w:firstLine="643" w:firstLineChars="200"/>
        <w:jc w:val="both"/>
        <w:rPr>
          <w:rFonts w:ascii="Times New Roman" w:hAnsi="Times New Roman" w:eastAsia="Times New Roman" w:cs="Times New Roman"/>
          <w:b/>
          <w:bCs/>
          <w:kern w:val="0"/>
          <w:sz w:val="28"/>
          <w:szCs w:val="28"/>
        </w:rPr>
      </w:pPr>
      <w:bookmarkStart w:id="33" w:name="_Toc256000080"/>
      <w:bookmarkStart w:id="34" w:name="_Toc256000049"/>
      <w:bookmarkStart w:id="35" w:name="_Toc256000111"/>
      <w:bookmarkStart w:id="36" w:name="_Toc256000018"/>
      <w:r>
        <w:rPr>
          <w:rFonts w:ascii="黑体" w:hAnsi="黑体" w:eastAsia="黑体" w:cs="黑体"/>
          <w:b/>
          <w:spacing w:val="0"/>
        </w:rPr>
        <w:t>一、收入支出决算总体情况说明</w:t>
      </w:r>
      <w:bookmarkEnd w:id="33"/>
      <w:bookmarkEnd w:id="34"/>
      <w:bookmarkEnd w:id="35"/>
      <w:bookmarkEnd w:id="36"/>
    </w:p>
    <w:p>
      <w:pPr>
        <w:pStyle w:val="28"/>
        <w:widowControl/>
        <w:spacing w:before="100" w:after="100" w:line="600" w:lineRule="atLeast"/>
        <w:ind w:left="0" w:right="0" w:firstLine="640"/>
        <w:jc w:val="both"/>
        <w:rPr>
          <w:rFonts w:ascii="Times New Roman" w:hAnsi="Times New Roman" w:eastAsia="Times New Roman" w:cs="Times New Roman"/>
          <w:kern w:val="0"/>
          <w:sz w:val="24"/>
        </w:rPr>
      </w:pPr>
      <w:r>
        <w:rPr>
          <w:spacing w:val="0"/>
          <w:kern w:val="0"/>
          <w:sz w:val="32"/>
          <w:szCs w:val="32"/>
        </w:rPr>
        <w:t>（一）收入支出决算总体情况说明</w:t>
      </w:r>
    </w:p>
    <w:p>
      <w:pPr>
        <w:pStyle w:val="28"/>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2024年度本单位收入总计4263.90万元，支出总计4263.90万元，与上年决算数相比，各增加322.56万元，各增长8.18%。主要是</w:t>
      </w:r>
      <w:r>
        <w:rPr>
          <w:rFonts w:hint="eastAsia" w:ascii="仿宋" w:hAnsi="仿宋" w:eastAsia="仿宋" w:cs="仿宋"/>
          <w:b w:val="0"/>
          <w:bCs w:val="0"/>
          <w:kern w:val="0"/>
          <w:sz w:val="32"/>
          <w:szCs w:val="32"/>
          <w:lang w:eastAsia="zh-CN"/>
        </w:rPr>
        <w:t>建设项目增加。</w:t>
      </w:r>
    </w:p>
    <w:p>
      <w:pPr>
        <w:pStyle w:val="28"/>
        <w:widowControl/>
        <w:spacing w:before="100" w:after="100" w:line="600" w:lineRule="atLeast"/>
        <w:ind w:left="0" w:right="0" w:firstLine="640"/>
        <w:jc w:val="both"/>
        <w:rPr>
          <w:rFonts w:ascii="Times New Roman" w:hAnsi="Times New Roman" w:eastAsia="Times New Roman" w:cs="Times New Roman"/>
          <w:kern w:val="0"/>
          <w:sz w:val="24"/>
        </w:rPr>
      </w:pPr>
      <w:r>
        <w:rPr>
          <w:spacing w:val="0"/>
          <w:kern w:val="0"/>
          <w:sz w:val="32"/>
          <w:szCs w:val="32"/>
        </w:rPr>
        <w:t>（二）收入决算情况说明</w:t>
      </w:r>
    </w:p>
    <w:p>
      <w:pPr>
        <w:pStyle w:val="28"/>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2024年度收入4263.90万元，比上年决算数</w:t>
      </w:r>
      <w:r>
        <w:rPr>
          <w:rFonts w:ascii="仿宋" w:hAnsi="仿宋" w:eastAsia="仿宋" w:cs="仿宋"/>
          <w:kern w:val="0"/>
          <w:sz w:val="32"/>
          <w:szCs w:val="32"/>
        </w:rPr>
        <w:t>增加</w:t>
      </w:r>
      <w:r>
        <w:rPr>
          <w:rFonts w:ascii="仿宋" w:hAnsi="仿宋" w:eastAsia="仿宋" w:cs="仿宋"/>
          <w:spacing w:val="0"/>
          <w:kern w:val="0"/>
          <w:sz w:val="32"/>
          <w:szCs w:val="32"/>
        </w:rPr>
        <w:t>322.56万元，</w:t>
      </w:r>
      <w:r>
        <w:rPr>
          <w:rFonts w:ascii="仿宋" w:hAnsi="仿宋" w:eastAsia="仿宋" w:cs="仿宋"/>
          <w:kern w:val="0"/>
          <w:sz w:val="32"/>
          <w:szCs w:val="32"/>
        </w:rPr>
        <w:t>增长</w:t>
      </w:r>
      <w:r>
        <w:rPr>
          <w:rFonts w:ascii="仿宋" w:hAnsi="仿宋" w:eastAsia="仿宋" w:cs="仿宋"/>
          <w:spacing w:val="0"/>
          <w:kern w:val="0"/>
          <w:sz w:val="32"/>
          <w:szCs w:val="32"/>
        </w:rPr>
        <w:t>8.18%，具体情况如下：</w:t>
      </w:r>
    </w:p>
    <w:p>
      <w:pPr>
        <w:pStyle w:val="28"/>
        <w:widowControl/>
        <w:spacing w:before="100" w:after="100" w:line="600" w:lineRule="atLeast"/>
        <w:ind w:left="160" w:right="0" w:firstLine="480"/>
        <w:jc w:val="both"/>
        <w:rPr>
          <w:rFonts w:ascii="Times New Roman" w:hAnsi="Times New Roman" w:eastAsia="Times New Roman" w:cs="Times New Roman"/>
          <w:kern w:val="0"/>
          <w:sz w:val="24"/>
        </w:rPr>
      </w:pPr>
      <w:r>
        <w:rPr>
          <w:rFonts w:ascii="仿宋" w:hAnsi="仿宋" w:eastAsia="仿宋" w:cs="仿宋"/>
          <w:spacing w:val="0"/>
          <w:kern w:val="0"/>
          <w:sz w:val="32"/>
          <w:szCs w:val="32"/>
        </w:rPr>
        <w:t>1.一般公共预算财政拨款收入4261.90万元。</w:t>
      </w:r>
    </w:p>
    <w:p>
      <w:pPr>
        <w:pStyle w:val="28"/>
        <w:widowControl/>
        <w:spacing w:before="100" w:after="100" w:line="600" w:lineRule="atLeast"/>
        <w:ind w:left="160" w:right="0" w:firstLine="480"/>
        <w:jc w:val="both"/>
        <w:rPr>
          <w:rFonts w:ascii="Times New Roman" w:hAnsi="Times New Roman" w:eastAsia="Times New Roman" w:cs="Times New Roman"/>
          <w:kern w:val="0"/>
          <w:sz w:val="24"/>
        </w:rPr>
      </w:pPr>
      <w:r>
        <w:rPr>
          <w:rFonts w:ascii="仿宋" w:hAnsi="仿宋" w:eastAsia="仿宋" w:cs="仿宋"/>
          <w:spacing w:val="0"/>
          <w:kern w:val="0"/>
          <w:sz w:val="32"/>
          <w:szCs w:val="32"/>
        </w:rPr>
        <w:t>2.政府性基金预算财政拨款收入2.00万元。</w:t>
      </w:r>
    </w:p>
    <w:p>
      <w:pPr>
        <w:pStyle w:val="28"/>
        <w:widowControl/>
        <w:spacing w:before="100" w:after="100" w:line="600" w:lineRule="atLeast"/>
        <w:ind w:left="160" w:right="0" w:firstLine="480"/>
        <w:jc w:val="both"/>
        <w:rPr>
          <w:rFonts w:ascii="Times New Roman" w:hAnsi="Times New Roman" w:eastAsia="Times New Roman" w:cs="Times New Roman"/>
          <w:kern w:val="0"/>
          <w:sz w:val="24"/>
        </w:rPr>
      </w:pPr>
      <w:r>
        <w:rPr>
          <w:rFonts w:ascii="仿宋" w:hAnsi="仿宋" w:eastAsia="仿宋" w:cs="仿宋"/>
          <w:spacing w:val="0"/>
          <w:kern w:val="0"/>
          <w:sz w:val="32"/>
          <w:szCs w:val="32"/>
        </w:rPr>
        <w:t>3.国有资本经营预算财政拨款收入0万元。</w:t>
      </w:r>
    </w:p>
    <w:p>
      <w:pPr>
        <w:pStyle w:val="28"/>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4.上级补助收入0万元。</w:t>
      </w:r>
    </w:p>
    <w:p>
      <w:pPr>
        <w:pStyle w:val="28"/>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5.事业收入0万元。</w:t>
      </w:r>
    </w:p>
    <w:p>
      <w:pPr>
        <w:pStyle w:val="28"/>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6.经营收入0万元。</w:t>
      </w:r>
    </w:p>
    <w:p>
      <w:pPr>
        <w:pStyle w:val="28"/>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7.附属单位上缴收入0万元。</w:t>
      </w:r>
    </w:p>
    <w:p>
      <w:pPr>
        <w:pStyle w:val="28"/>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8.其他收入0万元。</w:t>
      </w:r>
    </w:p>
    <w:p>
      <w:pPr>
        <w:pStyle w:val="28"/>
        <w:widowControl/>
        <w:spacing w:before="100" w:after="100" w:line="600" w:lineRule="atLeast"/>
        <w:ind w:left="0" w:right="0" w:firstLine="640"/>
        <w:jc w:val="both"/>
        <w:rPr>
          <w:rFonts w:ascii="Times New Roman" w:hAnsi="Times New Roman" w:eastAsia="Times New Roman" w:cs="Times New Roman"/>
          <w:kern w:val="0"/>
          <w:sz w:val="24"/>
        </w:rPr>
      </w:pPr>
      <w:r>
        <w:rPr>
          <w:spacing w:val="0"/>
          <w:kern w:val="0"/>
          <w:sz w:val="32"/>
          <w:szCs w:val="32"/>
        </w:rPr>
        <w:t>（三）支出决算情况说明</w:t>
      </w:r>
    </w:p>
    <w:p>
      <w:pPr>
        <w:pStyle w:val="28"/>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2024年度支出4263.90万元，比上年决算数增加322.56万元，增长8.18%，具体情况如下：</w:t>
      </w:r>
    </w:p>
    <w:p>
      <w:pPr>
        <w:pStyle w:val="28"/>
        <w:widowControl/>
        <w:spacing w:before="100" w:after="100" w:line="600" w:lineRule="atLeast"/>
        <w:ind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1.基本支出3729.16万元。其中，人员支出3356.19万元，公用支出372.97万元。</w:t>
      </w:r>
    </w:p>
    <w:p>
      <w:pPr>
        <w:pStyle w:val="28"/>
        <w:widowControl/>
        <w:spacing w:before="240" w:after="240"/>
        <w:ind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2.项目支出534.73万元。</w:t>
      </w:r>
    </w:p>
    <w:p>
      <w:pPr>
        <w:pStyle w:val="28"/>
        <w:widowControl/>
        <w:spacing w:before="100" w:after="100" w:line="600" w:lineRule="atLeast"/>
        <w:ind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3.上缴上级支出0万元。</w:t>
      </w:r>
    </w:p>
    <w:p>
      <w:pPr>
        <w:pStyle w:val="28"/>
        <w:widowControl/>
        <w:spacing w:before="100" w:after="100" w:line="600" w:lineRule="atLeast"/>
        <w:ind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4.经营支出0万元。</w:t>
      </w:r>
    </w:p>
    <w:p>
      <w:pPr>
        <w:pStyle w:val="28"/>
        <w:widowControl/>
        <w:spacing w:before="100" w:after="100" w:line="600" w:lineRule="atLeast"/>
        <w:ind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5.对附属单位补助支出0万元。</w:t>
      </w:r>
    </w:p>
    <w:p>
      <w:pPr>
        <w:pStyle w:val="6"/>
        <w:spacing w:before="100" w:after="100" w:line="240" w:lineRule="auto"/>
        <w:ind w:left="0" w:right="0" w:firstLine="480" w:firstLineChars="0"/>
        <w:jc w:val="both"/>
        <w:rPr>
          <w:rFonts w:ascii="Times New Roman" w:hAnsi="Times New Roman" w:eastAsia="Times New Roman" w:cs="Times New Roman"/>
          <w:b/>
          <w:bCs/>
          <w:kern w:val="0"/>
          <w:sz w:val="28"/>
          <w:szCs w:val="28"/>
        </w:rPr>
      </w:pPr>
      <w:bookmarkStart w:id="37" w:name="_Toc256000019"/>
      <w:bookmarkStart w:id="38" w:name="_Toc256000081"/>
      <w:bookmarkStart w:id="39" w:name="_Toc256000050"/>
      <w:bookmarkStart w:id="40" w:name="_Toc256000112"/>
      <w:r>
        <w:rPr>
          <w:rFonts w:ascii="黑体" w:hAnsi="黑体" w:eastAsia="黑体" w:cs="黑体"/>
          <w:b/>
          <w:spacing w:val="0"/>
        </w:rPr>
        <w:t>二、财政拨款收入支出决算总体情况说明</w:t>
      </w:r>
      <w:bookmarkEnd w:id="37"/>
      <w:bookmarkEnd w:id="38"/>
      <w:bookmarkEnd w:id="39"/>
      <w:bookmarkEnd w:id="40"/>
    </w:p>
    <w:p>
      <w:pPr>
        <w:pStyle w:val="28"/>
        <w:widowControl/>
        <w:spacing w:before="100" w:after="100" w:line="600" w:lineRule="atLeast"/>
        <w:ind w:left="0" w:right="0" w:firstLine="640"/>
        <w:jc w:val="both"/>
        <w:rPr>
          <w:rFonts w:hint="eastAsia" w:ascii="Times New Roman" w:hAnsi="Times New Roman" w:eastAsia="仿宋" w:cs="Times New Roman"/>
          <w:kern w:val="0"/>
          <w:sz w:val="24"/>
          <w:lang w:eastAsia="zh-CN"/>
        </w:rPr>
      </w:pPr>
      <w:r>
        <w:rPr>
          <w:rFonts w:ascii="仿宋" w:hAnsi="仿宋" w:eastAsia="仿宋" w:cs="仿宋"/>
          <w:spacing w:val="0"/>
          <w:kern w:val="0"/>
          <w:sz w:val="32"/>
          <w:szCs w:val="32"/>
        </w:rPr>
        <w:t>2024年度财政拨款收入总计4263.90万元，支出总计4263.90万元，与上年决算数相比，各增加322.56万元，增长8.18%，主要是：</w:t>
      </w:r>
      <w:r>
        <w:rPr>
          <w:rFonts w:hint="eastAsia" w:ascii="仿宋" w:hAnsi="仿宋" w:eastAsia="仿宋" w:cs="仿宋"/>
          <w:spacing w:val="0"/>
          <w:kern w:val="0"/>
          <w:sz w:val="32"/>
          <w:szCs w:val="32"/>
          <w:lang w:eastAsia="zh-CN"/>
        </w:rPr>
        <w:t>学校建设项目增加。</w:t>
      </w:r>
    </w:p>
    <w:p>
      <w:pPr>
        <w:pStyle w:val="6"/>
        <w:spacing w:before="100" w:after="100" w:line="600" w:lineRule="atLeast"/>
        <w:ind w:left="0" w:right="0" w:firstLine="640" w:firstLineChars="0"/>
        <w:jc w:val="both"/>
        <w:rPr>
          <w:rFonts w:ascii="Times New Roman" w:hAnsi="Times New Roman" w:eastAsia="Times New Roman" w:cs="Times New Roman"/>
          <w:b/>
          <w:bCs/>
          <w:kern w:val="0"/>
          <w:sz w:val="28"/>
          <w:szCs w:val="28"/>
        </w:rPr>
      </w:pPr>
      <w:bookmarkStart w:id="41" w:name="_Toc256000082"/>
      <w:bookmarkStart w:id="42" w:name="_Toc256000051"/>
      <w:bookmarkStart w:id="43" w:name="_Toc256000020"/>
      <w:bookmarkStart w:id="44" w:name="_Toc256000113"/>
      <w:r>
        <w:rPr>
          <w:rFonts w:ascii="黑体" w:hAnsi="黑体" w:eastAsia="黑体" w:cs="黑体"/>
          <w:b/>
          <w:spacing w:val="0"/>
        </w:rPr>
        <w:t>三、一般公共预算拨款支出决算情况说明</w:t>
      </w:r>
      <w:bookmarkEnd w:id="41"/>
      <w:bookmarkEnd w:id="42"/>
      <w:bookmarkEnd w:id="43"/>
      <w:bookmarkEnd w:id="44"/>
    </w:p>
    <w:p>
      <w:pPr>
        <w:pStyle w:val="28"/>
        <w:keepNext w:val="0"/>
        <w:keepLines w:val="0"/>
        <w:pageBreakBefore w:val="0"/>
        <w:widowControl/>
        <w:kinsoku/>
        <w:wordWrap/>
        <w:overflowPunct/>
        <w:topLinePunct w:val="0"/>
        <w:autoSpaceDE/>
        <w:autoSpaceDN/>
        <w:bidi w:val="0"/>
        <w:adjustRightInd/>
        <w:snapToGrid/>
        <w:spacing w:before="240" w:after="240" w:line="510" w:lineRule="exact"/>
        <w:ind w:firstLine="640" w:firstLineChars="200"/>
        <w:jc w:val="both"/>
        <w:textAlignment w:val="auto"/>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2024年一般公共预算支出4261.90万元，比上年决算数增加358.58万元，增长9.19%，具体情况如下(按项级科目分类统计)：</w:t>
      </w:r>
    </w:p>
    <w:p>
      <w:pPr>
        <w:pStyle w:val="28"/>
        <w:keepNext w:val="0"/>
        <w:keepLines w:val="0"/>
        <w:pageBreakBefore w:val="0"/>
        <w:widowControl/>
        <w:kinsoku/>
        <w:wordWrap/>
        <w:overflowPunct/>
        <w:topLinePunct w:val="0"/>
        <w:autoSpaceDE/>
        <w:autoSpaceDN/>
        <w:bidi w:val="0"/>
        <w:adjustRightInd/>
        <w:snapToGrid/>
        <w:spacing w:before="240" w:after="240" w:line="510" w:lineRule="exact"/>
        <w:ind w:firstLine="320" w:firstLineChars="100"/>
        <w:jc w:val="both"/>
        <w:textAlignment w:val="auto"/>
        <w:rPr>
          <w:rFonts w:hint="eastAsia" w:ascii="仿宋" w:hAnsi="仿宋" w:eastAsia="仿宋" w:cs="仿宋"/>
          <w:b w:val="0"/>
          <w:bCs w:val="0"/>
          <w:kern w:val="0"/>
          <w:sz w:val="32"/>
          <w:szCs w:val="32"/>
          <w:lang w:eastAsia="zh-CN"/>
        </w:rPr>
      </w:pPr>
      <w:r>
        <w:rPr>
          <w:rFonts w:hint="eastAsia" w:ascii="仿宋" w:hAnsi="仿宋" w:eastAsia="仿宋" w:cs="仿宋"/>
          <w:b w:val="0"/>
          <w:bCs w:val="0"/>
          <w:kern w:val="0"/>
          <w:sz w:val="32"/>
          <w:szCs w:val="32"/>
        </w:rPr>
        <w:t>（一）2050199 其他教育管理事务支出3.00万元，较上年决算数增加0.00万元，增长0.00%。与上年决算数持平。</w:t>
      </w:r>
      <w:r>
        <w:rPr>
          <w:rFonts w:hint="eastAsia" w:ascii="仿宋" w:hAnsi="仿宋" w:eastAsia="仿宋" w:cs="仿宋"/>
          <w:b w:val="0"/>
          <w:bCs w:val="0"/>
          <w:kern w:val="0"/>
          <w:sz w:val="32"/>
          <w:szCs w:val="32"/>
        </w:rPr>
        <w:br w:type="textWrapping"/>
      </w:r>
      <w:r>
        <w:rPr>
          <w:rFonts w:hint="eastAsia" w:ascii="仿宋" w:hAnsi="仿宋" w:eastAsia="仿宋" w:cs="仿宋"/>
          <w:b w:val="0"/>
          <w:bCs w:val="0"/>
          <w:kern w:val="0"/>
          <w:sz w:val="32"/>
          <w:szCs w:val="32"/>
          <w:lang w:val="en-US" w:eastAsia="zh-CN"/>
        </w:rPr>
        <w:t xml:space="preserve">  </w:t>
      </w:r>
      <w:r>
        <w:rPr>
          <w:rFonts w:hint="eastAsia" w:ascii="仿宋" w:hAnsi="仿宋" w:eastAsia="仿宋" w:cs="仿宋"/>
          <w:b w:val="0"/>
          <w:bCs w:val="0"/>
          <w:kern w:val="0"/>
          <w:sz w:val="32"/>
          <w:szCs w:val="32"/>
        </w:rPr>
        <w:t>（二）2050202 小学教育2,969.79万元，较上年决算数增加33.88万元，增长1.15%。主要原因是</w:t>
      </w:r>
      <w:r>
        <w:rPr>
          <w:rFonts w:hint="eastAsia" w:ascii="仿宋" w:hAnsi="仿宋" w:eastAsia="仿宋" w:cs="仿宋"/>
          <w:b w:val="0"/>
          <w:bCs w:val="0"/>
          <w:kern w:val="0"/>
          <w:sz w:val="32"/>
          <w:szCs w:val="32"/>
          <w:lang w:eastAsia="zh-CN"/>
        </w:rPr>
        <w:t>学生人数增加。</w:t>
      </w:r>
      <w:r>
        <w:rPr>
          <w:rFonts w:hint="eastAsia" w:ascii="仿宋" w:hAnsi="仿宋" w:eastAsia="仿宋" w:cs="仿宋"/>
          <w:b w:val="0"/>
          <w:bCs w:val="0"/>
          <w:kern w:val="0"/>
          <w:sz w:val="32"/>
          <w:szCs w:val="32"/>
        </w:rPr>
        <w:br w:type="textWrapping"/>
      </w:r>
      <w:r>
        <w:rPr>
          <w:rFonts w:hint="eastAsia" w:ascii="仿宋" w:hAnsi="仿宋" w:eastAsia="仿宋" w:cs="仿宋"/>
          <w:b w:val="0"/>
          <w:bCs w:val="0"/>
          <w:kern w:val="0"/>
          <w:sz w:val="32"/>
          <w:szCs w:val="32"/>
          <w:lang w:val="en-US" w:eastAsia="zh-CN"/>
        </w:rPr>
        <w:t xml:space="preserve">  </w:t>
      </w:r>
      <w:r>
        <w:rPr>
          <w:rFonts w:hint="eastAsia" w:ascii="仿宋" w:hAnsi="仿宋" w:eastAsia="仿宋" w:cs="仿宋"/>
          <w:b w:val="0"/>
          <w:bCs w:val="0"/>
          <w:kern w:val="0"/>
          <w:sz w:val="32"/>
          <w:szCs w:val="32"/>
        </w:rPr>
        <w:t>（三）2050299 其他普通教育支出262.51万元，较上年决算数增加52.51万元，增长25.01%。主要原因是</w:t>
      </w:r>
      <w:r>
        <w:rPr>
          <w:rFonts w:hint="eastAsia" w:ascii="仿宋" w:hAnsi="仿宋" w:eastAsia="仿宋" w:cs="仿宋"/>
          <w:b w:val="0"/>
          <w:bCs w:val="0"/>
          <w:kern w:val="0"/>
          <w:sz w:val="32"/>
          <w:szCs w:val="32"/>
          <w:lang w:eastAsia="zh-CN"/>
        </w:rPr>
        <w:t>校园建设修缮采购项目增加。</w:t>
      </w:r>
      <w:r>
        <w:rPr>
          <w:rFonts w:hint="eastAsia" w:ascii="仿宋" w:hAnsi="仿宋" w:eastAsia="仿宋" w:cs="仿宋"/>
          <w:b w:val="0"/>
          <w:bCs w:val="0"/>
          <w:kern w:val="0"/>
          <w:sz w:val="32"/>
          <w:szCs w:val="32"/>
        </w:rPr>
        <w:br w:type="textWrapping"/>
      </w:r>
      <w:r>
        <w:rPr>
          <w:rFonts w:hint="eastAsia" w:ascii="仿宋" w:hAnsi="仿宋" w:eastAsia="仿宋" w:cs="仿宋"/>
          <w:b w:val="0"/>
          <w:bCs w:val="0"/>
          <w:kern w:val="0"/>
          <w:sz w:val="32"/>
          <w:szCs w:val="32"/>
          <w:lang w:val="en-US" w:eastAsia="zh-CN"/>
        </w:rPr>
        <w:t xml:space="preserve">  </w:t>
      </w:r>
      <w:r>
        <w:rPr>
          <w:rFonts w:hint="eastAsia" w:ascii="仿宋" w:hAnsi="仿宋" w:eastAsia="仿宋" w:cs="仿宋"/>
          <w:b w:val="0"/>
          <w:bCs w:val="0"/>
          <w:kern w:val="0"/>
          <w:sz w:val="32"/>
          <w:szCs w:val="32"/>
        </w:rPr>
        <w:t>（四）2050999 其他教育费附加安排的支出349.85万元，较上年决算数增加189.85万元，增长118.65%。主要原因是</w:t>
      </w:r>
      <w:r>
        <w:rPr>
          <w:rFonts w:hint="eastAsia" w:ascii="仿宋" w:hAnsi="仿宋" w:eastAsia="仿宋" w:cs="仿宋"/>
          <w:b w:val="0"/>
          <w:bCs w:val="0"/>
          <w:kern w:val="0"/>
          <w:sz w:val="32"/>
          <w:szCs w:val="32"/>
          <w:lang w:eastAsia="zh-CN"/>
        </w:rPr>
        <w:t>校园建设修缮采购项目增加。</w:t>
      </w:r>
      <w:r>
        <w:rPr>
          <w:rFonts w:hint="eastAsia" w:ascii="仿宋" w:hAnsi="仿宋" w:eastAsia="仿宋" w:cs="仿宋"/>
          <w:b w:val="0"/>
          <w:bCs w:val="0"/>
          <w:kern w:val="0"/>
          <w:sz w:val="32"/>
          <w:szCs w:val="32"/>
        </w:rPr>
        <w:br w:type="textWrapping"/>
      </w:r>
      <w:r>
        <w:rPr>
          <w:rFonts w:hint="eastAsia" w:ascii="仿宋" w:hAnsi="仿宋" w:eastAsia="仿宋" w:cs="仿宋"/>
          <w:b w:val="0"/>
          <w:bCs w:val="0"/>
          <w:kern w:val="0"/>
          <w:sz w:val="32"/>
          <w:szCs w:val="32"/>
          <w:lang w:val="en-US" w:eastAsia="zh-CN"/>
        </w:rPr>
        <w:t xml:space="preserve">  </w:t>
      </w:r>
      <w:r>
        <w:rPr>
          <w:rFonts w:hint="eastAsia" w:ascii="仿宋" w:hAnsi="仿宋" w:eastAsia="仿宋" w:cs="仿宋"/>
          <w:b w:val="0"/>
          <w:bCs w:val="0"/>
          <w:kern w:val="0"/>
          <w:sz w:val="32"/>
          <w:szCs w:val="32"/>
        </w:rPr>
        <w:t>（五）2080502 事业单位离退休89.32万元，较上年决算数增加3.08万元，增长3.57%。主要原因是</w:t>
      </w:r>
      <w:r>
        <w:rPr>
          <w:rFonts w:hint="eastAsia" w:ascii="仿宋" w:hAnsi="仿宋" w:eastAsia="仿宋" w:cs="仿宋"/>
          <w:b w:val="0"/>
          <w:bCs w:val="0"/>
          <w:kern w:val="0"/>
          <w:sz w:val="32"/>
          <w:szCs w:val="32"/>
          <w:lang w:eastAsia="zh-CN"/>
        </w:rPr>
        <w:t>退休老师增加</w:t>
      </w:r>
      <w:r>
        <w:rPr>
          <w:rFonts w:hint="eastAsia" w:ascii="仿宋" w:hAnsi="仿宋" w:eastAsia="仿宋" w:cs="仿宋"/>
          <w:b w:val="0"/>
          <w:bCs w:val="0"/>
          <w:kern w:val="0"/>
          <w:sz w:val="32"/>
          <w:szCs w:val="32"/>
        </w:rPr>
        <w:t>。</w:t>
      </w:r>
      <w:r>
        <w:rPr>
          <w:rFonts w:hint="eastAsia" w:ascii="仿宋" w:hAnsi="仿宋" w:eastAsia="仿宋" w:cs="仿宋"/>
          <w:b w:val="0"/>
          <w:bCs w:val="0"/>
          <w:kern w:val="0"/>
          <w:sz w:val="32"/>
          <w:szCs w:val="32"/>
        </w:rPr>
        <w:br w:type="textWrapping"/>
      </w:r>
      <w:r>
        <w:rPr>
          <w:rFonts w:hint="eastAsia" w:ascii="仿宋" w:hAnsi="仿宋" w:eastAsia="仿宋" w:cs="仿宋"/>
          <w:b w:val="0"/>
          <w:bCs w:val="0"/>
          <w:kern w:val="0"/>
          <w:sz w:val="32"/>
          <w:szCs w:val="32"/>
          <w:lang w:val="en-US" w:eastAsia="zh-CN"/>
        </w:rPr>
        <w:t xml:space="preserve">  </w:t>
      </w:r>
      <w:r>
        <w:rPr>
          <w:rFonts w:hint="eastAsia" w:ascii="仿宋" w:hAnsi="仿宋" w:eastAsia="仿宋" w:cs="仿宋"/>
          <w:b w:val="0"/>
          <w:bCs w:val="0"/>
          <w:kern w:val="0"/>
          <w:sz w:val="32"/>
          <w:szCs w:val="32"/>
        </w:rPr>
        <w:t>（六）2080505 机关事业单位基本养老保险缴费支出241.11万元，较上年决算数增加4.46万元，增长1.89%。主要原因是</w:t>
      </w:r>
      <w:r>
        <w:rPr>
          <w:rFonts w:hint="eastAsia" w:ascii="仿宋" w:hAnsi="仿宋" w:eastAsia="仿宋" w:cs="仿宋"/>
          <w:b w:val="0"/>
          <w:bCs w:val="0"/>
          <w:kern w:val="0"/>
          <w:sz w:val="32"/>
          <w:szCs w:val="32"/>
          <w:lang w:eastAsia="zh-CN"/>
        </w:rPr>
        <w:t>缴费基数增加。</w:t>
      </w:r>
      <w:r>
        <w:rPr>
          <w:rFonts w:hint="eastAsia" w:ascii="仿宋" w:hAnsi="仿宋" w:eastAsia="仿宋" w:cs="仿宋"/>
          <w:b w:val="0"/>
          <w:bCs w:val="0"/>
          <w:kern w:val="0"/>
          <w:sz w:val="32"/>
          <w:szCs w:val="32"/>
        </w:rPr>
        <w:br w:type="textWrapping"/>
      </w:r>
      <w:r>
        <w:rPr>
          <w:rFonts w:hint="eastAsia" w:ascii="仿宋" w:hAnsi="仿宋" w:eastAsia="仿宋" w:cs="仿宋"/>
          <w:b w:val="0"/>
          <w:bCs w:val="0"/>
          <w:kern w:val="0"/>
          <w:sz w:val="32"/>
          <w:szCs w:val="32"/>
          <w:lang w:val="en-US" w:eastAsia="zh-CN"/>
        </w:rPr>
        <w:t xml:space="preserve">  </w:t>
      </w:r>
      <w:r>
        <w:rPr>
          <w:rFonts w:hint="eastAsia" w:ascii="仿宋" w:hAnsi="仿宋" w:eastAsia="仿宋" w:cs="仿宋"/>
          <w:b w:val="0"/>
          <w:bCs w:val="0"/>
          <w:kern w:val="0"/>
          <w:sz w:val="32"/>
          <w:szCs w:val="32"/>
        </w:rPr>
        <w:t>（七）2080506 机关事业单位职业年金缴费支出131.18万元，较上年决算数增加12.86万元，增长10.87%。主要原因是职业年金</w:t>
      </w:r>
      <w:r>
        <w:rPr>
          <w:rFonts w:hint="eastAsia" w:ascii="仿宋" w:hAnsi="仿宋" w:eastAsia="仿宋" w:cs="仿宋"/>
          <w:b w:val="0"/>
          <w:bCs w:val="0"/>
          <w:kern w:val="0"/>
          <w:sz w:val="32"/>
          <w:szCs w:val="32"/>
          <w:lang w:eastAsia="zh-CN"/>
        </w:rPr>
        <w:t>缴交基数增加。</w:t>
      </w:r>
      <w:r>
        <w:rPr>
          <w:rFonts w:hint="eastAsia" w:ascii="仿宋" w:hAnsi="仿宋" w:eastAsia="仿宋" w:cs="仿宋"/>
          <w:b w:val="0"/>
          <w:bCs w:val="0"/>
          <w:kern w:val="0"/>
          <w:sz w:val="32"/>
          <w:szCs w:val="32"/>
        </w:rPr>
        <w:br w:type="textWrapping"/>
      </w:r>
      <w:r>
        <w:rPr>
          <w:rFonts w:hint="eastAsia" w:ascii="仿宋" w:hAnsi="仿宋" w:eastAsia="仿宋" w:cs="仿宋"/>
          <w:b w:val="0"/>
          <w:bCs w:val="0"/>
          <w:kern w:val="0"/>
          <w:sz w:val="32"/>
          <w:szCs w:val="32"/>
          <w:lang w:val="en-US" w:eastAsia="zh-CN"/>
        </w:rPr>
        <w:t xml:space="preserve">  </w:t>
      </w:r>
      <w:r>
        <w:rPr>
          <w:rFonts w:hint="eastAsia" w:ascii="仿宋" w:hAnsi="仿宋" w:eastAsia="仿宋" w:cs="仿宋"/>
          <w:b w:val="0"/>
          <w:bCs w:val="0"/>
          <w:kern w:val="0"/>
          <w:sz w:val="32"/>
          <w:szCs w:val="32"/>
        </w:rPr>
        <w:t>（八）2101102 事业单位医疗103.24万元，较上年决算数增加1.92万元，增长1.90%。主要原因是</w:t>
      </w:r>
      <w:r>
        <w:rPr>
          <w:rFonts w:hint="eastAsia" w:ascii="仿宋" w:hAnsi="仿宋" w:eastAsia="仿宋" w:cs="仿宋"/>
          <w:b w:val="0"/>
          <w:bCs w:val="0"/>
          <w:kern w:val="0"/>
          <w:sz w:val="32"/>
          <w:szCs w:val="32"/>
          <w:lang w:eastAsia="zh-CN"/>
        </w:rPr>
        <w:t>缴费基数增加。</w:t>
      </w:r>
      <w:r>
        <w:rPr>
          <w:rFonts w:hint="eastAsia" w:ascii="仿宋" w:hAnsi="仿宋" w:eastAsia="仿宋" w:cs="仿宋"/>
          <w:b w:val="0"/>
          <w:bCs w:val="0"/>
          <w:kern w:val="0"/>
          <w:sz w:val="32"/>
          <w:szCs w:val="32"/>
        </w:rPr>
        <w:br w:type="textWrapping"/>
      </w:r>
      <w:r>
        <w:rPr>
          <w:rFonts w:hint="eastAsia" w:ascii="仿宋" w:hAnsi="仿宋" w:eastAsia="仿宋" w:cs="仿宋"/>
          <w:b w:val="0"/>
          <w:bCs w:val="0"/>
          <w:kern w:val="0"/>
          <w:sz w:val="32"/>
          <w:szCs w:val="32"/>
          <w:lang w:val="en-US" w:eastAsia="zh-CN"/>
        </w:rPr>
        <w:t xml:space="preserve">  </w:t>
      </w:r>
      <w:r>
        <w:rPr>
          <w:rFonts w:hint="eastAsia" w:ascii="仿宋" w:hAnsi="仿宋" w:eastAsia="仿宋" w:cs="仿宋"/>
          <w:b w:val="0"/>
          <w:bCs w:val="0"/>
          <w:kern w:val="0"/>
          <w:sz w:val="32"/>
          <w:szCs w:val="32"/>
        </w:rPr>
        <w:t>（九）2101199 其他行政事业单位医疗支出52.75万元，较上年决算数增加0.98万元，增长1.90%。主要原因是</w:t>
      </w:r>
      <w:r>
        <w:rPr>
          <w:rFonts w:hint="eastAsia" w:ascii="仿宋" w:hAnsi="仿宋" w:eastAsia="仿宋" w:cs="仿宋"/>
          <w:b w:val="0"/>
          <w:bCs w:val="0"/>
          <w:kern w:val="0"/>
          <w:sz w:val="32"/>
          <w:szCs w:val="32"/>
          <w:lang w:eastAsia="zh-CN"/>
        </w:rPr>
        <w:t>缴费基数增加。</w:t>
      </w:r>
      <w:r>
        <w:rPr>
          <w:rFonts w:hint="eastAsia" w:ascii="仿宋" w:hAnsi="仿宋" w:eastAsia="仿宋" w:cs="仿宋"/>
          <w:b w:val="0"/>
          <w:bCs w:val="0"/>
          <w:kern w:val="0"/>
          <w:sz w:val="32"/>
          <w:szCs w:val="32"/>
        </w:rPr>
        <w:br w:type="textWrapping"/>
      </w:r>
      <w:r>
        <w:rPr>
          <w:rFonts w:hint="eastAsia" w:ascii="仿宋" w:hAnsi="仿宋" w:eastAsia="仿宋" w:cs="仿宋"/>
          <w:b w:val="0"/>
          <w:bCs w:val="0"/>
          <w:kern w:val="0"/>
          <w:sz w:val="32"/>
          <w:szCs w:val="32"/>
          <w:lang w:val="en-US" w:eastAsia="zh-CN"/>
        </w:rPr>
        <w:t xml:space="preserve">  </w:t>
      </w:r>
      <w:r>
        <w:rPr>
          <w:rFonts w:hint="eastAsia" w:ascii="仿宋" w:hAnsi="仿宋" w:eastAsia="仿宋" w:cs="仿宋"/>
          <w:b w:val="0"/>
          <w:bCs w:val="0"/>
          <w:kern w:val="0"/>
          <w:sz w:val="32"/>
          <w:szCs w:val="32"/>
        </w:rPr>
        <w:t>（十）2210203 购房补贴59.15万元，较上年决算数增加59.15万元，增长100%。主要原因是</w:t>
      </w:r>
      <w:r>
        <w:rPr>
          <w:rFonts w:hint="eastAsia" w:ascii="仿宋" w:hAnsi="仿宋" w:eastAsia="仿宋" w:cs="仿宋"/>
          <w:b w:val="0"/>
          <w:bCs w:val="0"/>
          <w:kern w:val="0"/>
          <w:sz w:val="32"/>
          <w:szCs w:val="32"/>
          <w:lang w:eastAsia="zh-CN"/>
        </w:rPr>
        <w:t>教职工住房货币化补贴支出增加。</w:t>
      </w:r>
    </w:p>
    <w:p>
      <w:pPr>
        <w:pStyle w:val="6"/>
        <w:spacing w:before="100" w:after="100" w:line="600" w:lineRule="atLeast"/>
        <w:ind w:left="0" w:right="0" w:firstLine="640" w:firstLineChars="0"/>
        <w:jc w:val="both"/>
        <w:rPr>
          <w:rFonts w:ascii="Times New Roman" w:hAnsi="Times New Roman" w:eastAsia="Times New Roman" w:cs="Times New Roman"/>
          <w:b/>
          <w:bCs/>
          <w:kern w:val="0"/>
          <w:sz w:val="28"/>
          <w:szCs w:val="28"/>
        </w:rPr>
      </w:pPr>
      <w:bookmarkStart w:id="45" w:name="_Toc256000114"/>
      <w:bookmarkStart w:id="46" w:name="_Toc256000083"/>
      <w:bookmarkStart w:id="47" w:name="_Toc256000021"/>
      <w:bookmarkStart w:id="48" w:name="_Toc256000052"/>
      <w:r>
        <w:rPr>
          <w:rFonts w:ascii="黑体" w:hAnsi="黑体" w:eastAsia="黑体" w:cs="黑体"/>
          <w:b/>
          <w:spacing w:val="0"/>
        </w:rPr>
        <w:t>四、政府性基金预算财政拨款支出决算情况说明</w:t>
      </w:r>
      <w:bookmarkEnd w:id="45"/>
      <w:bookmarkEnd w:id="46"/>
      <w:bookmarkEnd w:id="47"/>
      <w:bookmarkEnd w:id="48"/>
    </w:p>
    <w:p>
      <w:pPr>
        <w:pStyle w:val="28"/>
        <w:widowControl/>
        <w:spacing w:before="100" w:after="100" w:line="600" w:lineRule="atLeast"/>
        <w:ind w:left="0" w:right="0" w:firstLine="704"/>
        <w:jc w:val="both"/>
        <w:rPr>
          <w:rFonts w:ascii="Times New Roman" w:hAnsi="Times New Roman" w:eastAsia="Times New Roman" w:cs="Times New Roman"/>
          <w:kern w:val="0"/>
          <w:sz w:val="24"/>
        </w:rPr>
      </w:pPr>
      <w:r>
        <w:rPr>
          <w:rFonts w:ascii="仿宋" w:hAnsi="仿宋" w:eastAsia="仿宋" w:cs="仿宋"/>
          <w:spacing w:val="0"/>
          <w:kern w:val="0"/>
          <w:sz w:val="32"/>
          <w:szCs w:val="32"/>
        </w:rPr>
        <w:t>2024年度政府性基金支出2.00万元，比上年决算数</w:t>
      </w:r>
      <w:r>
        <w:rPr>
          <w:rFonts w:hint="eastAsia" w:ascii="仿宋" w:hAnsi="仿宋" w:eastAsia="仿宋" w:cs="仿宋"/>
          <w:spacing w:val="0"/>
          <w:kern w:val="0"/>
          <w:sz w:val="32"/>
          <w:szCs w:val="32"/>
          <w:lang w:eastAsia="zh-CN"/>
        </w:rPr>
        <w:t>减少</w:t>
      </w:r>
      <w:r>
        <w:rPr>
          <w:rFonts w:ascii="仿宋" w:hAnsi="仿宋" w:eastAsia="仿宋" w:cs="仿宋"/>
          <w:spacing w:val="0"/>
          <w:kern w:val="0"/>
          <w:sz w:val="32"/>
          <w:szCs w:val="32"/>
        </w:rPr>
        <w:t>36.02万元，</w:t>
      </w:r>
      <w:r>
        <w:rPr>
          <w:rFonts w:hint="eastAsia" w:ascii="仿宋" w:hAnsi="仿宋" w:eastAsia="仿宋" w:cs="仿宋"/>
          <w:spacing w:val="0"/>
          <w:kern w:val="0"/>
          <w:sz w:val="32"/>
          <w:szCs w:val="32"/>
          <w:lang w:eastAsia="zh-CN"/>
        </w:rPr>
        <w:t>下降</w:t>
      </w:r>
      <w:r>
        <w:rPr>
          <w:rFonts w:ascii="仿宋" w:hAnsi="仿宋" w:eastAsia="仿宋" w:cs="仿宋"/>
          <w:spacing w:val="0"/>
          <w:kern w:val="0"/>
          <w:sz w:val="32"/>
          <w:szCs w:val="32"/>
        </w:rPr>
        <w:t>94.74%，具体情况如下(按项级科目统计)：</w:t>
      </w:r>
    </w:p>
    <w:p>
      <w:pPr>
        <w:pStyle w:val="28"/>
        <w:widowControl/>
        <w:spacing w:before="100" w:after="100" w:line="600" w:lineRule="atLeast"/>
        <w:ind w:left="0" w:right="0" w:firstLine="640" w:firstLineChars="200"/>
        <w:jc w:val="both"/>
        <w:rPr>
          <w:rFonts w:hint="eastAsia" w:ascii="Times New Roman" w:hAnsi="Times New Roman" w:eastAsia="仿宋" w:cs="Times New Roman"/>
          <w:kern w:val="0"/>
          <w:sz w:val="24"/>
          <w:lang w:eastAsia="zh-CN"/>
        </w:rPr>
      </w:pPr>
      <w:r>
        <w:rPr>
          <w:rFonts w:ascii="仿宋" w:hAnsi="仿宋" w:eastAsia="仿宋" w:cs="仿宋"/>
          <w:spacing w:val="0"/>
          <w:kern w:val="0"/>
          <w:sz w:val="32"/>
          <w:szCs w:val="32"/>
        </w:rPr>
        <w:t>2296003 用于体育事业的彩票公益金支出2.00万元，较上年决算数减少36.02万元，下降94.74%。主要原因是</w:t>
      </w:r>
      <w:r>
        <w:rPr>
          <w:rFonts w:hint="eastAsia" w:ascii="仿宋" w:hAnsi="仿宋" w:eastAsia="仿宋" w:cs="仿宋"/>
          <w:spacing w:val="0"/>
          <w:kern w:val="0"/>
          <w:sz w:val="32"/>
          <w:szCs w:val="32"/>
          <w:lang w:eastAsia="zh-CN"/>
        </w:rPr>
        <w:t>建设及服务项目减少。</w:t>
      </w:r>
    </w:p>
    <w:p>
      <w:pPr>
        <w:pStyle w:val="6"/>
        <w:spacing w:before="100" w:after="100" w:line="600" w:lineRule="atLeast"/>
        <w:ind w:left="0" w:right="0" w:firstLine="640" w:firstLineChars="0"/>
        <w:jc w:val="both"/>
        <w:rPr>
          <w:rFonts w:ascii="Times New Roman" w:hAnsi="Times New Roman" w:eastAsia="Times New Roman" w:cs="Times New Roman"/>
          <w:b/>
          <w:bCs/>
          <w:kern w:val="0"/>
          <w:sz w:val="28"/>
          <w:szCs w:val="28"/>
        </w:rPr>
      </w:pPr>
      <w:bookmarkStart w:id="49" w:name="_Toc256000084"/>
      <w:bookmarkStart w:id="50" w:name="_Toc256000022"/>
      <w:bookmarkStart w:id="51" w:name="_Toc256000053"/>
      <w:bookmarkStart w:id="52" w:name="_Toc256000115"/>
      <w:r>
        <w:rPr>
          <w:rFonts w:ascii="黑体" w:hAnsi="黑体" w:eastAsia="黑体" w:cs="黑体"/>
          <w:b/>
          <w:spacing w:val="0"/>
        </w:rPr>
        <w:t>五、国有资本经营预算财政拨款支出决算情况说明</w:t>
      </w:r>
      <w:bookmarkEnd w:id="49"/>
      <w:bookmarkEnd w:id="50"/>
      <w:bookmarkEnd w:id="51"/>
      <w:bookmarkEnd w:id="52"/>
    </w:p>
    <w:p>
      <w:pPr>
        <w:pStyle w:val="28"/>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2024年度国有资本经营预算支出0万元，比上年决算数增加0万元，增长0%，具体情况如下(按项级科目统计)：</w:t>
      </w:r>
    </w:p>
    <w:p>
      <w:pPr>
        <w:pStyle w:val="28"/>
        <w:widowControl/>
        <w:spacing w:before="100" w:after="100" w:line="600" w:lineRule="atLeast"/>
        <w:ind w:left="0" w:right="0" w:firstLine="640"/>
        <w:jc w:val="both"/>
        <w:rPr>
          <w:rFonts w:hint="eastAsia" w:ascii="Times New Roman" w:hAnsi="Times New Roman" w:eastAsia="宋体" w:cs="Times New Roman"/>
          <w:kern w:val="0"/>
          <w:sz w:val="24"/>
          <w:lang w:eastAsia="zh-CN"/>
        </w:rPr>
      </w:pPr>
      <w:r>
        <w:rPr>
          <w:rFonts w:ascii="仿宋" w:hAnsi="仿宋" w:eastAsia="仿宋" w:cs="仿宋"/>
          <w:spacing w:val="0"/>
          <w:kern w:val="0"/>
          <w:sz w:val="32"/>
          <w:szCs w:val="32"/>
        </w:rPr>
        <w:t>本单位2024年度没有使用国有资本经营预算财政拨款安排的支出</w:t>
      </w:r>
      <w:r>
        <w:rPr>
          <w:rFonts w:hint="eastAsia" w:ascii="仿宋" w:hAnsi="仿宋" w:eastAsia="仿宋" w:cs="仿宋"/>
          <w:spacing w:val="0"/>
          <w:kern w:val="0"/>
          <w:sz w:val="32"/>
          <w:szCs w:val="32"/>
          <w:lang w:eastAsia="zh-CN"/>
        </w:rPr>
        <w:t>。</w:t>
      </w:r>
    </w:p>
    <w:p>
      <w:pPr>
        <w:pStyle w:val="6"/>
        <w:spacing w:before="100" w:after="100" w:line="600" w:lineRule="atLeast"/>
        <w:ind w:left="0" w:right="0" w:firstLine="640" w:firstLineChars="0"/>
        <w:jc w:val="both"/>
        <w:rPr>
          <w:rFonts w:ascii="Times New Roman" w:hAnsi="Times New Roman" w:eastAsia="Times New Roman" w:cs="Times New Roman"/>
          <w:b/>
          <w:bCs/>
          <w:kern w:val="0"/>
          <w:sz w:val="28"/>
          <w:szCs w:val="28"/>
        </w:rPr>
      </w:pPr>
      <w:bookmarkStart w:id="53" w:name="_Toc256000054"/>
      <w:bookmarkStart w:id="54" w:name="_Toc256000023"/>
      <w:bookmarkStart w:id="55" w:name="_Toc256000085"/>
      <w:bookmarkStart w:id="56" w:name="_Toc256000116"/>
      <w:r>
        <w:rPr>
          <w:rFonts w:ascii="黑体" w:hAnsi="黑体" w:eastAsia="黑体" w:cs="黑体"/>
          <w:b/>
          <w:spacing w:val="0"/>
        </w:rPr>
        <w:t>六、一般公共预算财政拨款基本支出决算情况说明</w:t>
      </w:r>
      <w:bookmarkEnd w:id="53"/>
      <w:bookmarkEnd w:id="54"/>
      <w:bookmarkEnd w:id="55"/>
      <w:bookmarkEnd w:id="56"/>
    </w:p>
    <w:p>
      <w:pPr>
        <w:pStyle w:val="28"/>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2024年度一般公共预算财政拨款基本支出3729.16万元，其中：</w:t>
      </w:r>
    </w:p>
    <w:p>
      <w:pPr>
        <w:pStyle w:val="28"/>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一）人员经费3356.19万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28"/>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二）公用经费372.97万元，主要包括：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6"/>
        <w:spacing w:before="100" w:after="100" w:line="600" w:lineRule="atLeast"/>
        <w:ind w:left="0" w:right="0" w:firstLine="640" w:firstLineChars="0"/>
        <w:jc w:val="both"/>
        <w:rPr>
          <w:rFonts w:ascii="Times New Roman" w:hAnsi="Times New Roman" w:eastAsia="Times New Roman" w:cs="Times New Roman"/>
          <w:b/>
          <w:bCs/>
          <w:kern w:val="0"/>
          <w:sz w:val="28"/>
          <w:szCs w:val="28"/>
        </w:rPr>
      </w:pPr>
      <w:bookmarkStart w:id="57" w:name="_Toc256000024"/>
      <w:bookmarkStart w:id="58" w:name="_Toc256000086"/>
      <w:bookmarkStart w:id="59" w:name="_Toc256000117"/>
      <w:bookmarkStart w:id="60" w:name="_Toc256000055"/>
      <w:r>
        <w:rPr>
          <w:rFonts w:ascii="黑体" w:hAnsi="黑体" w:eastAsia="黑体" w:cs="黑体"/>
          <w:b/>
          <w:spacing w:val="0"/>
        </w:rPr>
        <w:t>七、一般公共预算拨款“三公”经费支出决算情况说明</w:t>
      </w:r>
      <w:bookmarkEnd w:id="57"/>
      <w:bookmarkEnd w:id="58"/>
      <w:bookmarkEnd w:id="59"/>
      <w:bookmarkEnd w:id="60"/>
    </w:p>
    <w:p>
      <w:pPr>
        <w:pStyle w:val="28"/>
        <w:widowControl/>
        <w:spacing w:before="100" w:after="100" w:line="600" w:lineRule="atLeast"/>
        <w:ind w:left="0" w:right="0" w:firstLine="640"/>
        <w:jc w:val="both"/>
        <w:rPr>
          <w:rFonts w:hint="eastAsia" w:ascii="仿宋" w:hAnsi="仿宋" w:eastAsia="仿宋" w:cs="仿宋"/>
          <w:spacing w:val="0"/>
          <w:kern w:val="0"/>
          <w:sz w:val="32"/>
          <w:szCs w:val="32"/>
        </w:rPr>
      </w:pPr>
      <w:bookmarkStart w:id="61" w:name="_Toc256000056"/>
      <w:bookmarkStart w:id="62" w:name="_Toc256000118"/>
      <w:bookmarkStart w:id="63" w:name="_Toc256000087"/>
      <w:bookmarkStart w:id="64" w:name="_Toc256000025"/>
      <w:r>
        <w:rPr>
          <w:rFonts w:hint="eastAsia" w:ascii="仿宋" w:hAnsi="仿宋" w:eastAsia="仿宋" w:cs="仿宋"/>
          <w:spacing w:val="0"/>
          <w:kern w:val="0"/>
          <w:sz w:val="32"/>
          <w:szCs w:val="32"/>
        </w:rPr>
        <w:t>2024年度一般公共预算拨款“三公”经费支出0万元，</w:t>
      </w:r>
      <w:r>
        <w:rPr>
          <w:rFonts w:hint="eastAsia" w:ascii="仿宋" w:hAnsi="仿宋" w:eastAsia="仿宋" w:cs="仿宋"/>
          <w:spacing w:val="0"/>
          <w:kern w:val="0"/>
          <w:sz w:val="32"/>
          <w:szCs w:val="32"/>
          <w:lang w:eastAsia="zh-CN"/>
        </w:rPr>
        <w:t>与</w:t>
      </w:r>
      <w:r>
        <w:rPr>
          <w:rFonts w:hint="eastAsia" w:ascii="仿宋" w:hAnsi="仿宋" w:eastAsia="仿宋" w:cs="仿宋"/>
          <w:spacing w:val="0"/>
          <w:kern w:val="0"/>
          <w:sz w:val="32"/>
          <w:szCs w:val="32"/>
        </w:rPr>
        <w:t>全年预算</w:t>
      </w:r>
      <w:r>
        <w:rPr>
          <w:rFonts w:hint="eastAsia" w:ascii="仿宋" w:hAnsi="仿宋" w:eastAsia="仿宋" w:cs="仿宋"/>
          <w:spacing w:val="0"/>
          <w:kern w:val="0"/>
          <w:sz w:val="32"/>
          <w:szCs w:val="32"/>
          <w:lang w:val="en-US" w:eastAsia="zh-CN"/>
        </w:rPr>
        <w:t>0.00万元持平，</w:t>
      </w:r>
      <w:r>
        <w:rPr>
          <w:rFonts w:hint="eastAsia" w:ascii="仿宋" w:hAnsi="仿宋" w:eastAsia="仿宋" w:cs="仿宋"/>
          <w:spacing w:val="0"/>
          <w:kern w:val="0"/>
          <w:sz w:val="32"/>
          <w:szCs w:val="32"/>
        </w:rPr>
        <w:t>较上年</w:t>
      </w:r>
      <w:r>
        <w:rPr>
          <w:rFonts w:hint="eastAsia" w:ascii="仿宋" w:hAnsi="仿宋" w:eastAsia="仿宋" w:cs="仿宋"/>
          <w:spacing w:val="0"/>
          <w:kern w:val="0"/>
          <w:sz w:val="32"/>
          <w:szCs w:val="32"/>
          <w:lang w:eastAsia="zh-CN"/>
        </w:rPr>
        <w:t>决算的</w:t>
      </w:r>
      <w:r>
        <w:rPr>
          <w:rFonts w:hint="eastAsia" w:ascii="仿宋" w:hAnsi="仿宋" w:eastAsia="仿宋" w:cs="仿宋"/>
          <w:spacing w:val="0"/>
          <w:kern w:val="0"/>
          <w:sz w:val="32"/>
          <w:szCs w:val="32"/>
          <w:lang w:val="en-US" w:eastAsia="zh-CN"/>
        </w:rPr>
        <w:t>0.00万元相比持平。</w:t>
      </w:r>
      <w:r>
        <w:rPr>
          <w:rFonts w:hint="eastAsia" w:ascii="仿宋" w:hAnsi="仿宋" w:eastAsia="仿宋" w:cs="仿宋"/>
          <w:spacing w:val="0"/>
          <w:kern w:val="0"/>
          <w:sz w:val="32"/>
          <w:szCs w:val="32"/>
        </w:rPr>
        <w:t>主要原因是</w:t>
      </w:r>
      <w:r>
        <w:rPr>
          <w:rFonts w:hint="eastAsia" w:ascii="仿宋" w:hAnsi="仿宋" w:eastAsia="仿宋" w:cs="仿宋"/>
          <w:spacing w:val="0"/>
          <w:kern w:val="0"/>
          <w:sz w:val="32"/>
          <w:szCs w:val="32"/>
          <w:lang w:eastAsia="zh-CN"/>
        </w:rPr>
        <w:t>本单位没有使用“三公”经费支出</w:t>
      </w:r>
      <w:r>
        <w:rPr>
          <w:rFonts w:hint="eastAsia" w:ascii="仿宋" w:hAnsi="仿宋" w:eastAsia="仿宋" w:cs="仿宋"/>
          <w:spacing w:val="0"/>
          <w:kern w:val="0"/>
          <w:sz w:val="32"/>
          <w:szCs w:val="32"/>
        </w:rPr>
        <w:t>。具体情况如下：</w:t>
      </w:r>
    </w:p>
    <w:p>
      <w:pPr>
        <w:pStyle w:val="28"/>
        <w:widowControl/>
        <w:spacing w:before="100" w:after="100" w:line="600" w:lineRule="atLeast"/>
        <w:ind w:left="0" w:right="0" w:firstLine="640"/>
        <w:jc w:val="both"/>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eastAsia="zh-CN"/>
        </w:rPr>
        <w:t>（一）</w:t>
      </w:r>
      <w:r>
        <w:rPr>
          <w:rFonts w:hint="eastAsia" w:ascii="仿宋" w:hAnsi="仿宋" w:eastAsia="仿宋" w:cs="仿宋"/>
          <w:spacing w:val="0"/>
          <w:kern w:val="0"/>
          <w:sz w:val="32"/>
          <w:szCs w:val="32"/>
        </w:rPr>
        <w:t>因公出国（境）费支出0.00万元，</w:t>
      </w:r>
      <w:r>
        <w:rPr>
          <w:rFonts w:hint="eastAsia" w:ascii="仿宋" w:hAnsi="仿宋" w:eastAsia="仿宋" w:cs="仿宋"/>
          <w:spacing w:val="0"/>
          <w:kern w:val="0"/>
          <w:sz w:val="32"/>
          <w:szCs w:val="32"/>
          <w:lang w:eastAsia="zh-CN"/>
        </w:rPr>
        <w:t>与</w:t>
      </w:r>
      <w:r>
        <w:rPr>
          <w:rFonts w:hint="eastAsia" w:ascii="仿宋" w:hAnsi="仿宋" w:eastAsia="仿宋" w:cs="仿宋"/>
          <w:spacing w:val="0"/>
          <w:kern w:val="0"/>
          <w:sz w:val="32"/>
          <w:szCs w:val="32"/>
        </w:rPr>
        <w:t>全年预算</w:t>
      </w:r>
      <w:r>
        <w:rPr>
          <w:rFonts w:hint="eastAsia" w:ascii="仿宋" w:hAnsi="仿宋" w:eastAsia="仿宋" w:cs="仿宋"/>
          <w:spacing w:val="0"/>
          <w:kern w:val="0"/>
          <w:sz w:val="32"/>
          <w:szCs w:val="32"/>
          <w:lang w:val="en-US" w:eastAsia="zh-CN"/>
        </w:rPr>
        <w:t>0.00万元持平，</w:t>
      </w:r>
      <w:r>
        <w:rPr>
          <w:rFonts w:hint="eastAsia" w:ascii="仿宋" w:hAnsi="仿宋" w:eastAsia="仿宋" w:cs="仿宋"/>
          <w:spacing w:val="0"/>
          <w:kern w:val="0"/>
          <w:sz w:val="32"/>
          <w:szCs w:val="32"/>
        </w:rPr>
        <w:t>较上年</w:t>
      </w:r>
      <w:r>
        <w:rPr>
          <w:rFonts w:hint="eastAsia" w:ascii="仿宋" w:hAnsi="仿宋" w:eastAsia="仿宋" w:cs="仿宋"/>
          <w:spacing w:val="0"/>
          <w:kern w:val="0"/>
          <w:sz w:val="32"/>
          <w:szCs w:val="32"/>
          <w:lang w:eastAsia="zh-CN"/>
        </w:rPr>
        <w:t>决算的</w:t>
      </w:r>
      <w:r>
        <w:rPr>
          <w:rFonts w:hint="eastAsia" w:ascii="仿宋" w:hAnsi="仿宋" w:eastAsia="仿宋" w:cs="仿宋"/>
          <w:spacing w:val="0"/>
          <w:kern w:val="0"/>
          <w:sz w:val="32"/>
          <w:szCs w:val="32"/>
          <w:lang w:val="en-US" w:eastAsia="zh-CN"/>
        </w:rPr>
        <w:t>0.00万元相比持平。</w:t>
      </w:r>
      <w:r>
        <w:rPr>
          <w:rFonts w:hint="eastAsia" w:ascii="仿宋" w:hAnsi="仿宋" w:eastAsia="仿宋" w:cs="仿宋"/>
          <w:spacing w:val="0"/>
          <w:kern w:val="0"/>
          <w:sz w:val="32"/>
          <w:szCs w:val="32"/>
        </w:rPr>
        <w:t>全年安排本</w:t>
      </w:r>
      <w:r>
        <w:rPr>
          <w:rFonts w:hint="eastAsia" w:ascii="仿宋" w:hAnsi="仿宋" w:eastAsia="仿宋" w:cs="仿宋"/>
          <w:spacing w:val="0"/>
          <w:kern w:val="0"/>
          <w:sz w:val="32"/>
          <w:szCs w:val="32"/>
          <w:lang w:eastAsia="zh-CN"/>
        </w:rPr>
        <w:t>单位</w:t>
      </w:r>
      <w:r>
        <w:rPr>
          <w:rFonts w:hint="eastAsia" w:ascii="仿宋" w:hAnsi="仿宋" w:eastAsia="仿宋" w:cs="仿宋"/>
          <w:spacing w:val="0"/>
          <w:kern w:val="0"/>
          <w:sz w:val="32"/>
          <w:szCs w:val="32"/>
        </w:rPr>
        <w:t>组织的出国团组0 个，参加其他</w:t>
      </w:r>
      <w:r>
        <w:rPr>
          <w:rFonts w:hint="eastAsia" w:ascii="仿宋" w:hAnsi="仿宋" w:eastAsia="仿宋" w:cs="仿宋"/>
          <w:spacing w:val="0"/>
          <w:kern w:val="0"/>
          <w:sz w:val="32"/>
          <w:szCs w:val="32"/>
          <w:lang w:eastAsia="zh-CN"/>
        </w:rPr>
        <w:t>单位</w:t>
      </w:r>
      <w:r>
        <w:rPr>
          <w:rFonts w:hint="eastAsia" w:ascii="仿宋" w:hAnsi="仿宋" w:eastAsia="仿宋" w:cs="仿宋"/>
          <w:spacing w:val="0"/>
          <w:kern w:val="0"/>
          <w:sz w:val="32"/>
          <w:szCs w:val="32"/>
        </w:rPr>
        <w:t>出国团组</w:t>
      </w:r>
      <w:r>
        <w:rPr>
          <w:rFonts w:hint="eastAsia" w:ascii="仿宋" w:hAnsi="仿宋" w:eastAsia="仿宋" w:cs="仿宋"/>
          <w:spacing w:val="0"/>
          <w:kern w:val="0"/>
          <w:sz w:val="32"/>
          <w:szCs w:val="32"/>
          <w:lang w:val="en-US" w:eastAsia="zh-CN"/>
        </w:rPr>
        <w:t>0</w:t>
      </w:r>
      <w:r>
        <w:rPr>
          <w:rFonts w:hint="eastAsia" w:ascii="仿宋" w:hAnsi="仿宋" w:eastAsia="仿宋" w:cs="仿宋"/>
          <w:spacing w:val="0"/>
          <w:kern w:val="0"/>
          <w:sz w:val="32"/>
          <w:szCs w:val="32"/>
        </w:rPr>
        <w:t> 个；全年因公出国（境）累计0人次。主要是</w:t>
      </w:r>
      <w:r>
        <w:rPr>
          <w:rFonts w:hint="eastAsia" w:ascii="仿宋" w:hAnsi="仿宋" w:eastAsia="仿宋" w:cs="仿宋"/>
          <w:spacing w:val="0"/>
          <w:kern w:val="0"/>
          <w:sz w:val="32"/>
          <w:szCs w:val="32"/>
          <w:lang w:val="en-US" w:eastAsia="zh-CN"/>
        </w:rPr>
        <w:t>本单位没有组织出国团组及参加其他部</w:t>
      </w:r>
      <w:r>
        <w:rPr>
          <w:rFonts w:hint="default" w:ascii="仿宋" w:hAnsi="仿宋" w:eastAsia="仿宋" w:cs="仿宋"/>
          <w:spacing w:val="0"/>
          <w:kern w:val="0"/>
          <w:sz w:val="32"/>
          <w:szCs w:val="32"/>
          <w:lang w:val="en-US" w:eastAsia="zh-CN"/>
        </w:rPr>
        <w:t>门出国团组。</w:t>
      </w:r>
      <w:r>
        <w:rPr>
          <w:rFonts w:hint="eastAsia" w:ascii="仿宋" w:hAnsi="仿宋" w:eastAsia="仿宋" w:cs="仿宋"/>
          <w:spacing w:val="0"/>
          <w:kern w:val="0"/>
          <w:sz w:val="32"/>
          <w:szCs w:val="32"/>
          <w:lang w:val="en-US" w:eastAsia="zh-CN"/>
        </w:rPr>
        <w:t xml:space="preserve">  </w:t>
      </w:r>
    </w:p>
    <w:p>
      <w:pPr>
        <w:pStyle w:val="28"/>
        <w:widowControl/>
        <w:spacing w:before="100" w:after="100" w:line="600" w:lineRule="atLeast"/>
        <w:ind w:left="0" w:right="0" w:firstLine="640"/>
        <w:jc w:val="both"/>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（二）公务用车购置及运行费支出0.00万元，</w:t>
      </w:r>
      <w:r>
        <w:rPr>
          <w:rFonts w:hint="eastAsia" w:ascii="仿宋" w:hAnsi="仿宋" w:eastAsia="仿宋" w:cs="仿宋"/>
          <w:spacing w:val="0"/>
          <w:kern w:val="0"/>
          <w:sz w:val="32"/>
          <w:szCs w:val="32"/>
          <w:lang w:eastAsia="zh-CN"/>
        </w:rPr>
        <w:t>与</w:t>
      </w:r>
      <w:r>
        <w:rPr>
          <w:rFonts w:hint="eastAsia" w:ascii="仿宋" w:hAnsi="仿宋" w:eastAsia="仿宋" w:cs="仿宋"/>
          <w:spacing w:val="0"/>
          <w:kern w:val="0"/>
          <w:sz w:val="32"/>
          <w:szCs w:val="32"/>
        </w:rPr>
        <w:t>全年预算</w:t>
      </w:r>
      <w:r>
        <w:rPr>
          <w:rFonts w:hint="eastAsia" w:ascii="仿宋" w:hAnsi="仿宋" w:eastAsia="仿宋" w:cs="仿宋"/>
          <w:spacing w:val="0"/>
          <w:kern w:val="0"/>
          <w:sz w:val="32"/>
          <w:szCs w:val="32"/>
          <w:lang w:val="en-US" w:eastAsia="zh-CN"/>
        </w:rPr>
        <w:t>0.00万元持平，</w:t>
      </w:r>
      <w:r>
        <w:rPr>
          <w:rFonts w:hint="eastAsia" w:ascii="仿宋" w:hAnsi="仿宋" w:eastAsia="仿宋" w:cs="仿宋"/>
          <w:spacing w:val="0"/>
          <w:kern w:val="0"/>
          <w:sz w:val="32"/>
          <w:szCs w:val="32"/>
        </w:rPr>
        <w:t>较上年</w:t>
      </w:r>
      <w:r>
        <w:rPr>
          <w:rFonts w:hint="eastAsia" w:ascii="仿宋" w:hAnsi="仿宋" w:eastAsia="仿宋" w:cs="仿宋"/>
          <w:spacing w:val="0"/>
          <w:kern w:val="0"/>
          <w:sz w:val="32"/>
          <w:szCs w:val="32"/>
          <w:lang w:eastAsia="zh-CN"/>
        </w:rPr>
        <w:t>决算的</w:t>
      </w:r>
      <w:r>
        <w:rPr>
          <w:rFonts w:hint="eastAsia" w:ascii="仿宋" w:hAnsi="仿宋" w:eastAsia="仿宋" w:cs="仿宋"/>
          <w:spacing w:val="0"/>
          <w:kern w:val="0"/>
          <w:sz w:val="32"/>
          <w:szCs w:val="32"/>
          <w:lang w:val="en-US" w:eastAsia="zh-CN"/>
        </w:rPr>
        <w:t>0.00万元相比持平。</w:t>
      </w:r>
      <w:r>
        <w:rPr>
          <w:rFonts w:hint="eastAsia" w:ascii="仿宋" w:hAnsi="仿宋" w:eastAsia="仿宋" w:cs="仿宋"/>
          <w:spacing w:val="0"/>
          <w:kern w:val="0"/>
          <w:sz w:val="32"/>
          <w:szCs w:val="32"/>
        </w:rPr>
        <w:t>主要是</w:t>
      </w:r>
      <w:r>
        <w:rPr>
          <w:rFonts w:hint="eastAsia" w:ascii="仿宋" w:hAnsi="仿宋" w:eastAsia="仿宋" w:cs="仿宋"/>
          <w:spacing w:val="0"/>
          <w:kern w:val="0"/>
          <w:sz w:val="32"/>
          <w:szCs w:val="32"/>
          <w:lang w:val="en-US" w:eastAsia="zh-CN"/>
        </w:rPr>
        <w:t>本单位没有购置</w:t>
      </w:r>
      <w:r>
        <w:rPr>
          <w:rFonts w:hint="default" w:ascii="仿宋" w:hAnsi="仿宋" w:eastAsia="仿宋" w:cs="仿宋"/>
          <w:spacing w:val="0"/>
          <w:kern w:val="0"/>
          <w:sz w:val="32"/>
          <w:szCs w:val="32"/>
          <w:lang w:val="en-US" w:eastAsia="zh-CN"/>
        </w:rPr>
        <w:t>公务用车及运行</w:t>
      </w:r>
      <w:r>
        <w:rPr>
          <w:rFonts w:hint="eastAsia" w:ascii="仿宋" w:hAnsi="仿宋" w:eastAsia="仿宋" w:cs="仿宋"/>
          <w:spacing w:val="0"/>
          <w:kern w:val="0"/>
          <w:sz w:val="32"/>
          <w:szCs w:val="32"/>
          <w:lang w:val="en-US" w:eastAsia="zh-CN"/>
        </w:rPr>
        <w:t>维护</w:t>
      </w:r>
      <w:r>
        <w:rPr>
          <w:rFonts w:hint="default" w:ascii="仿宋" w:hAnsi="仿宋" w:eastAsia="仿宋" w:cs="仿宋"/>
          <w:spacing w:val="0"/>
          <w:kern w:val="0"/>
          <w:sz w:val="32"/>
          <w:szCs w:val="32"/>
          <w:lang w:val="en-US" w:eastAsia="zh-CN"/>
        </w:rPr>
        <w:t>费支出。</w:t>
      </w:r>
      <w:r>
        <w:rPr>
          <w:rFonts w:hint="eastAsia" w:ascii="仿宋" w:hAnsi="仿宋" w:eastAsia="仿宋" w:cs="仿宋"/>
          <w:spacing w:val="0"/>
          <w:kern w:val="0"/>
          <w:sz w:val="32"/>
          <w:szCs w:val="32"/>
        </w:rPr>
        <w:t>其中：</w:t>
      </w:r>
    </w:p>
    <w:p>
      <w:pPr>
        <w:pStyle w:val="28"/>
        <w:widowControl/>
        <w:spacing w:before="100" w:after="100" w:line="600" w:lineRule="atLeast"/>
        <w:ind w:left="0" w:right="0" w:firstLine="640"/>
        <w:jc w:val="both"/>
        <w:rPr>
          <w:rFonts w:hint="default"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公务用车购置费支出0.00万元，与全年预算0.00万元持平，较上年决算的0.00万元相比持平。2024年公务用车购置0 辆。主要是本单位</w:t>
      </w:r>
      <w:r>
        <w:rPr>
          <w:rFonts w:hint="default" w:ascii="仿宋" w:hAnsi="仿宋" w:eastAsia="仿宋" w:cs="仿宋"/>
          <w:spacing w:val="0"/>
          <w:kern w:val="0"/>
          <w:sz w:val="32"/>
          <w:szCs w:val="32"/>
          <w:lang w:val="en-US" w:eastAsia="zh-CN"/>
        </w:rPr>
        <w:t>没有购置公务用车。</w:t>
      </w:r>
    </w:p>
    <w:p>
      <w:pPr>
        <w:pStyle w:val="28"/>
        <w:widowControl/>
        <w:spacing w:before="100" w:after="100" w:line="600" w:lineRule="atLeast"/>
        <w:ind w:left="0" w:right="0" w:firstLine="640"/>
        <w:jc w:val="both"/>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公务用车运行费支出0.00万元，</w:t>
      </w:r>
      <w:r>
        <w:rPr>
          <w:rFonts w:hint="eastAsia" w:ascii="仿宋" w:hAnsi="仿宋" w:eastAsia="仿宋" w:cs="仿宋"/>
          <w:spacing w:val="0"/>
          <w:kern w:val="0"/>
          <w:sz w:val="32"/>
          <w:szCs w:val="32"/>
          <w:lang w:eastAsia="zh-CN"/>
        </w:rPr>
        <w:t>与</w:t>
      </w:r>
      <w:r>
        <w:rPr>
          <w:rFonts w:hint="eastAsia" w:ascii="仿宋" w:hAnsi="仿宋" w:eastAsia="仿宋" w:cs="仿宋"/>
          <w:spacing w:val="0"/>
          <w:kern w:val="0"/>
          <w:sz w:val="32"/>
          <w:szCs w:val="32"/>
        </w:rPr>
        <w:t>全年预算</w:t>
      </w:r>
      <w:r>
        <w:rPr>
          <w:rFonts w:hint="eastAsia" w:ascii="仿宋" w:hAnsi="仿宋" w:eastAsia="仿宋" w:cs="仿宋"/>
          <w:spacing w:val="0"/>
          <w:kern w:val="0"/>
          <w:sz w:val="32"/>
          <w:szCs w:val="32"/>
          <w:lang w:val="en-US" w:eastAsia="zh-CN"/>
        </w:rPr>
        <w:t>0.00万元持平，</w:t>
      </w:r>
      <w:r>
        <w:rPr>
          <w:rFonts w:hint="eastAsia" w:ascii="仿宋" w:hAnsi="仿宋" w:eastAsia="仿宋" w:cs="仿宋"/>
          <w:spacing w:val="0"/>
          <w:kern w:val="0"/>
          <w:sz w:val="32"/>
          <w:szCs w:val="32"/>
        </w:rPr>
        <w:t>较上年</w:t>
      </w:r>
      <w:r>
        <w:rPr>
          <w:rFonts w:hint="eastAsia" w:ascii="仿宋" w:hAnsi="仿宋" w:eastAsia="仿宋" w:cs="仿宋"/>
          <w:spacing w:val="0"/>
          <w:kern w:val="0"/>
          <w:sz w:val="32"/>
          <w:szCs w:val="32"/>
          <w:lang w:eastAsia="zh-CN"/>
        </w:rPr>
        <w:t>决算的</w:t>
      </w:r>
      <w:r>
        <w:rPr>
          <w:rFonts w:hint="eastAsia" w:ascii="仿宋" w:hAnsi="仿宋" w:eastAsia="仿宋" w:cs="仿宋"/>
          <w:spacing w:val="0"/>
          <w:kern w:val="0"/>
          <w:sz w:val="32"/>
          <w:szCs w:val="32"/>
          <w:lang w:val="en-US" w:eastAsia="zh-CN"/>
        </w:rPr>
        <w:t>0.00万元相比持平。</w:t>
      </w:r>
      <w:r>
        <w:rPr>
          <w:rFonts w:hint="eastAsia" w:ascii="仿宋" w:hAnsi="仿宋" w:eastAsia="仿宋" w:cs="仿宋"/>
          <w:spacing w:val="0"/>
          <w:kern w:val="0"/>
          <w:sz w:val="32"/>
          <w:szCs w:val="32"/>
        </w:rPr>
        <w:t>主要是</w:t>
      </w:r>
      <w:r>
        <w:rPr>
          <w:rFonts w:hint="eastAsia" w:ascii="仿宋" w:hAnsi="仿宋" w:eastAsia="仿宋" w:cs="仿宋"/>
          <w:spacing w:val="0"/>
          <w:kern w:val="0"/>
          <w:sz w:val="32"/>
          <w:szCs w:val="32"/>
          <w:lang w:val="en-US" w:eastAsia="zh-CN"/>
        </w:rPr>
        <w:t>本单位没有公务用车运行维护</w:t>
      </w:r>
      <w:r>
        <w:rPr>
          <w:rFonts w:hint="default" w:ascii="仿宋" w:hAnsi="仿宋" w:eastAsia="仿宋" w:cs="仿宋"/>
          <w:spacing w:val="0"/>
          <w:kern w:val="0"/>
          <w:sz w:val="32"/>
          <w:szCs w:val="32"/>
          <w:lang w:val="en-US" w:eastAsia="zh-CN"/>
        </w:rPr>
        <w:t>费的支出。</w:t>
      </w:r>
      <w:r>
        <w:rPr>
          <w:rFonts w:hint="eastAsia" w:ascii="仿宋" w:hAnsi="仿宋" w:eastAsia="仿宋" w:cs="仿宋"/>
          <w:spacing w:val="0"/>
          <w:kern w:val="0"/>
          <w:sz w:val="32"/>
          <w:szCs w:val="32"/>
        </w:rPr>
        <w:t>截至20</w:t>
      </w:r>
      <w:r>
        <w:rPr>
          <w:rFonts w:hint="eastAsia" w:ascii="仿宋" w:hAnsi="仿宋" w:eastAsia="仿宋" w:cs="仿宋"/>
          <w:spacing w:val="0"/>
          <w:kern w:val="0"/>
          <w:sz w:val="32"/>
          <w:szCs w:val="32"/>
          <w:lang w:val="en-US" w:eastAsia="zh-CN"/>
        </w:rPr>
        <w:t>24</w:t>
      </w:r>
      <w:r>
        <w:rPr>
          <w:rFonts w:hint="eastAsia" w:ascii="仿宋" w:hAnsi="仿宋" w:eastAsia="仿宋" w:cs="仿宋"/>
          <w:spacing w:val="0"/>
          <w:kern w:val="0"/>
          <w:sz w:val="32"/>
          <w:szCs w:val="32"/>
        </w:rPr>
        <w:t>年12月31日，本</w:t>
      </w:r>
      <w:r>
        <w:rPr>
          <w:rFonts w:hint="eastAsia" w:ascii="仿宋" w:hAnsi="仿宋" w:eastAsia="仿宋" w:cs="仿宋"/>
          <w:spacing w:val="0"/>
          <w:kern w:val="0"/>
          <w:sz w:val="32"/>
          <w:szCs w:val="32"/>
          <w:lang w:val="en-US" w:eastAsia="zh-CN"/>
        </w:rPr>
        <w:t>单位</w:t>
      </w:r>
      <w:r>
        <w:rPr>
          <w:rFonts w:hint="eastAsia" w:ascii="仿宋" w:hAnsi="仿宋" w:eastAsia="仿宋" w:cs="仿宋"/>
          <w:spacing w:val="0"/>
          <w:kern w:val="0"/>
          <w:sz w:val="32"/>
          <w:szCs w:val="32"/>
        </w:rPr>
        <w:t>公务用车保有量为0辆。</w:t>
      </w:r>
    </w:p>
    <w:p>
      <w:pPr>
        <w:pStyle w:val="6"/>
        <w:numPr>
          <w:ilvl w:val="0"/>
          <w:numId w:val="0"/>
        </w:numPr>
        <w:spacing w:before="100" w:after="100" w:line="600" w:lineRule="atLeast"/>
        <w:ind w:right="0" w:rightChars="0" w:firstLine="640" w:firstLineChars="200"/>
        <w:jc w:val="both"/>
        <w:rPr>
          <w:rFonts w:hint="eastAsia" w:ascii="仿宋" w:hAnsi="仿宋" w:eastAsia="仿宋" w:cs="仿宋"/>
          <w:spacing w:val="0"/>
          <w:kern w:val="0"/>
          <w:sz w:val="32"/>
          <w:szCs w:val="32"/>
        </w:rPr>
      </w:pPr>
      <w:r>
        <w:rPr>
          <w:rFonts w:hint="eastAsia" w:ascii="仿宋" w:hAnsi="仿宋" w:cs="仿宋"/>
          <w:spacing w:val="0"/>
          <w:kern w:val="0"/>
          <w:sz w:val="32"/>
          <w:szCs w:val="32"/>
          <w:lang w:eastAsia="zh-CN"/>
        </w:rPr>
        <w:t>（三）</w:t>
      </w:r>
      <w:r>
        <w:rPr>
          <w:rFonts w:hint="eastAsia" w:ascii="仿宋" w:hAnsi="仿宋" w:eastAsia="仿宋" w:cs="仿宋"/>
          <w:spacing w:val="0"/>
          <w:kern w:val="0"/>
          <w:sz w:val="32"/>
          <w:szCs w:val="32"/>
        </w:rPr>
        <w:t>公务接待费支出0.00万元，</w:t>
      </w:r>
      <w:r>
        <w:rPr>
          <w:rFonts w:hint="eastAsia" w:ascii="仿宋" w:hAnsi="仿宋" w:eastAsia="仿宋" w:cs="仿宋"/>
          <w:spacing w:val="0"/>
          <w:kern w:val="0"/>
          <w:sz w:val="32"/>
          <w:szCs w:val="32"/>
          <w:lang w:eastAsia="zh-CN"/>
        </w:rPr>
        <w:t>与</w:t>
      </w:r>
      <w:r>
        <w:rPr>
          <w:rFonts w:hint="eastAsia" w:ascii="仿宋" w:hAnsi="仿宋" w:eastAsia="仿宋" w:cs="仿宋"/>
          <w:spacing w:val="0"/>
          <w:kern w:val="0"/>
          <w:sz w:val="32"/>
          <w:szCs w:val="32"/>
        </w:rPr>
        <w:t>全年预算</w:t>
      </w:r>
      <w:r>
        <w:rPr>
          <w:rFonts w:hint="eastAsia" w:ascii="仿宋" w:hAnsi="仿宋" w:eastAsia="仿宋" w:cs="仿宋"/>
          <w:spacing w:val="0"/>
          <w:kern w:val="0"/>
          <w:sz w:val="32"/>
          <w:szCs w:val="32"/>
          <w:lang w:val="en-US" w:eastAsia="zh-CN"/>
        </w:rPr>
        <w:t>0.00万元持平，</w:t>
      </w:r>
      <w:r>
        <w:rPr>
          <w:rFonts w:hint="eastAsia" w:ascii="仿宋" w:hAnsi="仿宋" w:eastAsia="仿宋" w:cs="仿宋"/>
          <w:spacing w:val="0"/>
          <w:kern w:val="0"/>
          <w:sz w:val="32"/>
          <w:szCs w:val="32"/>
        </w:rPr>
        <w:t>较上年</w:t>
      </w:r>
      <w:r>
        <w:rPr>
          <w:rFonts w:hint="eastAsia" w:ascii="仿宋" w:hAnsi="仿宋" w:eastAsia="仿宋" w:cs="仿宋"/>
          <w:spacing w:val="0"/>
          <w:kern w:val="0"/>
          <w:sz w:val="32"/>
          <w:szCs w:val="32"/>
          <w:lang w:eastAsia="zh-CN"/>
        </w:rPr>
        <w:t>决算的</w:t>
      </w:r>
      <w:r>
        <w:rPr>
          <w:rFonts w:hint="eastAsia" w:ascii="仿宋" w:hAnsi="仿宋" w:eastAsia="仿宋" w:cs="仿宋"/>
          <w:spacing w:val="0"/>
          <w:kern w:val="0"/>
          <w:sz w:val="32"/>
          <w:szCs w:val="32"/>
          <w:lang w:val="en-US" w:eastAsia="zh-CN"/>
        </w:rPr>
        <w:t>0.00万元相比持平。</w:t>
      </w:r>
      <w:r>
        <w:rPr>
          <w:rFonts w:hint="eastAsia" w:ascii="仿宋" w:hAnsi="仿宋" w:eastAsia="仿宋" w:cs="仿宋"/>
          <w:spacing w:val="0"/>
          <w:kern w:val="0"/>
          <w:sz w:val="32"/>
          <w:szCs w:val="32"/>
        </w:rPr>
        <w:t>主要是</w:t>
      </w:r>
      <w:r>
        <w:rPr>
          <w:rFonts w:hint="eastAsia" w:ascii="仿宋" w:hAnsi="仿宋" w:eastAsia="仿宋" w:cs="仿宋"/>
          <w:spacing w:val="0"/>
          <w:kern w:val="0"/>
          <w:sz w:val="32"/>
          <w:szCs w:val="32"/>
          <w:lang w:val="en-US" w:eastAsia="zh-CN"/>
        </w:rPr>
        <w:t>本单位没有公务接待活动。</w:t>
      </w:r>
      <w:r>
        <w:rPr>
          <w:rFonts w:hint="eastAsia" w:ascii="仿宋" w:hAnsi="仿宋" w:eastAsia="仿宋" w:cs="仿宋"/>
          <w:spacing w:val="0"/>
          <w:kern w:val="0"/>
          <w:sz w:val="32"/>
          <w:szCs w:val="32"/>
        </w:rPr>
        <w:t>累计接待0 批次、0人次。</w:t>
      </w:r>
    </w:p>
    <w:p>
      <w:pPr>
        <w:pStyle w:val="6"/>
        <w:numPr>
          <w:ilvl w:val="0"/>
          <w:numId w:val="0"/>
        </w:numPr>
        <w:spacing w:before="100" w:after="100" w:line="600" w:lineRule="atLeast"/>
        <w:ind w:left="640" w:leftChars="0" w:right="0" w:rightChars="0"/>
        <w:jc w:val="both"/>
        <w:rPr>
          <w:rFonts w:ascii="Times New Roman" w:hAnsi="Times New Roman" w:eastAsia="Times New Roman" w:cs="Times New Roman"/>
          <w:b/>
          <w:bCs/>
          <w:kern w:val="0"/>
          <w:sz w:val="28"/>
          <w:szCs w:val="28"/>
        </w:rPr>
      </w:pPr>
      <w:r>
        <w:rPr>
          <w:rFonts w:ascii="黑体" w:hAnsi="黑体" w:eastAsia="黑体" w:cs="黑体"/>
          <w:b/>
          <w:spacing w:val="0"/>
        </w:rPr>
        <w:t>八、预算绩效情况说明</w:t>
      </w:r>
      <w:bookmarkEnd w:id="61"/>
      <w:bookmarkEnd w:id="62"/>
      <w:bookmarkEnd w:id="63"/>
      <w:bookmarkEnd w:id="64"/>
    </w:p>
    <w:p>
      <w:pPr>
        <w:pStyle w:val="28"/>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根据预算绩效管理要求，本单位组织对2024年度</w:t>
      </w:r>
      <w:r>
        <w:rPr>
          <w:rFonts w:hint="eastAsia" w:ascii="仿宋" w:hAnsi="仿宋" w:eastAsia="仿宋" w:cs="仿宋"/>
          <w:spacing w:val="0"/>
          <w:kern w:val="0"/>
          <w:sz w:val="32"/>
          <w:szCs w:val="32"/>
          <w:lang w:val="en-US" w:eastAsia="zh-CN"/>
        </w:rPr>
        <w:t>1</w:t>
      </w:r>
      <w:r>
        <w:rPr>
          <w:rFonts w:ascii="仿宋" w:hAnsi="仿宋" w:eastAsia="仿宋" w:cs="仿宋"/>
          <w:spacing w:val="0"/>
          <w:kern w:val="0"/>
          <w:sz w:val="32"/>
          <w:szCs w:val="32"/>
        </w:rPr>
        <w:t>个项目实施单位自评，</w:t>
      </w:r>
      <w:r>
        <w:rPr>
          <w:rFonts w:hint="eastAsia" w:ascii="仿宋" w:hAnsi="仿宋" w:eastAsia="仿宋" w:cs="仿宋"/>
          <w:spacing w:val="0"/>
          <w:kern w:val="0"/>
          <w:sz w:val="32"/>
          <w:szCs w:val="32"/>
          <w:lang w:eastAsia="zh-CN"/>
        </w:rPr>
        <w:t>项目名称是</w:t>
      </w:r>
      <w:r>
        <w:rPr>
          <w:rFonts w:hint="eastAsia" w:ascii="仿宋" w:hAnsi="仿宋" w:eastAsia="仿宋" w:cs="仿宋"/>
          <w:spacing w:val="0"/>
          <w:kern w:val="0"/>
          <w:sz w:val="32"/>
          <w:szCs w:val="32"/>
        </w:rPr>
        <w:t>义务教育阶段家庭经济困难学生营养餐补</w:t>
      </w:r>
      <w:r>
        <w:rPr>
          <w:rFonts w:hint="eastAsia" w:ascii="仿宋" w:hAnsi="仿宋" w:eastAsia="仿宋" w:cs="仿宋"/>
          <w:spacing w:val="0"/>
          <w:kern w:val="0"/>
          <w:sz w:val="32"/>
          <w:szCs w:val="32"/>
          <w:lang w:val="en-US" w:eastAsia="zh-CN"/>
        </w:rPr>
        <w:t>助</w:t>
      </w:r>
      <w:r>
        <w:rPr>
          <w:rFonts w:ascii="仿宋" w:hAnsi="仿宋" w:eastAsia="仿宋" w:cs="仿宋"/>
          <w:spacing w:val="0"/>
          <w:kern w:val="0"/>
          <w:sz w:val="32"/>
          <w:szCs w:val="32"/>
        </w:rPr>
        <w:t>，涉及财政拨款资金共计</w:t>
      </w:r>
      <w:r>
        <w:rPr>
          <w:rFonts w:hint="eastAsia" w:ascii="仿宋" w:hAnsi="仿宋" w:eastAsia="仿宋" w:cs="仿宋"/>
          <w:spacing w:val="0"/>
          <w:kern w:val="0"/>
          <w:sz w:val="32"/>
          <w:szCs w:val="32"/>
          <w:lang w:val="en-US" w:eastAsia="zh-CN"/>
        </w:rPr>
        <w:t>0.036</w:t>
      </w:r>
      <w:r>
        <w:rPr>
          <w:rFonts w:hint="eastAsia" w:ascii="仿宋" w:hAnsi="仿宋" w:eastAsia="仿宋" w:cs="仿宋"/>
          <w:spacing w:val="0"/>
          <w:kern w:val="0"/>
          <w:sz w:val="32"/>
          <w:szCs w:val="32"/>
        </w:rPr>
        <w:t>万</w:t>
      </w:r>
      <w:r>
        <w:rPr>
          <w:rFonts w:ascii="仿宋" w:hAnsi="仿宋" w:eastAsia="仿宋" w:cs="仿宋"/>
          <w:spacing w:val="0"/>
          <w:kern w:val="0"/>
          <w:sz w:val="32"/>
          <w:szCs w:val="32"/>
        </w:rPr>
        <w:t>元。（《项目支出绩效自评表》详见附件）</w:t>
      </w:r>
      <w:r>
        <w:rPr>
          <w:rFonts w:hint="eastAsia" w:ascii="仿宋" w:hAnsi="仿宋" w:eastAsia="仿宋" w:cs="仿宋"/>
          <w:kern w:val="0"/>
          <w:sz w:val="32"/>
          <w:szCs w:val="32"/>
          <w:lang w:val="en-US" w:eastAsia="zh-CN" w:bidi="ar-SA"/>
        </w:rPr>
        <w:t>。</w:t>
      </w:r>
    </w:p>
    <w:p>
      <w:pPr>
        <w:pStyle w:val="6"/>
        <w:spacing w:before="100" w:after="100" w:line="600" w:lineRule="atLeast"/>
        <w:ind w:left="0" w:right="0" w:firstLine="640" w:firstLineChars="0"/>
        <w:jc w:val="both"/>
        <w:rPr>
          <w:rFonts w:ascii="Times New Roman" w:hAnsi="Times New Roman" w:eastAsia="Times New Roman" w:cs="Times New Roman"/>
          <w:b/>
          <w:bCs/>
          <w:kern w:val="0"/>
          <w:sz w:val="28"/>
          <w:szCs w:val="28"/>
        </w:rPr>
      </w:pPr>
      <w:bookmarkStart w:id="65" w:name="_Toc256000119"/>
      <w:bookmarkStart w:id="66" w:name="_Toc256000026"/>
      <w:bookmarkStart w:id="67" w:name="_Toc256000057"/>
      <w:bookmarkStart w:id="68" w:name="_Toc256000088"/>
      <w:r>
        <w:rPr>
          <w:rFonts w:ascii="黑体" w:hAnsi="黑体" w:eastAsia="黑体" w:cs="黑体"/>
          <w:b/>
          <w:spacing w:val="0"/>
        </w:rPr>
        <w:t>九、其他重要事项说明</w:t>
      </w:r>
      <w:bookmarkEnd w:id="65"/>
      <w:bookmarkEnd w:id="66"/>
      <w:bookmarkEnd w:id="67"/>
      <w:bookmarkEnd w:id="68"/>
    </w:p>
    <w:p>
      <w:pPr>
        <w:pStyle w:val="28"/>
        <w:widowControl/>
        <w:spacing w:before="100" w:after="100" w:line="600" w:lineRule="atLeast"/>
        <w:ind w:left="0" w:right="0" w:firstLine="643"/>
        <w:jc w:val="both"/>
        <w:rPr>
          <w:rFonts w:ascii="Times New Roman" w:hAnsi="Times New Roman" w:eastAsia="Times New Roman" w:cs="Times New Roman"/>
          <w:kern w:val="0"/>
          <w:sz w:val="24"/>
        </w:rPr>
      </w:pPr>
      <w:r>
        <w:rPr>
          <w:rStyle w:val="34"/>
          <w:b/>
          <w:bCs/>
          <w:spacing w:val="0"/>
          <w:kern w:val="0"/>
          <w:sz w:val="32"/>
          <w:szCs w:val="32"/>
        </w:rPr>
        <w:t>（一）机关运行经费</w:t>
      </w:r>
      <w:r>
        <w:rPr>
          <w:rFonts w:ascii="宋体" w:hAnsi="宋体" w:cs="宋体"/>
          <w:spacing w:val="0"/>
          <w:kern w:val="0"/>
          <w:sz w:val="32"/>
          <w:szCs w:val="32"/>
        </w:rPr>
        <w:t> </w:t>
      </w:r>
    </w:p>
    <w:p>
      <w:pPr>
        <w:pStyle w:val="28"/>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ascii="仿宋" w:hAnsi="仿宋" w:eastAsia="仿宋" w:cs="仿宋"/>
          <w:color w:val="auto"/>
          <w:spacing w:val="0"/>
          <w:kern w:val="0"/>
          <w:sz w:val="32"/>
          <w:szCs w:val="32"/>
          <w:highlight w:val="none"/>
        </w:rPr>
      </w:pPr>
      <w:r>
        <w:rPr>
          <w:rFonts w:ascii="仿宋" w:hAnsi="仿宋" w:eastAsia="仿宋" w:cs="仿宋"/>
          <w:color w:val="auto"/>
          <w:spacing w:val="0"/>
          <w:kern w:val="0"/>
          <w:sz w:val="32"/>
          <w:szCs w:val="32"/>
          <w:highlight w:val="none"/>
        </w:rPr>
        <w:t>2024年度机关运行经费支出0万元，比上年决算数增加（减少）</w:t>
      </w:r>
      <w:r>
        <w:rPr>
          <w:rFonts w:hint="eastAsia" w:ascii="仿宋" w:hAnsi="仿宋" w:eastAsia="仿宋" w:cs="仿宋"/>
          <w:color w:val="auto"/>
          <w:spacing w:val="0"/>
          <w:kern w:val="0"/>
          <w:sz w:val="32"/>
          <w:szCs w:val="32"/>
          <w:highlight w:val="none"/>
          <w:lang w:val="en-US" w:eastAsia="zh-CN"/>
        </w:rPr>
        <w:t>0</w:t>
      </w:r>
      <w:r>
        <w:rPr>
          <w:rFonts w:ascii="仿宋" w:hAnsi="仿宋" w:eastAsia="仿宋" w:cs="仿宋"/>
          <w:color w:val="auto"/>
          <w:spacing w:val="0"/>
          <w:kern w:val="0"/>
          <w:sz w:val="32"/>
          <w:szCs w:val="32"/>
          <w:highlight w:val="none"/>
        </w:rPr>
        <w:t>万元，增长（下降）</w:t>
      </w:r>
      <w:r>
        <w:rPr>
          <w:rFonts w:hint="eastAsia" w:ascii="仿宋" w:hAnsi="仿宋" w:eastAsia="仿宋" w:cs="仿宋"/>
          <w:color w:val="auto"/>
          <w:spacing w:val="0"/>
          <w:kern w:val="0"/>
          <w:sz w:val="32"/>
          <w:szCs w:val="32"/>
          <w:highlight w:val="none"/>
          <w:lang w:val="en-US" w:eastAsia="zh-CN"/>
        </w:rPr>
        <w:t>0</w:t>
      </w:r>
      <w:r>
        <w:rPr>
          <w:rFonts w:ascii="仿宋" w:hAnsi="仿宋" w:eastAsia="仿宋" w:cs="仿宋"/>
          <w:color w:val="auto"/>
          <w:spacing w:val="0"/>
          <w:kern w:val="0"/>
          <w:sz w:val="32"/>
          <w:szCs w:val="32"/>
          <w:highlight w:val="none"/>
        </w:rPr>
        <w:t>%，主要原因是:本单位为事业单位</w:t>
      </w:r>
      <w:r>
        <w:rPr>
          <w:rFonts w:hint="eastAsia" w:ascii="仿宋" w:hAnsi="仿宋" w:eastAsia="仿宋" w:cs="仿宋"/>
          <w:color w:val="auto"/>
          <w:spacing w:val="0"/>
          <w:kern w:val="0"/>
          <w:sz w:val="32"/>
          <w:szCs w:val="32"/>
          <w:highlight w:val="none"/>
          <w:lang w:eastAsia="zh-CN"/>
        </w:rPr>
        <w:t>，</w:t>
      </w:r>
      <w:r>
        <w:rPr>
          <w:rFonts w:ascii="仿宋" w:hAnsi="仿宋" w:eastAsia="仿宋" w:cs="仿宋"/>
          <w:color w:val="auto"/>
          <w:spacing w:val="0"/>
          <w:kern w:val="0"/>
          <w:sz w:val="32"/>
          <w:szCs w:val="32"/>
          <w:highlight w:val="none"/>
        </w:rPr>
        <w:t>没有机关运行经费。</w:t>
      </w:r>
    </w:p>
    <w:p>
      <w:pPr>
        <w:pStyle w:val="28"/>
        <w:widowControl/>
        <w:spacing w:before="100" w:after="100" w:line="600" w:lineRule="atLeast"/>
        <w:ind w:left="0" w:right="0" w:firstLine="643"/>
        <w:jc w:val="both"/>
        <w:rPr>
          <w:rFonts w:ascii="Times New Roman" w:hAnsi="Times New Roman" w:eastAsia="Times New Roman" w:cs="Times New Roman"/>
          <w:kern w:val="0"/>
          <w:sz w:val="24"/>
        </w:rPr>
      </w:pPr>
      <w:r>
        <w:rPr>
          <w:rStyle w:val="34"/>
          <w:b/>
          <w:bCs/>
          <w:spacing w:val="0"/>
          <w:kern w:val="0"/>
          <w:sz w:val="32"/>
          <w:szCs w:val="32"/>
        </w:rPr>
        <w:t>（二）政府采购情况</w:t>
      </w:r>
    </w:p>
    <w:p>
      <w:pPr>
        <w:pStyle w:val="28"/>
        <w:widowControl/>
        <w:spacing w:before="100" w:after="100" w:line="600" w:lineRule="atLeast"/>
        <w:ind w:left="0" w:right="0" w:firstLine="640"/>
        <w:jc w:val="both"/>
        <w:rPr>
          <w:spacing w:val="0"/>
          <w:kern w:val="0"/>
          <w:sz w:val="32"/>
          <w:szCs w:val="32"/>
        </w:rPr>
      </w:pPr>
      <w:r>
        <w:rPr>
          <w:rFonts w:ascii="仿宋" w:hAnsi="仿宋" w:eastAsia="仿宋" w:cs="仿宋"/>
          <w:color w:val="auto"/>
          <w:spacing w:val="0"/>
          <w:kern w:val="0"/>
          <w:sz w:val="32"/>
          <w:szCs w:val="32"/>
          <w:highlight w:val="none"/>
        </w:rPr>
        <w:t>本单位2024年度政府采购支出总额0万元，其中：政府采购货物支出0万元、政府采购工程支出0万元、政府采购服务支出0万元。授予中小企业合同金额0万元，占政府采购支出总额的0%，其中：授予小微企业合同金额0万元，占授予中小企业合同金额的0%；货物采购授予中小企业合同金额占货物支出金额的</w:t>
      </w:r>
      <w:r>
        <w:rPr>
          <w:rFonts w:hint="eastAsia" w:ascii="仿宋" w:hAnsi="仿宋" w:eastAsia="仿宋" w:cs="仿宋"/>
          <w:color w:val="auto"/>
          <w:spacing w:val="0"/>
          <w:kern w:val="0"/>
          <w:sz w:val="32"/>
          <w:szCs w:val="32"/>
          <w:highlight w:val="none"/>
          <w:lang w:val="en-US" w:eastAsia="zh-CN"/>
        </w:rPr>
        <w:t>0</w:t>
      </w:r>
      <w:r>
        <w:rPr>
          <w:rFonts w:ascii="仿宋" w:hAnsi="仿宋" w:eastAsia="仿宋" w:cs="仿宋"/>
          <w:color w:val="auto"/>
          <w:spacing w:val="0"/>
          <w:kern w:val="0"/>
          <w:sz w:val="32"/>
          <w:szCs w:val="32"/>
          <w:highlight w:val="none"/>
        </w:rPr>
        <w:t>%，工程采购授予中小企业合同金额占工程支出金额的</w:t>
      </w:r>
      <w:r>
        <w:rPr>
          <w:rFonts w:hint="eastAsia" w:ascii="仿宋" w:hAnsi="仿宋" w:eastAsia="仿宋" w:cs="仿宋"/>
          <w:color w:val="auto"/>
          <w:spacing w:val="0"/>
          <w:kern w:val="0"/>
          <w:sz w:val="32"/>
          <w:szCs w:val="32"/>
          <w:highlight w:val="none"/>
          <w:lang w:val="en-US" w:eastAsia="zh-CN"/>
        </w:rPr>
        <w:t>0</w:t>
      </w:r>
      <w:r>
        <w:rPr>
          <w:rFonts w:ascii="仿宋" w:hAnsi="仿宋" w:eastAsia="仿宋" w:cs="仿宋"/>
          <w:color w:val="auto"/>
          <w:spacing w:val="0"/>
          <w:kern w:val="0"/>
          <w:sz w:val="32"/>
          <w:szCs w:val="32"/>
          <w:highlight w:val="none"/>
        </w:rPr>
        <w:t>%，服务采购授予中小企业合同金额占服务支出金额的</w:t>
      </w:r>
      <w:r>
        <w:rPr>
          <w:rFonts w:hint="eastAsia" w:ascii="仿宋" w:hAnsi="仿宋" w:eastAsia="仿宋" w:cs="仿宋"/>
          <w:color w:val="auto"/>
          <w:spacing w:val="0"/>
          <w:kern w:val="0"/>
          <w:sz w:val="32"/>
          <w:szCs w:val="32"/>
          <w:highlight w:val="none"/>
          <w:lang w:val="en-US" w:eastAsia="zh-CN"/>
        </w:rPr>
        <w:t>0</w:t>
      </w:r>
      <w:r>
        <w:rPr>
          <w:rFonts w:hint="eastAsia" w:ascii="仿宋" w:hAnsi="仿宋" w:eastAsia="仿宋" w:cs="仿宋"/>
          <w:color w:val="auto"/>
          <w:spacing w:val="0"/>
          <w:kern w:val="0"/>
          <w:sz w:val="32"/>
          <w:szCs w:val="32"/>
          <w:highlight w:val="none"/>
        </w:rPr>
        <w:t>%。</w:t>
      </w:r>
    </w:p>
    <w:p>
      <w:pPr>
        <w:pStyle w:val="28"/>
        <w:widowControl/>
        <w:spacing w:before="100" w:after="100" w:line="600" w:lineRule="atLeast"/>
        <w:ind w:left="0" w:right="0" w:firstLine="640"/>
        <w:jc w:val="both"/>
        <w:rPr>
          <w:rFonts w:ascii="仿宋" w:hAnsi="仿宋" w:eastAsia="仿宋" w:cs="仿宋"/>
          <w:color w:val="auto"/>
          <w:spacing w:val="0"/>
          <w:kern w:val="0"/>
          <w:sz w:val="32"/>
          <w:szCs w:val="32"/>
          <w:highlight w:val="none"/>
        </w:rPr>
      </w:pPr>
      <w:r>
        <w:rPr>
          <w:rFonts w:ascii="仿宋" w:hAnsi="仿宋" w:eastAsia="仿宋" w:cs="仿宋"/>
          <w:color w:val="auto"/>
          <w:spacing w:val="0"/>
          <w:kern w:val="0"/>
          <w:sz w:val="32"/>
          <w:szCs w:val="32"/>
          <w:highlight w:val="none"/>
        </w:rPr>
        <w:t>本单位2024年度没有政府采购支出。</w:t>
      </w:r>
    </w:p>
    <w:p>
      <w:pPr>
        <w:pStyle w:val="28"/>
        <w:widowControl/>
        <w:spacing w:before="100" w:after="100" w:line="600" w:lineRule="atLeast"/>
        <w:ind w:left="0" w:right="0" w:firstLine="707"/>
        <w:jc w:val="both"/>
        <w:rPr>
          <w:rFonts w:ascii="Times New Roman" w:hAnsi="Times New Roman" w:eastAsia="Times New Roman" w:cs="Times New Roman"/>
          <w:kern w:val="0"/>
          <w:sz w:val="24"/>
        </w:rPr>
      </w:pPr>
      <w:r>
        <w:rPr>
          <w:rStyle w:val="34"/>
          <w:b/>
          <w:bCs/>
          <w:spacing w:val="0"/>
          <w:kern w:val="0"/>
          <w:sz w:val="32"/>
          <w:szCs w:val="32"/>
        </w:rPr>
        <w:t>（三）国有资产占用使用情况</w:t>
      </w:r>
      <w:r>
        <w:rPr>
          <w:rFonts w:ascii="宋体" w:hAnsi="宋体" w:cs="宋体"/>
          <w:spacing w:val="0"/>
          <w:kern w:val="0"/>
          <w:sz w:val="32"/>
          <w:szCs w:val="32"/>
        </w:rPr>
        <w:t> </w:t>
      </w:r>
    </w:p>
    <w:p>
      <w:pPr>
        <w:pStyle w:val="28"/>
        <w:widowControl/>
        <w:spacing w:before="100" w:after="100" w:line="600" w:lineRule="atLeast"/>
        <w:ind w:left="0" w:right="0" w:firstLine="704"/>
        <w:jc w:val="both"/>
        <w:rPr>
          <w:rFonts w:ascii="Calibri" w:hAnsi="Calibri" w:eastAsia="Calibri" w:cs="Calibri"/>
          <w:spacing w:val="0"/>
          <w:kern w:val="0"/>
          <w:sz w:val="32"/>
          <w:szCs w:val="32"/>
        </w:rPr>
      </w:pPr>
      <w:r>
        <w:rPr>
          <w:rFonts w:ascii="仿宋" w:hAnsi="仿宋" w:eastAsia="仿宋" w:cs="仿宋"/>
          <w:spacing w:val="0"/>
          <w:kern w:val="0"/>
          <w:sz w:val="32"/>
          <w:szCs w:val="32"/>
        </w:rPr>
        <w:t>截至2024年12月31日，本单位共有车辆0 辆，其中：副部（省）级以上领导用车0 辆、主要领导干部用车0 辆、机要通信用车0辆、应急保障用车0辆、执法执勤用车0辆、特种专业技术用车0辆、离退休干部用车0辆、其他用车0辆；单位价值100万元以上设备（不含车辆）0台（套）。</w:t>
      </w:r>
      <w:r>
        <w:rPr>
          <w:rFonts w:ascii="Calibri" w:hAnsi="Calibri" w:eastAsia="Calibri" w:cs="Calibri"/>
          <w:spacing w:val="0"/>
          <w:kern w:val="0"/>
          <w:sz w:val="32"/>
          <w:szCs w:val="32"/>
        </w:rPr>
        <w:t> </w:t>
      </w:r>
    </w:p>
    <w:p>
      <w:pPr>
        <w:pStyle w:val="28"/>
        <w:widowControl/>
        <w:spacing w:before="100" w:after="100" w:line="600" w:lineRule="atLeast"/>
        <w:ind w:left="0" w:right="0" w:firstLine="704"/>
        <w:jc w:val="both"/>
        <w:rPr>
          <w:rFonts w:ascii="Times New Roman" w:hAnsi="Times New Roman" w:eastAsia="Times New Roman" w:cs="Times New Roman"/>
          <w:kern w:val="0"/>
          <w:sz w:val="24"/>
        </w:rPr>
      </w:pPr>
      <w:r>
        <w:rPr>
          <w:rFonts w:ascii="Calibri" w:hAnsi="Calibri" w:eastAsia="Calibri" w:cs="Calibri"/>
          <w:spacing w:val="0"/>
          <w:kern w:val="0"/>
          <w:sz w:val="32"/>
          <w:szCs w:val="32"/>
        </w:rPr>
        <w:t> </w:t>
      </w:r>
      <w:r>
        <w:rPr>
          <w:rFonts w:ascii="宋体" w:hAnsi="宋体" w:cs="宋体"/>
          <w:spacing w:val="0"/>
          <w:kern w:val="0"/>
          <w:sz w:val="56"/>
          <w:szCs w:val="56"/>
        </w:rPr>
        <w:t xml:space="preserve"> </w:t>
      </w:r>
    </w:p>
    <w:p>
      <w:pPr>
        <w:pStyle w:val="28"/>
        <w:keepNext w:val="0"/>
        <w:keepLines w:val="0"/>
        <w:pageBreakBefore w:val="0"/>
        <w:widowControl/>
        <w:kinsoku/>
        <w:wordWrap/>
        <w:overflowPunct/>
        <w:topLinePunct w:val="0"/>
        <w:autoSpaceDE/>
        <w:autoSpaceDN/>
        <w:bidi w:val="0"/>
        <w:adjustRightInd/>
        <w:snapToGrid/>
        <w:spacing w:before="240" w:after="240" w:line="510" w:lineRule="exact"/>
        <w:jc w:val="center"/>
        <w:textAlignment w:val="auto"/>
        <w:rPr>
          <w:rFonts w:ascii="Times New Roman" w:hAnsi="Times New Roman" w:eastAsia="Times New Roman" w:cs="Times New Roman"/>
          <w:kern w:val="0"/>
          <w:sz w:val="24"/>
        </w:rPr>
      </w:pPr>
      <w:bookmarkStart w:id="69" w:name="_Toc4251_WPSOffice_Level1"/>
      <w:r>
        <w:rPr>
          <w:rFonts w:ascii="黑体" w:hAnsi="黑体" w:eastAsia="黑体" w:cs="黑体"/>
          <w:kern w:val="0"/>
          <w:sz w:val="36"/>
          <w:szCs w:val="36"/>
        </w:rPr>
        <w:t>第四部分 名词解释</w:t>
      </w:r>
      <w:bookmarkEnd w:id="69"/>
    </w:p>
    <w:p>
      <w:pPr>
        <w:pStyle w:val="28"/>
        <w:widowControl/>
        <w:spacing w:before="100" w:after="100" w:line="600" w:lineRule="atLeast"/>
        <w:ind w:left="0" w:right="0" w:firstLine="710"/>
        <w:jc w:val="left"/>
        <w:rPr>
          <w:rFonts w:ascii="Times New Roman" w:hAnsi="Times New Roman" w:eastAsia="Times New Roman" w:cs="Times New Roman"/>
          <w:kern w:val="0"/>
          <w:sz w:val="24"/>
        </w:rPr>
      </w:pPr>
      <w:r>
        <w:rPr>
          <w:rStyle w:val="34"/>
          <w:rFonts w:ascii="仿宋" w:hAnsi="仿宋" w:eastAsia="仿宋" w:cs="仿宋"/>
          <w:b/>
          <w:bCs/>
          <w:spacing w:val="0"/>
          <w:kern w:val="0"/>
          <w:sz w:val="32"/>
          <w:szCs w:val="32"/>
        </w:rPr>
        <w:t>一、财政拨款收入：</w:t>
      </w:r>
      <w:r>
        <w:rPr>
          <w:rFonts w:ascii="仿宋" w:hAnsi="仿宋" w:eastAsia="仿宋" w:cs="仿宋"/>
          <w:spacing w:val="0"/>
          <w:kern w:val="0"/>
          <w:sz w:val="32"/>
          <w:szCs w:val="32"/>
        </w:rPr>
        <w:t>指单位从本级财政单位取得的财政预算资金，包括一般公共预算财政拨款、政府性基金预算财政拨款和国有资本经营预算财政拨款。</w:t>
      </w:r>
    </w:p>
    <w:p>
      <w:pPr>
        <w:pStyle w:val="28"/>
        <w:widowControl/>
        <w:spacing w:before="100" w:after="100" w:line="600" w:lineRule="atLeast"/>
        <w:ind w:left="0" w:right="0" w:firstLine="710"/>
        <w:jc w:val="left"/>
        <w:rPr>
          <w:rFonts w:ascii="Times New Roman" w:hAnsi="Times New Roman" w:eastAsia="Times New Roman" w:cs="Times New Roman"/>
          <w:kern w:val="0"/>
          <w:sz w:val="24"/>
        </w:rPr>
      </w:pPr>
      <w:r>
        <w:rPr>
          <w:rStyle w:val="34"/>
          <w:rFonts w:ascii="仿宋" w:hAnsi="仿宋" w:eastAsia="仿宋" w:cs="仿宋"/>
          <w:b/>
          <w:bCs/>
          <w:spacing w:val="0"/>
          <w:kern w:val="0"/>
          <w:sz w:val="32"/>
          <w:szCs w:val="32"/>
        </w:rPr>
        <w:t>二、事业收入：</w:t>
      </w:r>
      <w:r>
        <w:rPr>
          <w:rFonts w:ascii="仿宋" w:hAnsi="仿宋" w:eastAsia="仿宋" w:cs="仿宋"/>
          <w:spacing w:val="0"/>
          <w:kern w:val="0"/>
          <w:sz w:val="32"/>
          <w:szCs w:val="32"/>
        </w:rPr>
        <w:t>指事业单位开展专业业务活动及辅助活动所取得的收入。</w:t>
      </w:r>
    </w:p>
    <w:p>
      <w:pPr>
        <w:pStyle w:val="28"/>
        <w:widowControl/>
        <w:spacing w:before="100" w:after="100" w:line="600" w:lineRule="atLeast"/>
        <w:ind w:left="0" w:right="0" w:firstLine="710"/>
        <w:jc w:val="left"/>
        <w:rPr>
          <w:rFonts w:ascii="Times New Roman" w:hAnsi="Times New Roman" w:eastAsia="Times New Roman" w:cs="Times New Roman"/>
          <w:kern w:val="0"/>
          <w:sz w:val="24"/>
        </w:rPr>
      </w:pPr>
      <w:r>
        <w:rPr>
          <w:rStyle w:val="34"/>
          <w:rFonts w:ascii="仿宋" w:hAnsi="仿宋" w:eastAsia="仿宋" w:cs="仿宋"/>
          <w:b/>
          <w:bCs/>
          <w:spacing w:val="0"/>
          <w:kern w:val="0"/>
          <w:sz w:val="32"/>
          <w:szCs w:val="32"/>
        </w:rPr>
        <w:t>三、经营收入：</w:t>
      </w:r>
      <w:r>
        <w:rPr>
          <w:rFonts w:ascii="仿宋" w:hAnsi="仿宋" w:eastAsia="仿宋" w:cs="仿宋"/>
          <w:spacing w:val="0"/>
          <w:kern w:val="0"/>
          <w:sz w:val="32"/>
          <w:szCs w:val="32"/>
        </w:rPr>
        <w:t>指事业单位在专业业务活动及其辅助活动之外开展非独立核算经营活动取得的收入。</w:t>
      </w:r>
    </w:p>
    <w:p>
      <w:pPr>
        <w:pStyle w:val="28"/>
        <w:widowControl/>
        <w:spacing w:before="100" w:after="100" w:line="600" w:lineRule="atLeast"/>
        <w:ind w:left="0" w:right="0" w:firstLine="710"/>
        <w:jc w:val="left"/>
        <w:rPr>
          <w:rFonts w:ascii="Times New Roman" w:hAnsi="Times New Roman" w:eastAsia="Times New Roman" w:cs="Times New Roman"/>
          <w:kern w:val="0"/>
          <w:sz w:val="24"/>
        </w:rPr>
      </w:pPr>
      <w:r>
        <w:rPr>
          <w:rStyle w:val="34"/>
          <w:rFonts w:ascii="仿宋" w:hAnsi="仿宋" w:eastAsia="仿宋" w:cs="仿宋"/>
          <w:b/>
          <w:bCs/>
          <w:spacing w:val="0"/>
          <w:kern w:val="0"/>
          <w:sz w:val="32"/>
          <w:szCs w:val="32"/>
        </w:rPr>
        <w:t>四、其他收入：</w:t>
      </w:r>
      <w:r>
        <w:rPr>
          <w:rFonts w:ascii="仿宋" w:hAnsi="仿宋" w:eastAsia="仿宋" w:cs="仿宋"/>
          <w:spacing w:val="0"/>
          <w:kern w:val="0"/>
          <w:sz w:val="32"/>
          <w:szCs w:val="32"/>
        </w:rPr>
        <w:t>指除上述“财政拨款收入”“事业收入”</w:t>
      </w:r>
      <w:r>
        <w:rPr>
          <w:rFonts w:ascii="宋体" w:hAnsi="宋体" w:cs="宋体"/>
          <w:spacing w:val="0"/>
          <w:kern w:val="0"/>
          <w:szCs w:val="21"/>
        </w:rPr>
        <w:t> </w:t>
      </w:r>
      <w:r>
        <w:rPr>
          <w:rFonts w:ascii="仿宋" w:hAnsi="仿宋" w:eastAsia="仿宋" w:cs="仿宋"/>
          <w:spacing w:val="0"/>
          <w:kern w:val="0"/>
          <w:sz w:val="32"/>
          <w:szCs w:val="32"/>
        </w:rPr>
        <w:t>“上级补助收入”“附属单位上缴收入”“经营收入”等以外取得的各项收入。主要是事业单位固定资产出租收入等。</w:t>
      </w:r>
    </w:p>
    <w:p>
      <w:pPr>
        <w:pStyle w:val="28"/>
        <w:widowControl/>
        <w:spacing w:before="100" w:after="100" w:line="600" w:lineRule="atLeast"/>
        <w:ind w:left="0" w:right="0" w:firstLine="710"/>
        <w:jc w:val="left"/>
        <w:rPr>
          <w:rFonts w:ascii="Times New Roman" w:hAnsi="Times New Roman" w:eastAsia="Times New Roman" w:cs="Times New Roman"/>
          <w:kern w:val="0"/>
          <w:sz w:val="24"/>
        </w:rPr>
      </w:pPr>
      <w:r>
        <w:rPr>
          <w:rStyle w:val="34"/>
          <w:rFonts w:ascii="仿宋" w:hAnsi="仿宋" w:eastAsia="仿宋" w:cs="仿宋"/>
          <w:b/>
          <w:bCs/>
          <w:spacing w:val="0"/>
          <w:kern w:val="0"/>
          <w:sz w:val="32"/>
          <w:szCs w:val="32"/>
        </w:rPr>
        <w:t>五、使用非财政拨款结余：</w:t>
      </w:r>
      <w:r>
        <w:rPr>
          <w:rFonts w:ascii="仿宋" w:hAnsi="仿宋" w:eastAsia="仿宋" w:cs="仿宋"/>
          <w:spacing w:val="0"/>
          <w:kern w:val="0"/>
          <w:sz w:val="32"/>
          <w:szCs w:val="32"/>
        </w:rPr>
        <w:t>指事业单位使用以前年度积累的非财政拨款结余弥补当年收支差额的金额。</w:t>
      </w:r>
    </w:p>
    <w:p>
      <w:pPr>
        <w:pStyle w:val="28"/>
        <w:widowControl/>
        <w:spacing w:before="100" w:after="100" w:line="600" w:lineRule="atLeast"/>
        <w:ind w:left="0" w:right="0" w:firstLine="710"/>
        <w:jc w:val="left"/>
        <w:rPr>
          <w:rFonts w:ascii="Times New Roman" w:hAnsi="Times New Roman" w:eastAsia="Times New Roman" w:cs="Times New Roman"/>
          <w:kern w:val="0"/>
          <w:sz w:val="24"/>
        </w:rPr>
      </w:pPr>
      <w:r>
        <w:rPr>
          <w:rStyle w:val="34"/>
          <w:rFonts w:ascii="仿宋" w:hAnsi="仿宋" w:eastAsia="仿宋" w:cs="仿宋"/>
          <w:b/>
          <w:bCs/>
          <w:spacing w:val="0"/>
          <w:kern w:val="0"/>
          <w:sz w:val="32"/>
          <w:szCs w:val="32"/>
        </w:rPr>
        <w:t>六、年初结转和结余：</w:t>
      </w:r>
      <w:r>
        <w:rPr>
          <w:rFonts w:ascii="仿宋" w:hAnsi="仿宋" w:eastAsia="仿宋" w:cs="仿宋"/>
          <w:spacing w:val="0"/>
          <w:kern w:val="0"/>
          <w:sz w:val="32"/>
          <w:szCs w:val="32"/>
        </w:rPr>
        <w:t>指单位以前年度尚未完成、结转到本年仍按原规定用途继续使用的资金，或项目已完成等产生的结余资金。</w:t>
      </w:r>
    </w:p>
    <w:p>
      <w:pPr>
        <w:pStyle w:val="29"/>
        <w:widowControl/>
        <w:spacing w:before="100" w:after="100" w:line="600" w:lineRule="atLeast"/>
        <w:ind w:left="0" w:right="0" w:firstLine="640"/>
        <w:jc w:val="left"/>
        <w:rPr>
          <w:rFonts w:ascii="Times New Roman" w:hAnsi="Times New Roman" w:eastAsia="Times New Roman" w:cs="Times New Roman"/>
          <w:kern w:val="0"/>
          <w:sz w:val="24"/>
        </w:rPr>
      </w:pPr>
      <w:r>
        <w:rPr>
          <w:rStyle w:val="34"/>
          <w:rFonts w:ascii="仿宋" w:hAnsi="仿宋" w:eastAsia="仿宋" w:cs="仿宋"/>
          <w:b/>
          <w:bCs/>
          <w:spacing w:val="0"/>
          <w:kern w:val="0"/>
          <w:sz w:val="32"/>
          <w:szCs w:val="32"/>
        </w:rPr>
        <w:t>七、结余分配：</w:t>
      </w:r>
      <w:r>
        <w:rPr>
          <w:rFonts w:ascii="仿宋" w:hAnsi="仿宋" w:eastAsia="仿宋" w:cs="仿宋"/>
          <w:spacing w:val="0"/>
          <w:kern w:val="0"/>
          <w:sz w:val="32"/>
          <w:szCs w:val="32"/>
        </w:rPr>
        <w:t>指事业单位按照会计制度规定缴纳的所得税、提取的专用结余以及转入非财政拨款结余的金额等。</w:t>
      </w:r>
    </w:p>
    <w:p>
      <w:pPr>
        <w:pStyle w:val="29"/>
        <w:widowControl/>
        <w:spacing w:before="100" w:after="100" w:line="600" w:lineRule="atLeast"/>
        <w:ind w:left="0" w:right="0" w:firstLine="640"/>
        <w:jc w:val="left"/>
        <w:rPr>
          <w:rFonts w:ascii="Times New Roman" w:hAnsi="Times New Roman" w:eastAsia="Times New Roman" w:cs="Times New Roman"/>
          <w:kern w:val="0"/>
          <w:sz w:val="24"/>
        </w:rPr>
      </w:pPr>
      <w:r>
        <w:rPr>
          <w:rStyle w:val="34"/>
          <w:rFonts w:ascii="仿宋" w:hAnsi="仿宋" w:eastAsia="仿宋" w:cs="仿宋"/>
          <w:b/>
          <w:bCs/>
          <w:spacing w:val="0"/>
          <w:kern w:val="0"/>
          <w:sz w:val="32"/>
          <w:szCs w:val="32"/>
        </w:rPr>
        <w:t>八、年末结转和结余：</w:t>
      </w:r>
      <w:r>
        <w:rPr>
          <w:rFonts w:ascii="仿宋" w:hAnsi="仿宋" w:eastAsia="仿宋" w:cs="仿宋"/>
          <w:spacing w:val="0"/>
          <w:kern w:val="0"/>
          <w:sz w:val="32"/>
          <w:szCs w:val="32"/>
        </w:rPr>
        <w:t>指单位按有关规定结转到下年或以后年度继续使用的资金，或项目已完成等产生的结余资金。</w:t>
      </w:r>
    </w:p>
    <w:p>
      <w:pPr>
        <w:pStyle w:val="29"/>
        <w:widowControl/>
        <w:spacing w:before="100" w:after="100" w:line="600" w:lineRule="atLeast"/>
        <w:ind w:left="0" w:right="0" w:firstLine="640"/>
        <w:jc w:val="left"/>
        <w:rPr>
          <w:rFonts w:ascii="Times New Roman" w:hAnsi="Times New Roman" w:eastAsia="Times New Roman" w:cs="Times New Roman"/>
          <w:kern w:val="0"/>
          <w:sz w:val="24"/>
        </w:rPr>
      </w:pPr>
      <w:r>
        <w:rPr>
          <w:rStyle w:val="34"/>
          <w:rFonts w:ascii="仿宋" w:hAnsi="仿宋" w:eastAsia="仿宋" w:cs="仿宋"/>
          <w:b/>
          <w:bCs/>
          <w:spacing w:val="0"/>
          <w:kern w:val="0"/>
          <w:sz w:val="32"/>
          <w:szCs w:val="32"/>
        </w:rPr>
        <w:t>九、基本支出：</w:t>
      </w:r>
      <w:r>
        <w:rPr>
          <w:rFonts w:ascii="仿宋" w:hAnsi="仿宋" w:eastAsia="仿宋" w:cs="仿宋"/>
          <w:spacing w:val="0"/>
          <w:kern w:val="0"/>
          <w:sz w:val="32"/>
          <w:szCs w:val="32"/>
        </w:rPr>
        <w:t>指为保障机构正常运转、完成日常工作任务而发生的人员支出和公用支出。</w:t>
      </w:r>
    </w:p>
    <w:p>
      <w:pPr>
        <w:pStyle w:val="29"/>
        <w:widowControl/>
        <w:spacing w:before="100" w:after="100" w:line="600" w:lineRule="atLeast"/>
        <w:ind w:left="0" w:right="0" w:firstLine="640"/>
        <w:jc w:val="left"/>
        <w:rPr>
          <w:rFonts w:ascii="Times New Roman" w:hAnsi="Times New Roman" w:eastAsia="Times New Roman" w:cs="Times New Roman"/>
          <w:kern w:val="0"/>
          <w:sz w:val="24"/>
        </w:rPr>
      </w:pPr>
      <w:r>
        <w:rPr>
          <w:rStyle w:val="34"/>
          <w:rFonts w:ascii="仿宋" w:hAnsi="仿宋" w:eastAsia="仿宋" w:cs="仿宋"/>
          <w:b/>
          <w:bCs/>
          <w:spacing w:val="0"/>
          <w:kern w:val="0"/>
          <w:sz w:val="32"/>
          <w:szCs w:val="32"/>
        </w:rPr>
        <w:t>十、项目支出：</w:t>
      </w:r>
      <w:r>
        <w:rPr>
          <w:rFonts w:ascii="仿宋" w:hAnsi="仿宋" w:eastAsia="仿宋" w:cs="仿宋"/>
          <w:spacing w:val="0"/>
          <w:kern w:val="0"/>
          <w:sz w:val="32"/>
          <w:szCs w:val="32"/>
        </w:rPr>
        <w:t>指在基本支出之外为完成特定行政任务和事业发展目标所发生的支出。</w:t>
      </w:r>
    </w:p>
    <w:p>
      <w:pPr>
        <w:pStyle w:val="29"/>
        <w:widowControl/>
        <w:spacing w:before="100" w:after="100" w:line="600" w:lineRule="atLeast"/>
        <w:ind w:left="0" w:right="0" w:firstLine="640"/>
        <w:jc w:val="left"/>
        <w:rPr>
          <w:rFonts w:ascii="Times New Roman" w:hAnsi="Times New Roman" w:eastAsia="Times New Roman" w:cs="Times New Roman"/>
          <w:kern w:val="0"/>
          <w:sz w:val="24"/>
        </w:rPr>
      </w:pPr>
      <w:r>
        <w:rPr>
          <w:rStyle w:val="34"/>
          <w:rFonts w:ascii="仿宋" w:hAnsi="仿宋" w:eastAsia="仿宋" w:cs="仿宋"/>
          <w:b/>
          <w:bCs/>
          <w:spacing w:val="0"/>
          <w:kern w:val="0"/>
          <w:sz w:val="32"/>
          <w:szCs w:val="32"/>
        </w:rPr>
        <w:t>十一、经营支出：</w:t>
      </w:r>
      <w:r>
        <w:rPr>
          <w:rFonts w:ascii="仿宋" w:hAnsi="仿宋" w:eastAsia="仿宋" w:cs="仿宋"/>
          <w:spacing w:val="0"/>
          <w:kern w:val="0"/>
          <w:sz w:val="32"/>
          <w:szCs w:val="32"/>
        </w:rPr>
        <w:t>指事业单位在专业业务活动及其辅助活动之外开展非独立核算经营活动发生的支出。</w:t>
      </w:r>
    </w:p>
    <w:p>
      <w:pPr>
        <w:pStyle w:val="29"/>
        <w:widowControl/>
        <w:spacing w:before="100" w:after="100" w:line="600" w:lineRule="atLeast"/>
        <w:ind w:left="0" w:right="0" w:firstLine="640"/>
        <w:jc w:val="left"/>
        <w:rPr>
          <w:rFonts w:ascii="Times New Roman" w:hAnsi="Times New Roman" w:eastAsia="Times New Roman" w:cs="Times New Roman"/>
          <w:kern w:val="0"/>
          <w:sz w:val="24"/>
        </w:rPr>
      </w:pPr>
      <w:r>
        <w:rPr>
          <w:rStyle w:val="34"/>
          <w:rFonts w:ascii="仿宋" w:hAnsi="仿宋" w:eastAsia="仿宋" w:cs="仿宋"/>
          <w:b/>
          <w:bCs/>
          <w:spacing w:val="0"/>
          <w:kern w:val="0"/>
          <w:sz w:val="32"/>
          <w:szCs w:val="32"/>
        </w:rPr>
        <w:t>十二、“三公”经费：</w:t>
      </w:r>
      <w:r>
        <w:rPr>
          <w:rFonts w:ascii="仿宋" w:hAnsi="仿宋" w:eastAsia="仿宋" w:cs="仿宋"/>
          <w:spacing w:val="0"/>
          <w:kern w:val="0"/>
          <w:sz w:val="32"/>
          <w:szCs w:val="32"/>
        </w:rPr>
        <w:t>纳入本级财政预决算管理的“三公”经费，是指本级单位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燃料费、维修费、过桥过路费、保险费、安全奖励费用等支出；公务接待费反映单位按规定开支的各类公务接待（含外宾接待）支出。</w:t>
      </w:r>
    </w:p>
    <w:p>
      <w:pPr>
        <w:pStyle w:val="29"/>
        <w:widowControl/>
        <w:spacing w:before="100" w:after="100" w:line="600" w:lineRule="atLeast"/>
        <w:ind w:left="0" w:right="0" w:firstLine="640"/>
        <w:jc w:val="left"/>
        <w:rPr>
          <w:rFonts w:ascii="仿宋" w:hAnsi="仿宋" w:eastAsia="仿宋" w:cs="仿宋"/>
          <w:spacing w:val="0"/>
          <w:kern w:val="0"/>
          <w:sz w:val="32"/>
          <w:szCs w:val="32"/>
        </w:rPr>
      </w:pPr>
      <w:r>
        <w:rPr>
          <w:rStyle w:val="34"/>
          <w:rFonts w:ascii="仿宋" w:hAnsi="仿宋" w:eastAsia="仿宋" w:cs="仿宋"/>
          <w:b/>
          <w:bCs/>
          <w:spacing w:val="0"/>
          <w:kern w:val="0"/>
          <w:sz w:val="32"/>
          <w:szCs w:val="32"/>
        </w:rPr>
        <w:t>十三、机关运行经费：</w:t>
      </w:r>
      <w:r>
        <w:rPr>
          <w:rFonts w:ascii="仿宋" w:hAnsi="仿宋" w:eastAsia="仿宋" w:cs="仿宋"/>
          <w:spacing w:val="0"/>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bookmarkEnd w:id="0"/>
      <w:bookmarkStart w:id="70" w:name="_Toc11976_WPSOffice_Level1"/>
    </w:p>
    <w:p>
      <w:pPr>
        <w:pStyle w:val="29"/>
        <w:widowControl/>
        <w:spacing w:before="100" w:after="100" w:line="600" w:lineRule="atLeast"/>
        <w:ind w:left="0" w:right="0" w:firstLine="640"/>
        <w:jc w:val="left"/>
        <w:rPr>
          <w:rFonts w:ascii="仿宋" w:hAnsi="仿宋" w:eastAsia="仿宋" w:cs="仿宋"/>
          <w:spacing w:val="0"/>
          <w:kern w:val="0"/>
          <w:sz w:val="32"/>
          <w:szCs w:val="32"/>
        </w:rPr>
      </w:pPr>
    </w:p>
    <w:p>
      <w:pPr>
        <w:pStyle w:val="29"/>
        <w:widowControl/>
        <w:spacing w:before="100" w:after="100" w:line="600" w:lineRule="atLeast"/>
        <w:ind w:left="0" w:right="0" w:firstLine="640"/>
        <w:jc w:val="left"/>
        <w:rPr>
          <w:rFonts w:ascii="仿宋" w:hAnsi="仿宋" w:eastAsia="仿宋" w:cs="仿宋"/>
          <w:spacing w:val="0"/>
          <w:kern w:val="0"/>
          <w:sz w:val="32"/>
          <w:szCs w:val="32"/>
        </w:rPr>
      </w:pPr>
    </w:p>
    <w:p>
      <w:pPr>
        <w:pStyle w:val="29"/>
        <w:widowControl/>
        <w:spacing w:before="100" w:after="100" w:line="600" w:lineRule="atLeast"/>
        <w:ind w:left="0" w:right="0" w:firstLine="640"/>
        <w:jc w:val="left"/>
        <w:rPr>
          <w:rFonts w:ascii="仿宋" w:hAnsi="仿宋" w:eastAsia="仿宋" w:cs="仿宋"/>
          <w:spacing w:val="0"/>
          <w:kern w:val="0"/>
          <w:sz w:val="32"/>
          <w:szCs w:val="32"/>
        </w:rPr>
      </w:pPr>
    </w:p>
    <w:p>
      <w:pPr>
        <w:pStyle w:val="29"/>
        <w:widowControl/>
        <w:spacing w:before="100" w:after="100" w:line="600" w:lineRule="atLeast"/>
        <w:ind w:left="0" w:right="0" w:firstLine="640"/>
        <w:jc w:val="left"/>
        <w:rPr>
          <w:rFonts w:ascii="仿宋" w:hAnsi="仿宋" w:eastAsia="仿宋" w:cs="仿宋"/>
          <w:spacing w:val="0"/>
          <w:kern w:val="0"/>
          <w:sz w:val="32"/>
          <w:szCs w:val="32"/>
        </w:rPr>
      </w:pPr>
    </w:p>
    <w:p>
      <w:pPr>
        <w:pStyle w:val="29"/>
        <w:widowControl/>
        <w:spacing w:before="100" w:after="100" w:line="600" w:lineRule="atLeast"/>
        <w:ind w:left="0" w:right="0" w:firstLine="640"/>
        <w:jc w:val="left"/>
        <w:rPr>
          <w:rFonts w:ascii="仿宋" w:hAnsi="仿宋" w:eastAsia="仿宋" w:cs="仿宋"/>
          <w:spacing w:val="0"/>
          <w:kern w:val="0"/>
          <w:sz w:val="32"/>
          <w:szCs w:val="32"/>
        </w:rPr>
      </w:pPr>
    </w:p>
    <w:p>
      <w:pPr>
        <w:pStyle w:val="29"/>
        <w:widowControl/>
        <w:spacing w:before="100" w:after="100" w:line="600" w:lineRule="atLeast"/>
        <w:ind w:left="0" w:right="0" w:firstLine="640"/>
        <w:jc w:val="left"/>
        <w:rPr>
          <w:rFonts w:ascii="仿宋" w:hAnsi="仿宋" w:eastAsia="仿宋" w:cs="仿宋"/>
          <w:spacing w:val="0"/>
          <w:kern w:val="0"/>
          <w:sz w:val="32"/>
          <w:szCs w:val="32"/>
        </w:rPr>
      </w:pPr>
    </w:p>
    <w:p>
      <w:pPr>
        <w:pStyle w:val="29"/>
        <w:widowControl/>
        <w:spacing w:before="100" w:after="100" w:line="600" w:lineRule="atLeast"/>
        <w:ind w:left="0" w:right="0" w:firstLine="640"/>
        <w:jc w:val="center"/>
        <w:rPr>
          <w:rFonts w:ascii="黑体" w:hAnsi="黑体" w:eastAsia="黑体" w:cs="黑体"/>
          <w:kern w:val="0"/>
          <w:sz w:val="36"/>
          <w:szCs w:val="36"/>
        </w:rPr>
      </w:pPr>
      <w:r>
        <w:rPr>
          <w:rFonts w:ascii="黑体" w:hAnsi="黑体" w:eastAsia="黑体" w:cs="黑体"/>
          <w:kern w:val="0"/>
          <w:sz w:val="36"/>
          <w:szCs w:val="36"/>
        </w:rPr>
        <w:t>第五部分 附件</w:t>
      </w:r>
      <w:bookmarkEnd w:id="70"/>
    </w:p>
    <w:tbl>
      <w:tblPr>
        <w:tblStyle w:val="26"/>
        <w:tblpPr w:leftFromText="180" w:rightFromText="180" w:vertAnchor="text" w:horzAnchor="page" w:tblpX="1414" w:tblpY="946"/>
        <w:tblOverlap w:val="never"/>
        <w:tblW w:w="9738" w:type="dxa"/>
        <w:tblInd w:w="0" w:type="dxa"/>
        <w:shd w:val="clear" w:color="auto" w:fill="auto"/>
        <w:tblLayout w:type="fixed"/>
        <w:tblCellMar>
          <w:top w:w="0" w:type="dxa"/>
          <w:left w:w="0" w:type="dxa"/>
          <w:bottom w:w="0" w:type="dxa"/>
          <w:right w:w="0" w:type="dxa"/>
        </w:tblCellMar>
      </w:tblPr>
      <w:tblGrid>
        <w:gridCol w:w="690"/>
        <w:gridCol w:w="1280"/>
        <w:gridCol w:w="1713"/>
        <w:gridCol w:w="970"/>
        <w:gridCol w:w="885"/>
        <w:gridCol w:w="690"/>
        <w:gridCol w:w="750"/>
        <w:gridCol w:w="675"/>
        <w:gridCol w:w="675"/>
        <w:gridCol w:w="600"/>
        <w:gridCol w:w="810"/>
      </w:tblGrid>
      <w:tr>
        <w:tblPrEx>
          <w:shd w:val="clear" w:color="auto" w:fill="auto"/>
          <w:tblLayout w:type="fixed"/>
          <w:tblCellMar>
            <w:top w:w="0" w:type="dxa"/>
            <w:left w:w="0" w:type="dxa"/>
            <w:bottom w:w="0" w:type="dxa"/>
            <w:right w:w="0" w:type="dxa"/>
          </w:tblCellMar>
        </w:tblPrEx>
        <w:trPr>
          <w:trHeight w:val="520" w:hRule="atLeast"/>
        </w:trPr>
        <w:tc>
          <w:tcPr>
            <w:tcW w:w="9738" w:type="dxa"/>
            <w:gridSpan w:val="11"/>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部门（单位）项目支出绩效自评表</w:t>
            </w:r>
          </w:p>
        </w:tc>
      </w:tr>
      <w:tr>
        <w:tblPrEx>
          <w:shd w:val="clear" w:color="auto" w:fill="auto"/>
          <w:tblLayout w:type="fixed"/>
          <w:tblCellMar>
            <w:top w:w="0" w:type="dxa"/>
            <w:left w:w="0" w:type="dxa"/>
            <w:bottom w:w="0" w:type="dxa"/>
            <w:right w:w="0" w:type="dxa"/>
          </w:tblCellMar>
        </w:tblPrEx>
        <w:trPr>
          <w:trHeight w:val="460" w:hRule="atLeast"/>
        </w:trPr>
        <w:tc>
          <w:tcPr>
            <w:tcW w:w="9738" w:type="dxa"/>
            <w:gridSpan w:val="11"/>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（2024年度）</w:t>
            </w:r>
          </w:p>
        </w:tc>
      </w:tr>
      <w:tr>
        <w:tblPrEx>
          <w:shd w:val="clear" w:color="auto" w:fill="auto"/>
          <w:tblLayout w:type="fixed"/>
          <w:tblCellMar>
            <w:top w:w="0" w:type="dxa"/>
            <w:left w:w="0" w:type="dxa"/>
            <w:bottom w:w="0" w:type="dxa"/>
            <w:right w:w="0" w:type="dxa"/>
          </w:tblCellMar>
        </w:tblPrEx>
        <w:trPr>
          <w:trHeight w:val="480" w:hRule="atLeast"/>
        </w:trPr>
        <w:tc>
          <w:tcPr>
            <w:tcW w:w="4653" w:type="dxa"/>
            <w:gridSpan w:val="4"/>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预算单位（盖章）：厦门市</w:t>
            </w:r>
            <w:r>
              <w:rPr>
                <w:rFonts w:hint="eastAsia" w:ascii="宋体" w:hAnsi="宋体" w:cs="宋体"/>
                <w:i w:val="0"/>
                <w:color w:val="000000"/>
                <w:kern w:val="0"/>
                <w:sz w:val="18"/>
                <w:szCs w:val="18"/>
                <w:u w:val="none"/>
                <w:lang w:val="en-US" w:eastAsia="zh-CN" w:bidi="ar"/>
              </w:rPr>
              <w:t>湖里实验小学</w:t>
            </w:r>
            <w:r>
              <w:rPr>
                <w:rFonts w:hint="eastAsia" w:ascii="宋体" w:hAnsi="宋体" w:eastAsia="宋体" w:cs="宋体"/>
                <w:i w:val="0"/>
                <w:color w:val="000000"/>
                <w:kern w:val="0"/>
                <w:sz w:val="18"/>
                <w:szCs w:val="18"/>
                <w:u w:val="none"/>
                <w:lang w:val="en-US" w:eastAsia="zh-CN" w:bidi="ar"/>
              </w:rPr>
              <w:t xml:space="preserve">                                                                                                 </w:t>
            </w:r>
          </w:p>
        </w:tc>
        <w:tc>
          <w:tcPr>
            <w:tcW w:w="885"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90" w:type="dxa"/>
            <w:tcBorders>
              <w:top w:val="nil"/>
              <w:left w:val="nil"/>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50"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75"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2085" w:type="dxa"/>
            <w:gridSpan w:val="3"/>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单位：万元</w:t>
            </w:r>
          </w:p>
        </w:tc>
      </w:tr>
      <w:tr>
        <w:tblPrEx>
          <w:shd w:val="clear" w:color="auto" w:fill="auto"/>
          <w:tblLayout w:type="fixed"/>
          <w:tblCellMar>
            <w:top w:w="0" w:type="dxa"/>
            <w:left w:w="0" w:type="dxa"/>
            <w:bottom w:w="0" w:type="dxa"/>
            <w:right w:w="0" w:type="dxa"/>
          </w:tblCellMar>
        </w:tblPrEx>
        <w:trPr>
          <w:trHeight w:val="600" w:hRule="atLeast"/>
        </w:trPr>
        <w:tc>
          <w:tcPr>
            <w:tcW w:w="197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4258" w:type="dxa"/>
            <w:gridSpan w:val="4"/>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义务教育阶段家庭经济困难学生营养餐补助</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自评</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年度</w:t>
            </w: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2024年1月1日-2024年12月31日</w:t>
            </w:r>
          </w:p>
        </w:tc>
      </w:tr>
      <w:tr>
        <w:tblPrEx>
          <w:shd w:val="clear" w:color="auto" w:fill="auto"/>
          <w:tblLayout w:type="fixed"/>
          <w:tblCellMar>
            <w:top w:w="0" w:type="dxa"/>
            <w:left w:w="0" w:type="dxa"/>
            <w:bottom w:w="0" w:type="dxa"/>
            <w:right w:w="0" w:type="dxa"/>
          </w:tblCellMar>
        </w:tblPrEx>
        <w:trPr>
          <w:trHeight w:val="450" w:hRule="atLeast"/>
        </w:trPr>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主管部门</w:t>
            </w:r>
          </w:p>
        </w:tc>
        <w:tc>
          <w:tcPr>
            <w:tcW w:w="425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湖里区教育局</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实施单位</w:t>
            </w: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厦门市</w:t>
            </w:r>
            <w:r>
              <w:rPr>
                <w:rFonts w:hint="eastAsia" w:ascii="宋体" w:hAnsi="宋体" w:cs="宋体"/>
                <w:b w:val="0"/>
                <w:bCs/>
                <w:i w:val="0"/>
                <w:color w:val="000000"/>
                <w:kern w:val="0"/>
                <w:sz w:val="18"/>
                <w:szCs w:val="18"/>
                <w:u w:val="none"/>
                <w:lang w:val="en-US" w:eastAsia="zh-CN" w:bidi="ar"/>
              </w:rPr>
              <w:t>湖里实验小学</w:t>
            </w:r>
          </w:p>
        </w:tc>
      </w:tr>
      <w:tr>
        <w:tblPrEx>
          <w:shd w:val="clear" w:color="auto" w:fill="auto"/>
          <w:tblLayout w:type="fixed"/>
          <w:tblCellMar>
            <w:top w:w="0" w:type="dxa"/>
            <w:left w:w="0" w:type="dxa"/>
            <w:bottom w:w="0" w:type="dxa"/>
            <w:right w:w="0" w:type="dxa"/>
          </w:tblCellMar>
        </w:tblPrEx>
        <w:trPr>
          <w:trHeight w:val="675" w:hRule="atLeast"/>
        </w:trPr>
        <w:tc>
          <w:tcPr>
            <w:tcW w:w="19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年度预算执行情况</w:t>
            </w:r>
          </w:p>
        </w:tc>
        <w:tc>
          <w:tcPr>
            <w:tcW w:w="17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年初预算数</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已调整数</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调整后预算数</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全年执行数</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执行率</w:t>
            </w:r>
          </w:p>
        </w:tc>
        <w:tc>
          <w:tcPr>
            <w:tcW w:w="67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设置分值</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存在问题及原因</w:t>
            </w:r>
          </w:p>
        </w:tc>
      </w:tr>
      <w:tr>
        <w:tblPrEx>
          <w:shd w:val="clear" w:color="auto" w:fill="auto"/>
          <w:tblLayout w:type="fixed"/>
          <w:tblCellMar>
            <w:top w:w="0" w:type="dxa"/>
            <w:left w:w="0" w:type="dxa"/>
            <w:bottom w:w="0" w:type="dxa"/>
            <w:right w:w="0" w:type="dxa"/>
          </w:tblCellMar>
        </w:tblPrEx>
        <w:trPr>
          <w:trHeight w:val="860" w:hRule="atLeast"/>
        </w:trPr>
        <w:tc>
          <w:tcPr>
            <w:tcW w:w="19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年度资金总额</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0.24</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0.24</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0.036</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15</w:t>
            </w:r>
            <w:r>
              <w:rPr>
                <w:rFonts w:hint="eastAsia" w:ascii="宋体" w:hAnsi="宋体" w:eastAsia="宋体" w:cs="宋体"/>
                <w:i w:val="0"/>
                <w:color w:val="000000"/>
                <w:kern w:val="0"/>
                <w:sz w:val="18"/>
                <w:szCs w:val="18"/>
                <w:u w:val="none"/>
                <w:lang w:val="en-US" w:eastAsia="zh-CN" w:bidi="ar"/>
              </w:rPr>
              <w:t>%</w:t>
            </w:r>
          </w:p>
        </w:tc>
        <w:tc>
          <w:tcPr>
            <w:tcW w:w="67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2</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贫困生没有全部在学校用午餐</w:t>
            </w:r>
          </w:p>
        </w:tc>
      </w:tr>
      <w:tr>
        <w:tblPrEx>
          <w:shd w:val="clear" w:color="auto" w:fill="auto"/>
          <w:tblLayout w:type="fixed"/>
          <w:tblCellMar>
            <w:top w:w="0" w:type="dxa"/>
            <w:left w:w="0" w:type="dxa"/>
            <w:bottom w:w="0" w:type="dxa"/>
            <w:right w:w="0" w:type="dxa"/>
          </w:tblCellMar>
        </w:tblPrEx>
        <w:trPr>
          <w:trHeight w:val="270" w:hRule="atLeast"/>
        </w:trPr>
        <w:tc>
          <w:tcPr>
            <w:tcW w:w="19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其中：当年财政拨款</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0.24</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0.24</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0.036</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15</w:t>
            </w:r>
            <w:r>
              <w:rPr>
                <w:rFonts w:hint="eastAsia" w:ascii="宋体" w:hAnsi="宋体" w:eastAsia="宋体" w:cs="宋体"/>
                <w:i w:val="0"/>
                <w:color w:val="000000"/>
                <w:kern w:val="0"/>
                <w:sz w:val="18"/>
                <w:szCs w:val="18"/>
                <w:u w:val="none"/>
                <w:lang w:val="en-US" w:eastAsia="zh-CN" w:bidi="ar"/>
              </w:rPr>
              <w:t>%</w:t>
            </w:r>
          </w:p>
        </w:tc>
        <w:tc>
          <w:tcPr>
            <w:tcW w:w="67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270" w:hRule="atLeast"/>
        </w:trPr>
        <w:tc>
          <w:tcPr>
            <w:tcW w:w="19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 xml:space="preserve">     上年结转资金</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7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270" w:hRule="atLeast"/>
        </w:trPr>
        <w:tc>
          <w:tcPr>
            <w:tcW w:w="19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 xml:space="preserve">     其他资金</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7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270"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总体</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目标</w:t>
            </w:r>
          </w:p>
        </w:tc>
        <w:tc>
          <w:tcPr>
            <w:tcW w:w="553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预期目标</w:t>
            </w:r>
          </w:p>
        </w:tc>
        <w:tc>
          <w:tcPr>
            <w:tcW w:w="351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实际完成情况</w:t>
            </w:r>
          </w:p>
        </w:tc>
      </w:tr>
      <w:tr>
        <w:tblPrEx>
          <w:shd w:val="clear" w:color="auto" w:fill="auto"/>
          <w:tblLayout w:type="fixed"/>
          <w:tblCellMar>
            <w:top w:w="0" w:type="dxa"/>
            <w:left w:w="0" w:type="dxa"/>
            <w:bottom w:w="0" w:type="dxa"/>
            <w:right w:w="0" w:type="dxa"/>
          </w:tblCellMar>
        </w:tblPrEx>
        <w:trPr>
          <w:trHeight w:val="50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538"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厦门市教育局等五部门关于印发《厦门市学生资助资金管理实施办法》的通知（厦教发〔2022〕83号）及厦门市教育局等八部门关于印发《厦门市家庭经济困难学生认定办法》的通知（厦教规【2022】3号）等文件，对义务教育阶段公办校（学校提供午餐）家庭经济困难学生营养餐补助，确保补助工作顺利实施。</w:t>
            </w:r>
          </w:p>
        </w:tc>
        <w:tc>
          <w:tcPr>
            <w:tcW w:w="3510"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2024年完成春、秋两季关于我区义务教育阶段公办校（学校提供午餐）家庭经济困难学生营养餐补助对象审核及资金下拨。</w:t>
            </w:r>
          </w:p>
        </w:tc>
      </w:tr>
      <w:tr>
        <w:tblPrEx>
          <w:shd w:val="clear" w:color="auto" w:fill="auto"/>
          <w:tblLayout w:type="fixed"/>
          <w:tblCellMar>
            <w:top w:w="0" w:type="dxa"/>
            <w:left w:w="0" w:type="dxa"/>
            <w:bottom w:w="0" w:type="dxa"/>
            <w:right w:w="0" w:type="dxa"/>
          </w:tblCellMar>
        </w:tblPrEx>
        <w:trPr>
          <w:trHeight w:val="62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538"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51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675"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7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指标类型</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绩效目标值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实际完成值</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完成比例</w:t>
            </w:r>
          </w:p>
        </w:tc>
        <w:tc>
          <w:tcPr>
            <w:tcW w:w="67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设置分值</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存在问题及原因</w:t>
            </w:r>
          </w:p>
        </w:tc>
      </w:tr>
      <w:tr>
        <w:tblPrEx>
          <w:shd w:val="clear" w:color="auto" w:fill="auto"/>
          <w:tblLayout w:type="fixed"/>
          <w:tblCellMar>
            <w:top w:w="0" w:type="dxa"/>
            <w:left w:w="0" w:type="dxa"/>
            <w:bottom w:w="0" w:type="dxa"/>
            <w:right w:w="0" w:type="dxa"/>
          </w:tblCellMar>
        </w:tblPrEx>
        <w:trPr>
          <w:trHeight w:val="450"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绩</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效</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指</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标</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完</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成</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情</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况</w:t>
            </w:r>
          </w:p>
        </w:tc>
        <w:tc>
          <w:tcPr>
            <w:tcW w:w="12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产出指标</w:t>
            </w:r>
          </w:p>
        </w:tc>
        <w:tc>
          <w:tcPr>
            <w:tcW w:w="17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审核义务教育阶段受助学生</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r>
              <w:rPr>
                <w:rFonts w:hint="eastAsia" w:ascii="宋体" w:hAnsi="宋体" w:cs="宋体"/>
                <w:i w:val="0"/>
                <w:color w:val="000000"/>
                <w:kern w:val="0"/>
                <w:sz w:val="18"/>
                <w:szCs w:val="18"/>
                <w:u w:val="none"/>
                <w:lang w:val="en-US" w:eastAsia="zh-CN" w:bidi="ar"/>
              </w:rPr>
              <w:t>6</w:t>
            </w:r>
            <w:r>
              <w:rPr>
                <w:rFonts w:hint="eastAsia" w:ascii="宋体" w:hAnsi="宋体" w:eastAsia="宋体" w:cs="宋体"/>
                <w:i w:val="0"/>
                <w:color w:val="000000"/>
                <w:kern w:val="0"/>
                <w:sz w:val="18"/>
                <w:szCs w:val="18"/>
                <w:u w:val="none"/>
                <w:lang w:val="en-US" w:eastAsia="zh-CN" w:bidi="ar"/>
              </w:rPr>
              <w:t>人</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6</w:t>
            </w:r>
            <w:r>
              <w:rPr>
                <w:rFonts w:hint="eastAsia" w:ascii="宋体" w:hAnsi="宋体" w:eastAsia="宋体" w:cs="宋体"/>
                <w:i w:val="0"/>
                <w:color w:val="000000"/>
                <w:kern w:val="0"/>
                <w:sz w:val="18"/>
                <w:szCs w:val="18"/>
                <w:u w:val="none"/>
                <w:lang w:val="en-US" w:eastAsia="zh-CN" w:bidi="ar"/>
              </w:rPr>
              <w:t>人</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100</w:t>
            </w:r>
            <w:r>
              <w:rPr>
                <w:rFonts w:hint="eastAsia" w:ascii="宋体" w:hAnsi="宋体" w:eastAsia="宋体" w:cs="宋体"/>
                <w:i w:val="0"/>
                <w:color w:val="000000"/>
                <w:kern w:val="0"/>
                <w:sz w:val="18"/>
                <w:szCs w:val="18"/>
                <w:u w:val="none"/>
                <w:lang w:val="en-US" w:eastAsia="zh-CN" w:bidi="ar"/>
              </w:rPr>
              <w:t>%</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15</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45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全年营养餐补助学生</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r>
              <w:rPr>
                <w:rFonts w:hint="eastAsia" w:ascii="宋体" w:hAnsi="宋体" w:cs="宋体"/>
                <w:i w:val="0"/>
                <w:color w:val="000000"/>
                <w:kern w:val="0"/>
                <w:sz w:val="18"/>
                <w:szCs w:val="18"/>
                <w:u w:val="none"/>
                <w:lang w:val="en-US" w:eastAsia="zh-CN" w:bidi="ar"/>
              </w:rPr>
              <w:t>1</w:t>
            </w:r>
            <w:r>
              <w:rPr>
                <w:rFonts w:hint="eastAsia" w:ascii="宋体" w:hAnsi="宋体" w:eastAsia="宋体" w:cs="宋体"/>
                <w:i w:val="0"/>
                <w:color w:val="000000"/>
                <w:kern w:val="0"/>
                <w:sz w:val="18"/>
                <w:szCs w:val="18"/>
                <w:u w:val="none"/>
                <w:lang w:val="en-US" w:eastAsia="zh-CN" w:bidi="ar"/>
              </w:rPr>
              <w:t>人</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1</w:t>
            </w:r>
            <w:r>
              <w:rPr>
                <w:rFonts w:hint="eastAsia" w:ascii="宋体" w:hAnsi="宋体" w:eastAsia="宋体" w:cs="宋体"/>
                <w:i w:val="0"/>
                <w:color w:val="000000"/>
                <w:kern w:val="0"/>
                <w:sz w:val="18"/>
                <w:szCs w:val="18"/>
                <w:u w:val="none"/>
                <w:lang w:val="en-US" w:eastAsia="zh-CN" w:bidi="ar"/>
              </w:rPr>
              <w:t>人</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100</w:t>
            </w:r>
            <w:r>
              <w:rPr>
                <w:rFonts w:hint="eastAsia" w:ascii="宋体" w:hAnsi="宋体" w:eastAsia="宋体" w:cs="宋体"/>
                <w:i w:val="0"/>
                <w:color w:val="000000"/>
                <w:kern w:val="0"/>
                <w:sz w:val="18"/>
                <w:szCs w:val="18"/>
                <w:u w:val="none"/>
                <w:lang w:val="en-US" w:eastAsia="zh-CN" w:bidi="ar"/>
              </w:rPr>
              <w:t>%</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60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营养餐发放标准</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6元/餐</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6元/餐</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15</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15</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74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义务教育困难生资助资金下拨及时率</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10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60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28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效益指标</w:t>
            </w:r>
          </w:p>
        </w:tc>
        <w:tc>
          <w:tcPr>
            <w:tcW w:w="17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改善受助学生学习生活质量</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有所改善</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有所改善</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60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指标</w:t>
            </w:r>
          </w:p>
        </w:tc>
        <w:tc>
          <w:tcPr>
            <w:tcW w:w="17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受资助对象满意度</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大于等于90%</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270" w:hRule="atLeast"/>
        </w:trPr>
        <w:tc>
          <w:tcPr>
            <w:tcW w:w="765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总分</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r>
              <w:rPr>
                <w:rFonts w:hint="eastAsia" w:ascii="宋体" w:hAnsi="宋体" w:cs="宋体"/>
                <w:i w:val="0"/>
                <w:color w:val="000000"/>
                <w:kern w:val="0"/>
                <w:sz w:val="18"/>
                <w:szCs w:val="18"/>
                <w:u w:val="none"/>
                <w:lang w:val="en-US" w:eastAsia="zh-CN" w:bidi="ar"/>
              </w:rPr>
              <w:t>2</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1580" w:hRule="atLeast"/>
        </w:trPr>
        <w:tc>
          <w:tcPr>
            <w:tcW w:w="9738"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填表说明：1.年度总体目标和绩效指标中的“具体指标”“年度指标值”按照部门预算批复的绩效目标填写，必须有量化指标。</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         2.设置分值原则：预算执行率和一级指标权重统一设置为：预算执行率10%、产出指标50%、效益指标30%、服务对象满意度指标10%。如有特殊情况，一级指标权重可做适当调整。二、三级指标应当根据指标重要程度等因素综合确定，准确反映项目的产出和效益。</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         3.存在问题及原因主要针对进度是否滞后，管理制度是否健全，是否违反财务管理制度，绩效目标完成情况是否明显偏离，以及其他资金使用及管理方面的问题进行阐述，并分析产生问题的原因。</w:t>
            </w:r>
          </w:p>
        </w:tc>
      </w:tr>
    </w:tbl>
    <w:p>
      <w:pPr>
        <w:pStyle w:val="29"/>
        <w:widowControl/>
        <w:spacing w:before="100" w:after="100" w:line="600" w:lineRule="atLeast"/>
        <w:ind w:left="0" w:right="0" w:firstLine="640"/>
        <w:jc w:val="center"/>
        <w:rPr>
          <w:rFonts w:hint="eastAsia" w:ascii="黑体" w:hAnsi="黑体" w:eastAsia="黑体" w:cs="黑体"/>
          <w:kern w:val="0"/>
          <w:sz w:val="36"/>
          <w:szCs w:val="36"/>
        </w:rPr>
      </w:pPr>
    </w:p>
    <w:p>
      <w:pPr>
        <w:widowControl w:val="0"/>
        <w:tabs>
          <w:tab w:val="left" w:pos="8415"/>
        </w:tabs>
        <w:wordWrap/>
        <w:adjustRightInd/>
        <w:snapToGrid/>
        <w:textAlignment w:val="auto"/>
      </w:pPr>
    </w:p>
    <w:sectPr>
      <w:footerReference r:id="rId7" w:type="default"/>
      <w:pgSz w:w="11906" w:h="16838"/>
      <w:pgMar w:top="1440" w:right="1803" w:bottom="1440" w:left="1803" w:header="0" w:footer="720" w:gutter="0"/>
      <w:pgNumType w:fmt="decimal"/>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宋体"/>
    <w:panose1 w:val="02000000000000000000"/>
    <w:charset w:val="86"/>
    <w:family w:val="auto"/>
    <w:pitch w:val="default"/>
    <w:sig w:usb0="00000000" w:usb1="0000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p>
  <w:p>
    <w:pPr>
      <w:jc w:val="center"/>
    </w:pPr>
    <w:r>
      <w:rPr>
        <w:sz w:val="21"/>
      </w:rPr>
      <w:pict>
        <v:shape id="_x0000_s4100" o:spid="_x0000_s4100" o:spt="202" type="#_x0000_t202" style="position:absolute;left:0pt;margin-top:0pt;height:144pt;width:144pt;mso-position-horizontal:center;mso-position-horizontal-relative:margin;mso-wrap-style:none;z-index:251671552;mso-width-relative:page;mso-height-relative:page;" filled="f" stroked="f" coordsize="21600,21600">
          <v:path/>
          <v:fill on="f" focussize="0,0"/>
          <v:stroke on="f"/>
          <v:imagedata o:title=""/>
          <o:lock v:ext="edit" aspectratio="f"/>
          <v:textbox inset="0mm,0mm,0mm,0mm" style="mso-fit-shape-to-text:t;">
            <w:txbxContent>
              <w:p>
                <w:pPr>
                  <w:pStyle w:val="1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both"/>
    </w:pPr>
    <w:r>
      <w:rPr>
        <w:sz w:val="21"/>
      </w:rPr>
      <w:pict>
        <v:shape id="_x0000_s4102" o:spid="_x0000_s4102" o:spt="202" type="#_x0000_t202" style="position:absolute;left:0pt;margin-top:0pt;height:144pt;width:144pt;mso-position-horizontal:center;mso-position-horizontal-relative:margin;mso-wrap-style:none;z-index:251673600;mso-width-relative:page;mso-height-relative:page;" filled="f" stroked="f" coordsize="21600,21600">
          <v:path/>
          <v:fill on="f" focussize="0,0"/>
          <v:stroke on="f"/>
          <v:imagedata o:title=""/>
          <o:lock v:ext="edit" aspectratio="f"/>
          <v:textbox inset="0mm,0mm,0mm,0mm" style="mso-fit-shape-to-text:t;">
            <w:txbxContent>
              <w:p>
                <w:pPr>
                  <w:pStyle w:val="1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both"/>
    </w:pPr>
    <w:r>
      <w:rPr>
        <w:sz w:val="21"/>
      </w:rPr>
      <w:pict>
        <v:shape id="_x0000_s4097" o:spid="_x0000_s4097"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weight="1.25pt"/>
          <v:imagedata o:title=""/>
          <o:lock v:ext="edit" aspectratio="f"/>
          <v:textbox inset="0mm,0mm,0mm,0mm" style="mso-fit-shape-to-text:t;">
            <w:txbxContent>
              <w:p>
                <w:pPr>
                  <w:pStyle w:val="1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sz w:val="21"/>
      </w:rPr>
      <w:pict>
        <v:shape id="_x0000_s4098" o:spid="_x0000_s4098" o:spt="202" type="#_x0000_t202" style="position:absolute;left:0pt;margin-top:0pt;height:144pt;width:144pt;mso-position-horizontal:center;mso-position-horizontal-relative:margin;mso-wrap-style:none;z-index:251669504;mso-width-relative:page;mso-height-relative:page;" filled="f" stroked="f" coordsize="21600,21600">
          <v:path/>
          <v:fill on="f" focussize="0,0"/>
          <v:stroke on="f" weight="1.25pt"/>
          <v:imagedata o:title=""/>
          <o:lock v:ext="edit" aspectratio="f"/>
          <v:textbox inset="0mm,0mm,0mm,0mm" style="mso-fit-shape-to-text:t;">
            <w:txbxContent>
              <w:p>
                <w:pPr>
                  <w:pStyle w:val="1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20</w:t>
                </w:r>
                <w:r>
                  <w:rPr>
                    <w:rFonts w:hint="eastAsia"/>
                    <w:lang w:eastAsia="zh-CN"/>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sz w:val="21"/>
      </w:rPr>
      <w:pict>
        <v:shape id="_x0000_s4099" o:spid="_x0000_s4099" o:spt="202" type="#_x0000_t202" style="position:absolute;left:0pt;margin-top:0pt;height:144pt;width:144pt;mso-position-horizontal:center;mso-position-horizontal-relative:margin;mso-wrap-style:none;z-index:251670528;mso-width-relative:page;mso-height-relative:page;" filled="f" stroked="f" coordsize="21600,21600">
          <v:path/>
          <v:fill on="f" focussize="0,0"/>
          <v:stroke on="f" weight="1.25pt"/>
          <v:imagedata o:title=""/>
          <o:lock v:ext="edit" aspectratio="f"/>
          <v:textbox inset="0mm,0mm,0mm,0mm" style="mso-fit-shape-to-text:t;">
            <w:txbxContent>
              <w:p>
                <w:pPr>
                  <w:pStyle w:val="1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21</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65FF26"/>
    <w:multiLevelType w:val="singleLevel"/>
    <w:tmpl w:val="A265FF26"/>
    <w:lvl w:ilvl="0" w:tentative="0">
      <w:start w:val="2"/>
      <w:numFmt w:val="chineseCounting"/>
      <w:suff w:val="space"/>
      <w:lvlText w:val="第%1部分"/>
      <w:lvlJc w:val="left"/>
      <w:rPr>
        <w:rFonts w:hint="eastAsia"/>
      </w:rPr>
    </w:lvl>
  </w:abstractNum>
  <w:abstractNum w:abstractNumId="1">
    <w:nsid w:val="75C4AA55"/>
    <w:multiLevelType w:val="singleLevel"/>
    <w:tmpl w:val="75C4AA55"/>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isplayHorizontalDrawingGridEvery w:val="1"/>
  <w:displayVerticalDrawingGridEvery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3096086"/>
    <w:rsid w:val="08053B9A"/>
    <w:rsid w:val="09EE2E1C"/>
    <w:rsid w:val="0CD02C1F"/>
    <w:rsid w:val="0FFB6A4E"/>
    <w:rsid w:val="11F8464B"/>
    <w:rsid w:val="1A4D0339"/>
    <w:rsid w:val="1BF71563"/>
    <w:rsid w:val="1C6C60E6"/>
    <w:rsid w:val="210F0189"/>
    <w:rsid w:val="247A57D3"/>
    <w:rsid w:val="250C5375"/>
    <w:rsid w:val="2D8D2A2C"/>
    <w:rsid w:val="36486FFA"/>
    <w:rsid w:val="3DCB24F3"/>
    <w:rsid w:val="4138433B"/>
    <w:rsid w:val="43F030A1"/>
    <w:rsid w:val="44A52BB5"/>
    <w:rsid w:val="46B829C9"/>
    <w:rsid w:val="4A152170"/>
    <w:rsid w:val="65F0615D"/>
    <w:rsid w:val="67EF1173"/>
    <w:rsid w:val="75E6229C"/>
    <w:rsid w:val="7DEE38C4"/>
    <w:rsid w:val="7E77339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eastAsia="仿宋"/>
      <w:bCs/>
      <w:kern w:val="44"/>
      <w:sz w:val="32"/>
      <w:szCs w:val="44"/>
    </w:rPr>
  </w:style>
  <w:style w:type="paragraph" w:styleId="4">
    <w:name w:val="heading 2"/>
    <w:basedOn w:val="5"/>
    <w:next w:val="5"/>
    <w:qFormat/>
    <w:uiPriority w:val="0"/>
    <w:pPr>
      <w:keepNext/>
      <w:keepLines/>
      <w:spacing w:before="260" w:after="260" w:line="416" w:lineRule="auto"/>
      <w:outlineLvl w:val="1"/>
    </w:pPr>
    <w:rPr>
      <w:rFonts w:ascii="Arial" w:hAnsi="Arial" w:eastAsia="仿宋"/>
      <w:bCs/>
      <w:sz w:val="32"/>
      <w:szCs w:val="32"/>
    </w:rPr>
  </w:style>
  <w:style w:type="paragraph" w:styleId="6">
    <w:name w:val="heading 3"/>
    <w:basedOn w:val="5"/>
    <w:next w:val="5"/>
    <w:link w:val="33"/>
    <w:qFormat/>
    <w:uiPriority w:val="0"/>
    <w:pPr>
      <w:keepNext/>
      <w:keepLines/>
      <w:spacing w:before="260" w:after="260" w:line="416" w:lineRule="auto"/>
      <w:outlineLvl w:val="2"/>
    </w:pPr>
    <w:rPr>
      <w:rFonts w:eastAsia="仿宋"/>
      <w:bCs/>
      <w:sz w:val="32"/>
      <w:szCs w:val="32"/>
    </w:rPr>
  </w:style>
  <w:style w:type="paragraph" w:styleId="7">
    <w:name w:val="heading 4"/>
    <w:basedOn w:val="1"/>
    <w:next w:val="1"/>
    <w:link w:val="30"/>
    <w:qFormat/>
    <w:uiPriority w:val="0"/>
    <w:pPr>
      <w:keepNext/>
      <w:keepLines/>
      <w:spacing w:before="280" w:after="290" w:line="376" w:lineRule="auto"/>
      <w:outlineLvl w:val="3"/>
    </w:pPr>
    <w:rPr>
      <w:rFonts w:ascii="Cambria" w:hAnsi="Cambria" w:eastAsia="仿宋"/>
      <w:bCs/>
      <w:sz w:val="32"/>
      <w:szCs w:val="28"/>
    </w:rPr>
  </w:style>
  <w:style w:type="character" w:default="1" w:styleId="22">
    <w:name w:val="Default Paragraph Font"/>
    <w:semiHidden/>
    <w:unhideWhenUsed/>
    <w:qFormat/>
    <w:uiPriority w:val="1"/>
  </w:style>
  <w:style w:type="table" w:default="1" w:styleId="2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1.正文"/>
    <w:basedOn w:val="1"/>
    <w:qFormat/>
    <w:uiPriority w:val="0"/>
    <w:pPr>
      <w:spacing w:before="0" w:beforeAutospacing="0" w:after="0" w:afterAutospacing="0"/>
      <w:ind w:left="0" w:right="0"/>
      <w:jc w:val="left"/>
    </w:pPr>
    <w:rPr>
      <w:rFonts w:hint="eastAsia" w:ascii="宋体" w:hAnsi="Times New Roman" w:eastAsia="宋体" w:cs="宋体"/>
      <w:kern w:val="0"/>
      <w:sz w:val="24"/>
      <w:szCs w:val="24"/>
      <w:lang w:val="en-US" w:eastAsia="zh-CN" w:bidi="ar"/>
    </w:rPr>
  </w:style>
  <w:style w:type="paragraph" w:customStyle="1" w:styleId="5">
    <w:name w:val="No Spacing"/>
    <w:link w:val="31"/>
    <w:qFormat/>
    <w:uiPriority w:val="0"/>
    <w:pPr>
      <w:ind w:firstLine="200" w:firstLineChars="200"/>
    </w:pPr>
    <w:rPr>
      <w:rFonts w:ascii="Times New Roman" w:hAnsi="Times New Roman" w:eastAsia="仿宋_GB2312" w:cs="Times New Roman"/>
      <w:sz w:val="30"/>
      <w:szCs w:val="22"/>
      <w:lang w:val="en-US" w:eastAsia="zh-CN" w:bidi="ar-SA"/>
    </w:rPr>
  </w:style>
  <w:style w:type="paragraph" w:styleId="8">
    <w:name w:val="toc 7"/>
    <w:basedOn w:val="1"/>
    <w:next w:val="1"/>
    <w:qFormat/>
    <w:uiPriority w:val="0"/>
    <w:pPr>
      <w:ind w:left="1260"/>
      <w:jc w:val="left"/>
    </w:pPr>
    <w:rPr>
      <w:sz w:val="20"/>
      <w:szCs w:val="20"/>
    </w:rPr>
  </w:style>
  <w:style w:type="paragraph" w:styleId="9">
    <w:name w:val="Body Text First Indent"/>
    <w:basedOn w:val="10"/>
    <w:qFormat/>
    <w:uiPriority w:val="0"/>
    <w:pPr>
      <w:ind w:firstLine="420" w:firstLineChars="100"/>
    </w:pPr>
    <w:rPr>
      <w:rFonts w:ascii="Calibri" w:hAnsi="Calibri" w:eastAsia="宋体" w:cs="Times New Roman"/>
      <w:kern w:val="0"/>
      <w:sz w:val="20"/>
      <w:szCs w:val="20"/>
    </w:rPr>
  </w:style>
  <w:style w:type="paragraph" w:styleId="10">
    <w:name w:val="Body Text"/>
    <w:basedOn w:val="1"/>
    <w:semiHidden/>
    <w:unhideWhenUsed/>
    <w:qFormat/>
    <w:uiPriority w:val="99"/>
    <w:pPr>
      <w:spacing w:after="120"/>
    </w:pPr>
  </w:style>
  <w:style w:type="paragraph" w:styleId="11">
    <w:name w:val="Document Map"/>
    <w:basedOn w:val="1"/>
    <w:qFormat/>
    <w:uiPriority w:val="0"/>
    <w:pPr>
      <w:shd w:val="clear" w:color="auto" w:fill="000080"/>
    </w:pPr>
  </w:style>
  <w:style w:type="paragraph" w:styleId="12">
    <w:name w:val="toc 5"/>
    <w:basedOn w:val="1"/>
    <w:next w:val="1"/>
    <w:qFormat/>
    <w:uiPriority w:val="0"/>
    <w:pPr>
      <w:ind w:left="840"/>
      <w:jc w:val="left"/>
    </w:pPr>
    <w:rPr>
      <w:sz w:val="20"/>
      <w:szCs w:val="20"/>
    </w:rPr>
  </w:style>
  <w:style w:type="paragraph" w:styleId="13">
    <w:name w:val="toc 3"/>
    <w:next w:val="6"/>
    <w:qFormat/>
    <w:uiPriority w:val="0"/>
    <w:pPr>
      <w:adjustRightInd w:val="0"/>
      <w:snapToGrid w:val="0"/>
      <w:spacing w:line="360" w:lineRule="auto"/>
      <w:ind w:firstLine="400" w:firstLineChars="400"/>
      <w:jc w:val="left"/>
    </w:pPr>
    <w:rPr>
      <w:rFonts w:ascii="Times New Roman" w:hAnsi="Times New Roman" w:eastAsia="仿宋" w:cs="Times New Roman"/>
      <w:sz w:val="32"/>
      <w:szCs w:val="20"/>
      <w:lang w:val="en-US" w:eastAsia="zh-CN" w:bidi="ar-SA"/>
    </w:rPr>
  </w:style>
  <w:style w:type="paragraph" w:styleId="14">
    <w:name w:val="toc 8"/>
    <w:basedOn w:val="1"/>
    <w:next w:val="1"/>
    <w:qFormat/>
    <w:uiPriority w:val="0"/>
    <w:pPr>
      <w:ind w:left="1470"/>
      <w:jc w:val="left"/>
    </w:pPr>
    <w:rPr>
      <w:sz w:val="20"/>
      <w:szCs w:val="20"/>
    </w:rPr>
  </w:style>
  <w:style w:type="paragraph" w:styleId="15">
    <w:name w:val="footer"/>
    <w:basedOn w:val="1"/>
    <w:link w:val="32"/>
    <w:qFormat/>
    <w:uiPriority w:val="0"/>
    <w:pPr>
      <w:tabs>
        <w:tab w:val="center" w:pos="4153"/>
        <w:tab w:val="right" w:pos="8306"/>
      </w:tabs>
      <w:snapToGrid w:val="0"/>
      <w:jc w:val="left"/>
    </w:pPr>
    <w:rPr>
      <w:sz w:val="18"/>
      <w:szCs w:val="18"/>
    </w:rPr>
  </w:style>
  <w:style w:type="paragraph" w:styleId="1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7">
    <w:name w:val="toc 1"/>
    <w:next w:val="5"/>
    <w:qFormat/>
    <w:uiPriority w:val="0"/>
    <w:pPr>
      <w:adjustRightInd w:val="0"/>
      <w:snapToGrid w:val="0"/>
      <w:spacing w:line="360" w:lineRule="auto"/>
      <w:jc w:val="left"/>
    </w:pPr>
    <w:rPr>
      <w:rFonts w:ascii="Times New Roman" w:hAnsi="Times New Roman" w:eastAsia="仿宋" w:cs="Times New Roman"/>
      <w:bCs/>
      <w:sz w:val="32"/>
      <w:szCs w:val="20"/>
      <w:lang w:val="en-US" w:eastAsia="zh-CN" w:bidi="ar-SA"/>
    </w:rPr>
  </w:style>
  <w:style w:type="paragraph" w:styleId="18">
    <w:name w:val="toc 4"/>
    <w:basedOn w:val="1"/>
    <w:next w:val="1"/>
    <w:qFormat/>
    <w:uiPriority w:val="0"/>
    <w:pPr>
      <w:ind w:left="630"/>
      <w:jc w:val="left"/>
    </w:pPr>
    <w:rPr>
      <w:sz w:val="20"/>
      <w:szCs w:val="20"/>
    </w:rPr>
  </w:style>
  <w:style w:type="paragraph" w:styleId="19">
    <w:name w:val="toc 6"/>
    <w:basedOn w:val="1"/>
    <w:next w:val="1"/>
    <w:qFormat/>
    <w:uiPriority w:val="0"/>
    <w:pPr>
      <w:ind w:left="1050"/>
      <w:jc w:val="left"/>
    </w:pPr>
    <w:rPr>
      <w:sz w:val="20"/>
      <w:szCs w:val="20"/>
    </w:rPr>
  </w:style>
  <w:style w:type="paragraph" w:styleId="20">
    <w:name w:val="toc 2"/>
    <w:next w:val="5"/>
    <w:qFormat/>
    <w:uiPriority w:val="0"/>
    <w:pPr>
      <w:adjustRightInd w:val="0"/>
      <w:snapToGrid w:val="0"/>
      <w:spacing w:line="360" w:lineRule="auto"/>
      <w:ind w:firstLine="200" w:firstLineChars="200"/>
      <w:jc w:val="left"/>
    </w:pPr>
    <w:rPr>
      <w:rFonts w:ascii="Times New Roman" w:hAnsi="Times New Roman" w:eastAsia="仿宋" w:cs="Times New Roman"/>
      <w:iCs/>
      <w:sz w:val="32"/>
      <w:szCs w:val="20"/>
      <w:lang w:val="en-US" w:eastAsia="zh-CN" w:bidi="ar-SA"/>
    </w:rPr>
  </w:style>
  <w:style w:type="paragraph" w:styleId="21">
    <w:name w:val="toc 9"/>
    <w:basedOn w:val="1"/>
    <w:next w:val="1"/>
    <w:qFormat/>
    <w:uiPriority w:val="0"/>
    <w:pPr>
      <w:ind w:left="1680"/>
      <w:jc w:val="left"/>
    </w:pPr>
    <w:rPr>
      <w:sz w:val="20"/>
      <w:szCs w:val="20"/>
    </w:rPr>
  </w:style>
  <w:style w:type="character" w:styleId="23">
    <w:name w:val="Strong"/>
    <w:basedOn w:val="22"/>
    <w:qFormat/>
    <w:uiPriority w:val="0"/>
    <w:rPr>
      <w:b/>
    </w:rPr>
  </w:style>
  <w:style w:type="character" w:styleId="24">
    <w:name w:val="page number"/>
    <w:basedOn w:val="22"/>
    <w:qFormat/>
    <w:uiPriority w:val="0"/>
  </w:style>
  <w:style w:type="character" w:styleId="25">
    <w:name w:val="Hyperlink"/>
    <w:qFormat/>
    <w:uiPriority w:val="0"/>
    <w:rPr>
      <w:rFonts w:ascii="宋体" w:hAnsi="宋体" w:eastAsia="仿宋" w:cs="Times New Roman"/>
      <w:kern w:val="2"/>
      <w:sz w:val="32"/>
      <w:szCs w:val="32"/>
      <w:lang w:val="en-US" w:eastAsia="zh-CN" w:bidi="ar-SA"/>
    </w:rPr>
  </w:style>
  <w:style w:type="paragraph" w:customStyle="1" w:styleId="27">
    <w:name w:val="List Paragraph"/>
    <w:basedOn w:val="1"/>
    <w:qFormat/>
    <w:uiPriority w:val="0"/>
    <w:pPr>
      <w:ind w:firstLine="420" w:firstLineChars="200"/>
    </w:pPr>
  </w:style>
  <w:style w:type="paragraph" w:customStyle="1" w:styleId="28">
    <w:name w:val="MsoNormal"/>
    <w:basedOn w:val="1"/>
    <w:qFormat/>
    <w:uiPriority w:val="0"/>
  </w:style>
  <w:style w:type="paragraph" w:customStyle="1" w:styleId="29">
    <w:name w:val="p"/>
    <w:basedOn w:val="1"/>
    <w:qFormat/>
    <w:uiPriority w:val="0"/>
  </w:style>
  <w:style w:type="character" w:customStyle="1" w:styleId="30">
    <w:name w:val="标题 4 字符"/>
    <w:basedOn w:val="22"/>
    <w:link w:val="7"/>
    <w:qFormat/>
    <w:uiPriority w:val="0"/>
    <w:rPr>
      <w:rFonts w:ascii="Cambria" w:hAnsi="Cambria" w:eastAsia="仿宋"/>
      <w:bCs/>
      <w:kern w:val="2"/>
      <w:sz w:val="32"/>
      <w:szCs w:val="28"/>
    </w:rPr>
  </w:style>
  <w:style w:type="character" w:customStyle="1" w:styleId="31">
    <w:name w:val="无间隔 字符"/>
    <w:link w:val="5"/>
    <w:qFormat/>
    <w:locked/>
    <w:uiPriority w:val="0"/>
    <w:rPr>
      <w:rFonts w:eastAsia="仿宋_GB2312"/>
      <w:sz w:val="30"/>
      <w:szCs w:val="22"/>
      <w:lang w:bidi="ar-SA"/>
    </w:rPr>
  </w:style>
  <w:style w:type="character" w:customStyle="1" w:styleId="32">
    <w:name w:val="页脚 字符"/>
    <w:basedOn w:val="22"/>
    <w:link w:val="15"/>
    <w:qFormat/>
    <w:uiPriority w:val="0"/>
    <w:rPr>
      <w:kern w:val="2"/>
      <w:sz w:val="18"/>
      <w:szCs w:val="18"/>
    </w:rPr>
  </w:style>
  <w:style w:type="character" w:customStyle="1" w:styleId="33">
    <w:name w:val="标题 3 字符"/>
    <w:basedOn w:val="22"/>
    <w:link w:val="6"/>
    <w:qFormat/>
    <w:uiPriority w:val="0"/>
    <w:rPr>
      <w:rFonts w:eastAsia="仿宋"/>
      <w:bCs/>
      <w:kern w:val="2"/>
      <w:sz w:val="32"/>
      <w:szCs w:val="32"/>
    </w:rPr>
  </w:style>
  <w:style w:type="character" w:customStyle="1" w:styleId="34">
    <w:name w:val="15"/>
    <w:basedOn w:val="22"/>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4100" textRotate="1"/>
    <customShpInfo spid="_x0000_s4102" textRotate="1"/>
    <customShpInfo spid="_x0000_s4097" textRotate="1"/>
    <customShpInfo spid="_x0000_s4098" textRotate="1"/>
    <customShpInfo spid="_x0000_s409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43</Pages>
  <Words>20</Words>
  <Characters>35</Characters>
  <Lines>1</Lines>
  <Paragraphs>1</Paragraphs>
  <TotalTime>0</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2021-04-16T00:45:00Z</cp:lastPrinted>
  <dcterms:modified xsi:type="dcterms:W3CDTF">2025-09-16T04:58:45Z</dcterms:modified>
  <dc:title>××年度××部门/单位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51EA75710E61423394694D1476351CDD_13</vt:lpwstr>
  </property>
  <property fmtid="{D5CDD505-2E9C-101B-9397-08002B2CF9AE}" pid="3" name="KSOProductBuildVer">
    <vt:lpwstr>2052-11.8.2.8053</vt:lpwstr>
  </property>
  <property fmtid="{D5CDD505-2E9C-101B-9397-08002B2CF9AE}" pid="4" name="KSOTemplateDocerSaveRecord">
    <vt:lpwstr>eyJoZGlkIjoiMGU0NWVkNDhlOTkyOTEzYmI4NjBkNjJlZWJjYTAyZDQiLCJ1c2VySWQiOiI0MjEyNzUxNjYifQ==</vt:lpwstr>
  </property>
</Properties>
</file>