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lang w:val="en-US" w:eastAsia="zh-CN"/>
        </w:rPr>
        <w:t>2024</w:t>
      </w:r>
      <w:r>
        <w:rPr>
          <w:rFonts w:hint="eastAsia" w:ascii="方正小标宋简体" w:eastAsia="方正小标宋简体"/>
          <w:b/>
          <w:bCs/>
          <w:sz w:val="84"/>
          <w:szCs w:val="84"/>
          <w:highlight w:val="none"/>
        </w:rPr>
        <w:t>年度</w:t>
      </w: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rPr>
        <w:t>厦门市禾山中学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84"/>
          <w:szCs w:val="84"/>
          <w:highlight w:val="none"/>
          <w:lang w:val="en-US" w:eastAsia="zh-CN"/>
        </w:rPr>
        <w:t>单位</w:t>
      </w:r>
      <w:r>
        <w:rPr>
          <w:rFonts w:hint="eastAsia" w:ascii="方正小标宋简体" w:eastAsia="方正小标宋简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9"/>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3"/>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9"/>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3"/>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3"/>
              <w:rFonts w:ascii="黑体" w:hAnsi="黑体" w:eastAsia="黑体" w:cs="黑体"/>
            </w:rPr>
            <w:t>一、单位主要职责</w:t>
          </w:r>
          <w:r>
            <w:tab/>
          </w:r>
          <w:r>
            <w:fldChar w:fldCharType="begin"/>
          </w:r>
          <w:r>
            <w:instrText xml:space="preserve"> PAGEREF _Toc256000095 \h </w:instrText>
          </w:r>
          <w:r>
            <w:fldChar w:fldCharType="separate"/>
          </w:r>
          <w:r>
            <w:t>5</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3"/>
              <w:rFonts w:ascii="黑体" w:hAnsi="黑体" w:eastAsia="黑体" w:cs="黑体"/>
            </w:rPr>
            <w:t>二、单位基本情况</w:t>
          </w:r>
          <w:r>
            <w:tab/>
          </w:r>
          <w:r>
            <w:fldChar w:fldCharType="begin"/>
          </w:r>
          <w:r>
            <w:instrText xml:space="preserve"> PAGEREF _Toc256000096 \h </w:instrText>
          </w:r>
          <w:r>
            <w:fldChar w:fldCharType="separate"/>
          </w:r>
          <w:r>
            <w:t>5</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3"/>
              <w:rFonts w:ascii="黑体" w:hAnsi="黑体" w:eastAsia="黑体" w:cs="黑体"/>
            </w:rPr>
            <w:t>三、单位主要工作总结</w:t>
          </w:r>
          <w:r>
            <w:tab/>
          </w:r>
          <w:r>
            <w:fldChar w:fldCharType="begin"/>
          </w:r>
          <w:r>
            <w:instrText xml:space="preserve"> PAGEREF _Toc256000097 \h </w:instrText>
          </w:r>
          <w:r>
            <w:fldChar w:fldCharType="separate"/>
          </w:r>
          <w:r>
            <w:t>5</w:t>
          </w:r>
          <w:r>
            <w:fldChar w:fldCharType="end"/>
          </w:r>
          <w:r>
            <w:fldChar w:fldCharType="end"/>
          </w:r>
        </w:p>
        <w:p>
          <w:pPr>
            <w:pStyle w:val="19"/>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3"/>
              <w:rFonts w:ascii="黑体" w:hAnsi="黑体" w:eastAsia="黑体" w:cs="黑体"/>
            </w:rPr>
            <w:t>第二部分</w:t>
          </w:r>
          <w:r>
            <w:tab/>
          </w:r>
          <w:r>
            <w:fldChar w:fldCharType="begin"/>
          </w:r>
          <w:r>
            <w:instrText xml:space="preserve"> PAGEREF _Toc256000098 \h </w:instrText>
          </w:r>
          <w:r>
            <w:fldChar w:fldCharType="separate"/>
          </w:r>
          <w:r>
            <w:t>6</w:t>
          </w:r>
          <w:r>
            <w:fldChar w:fldCharType="end"/>
          </w:r>
          <w:r>
            <w:fldChar w:fldCharType="end"/>
          </w:r>
        </w:p>
        <w:p>
          <w:pPr>
            <w:pStyle w:val="19"/>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3"/>
              <w:rFonts w:ascii="黑体" w:hAnsi="黑体" w:eastAsia="黑体" w:cs="黑体"/>
            </w:rPr>
            <w:t>2024年度决算表</w:t>
          </w:r>
          <w:r>
            <w:tab/>
          </w:r>
          <w:r>
            <w:fldChar w:fldCharType="begin"/>
          </w:r>
          <w:r>
            <w:instrText xml:space="preserve"> PAGEREF _Toc256000099 \h </w:instrText>
          </w:r>
          <w:r>
            <w:fldChar w:fldCharType="separate"/>
          </w:r>
          <w:r>
            <w:t>6</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3"/>
              <w:rFonts w:ascii="黑体" w:hAnsi="黑体" w:eastAsia="黑体" w:cs="黑体"/>
            </w:rPr>
            <w:t>一、收入支出决算总表</w:t>
          </w:r>
          <w:r>
            <w:tab/>
          </w:r>
          <w:r>
            <w:fldChar w:fldCharType="begin"/>
          </w:r>
          <w:r>
            <w:instrText xml:space="preserve"> PAGEREF _Toc256000100 \h </w:instrText>
          </w:r>
          <w:r>
            <w:fldChar w:fldCharType="separate"/>
          </w:r>
          <w:r>
            <w:t>7</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"_Toc256000101" </w:instrText>
          </w:r>
          <w:r>
            <w:fldChar w:fldCharType="separate"/>
          </w:r>
          <w:r>
            <w:rPr>
              <w:rStyle w:val="23"/>
              <w:rFonts w:ascii="黑体" w:hAnsi="黑体" w:eastAsia="黑体" w:cs="黑体"/>
            </w:rPr>
            <w:t>二、收入决算表</w:t>
          </w:r>
          <w:r>
            <w:tab/>
          </w:r>
          <w:r>
            <w:fldChar w:fldCharType="begin"/>
          </w:r>
          <w:r>
            <w:instrText xml:space="preserve"> PAGEREF _Toc256000101 \h </w:instrText>
          </w:r>
          <w:r>
            <w:fldChar w:fldCharType="separate"/>
          </w:r>
          <w:r>
            <w:t>11</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"_Toc256000102" </w:instrText>
          </w:r>
          <w:r>
            <w:fldChar w:fldCharType="separate"/>
          </w:r>
          <w:r>
            <w:rPr>
              <w:rStyle w:val="23"/>
              <w:rFonts w:ascii="黑体" w:hAnsi="黑体" w:eastAsia="黑体" w:cs="黑体"/>
            </w:rPr>
            <w:t>三、支出决算表</w:t>
          </w:r>
          <w:r>
            <w:tab/>
          </w:r>
          <w:r>
            <w:fldChar w:fldCharType="begin"/>
          </w:r>
          <w:r>
            <w:instrText xml:space="preserve"> PAGEREF _Toc256000102 \h </w:instrText>
          </w:r>
          <w:r>
            <w:fldChar w:fldCharType="separate"/>
          </w:r>
          <w:r>
            <w:t>14</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"_Toc256000103" </w:instrText>
          </w:r>
          <w:r>
            <w:fldChar w:fldCharType="separate"/>
          </w:r>
          <w:r>
            <w:rPr>
              <w:rStyle w:val="23"/>
              <w:rFonts w:ascii="黑体" w:hAnsi="黑体" w:eastAsia="黑体" w:cs="黑体"/>
            </w:rPr>
            <w:t>四、财政拨款收入支出决算总表</w:t>
          </w:r>
          <w:r>
            <w:tab/>
          </w:r>
          <w:r>
            <w:fldChar w:fldCharType="begin"/>
          </w:r>
          <w:r>
            <w:instrText xml:space="preserve"> PAGEREF _Toc256000103 \h </w:instrText>
          </w:r>
          <w:r>
            <w:fldChar w:fldCharType="separate"/>
          </w:r>
          <w:r>
            <w:t>17</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"_Toc256000104" </w:instrText>
          </w:r>
          <w:r>
            <w:fldChar w:fldCharType="separate"/>
          </w:r>
          <w:r>
            <w:rPr>
              <w:rStyle w:val="23"/>
              <w:rFonts w:ascii="黑体" w:hAnsi="黑体" w:eastAsia="黑体" w:cs="黑体"/>
            </w:rPr>
            <w:t>五、一般公共预算财政拨款支出决算表</w:t>
          </w:r>
          <w:r>
            <w:tab/>
          </w:r>
          <w:r>
            <w:fldChar w:fldCharType="begin"/>
          </w:r>
          <w:r>
            <w:instrText xml:space="preserve"> PAGEREF _Toc256000104 \h </w:instrText>
          </w:r>
          <w:r>
            <w:fldChar w:fldCharType="separate"/>
          </w:r>
          <w:r>
            <w:t>22</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"_Toc256000105" </w:instrText>
          </w:r>
          <w:r>
            <w:fldChar w:fldCharType="separate"/>
          </w:r>
          <w:r>
            <w:rPr>
              <w:rStyle w:val="23"/>
              <w:rFonts w:ascii="黑体" w:hAnsi="黑体" w:eastAsia="黑体" w:cs="黑体"/>
            </w:rPr>
            <w:t>六、一般公共预算财政拨款基本支出决算表</w:t>
          </w:r>
          <w:r>
            <w:tab/>
          </w:r>
          <w:r>
            <w:fldChar w:fldCharType="begin"/>
          </w:r>
          <w:r>
            <w:instrText xml:space="preserve"> PAGEREF _Toc256000105 \h </w:instrText>
          </w:r>
          <w:r>
            <w:fldChar w:fldCharType="separate"/>
          </w:r>
          <w:r>
            <w:t>24</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"_Toc256000106" </w:instrText>
          </w:r>
          <w:r>
            <w:fldChar w:fldCharType="separate"/>
          </w:r>
          <w:r>
            <w:rPr>
              <w:rStyle w:val="23"/>
              <w:rFonts w:ascii="黑体" w:hAnsi="黑体" w:eastAsia="黑体" w:cs="黑体"/>
            </w:rPr>
            <w:t>七、一般公共预算财政拨款“三公”经费支出决算表</w:t>
          </w:r>
          <w:r>
            <w:tab/>
          </w:r>
          <w:r>
            <w:fldChar w:fldCharType="begin"/>
          </w:r>
          <w:r>
            <w:instrText xml:space="preserve"> PAGEREF _Toc256000106 \h </w:instrText>
          </w:r>
          <w:r>
            <w:fldChar w:fldCharType="separate"/>
          </w:r>
          <w:r>
            <w:t>27</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"_Toc256000107" </w:instrText>
          </w:r>
          <w:r>
            <w:fldChar w:fldCharType="separate"/>
          </w:r>
          <w:r>
            <w:rPr>
              <w:rStyle w:val="23"/>
              <w:rFonts w:ascii="黑体" w:hAnsi="黑体" w:eastAsia="黑体" w:cs="黑体"/>
            </w:rPr>
            <w:t>八、政府性基金预算财政拨款收入支出决算表</w:t>
          </w:r>
          <w:r>
            <w:tab/>
          </w:r>
          <w:r>
            <w:fldChar w:fldCharType="begin"/>
          </w:r>
          <w:r>
            <w:instrText xml:space="preserve"> PAGEREF _Toc256000107 \h </w:instrText>
          </w:r>
          <w:r>
            <w:fldChar w:fldCharType="separate"/>
          </w:r>
          <w:r>
            <w:t>28</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"_Toc256000108" </w:instrText>
          </w:r>
          <w:r>
            <w:fldChar w:fldCharType="separate"/>
          </w:r>
          <w:r>
            <w:rPr>
              <w:rStyle w:val="23"/>
              <w:rFonts w:ascii="黑体" w:hAnsi="黑体" w:eastAsia="黑体" w:cs="黑体"/>
            </w:rPr>
            <w:t>九、国有资本经营预算财政拨款支出决算表</w:t>
          </w:r>
          <w:r>
            <w:tab/>
          </w:r>
          <w:r>
            <w:fldChar w:fldCharType="begin"/>
          </w:r>
          <w:r>
            <w:instrText xml:space="preserve"> PAGEREF _Toc256000108 \h </w:instrText>
          </w:r>
          <w:r>
            <w:fldChar w:fldCharType="separate"/>
          </w:r>
          <w:r>
            <w:t>29</w:t>
          </w:r>
          <w:r>
            <w:fldChar w:fldCharType="end"/>
          </w:r>
          <w:r>
            <w:fldChar w:fldCharType="end"/>
          </w:r>
        </w:p>
        <w:p>
          <w:pPr>
            <w:pStyle w:val="19"/>
            <w:tabs>
              <w:tab w:val="right" w:leader="dot" w:pos="9730"/>
            </w:tabs>
            <w:rPr>
              <w:rFonts w:asciiTheme="minorHAnsi" w:hAnsiTheme="minorHAnsi"/>
              <w:sz w:val="22"/>
            </w:rPr>
          </w:pPr>
          <w:r>
            <w:fldChar w:fldCharType="begin"/>
          </w:r>
          <w:r>
            <w:instrText xml:space="preserve"> HYPERLINK \l "_Toc256000109" </w:instrText>
          </w:r>
          <w:r>
            <w:fldChar w:fldCharType="separate"/>
          </w:r>
          <w:r>
            <w:rPr>
              <w:rStyle w:val="23"/>
              <w:rFonts w:ascii="黑体" w:hAnsi="黑体" w:eastAsia="黑体" w:cs="黑体"/>
            </w:rPr>
            <w:t>第三部分</w:t>
          </w:r>
          <w:r>
            <w:tab/>
          </w:r>
          <w:r>
            <w:fldChar w:fldCharType="begin"/>
          </w:r>
          <w:r>
            <w:instrText xml:space="preserve"> PAGEREF _Toc256000109 \h </w:instrText>
          </w:r>
          <w:r>
            <w:fldChar w:fldCharType="separate"/>
          </w:r>
          <w:r>
            <w:t>31</w:t>
          </w:r>
          <w:r>
            <w:fldChar w:fldCharType="end"/>
          </w:r>
          <w:r>
            <w:fldChar w:fldCharType="end"/>
          </w:r>
        </w:p>
        <w:p>
          <w:pPr>
            <w:pStyle w:val="19"/>
            <w:tabs>
              <w:tab w:val="right" w:leader="dot" w:pos="9730"/>
            </w:tabs>
            <w:rPr>
              <w:rFonts w:asciiTheme="minorHAnsi" w:hAnsiTheme="minorHAnsi"/>
              <w:sz w:val="22"/>
            </w:rPr>
          </w:pPr>
          <w:r>
            <w:fldChar w:fldCharType="begin"/>
          </w:r>
          <w:r>
            <w:instrText xml:space="preserve"> HYPERLINK \l "_Toc256000110" </w:instrText>
          </w:r>
          <w:r>
            <w:fldChar w:fldCharType="separate"/>
          </w:r>
          <w:r>
            <w:rPr>
              <w:rStyle w:val="23"/>
              <w:rFonts w:ascii="黑体" w:hAnsi="黑体" w:eastAsia="黑体" w:cs="黑体"/>
            </w:rPr>
            <w:t>2024年度决算情况说明</w:t>
          </w:r>
          <w:r>
            <w:tab/>
          </w:r>
          <w:r>
            <w:fldChar w:fldCharType="begin"/>
          </w:r>
          <w:r>
            <w:instrText xml:space="preserve"> PAGEREF _Toc256000110 \h </w:instrText>
          </w:r>
          <w:r>
            <w:fldChar w:fldCharType="separate"/>
          </w:r>
          <w:r>
            <w:t>31</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"_Toc256000111" </w:instrText>
          </w:r>
          <w:r>
            <w:fldChar w:fldCharType="separate"/>
          </w:r>
          <w:r>
            <w:rPr>
              <w:rStyle w:val="23"/>
              <w:rFonts w:ascii="黑体" w:hAnsi="黑体" w:eastAsia="黑体" w:cs="黑体"/>
            </w:rPr>
            <w:t>一、收入支出决算总体情况说明</w:t>
          </w:r>
          <w:r>
            <w:tab/>
          </w:r>
          <w:r>
            <w:fldChar w:fldCharType="begin"/>
          </w:r>
          <w:r>
            <w:instrText xml:space="preserve"> PAGEREF _Toc256000111 \h </w:instrText>
          </w:r>
          <w:r>
            <w:fldChar w:fldCharType="separate"/>
          </w:r>
          <w:r>
            <w:t>32</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"_Toc256000112" </w:instrText>
          </w:r>
          <w:r>
            <w:fldChar w:fldCharType="separate"/>
          </w:r>
          <w:r>
            <w:rPr>
              <w:rStyle w:val="23"/>
              <w:rFonts w:ascii="黑体" w:hAnsi="黑体" w:eastAsia="黑体" w:cs="黑体"/>
            </w:rPr>
            <w:t>二、财政拨款收入支出决算总体情况说明</w:t>
          </w:r>
          <w:r>
            <w:tab/>
          </w:r>
          <w:r>
            <w:fldChar w:fldCharType="begin"/>
          </w:r>
          <w:r>
            <w:instrText xml:space="preserve"> PAGEREF _Toc256000112 \h </w:instrText>
          </w:r>
          <w:r>
            <w:fldChar w:fldCharType="separate"/>
          </w:r>
          <w:r>
            <w:t>33</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"_Toc256000113" </w:instrText>
          </w:r>
          <w:r>
            <w:fldChar w:fldCharType="separate"/>
          </w:r>
          <w:r>
            <w:rPr>
              <w:rStyle w:val="23"/>
              <w:rFonts w:ascii="黑体" w:hAnsi="黑体" w:eastAsia="黑体" w:cs="黑体"/>
            </w:rPr>
            <w:t>三、一般公共预算拨款支出决算情况说明</w:t>
          </w:r>
          <w:r>
            <w:tab/>
          </w:r>
          <w:r>
            <w:fldChar w:fldCharType="begin"/>
          </w:r>
          <w:r>
            <w:instrText xml:space="preserve"> PAGEREF _Toc256000113 \h </w:instrText>
          </w:r>
          <w:r>
            <w:fldChar w:fldCharType="separate"/>
          </w:r>
          <w:r>
            <w:t>33</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"_Toc256000114" </w:instrText>
          </w:r>
          <w:r>
            <w:fldChar w:fldCharType="separate"/>
          </w:r>
          <w:r>
            <w:rPr>
              <w:rStyle w:val="23"/>
              <w:rFonts w:ascii="黑体" w:hAnsi="黑体" w:eastAsia="黑体" w:cs="黑体"/>
            </w:rPr>
            <w:t>四、政府性基金预算财政拨款支出决算情况说明</w:t>
          </w:r>
          <w:r>
            <w:tab/>
          </w:r>
          <w:r>
            <w:fldChar w:fldCharType="begin"/>
          </w:r>
          <w:r>
            <w:instrText xml:space="preserve"> PAGEREF _Toc256000114 \h </w:instrText>
          </w:r>
          <w:r>
            <w:fldChar w:fldCharType="separate"/>
          </w:r>
          <w:r>
            <w:t>34</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"_Toc256000115" </w:instrText>
          </w:r>
          <w:r>
            <w:fldChar w:fldCharType="separate"/>
          </w:r>
          <w:r>
            <w:rPr>
              <w:rStyle w:val="23"/>
              <w:rFonts w:ascii="黑体" w:hAnsi="黑体" w:eastAsia="黑体" w:cs="黑体"/>
            </w:rPr>
            <w:t>五、国有资本经营预算财政拨款支出决算情况说明</w:t>
          </w:r>
          <w:r>
            <w:tab/>
          </w:r>
          <w:r>
            <w:fldChar w:fldCharType="begin"/>
          </w:r>
          <w:r>
            <w:instrText xml:space="preserve"> PAGEREF _Toc256000115 \h </w:instrText>
          </w:r>
          <w:r>
            <w:fldChar w:fldCharType="separate"/>
          </w:r>
          <w:r>
            <w:t>35</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"_Toc256000116" </w:instrText>
          </w:r>
          <w:r>
            <w:fldChar w:fldCharType="separate"/>
          </w:r>
          <w:r>
            <w:rPr>
              <w:rStyle w:val="23"/>
              <w:rFonts w:ascii="黑体" w:hAnsi="黑体" w:eastAsia="黑体" w:cs="黑体"/>
            </w:rPr>
            <w:t>六、一般公共预算财政拨款基本支出决算情况说明</w:t>
          </w:r>
          <w:r>
            <w:tab/>
          </w:r>
          <w:r>
            <w:fldChar w:fldCharType="begin"/>
          </w:r>
          <w:r>
            <w:instrText xml:space="preserve"> PAGEREF _Toc256000116 \h </w:instrText>
          </w:r>
          <w:r>
            <w:fldChar w:fldCharType="separate"/>
          </w:r>
          <w:r>
            <w:t>35</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"_Toc256000117" </w:instrText>
          </w:r>
          <w:r>
            <w:fldChar w:fldCharType="separate"/>
          </w:r>
          <w:r>
            <w:rPr>
              <w:rStyle w:val="23"/>
              <w:rFonts w:ascii="黑体" w:hAnsi="黑体" w:eastAsia="黑体" w:cs="黑体"/>
            </w:rPr>
            <w:t>七、一般公共预算拨款“三公”经费支出决算情况说明</w:t>
          </w:r>
          <w:r>
            <w:tab/>
          </w:r>
          <w:r>
            <w:fldChar w:fldCharType="begin"/>
          </w:r>
          <w:r>
            <w:instrText xml:space="preserve"> PAGEREF _Toc256000117 \h </w:instrText>
          </w:r>
          <w:r>
            <w:fldChar w:fldCharType="separate"/>
          </w:r>
          <w:r>
            <w:t>35</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"_Toc256000118" </w:instrText>
          </w:r>
          <w:r>
            <w:fldChar w:fldCharType="separate"/>
          </w:r>
          <w:r>
            <w:rPr>
              <w:rStyle w:val="23"/>
              <w:rFonts w:ascii="黑体" w:hAnsi="黑体" w:eastAsia="黑体" w:cs="黑体"/>
            </w:rPr>
            <w:t>八、预算绩效情况说明</w:t>
          </w:r>
          <w:r>
            <w:tab/>
          </w:r>
          <w:r>
            <w:fldChar w:fldCharType="begin"/>
          </w:r>
          <w:r>
            <w:instrText xml:space="preserve"> PAGEREF _Toc256000118 \h </w:instrText>
          </w:r>
          <w:r>
            <w:fldChar w:fldCharType="separate"/>
          </w:r>
          <w:r>
            <w:t>36</w:t>
          </w:r>
          <w:r>
            <w:fldChar w:fldCharType="end"/>
          </w:r>
          <w:r>
            <w:fldChar w:fldCharType="end"/>
          </w:r>
        </w:p>
        <w:p>
          <w:pPr>
            <w:pStyle w:val="12"/>
            <w:tabs>
              <w:tab w:val="right" w:leader="dot" w:pos="9730"/>
            </w:tabs>
            <w:rPr>
              <w:rFonts w:asciiTheme="minorHAnsi" w:hAnsiTheme="minorHAnsi"/>
              <w:sz w:val="22"/>
            </w:rPr>
          </w:pPr>
          <w:r>
            <w:fldChar w:fldCharType="begin"/>
          </w:r>
          <w:r>
            <w:instrText xml:space="preserve"> HYPERLINK \l "_Toc256000119" </w:instrText>
          </w:r>
          <w:r>
            <w:fldChar w:fldCharType="separate"/>
          </w:r>
          <w:r>
            <w:rPr>
              <w:rStyle w:val="23"/>
              <w:rFonts w:ascii="黑体" w:hAnsi="黑体" w:eastAsia="黑体" w:cs="黑体"/>
            </w:rPr>
            <w:t>九、其他重要事项说明</w:t>
          </w:r>
          <w:r>
            <w:tab/>
          </w:r>
          <w:r>
            <w:fldChar w:fldCharType="begin"/>
          </w:r>
          <w:r>
            <w:instrText xml:space="preserve"> PAGEREF _Toc256000119 \h </w:instrText>
          </w:r>
          <w:r>
            <w:fldChar w:fldCharType="separate"/>
          </w:r>
          <w:r>
            <w:t>37</w:t>
          </w:r>
          <w:r>
            <w:fldChar w:fldCharType="end"/>
          </w:r>
          <w:r>
            <w:fldChar w:fldCharType="end"/>
          </w:r>
        </w:p>
        <w:p>
          <w:pPr>
            <w:pStyle w:val="19"/>
            <w:tabs>
              <w:tab w:val="right" w:leader="dot" w:pos="9730"/>
            </w:tabs>
            <w:rPr>
              <w:rFonts w:asciiTheme="minorHAnsi" w:hAnsiTheme="minorHAnsi"/>
              <w:sz w:val="22"/>
            </w:rPr>
          </w:pPr>
          <w:r>
            <w:fldChar w:fldCharType="begin"/>
          </w:r>
          <w:r>
            <w:instrText xml:space="preserve"> HYPERLINK \l "_Toc256000120" </w:instrText>
          </w:r>
          <w:r>
            <w:fldChar w:fldCharType="separate"/>
          </w:r>
          <w:r>
            <w:rPr>
              <w:rStyle w:val="23"/>
              <w:rFonts w:ascii="黑体" w:hAnsi="黑体" w:eastAsia="黑体" w:cs="黑体"/>
            </w:rPr>
            <w:t>第四部分</w:t>
          </w:r>
          <w:r>
            <w:tab/>
          </w:r>
          <w:r>
            <w:fldChar w:fldCharType="begin"/>
          </w:r>
          <w:r>
            <w:instrText xml:space="preserve"> PAGEREF _Toc256000120 \h </w:instrText>
          </w:r>
          <w:r>
            <w:fldChar w:fldCharType="separate"/>
          </w:r>
          <w:r>
            <w:t>39</w:t>
          </w:r>
          <w:r>
            <w:fldChar w:fldCharType="end"/>
          </w:r>
          <w:r>
            <w:fldChar w:fldCharType="end"/>
          </w:r>
        </w:p>
        <w:p>
          <w:pPr>
            <w:pStyle w:val="19"/>
            <w:tabs>
              <w:tab w:val="right" w:leader="dot" w:pos="9730"/>
            </w:tabs>
            <w:rPr>
              <w:rFonts w:asciiTheme="minorHAnsi" w:hAnsiTheme="minorHAnsi"/>
              <w:sz w:val="22"/>
            </w:rPr>
          </w:pPr>
          <w:r>
            <w:fldChar w:fldCharType="begin"/>
          </w:r>
          <w:r>
            <w:instrText xml:space="preserve"> HYPERLINK \l "_Toc256000121" </w:instrText>
          </w:r>
          <w:r>
            <w:fldChar w:fldCharType="separate"/>
          </w:r>
          <w:r>
            <w:rPr>
              <w:rStyle w:val="23"/>
              <w:rFonts w:ascii="黑体" w:hAnsi="黑体" w:eastAsia="黑体" w:cs="黑体"/>
            </w:rPr>
            <w:t>名词解释</w:t>
          </w:r>
          <w:r>
            <w:tab/>
          </w:r>
          <w:r>
            <w:fldChar w:fldCharType="begin"/>
          </w:r>
          <w:r>
            <w:instrText xml:space="preserve"> PAGEREF _Toc256000121 \h </w:instrText>
          </w:r>
          <w:r>
            <w:fldChar w:fldCharType="separate"/>
          </w:r>
          <w:r>
            <w:t>39</w:t>
          </w:r>
          <w:r>
            <w:fldChar w:fldCharType="end"/>
          </w:r>
          <w:r>
            <w:fldChar w:fldCharType="end"/>
          </w:r>
        </w:p>
        <w:p>
          <w:pPr>
            <w:pStyle w:val="19"/>
            <w:tabs>
              <w:tab w:val="right" w:leader="dot" w:pos="9730"/>
            </w:tabs>
            <w:rPr>
              <w:rFonts w:asciiTheme="minorHAnsi" w:hAnsiTheme="minorHAnsi"/>
              <w:sz w:val="22"/>
            </w:rPr>
          </w:pPr>
          <w:r>
            <w:fldChar w:fldCharType="begin"/>
          </w:r>
          <w:r>
            <w:instrText xml:space="preserve"> HYPERLINK \l "_Toc256000122" </w:instrText>
          </w:r>
          <w:r>
            <w:fldChar w:fldCharType="separate"/>
          </w:r>
          <w:r>
            <w:rPr>
              <w:rStyle w:val="23"/>
              <w:rFonts w:ascii="黑体" w:hAnsi="黑体" w:eastAsia="黑体" w:cs="黑体"/>
            </w:rPr>
            <w:t>第五部分</w:t>
          </w:r>
          <w:r>
            <w:tab/>
          </w:r>
          <w:r>
            <w:fldChar w:fldCharType="begin"/>
          </w:r>
          <w:r>
            <w:instrText xml:space="preserve"> PAGEREF _Toc256000122 \h </w:instrText>
          </w:r>
          <w:r>
            <w:fldChar w:fldCharType="separate"/>
          </w:r>
          <w:r>
            <w:t>42</w:t>
          </w:r>
          <w:r>
            <w:fldChar w:fldCharType="end"/>
          </w:r>
          <w:r>
            <w:fldChar w:fldCharType="end"/>
          </w:r>
        </w:p>
        <w:p>
          <w:pPr>
            <w:pStyle w:val="19"/>
            <w:tabs>
              <w:tab w:val="right" w:leader="dot" w:pos="9730"/>
            </w:tabs>
            <w:rPr>
              <w:rFonts w:asciiTheme="minorHAnsi" w:hAnsiTheme="minorHAnsi"/>
              <w:sz w:val="22"/>
            </w:rPr>
          </w:pPr>
          <w:r>
            <w:fldChar w:fldCharType="begin"/>
          </w:r>
          <w:r>
            <w:instrText xml:space="preserve"> HYPERLINK \l "_Toc256000123" </w:instrText>
          </w:r>
          <w:r>
            <w:fldChar w:fldCharType="separate"/>
          </w:r>
          <w:r>
            <w:rPr>
              <w:rStyle w:val="23"/>
              <w:rFonts w:ascii="黑体" w:hAnsi="黑体" w:eastAsia="黑体" w:cs="黑体"/>
            </w:rPr>
            <w:t>附件</w:t>
          </w:r>
          <w:r>
            <w:tab/>
          </w:r>
          <w:r>
            <w:fldChar w:fldCharType="begin"/>
          </w:r>
          <w:r>
            <w:instrText xml:space="preserve"> PAGEREF _Toc256000123 \h </w:instrText>
          </w:r>
          <w:r>
            <w:fldChar w:fldCharType="separate"/>
          </w:r>
          <w:r>
            <w:t>42</w:t>
          </w:r>
          <w:r>
            <w:fldChar w:fldCharType="end"/>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30"/>
        <w:widowControl/>
        <w:spacing w:before="100" w:after="270"/>
        <w:ind w:left="0" w:right="0" w:firstLine="0"/>
        <w:jc w:val="center"/>
        <w:rPr>
          <w:rFonts w:ascii="Times New Roman" w:hAnsi="Times New Roman" w:eastAsia="Times New Roman" w:cs="Times New Roman"/>
          <w:kern w:val="0"/>
          <w:sz w:val="24"/>
        </w:rPr>
      </w:pPr>
      <w:bookmarkStart w:id="0" w:name="a000"/>
    </w:p>
    <w:p>
      <w:pPr>
        <w:pStyle w:val="30"/>
        <w:widowControl/>
        <w:spacing w:before="100" w:after="100"/>
        <w:ind w:left="0" w:right="0" w:firstLine="0"/>
        <w:jc w:val="center"/>
        <w:rPr>
          <w:rFonts w:ascii="Times New Roman" w:hAnsi="Times New Roman" w:eastAsia="Times New Roman" w:cs="Times New Roman"/>
          <w:kern w:val="0"/>
          <w:sz w:val="24"/>
        </w:rPr>
      </w:pPr>
      <w:r>
        <w:rPr>
          <w:rFonts w:ascii="Calibri" w:hAnsi="Calibri" w:eastAsia="Calibri" w:cs="Calibri"/>
          <w:spacing w:val="0"/>
          <w:kern w:val="0"/>
          <w:sz w:val="84"/>
          <w:szCs w:val="84"/>
        </w:rPr>
        <w:t> </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pStyle w:val="31"/>
        <w:widowControl/>
        <w:spacing w:before="100" w:after="100"/>
        <w:ind w:left="0" w:right="0" w:firstLine="0"/>
        <w:jc w:val="center"/>
        <w:rPr>
          <w:rFonts w:ascii="Times New Roman" w:hAnsi="Times New Roman" w:eastAsia="Times New Roman" w:cs="Times New Roman"/>
          <w:kern w:val="0"/>
          <w:sz w:val="24"/>
        </w:rPr>
      </w:pPr>
    </w:p>
    <w:p>
      <w:pPr>
        <w:pStyle w:val="5"/>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1" w:name="_Toc256000031"/>
      <w:bookmarkStart w:id="2" w:name="_Toc256000000"/>
      <w:bookmarkStart w:id="3" w:name="_Toc256000093"/>
      <w:bookmarkStart w:id="4" w:name="_Toc256000062"/>
      <w:r>
        <w:rPr>
          <w:rFonts w:ascii="黑体" w:hAnsi="黑体" w:eastAsia="黑体" w:cs="黑体"/>
          <w:b/>
          <w:spacing w:val="0"/>
          <w:sz w:val="56"/>
          <w:szCs w:val="56"/>
        </w:rPr>
        <w:t>第一部分</w:t>
      </w:r>
      <w:bookmarkEnd w:id="1"/>
      <w:bookmarkEnd w:id="2"/>
      <w:bookmarkEnd w:id="3"/>
      <w:bookmarkEnd w:id="4"/>
    </w:p>
    <w:p>
      <w:pPr>
        <w:pStyle w:val="5"/>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5" w:name="_Toc256000063"/>
      <w:bookmarkStart w:id="6" w:name="_Toc256000094"/>
      <w:bookmarkStart w:id="7" w:name="_Toc256000032"/>
      <w:bookmarkStart w:id="8" w:name="_Toc256000001"/>
      <w:r>
        <w:rPr>
          <w:rFonts w:ascii="黑体" w:hAnsi="黑体" w:eastAsia="黑体" w:cs="黑体"/>
          <w:b/>
          <w:spacing w:val="0"/>
          <w:sz w:val="56"/>
          <w:szCs w:val="56"/>
        </w:rPr>
        <w:t>单位概况</w:t>
      </w:r>
      <w:bookmarkEnd w:id="5"/>
      <w:bookmarkEnd w:id="6"/>
      <w:bookmarkEnd w:id="7"/>
      <w:bookmarkEnd w:id="8"/>
    </w:p>
    <w:p>
      <w:pPr>
        <w:sectPr>
          <w:footerReference r:id="rId5"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7"/>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r>
        <w:rPr>
          <w:rFonts w:ascii="Calibri" w:hAnsi="Calibri" w:eastAsia="Calibri" w:cs="Calibri"/>
          <w:b/>
          <w:spacing w:val="0"/>
        </w:rPr>
        <w:t> </w:t>
      </w:r>
      <w:r>
        <w:rPr>
          <w:rFonts w:ascii="黑体" w:hAnsi="黑体" w:eastAsia="黑体" w:cs="黑体"/>
          <w:b/>
          <w:spacing w:val="0"/>
        </w:rPr>
        <w:t xml:space="preserve"> </w:t>
      </w:r>
      <w:r>
        <w:rPr>
          <w:rFonts w:ascii="Calibri" w:hAnsi="Calibri" w:eastAsia="Calibri" w:cs="Calibri"/>
          <w:b/>
          <w:spacing w:val="0"/>
        </w:rPr>
        <w:t> </w:t>
      </w:r>
      <w:r>
        <w:rPr>
          <w:rFonts w:ascii="黑体" w:hAnsi="黑体" w:eastAsia="黑体" w:cs="黑体"/>
          <w:b/>
          <w:spacing w:val="0"/>
        </w:rPr>
        <w:t xml:space="preserve"> </w:t>
      </w:r>
      <w:bookmarkStart w:id="9" w:name="_Toc256000064"/>
      <w:bookmarkStart w:id="10" w:name="_Toc256000002"/>
      <w:bookmarkStart w:id="11" w:name="_Toc256000033"/>
      <w:bookmarkStart w:id="12" w:name="_Toc256000095"/>
      <w:r>
        <w:rPr>
          <w:rFonts w:ascii="黑体" w:hAnsi="黑体" w:eastAsia="黑体" w:cs="黑体"/>
          <w:b/>
          <w:spacing w:val="0"/>
        </w:rPr>
        <w:t>一、单位主要职责</w:t>
      </w:r>
      <w:bookmarkEnd w:id="9"/>
      <w:bookmarkEnd w:id="10"/>
      <w:bookmarkEnd w:id="11"/>
      <w:bookmarkEnd w:id="12"/>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ascii="仿宋" w:hAnsi="仿宋" w:eastAsia="仿宋" w:cs="仿宋"/>
          <w:spacing w:val="0"/>
          <w:kern w:val="0"/>
          <w:sz w:val="32"/>
          <w:szCs w:val="32"/>
        </w:rPr>
        <w:t>厦门市禾山中学单位的主要职责是：</w:t>
      </w:r>
      <w:r>
        <w:rPr>
          <w:rFonts w:hint="eastAsia" w:ascii="仿宋" w:hAnsi="仿宋" w:eastAsia="仿宋" w:cs="仿宋"/>
          <w:spacing w:val="0"/>
          <w:kern w:val="0"/>
          <w:sz w:val="32"/>
          <w:szCs w:val="32"/>
        </w:rPr>
        <w:t>实施九年一贯制义务教育，促进基础教育发展。坚持中国共产党的领导，全面贯彻国家教育方针，全面实施素质教育，坚持为党育人、为国育才。</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（一）认真贯彻落实党和国家的方针、政策，正确执行上级主管部门的决议和指示，全面实施素质教育，培养德、智、体、美等方面全面发展的社会主义事业的建设者和接班人。</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（二）加强党组织的领导，紧抓学校思想政治工作，把德育工作放在首位，搞好学校、社会、家庭三结合教育。</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（三）强化学校科学化、精细化管理，提升教师队伍建设，助推教育教学质量发展。</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（四）组织制定和实施校舍建设和校园建设规划。</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（五）依靠群众办学，实行民主管理和民主监督。</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2024年秋季学期，因职务调整，禾山中学法人变更为武晓莹，担任学校校长，党委书记冯宜不变。学校设有7个科室，包括党委办公室、办公室、德育处、教务处、教研室、总务处、保卫科。目前办学规模为65个教学班，其中小学24个教学班，初中41个教学班，学生总数3090人，教职工总数238人。</w:t>
      </w:r>
    </w:p>
    <w:p>
      <w:pPr>
        <w:pStyle w:val="7"/>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13" w:name="_Toc256000034"/>
      <w:bookmarkStart w:id="14" w:name="_Toc256000003"/>
      <w:bookmarkStart w:id="15" w:name="_Toc256000096"/>
      <w:bookmarkStart w:id="16" w:name="_Toc256000065"/>
      <w:r>
        <w:rPr>
          <w:rFonts w:ascii="黑体" w:hAnsi="黑体" w:eastAsia="黑体" w:cs="黑体"/>
          <w:b/>
          <w:spacing w:val="0"/>
        </w:rPr>
        <w:t>二、单位基本情况</w:t>
      </w:r>
      <w:bookmarkEnd w:id="13"/>
      <w:bookmarkEnd w:id="14"/>
      <w:bookmarkEnd w:id="15"/>
      <w:bookmarkEnd w:id="16"/>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eastAsia="zh-CN"/>
        </w:rPr>
        <w:t>7个</w:t>
      </w:r>
      <w:r>
        <w:rPr>
          <w:rFonts w:ascii="仿宋" w:hAnsi="仿宋" w:eastAsia="仿宋" w:cs="仿宋"/>
          <w:spacing w:val="0"/>
          <w:kern w:val="0"/>
          <w:sz w:val="32"/>
          <w:szCs w:val="32"/>
        </w:rPr>
        <w:t>内设机构，其中：列入2024年决算编制范围的单位详细情况见下表:</w:t>
      </w:r>
    </w:p>
    <w:tbl>
      <w:tblPr>
        <w:tblStyle w:val="24"/>
        <w:tblW w:w="10510"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3665"/>
        <w:gridCol w:w="684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665"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ascii="仿宋" w:hAnsi="仿宋" w:eastAsia="仿宋" w:cs="仿宋"/>
                <w:b/>
                <w:bCs/>
                <w:i w:val="0"/>
                <w:iCs w:val="0"/>
                <w:smallCaps w:val="0"/>
                <w:color w:val="000000"/>
                <w:spacing w:val="0"/>
                <w:kern w:val="0"/>
                <w:sz w:val="24"/>
              </w:rPr>
            </w:pPr>
            <w:r>
              <w:rPr>
                <w:rFonts w:ascii="仿宋" w:hAnsi="仿宋" w:eastAsia="仿宋" w:cs="仿宋"/>
                <w:b/>
                <w:bCs/>
                <w:i w:val="0"/>
                <w:iCs w:val="0"/>
                <w:smallCaps w:val="0"/>
                <w:color w:val="000000"/>
                <w:spacing w:val="0"/>
                <w:kern w:val="0"/>
                <w:sz w:val="24"/>
              </w:rPr>
              <w:t>序号</w:t>
            </w:r>
          </w:p>
        </w:tc>
        <w:tc>
          <w:tcPr>
            <w:tcW w:w="6845"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ascii="仿宋" w:hAnsi="仿宋" w:eastAsia="仿宋" w:cs="仿宋"/>
                <w:b/>
                <w:bCs/>
                <w:i w:val="0"/>
                <w:iCs w:val="0"/>
                <w:smallCaps w:val="0"/>
                <w:color w:val="000000"/>
                <w:spacing w:val="0"/>
                <w:kern w:val="0"/>
                <w:sz w:val="24"/>
              </w:rPr>
            </w:pPr>
            <w:r>
              <w:rPr>
                <w:rFonts w:ascii="仿宋" w:hAnsi="仿宋" w:eastAsia="仿宋" w:cs="仿宋"/>
                <w:b/>
                <w:bCs/>
                <w:i w:val="0"/>
                <w:iCs w:val="0"/>
                <w:smallCaps w:val="0"/>
                <w:color w:val="000000"/>
                <w:spacing w:val="0"/>
                <w:kern w:val="0"/>
                <w:sz w:val="24"/>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3665"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hint="eastAsia" w:ascii="仿宋" w:hAnsi="仿宋" w:eastAsia="仿宋" w:cs="仿宋"/>
                <w:b/>
                <w:bCs/>
                <w:i w:val="0"/>
                <w:iCs w:val="0"/>
                <w:smallCaps w:val="0"/>
                <w:color w:val="000000"/>
                <w:spacing w:val="0"/>
                <w:kern w:val="0"/>
                <w:sz w:val="24"/>
                <w:lang w:val="en-US" w:eastAsia="zh-CN"/>
              </w:rPr>
            </w:pPr>
            <w:r>
              <w:rPr>
                <w:rFonts w:hint="eastAsia" w:ascii="仿宋" w:hAnsi="仿宋" w:eastAsia="仿宋" w:cs="仿宋"/>
                <w:b/>
                <w:bCs/>
                <w:i w:val="0"/>
                <w:iCs w:val="0"/>
                <w:smallCaps w:val="0"/>
                <w:color w:val="000000"/>
                <w:spacing w:val="0"/>
                <w:kern w:val="0"/>
                <w:sz w:val="24"/>
                <w:lang w:val="en-US" w:eastAsia="zh-CN"/>
              </w:rPr>
              <w:t>1</w:t>
            </w:r>
          </w:p>
        </w:tc>
        <w:tc>
          <w:tcPr>
            <w:tcW w:w="6845" w:type="dxa"/>
            <w:tcBorders>
              <w:top w:val="single" w:color="auto" w:sz="4" w:space="0"/>
              <w:left w:val="single" w:color="auto" w:sz="4" w:space="0"/>
              <w:bottom w:val="single" w:color="auto" w:sz="4" w:space="0"/>
              <w:right w:val="single" w:color="auto" w:sz="4" w:space="0"/>
            </w:tcBorders>
            <w:tcMar>
              <w:top w:w="22" w:type="dxa"/>
              <w:left w:w="22" w:type="dxa"/>
              <w:bottom w:w="22" w:type="dxa"/>
              <w:right w:w="22" w:type="dxa"/>
            </w:tcMar>
            <w:vAlign w:val="center"/>
          </w:tcPr>
          <w:p>
            <w:pPr>
              <w:widowControl/>
              <w:ind w:firstLine="640"/>
              <w:jc w:val="center"/>
              <w:rPr>
                <w:rFonts w:hint="default" w:ascii="仿宋" w:hAnsi="仿宋" w:eastAsia="仿宋" w:cs="仿宋"/>
                <w:b/>
                <w:bCs/>
                <w:i w:val="0"/>
                <w:iCs w:val="0"/>
                <w:smallCaps w:val="0"/>
                <w:color w:val="000000"/>
                <w:spacing w:val="0"/>
                <w:kern w:val="0"/>
                <w:sz w:val="24"/>
                <w:lang w:val="en-US" w:eastAsia="zh-CN"/>
              </w:rPr>
            </w:pPr>
            <w:r>
              <w:rPr>
                <w:rFonts w:hint="eastAsia" w:ascii="仿宋" w:hAnsi="仿宋" w:eastAsia="仿宋" w:cs="仿宋"/>
                <w:b/>
                <w:bCs/>
                <w:i w:val="0"/>
                <w:iCs w:val="0"/>
                <w:smallCaps w:val="0"/>
                <w:color w:val="000000"/>
                <w:spacing w:val="0"/>
                <w:kern w:val="0"/>
                <w:sz w:val="24"/>
                <w:lang w:val="en-US" w:eastAsia="zh-CN"/>
              </w:rPr>
              <w:t>厦门市禾山中学</w:t>
            </w:r>
          </w:p>
        </w:tc>
      </w:tr>
    </w:tbl>
    <w:p>
      <w:pPr>
        <w:pStyle w:val="7"/>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17" w:name="_Toc256000097"/>
      <w:bookmarkStart w:id="18" w:name="_Toc256000035"/>
      <w:bookmarkStart w:id="19" w:name="_Toc256000066"/>
      <w:bookmarkStart w:id="20" w:name="_Toc256000004"/>
      <w:r>
        <w:rPr>
          <w:rFonts w:ascii="黑体" w:hAnsi="黑体" w:eastAsia="黑体" w:cs="黑体"/>
          <w:b/>
          <w:spacing w:val="0"/>
        </w:rPr>
        <w:t>三、单位主要工作总结</w:t>
      </w:r>
      <w:bookmarkEnd w:id="17"/>
      <w:bookmarkEnd w:id="18"/>
      <w:bookmarkEnd w:id="19"/>
      <w:bookmarkEnd w:id="20"/>
    </w:p>
    <w:p>
      <w:pPr>
        <w:pStyle w:val="30"/>
        <w:widowControl/>
        <w:spacing w:before="100" w:after="100" w:line="600" w:lineRule="atLeast"/>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2024年，厦门市禾山中学单位主要任务是：</w:t>
      </w:r>
      <w:r>
        <w:rPr>
          <w:rFonts w:hint="eastAsia" w:ascii="仿宋" w:hAnsi="仿宋" w:eastAsia="仿宋" w:cs="仿宋"/>
          <w:spacing w:val="0"/>
          <w:kern w:val="0"/>
          <w:sz w:val="32"/>
          <w:szCs w:val="32"/>
        </w:rPr>
        <w:t>以“高质量发展”为总体目标，以“百年校庆”为契机，在校党委的领导下，全面贯彻党的教育方针，坚持“立德树人”，落实“五育并举”，深化课堂教学改革，统筹百年校庆工作，在全体教职工共同努力下，圆满完成了教育教学及校庆各项任务。</w:t>
      </w:r>
    </w:p>
    <w:p>
      <w:pPr>
        <w:pStyle w:val="30"/>
        <w:widowControl/>
        <w:spacing w:before="100" w:after="100" w:line="600" w:lineRule="atLeast"/>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围绕上述任务，重点完成了以下工作：</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一、强化思想引领，党建工作呈现新气象</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一年来，学校坚持党组织领导的校长负责制，充分发挥学校党委引领作用，带领全体教职工不断深入学习宣传贯彻党的二十大精神，引导广大党员、干部、师生，切实以习近平新时代中国特色社会主义思想武装头脑、指导实践、推动学校工作。通过“书记上党课”、“党员共分享”、“点亮微心愿”、“爱润童心”“追寻神山事迹”等理论和实践活动，创新党建工作形式，扎实推进主题教育，提振教师精气神。</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二、完善育人机制，德育管理彰显新特色</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学校全面贯彻党的教育方针，把德育放在更加重要的位置，多管齐下，教育引导学生爱党爱国，不断提高学生思想水平、政治觉悟、道德品质、文化素养，把立德树人的根本任务落到实处。</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1.深化队伍建设。定期举办德育教师培训、分享会等形式，提升教师的专业素养和教育教学能力，组织了四期 “育禾润德”班主任德育论坛活动，并邀请了厦门市教科院附小的科研室主任林琳琦老师到校</w:t>
      </w:r>
      <w:r>
        <w:rPr>
          <w:rFonts w:hint="eastAsia" w:ascii="仿宋" w:hAnsi="仿宋" w:eastAsia="仿宋" w:cs="仿宋"/>
          <w:spacing w:val="0"/>
          <w:kern w:val="0"/>
          <w:sz w:val="32"/>
          <w:szCs w:val="32"/>
          <w:lang w:eastAsia="zh-CN"/>
        </w:rPr>
        <w:t>举办</w:t>
      </w:r>
      <w:bookmarkStart w:id="118" w:name="_GoBack"/>
      <w:bookmarkEnd w:id="118"/>
      <w:r>
        <w:rPr>
          <w:rFonts w:hint="eastAsia" w:ascii="仿宋" w:hAnsi="仿宋" w:eastAsia="仿宋" w:cs="仿宋"/>
          <w:spacing w:val="0"/>
          <w:kern w:val="0"/>
          <w:sz w:val="32"/>
          <w:szCs w:val="32"/>
        </w:rPr>
        <w:t>讲座和交流，近距离感受优秀教师的教育理念和实践经验。</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创新德育课程。学校构建了“小禾成长工程”德育课程体系，在课程内容上设置了“禾德榜样”、“禾心向善”“禾梦启航”等八大德育课程，进一步明确了学校德育课程的框架与内容、学校所有德育工作及活动紧紧围绕课程设计展开，使德育工作落地有声，发展有方向。</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3.拓展校园活动。学校在艺体活动的基础上，拓展信息、科学社团活动，“绿禾杯”歌手赛、“融禾杯”篮球赛、“新禾杯”足球赛以及航模创客、书画舞蹈等社团活动，大大丰富学生了的校园生活，诠释了学校办学特色，并收获了累累硕果。</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三、坚持质量导向，教育教学取得新突破</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本年度学校紧紧围绕质量目标，不断深化教育教学改革，推进课程体系建设，创新教科研训方式，助力教育教学质量再上新台阶。</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1.推进课堂教学模式优化。11月21日、22日分别举行了湖里区义务教育阶段教育教学改革中学和小学学科论坛。学校以学科论坛交流为契机，继续将湖里区义务教育教学改革走深，助推学校高质量发展。开展“跨学科主题研讨”活动，并鼓励教师设计校本试题，形成分层评价机制，助推教学质量的提升。</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构建学科特色课程体系。在“一核五翼”总课程基础上，围绕至诚课程探索构建“小禾阅读课程”体系。通过开展“阅读创作季”、“学科素养竞赛”、名家进校园讲座等学科阅读竞赛活动，培育学生阅读素养，有效促进学生阅读能力和创新精神的提升。</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3.搭建四位一体教科研训平台。学校搭建“训—带—修—秀”四位一体的教科研训平台，通过青蓝合作、专题研讨、青年教师座谈会、读书岗位练兵等活动助推教师队伍建设。结合百年校庆教学论坛活动，加强对教学模式的优化、教学课例的研讨以及课题研究的指导，整体提升教师队伍的科研水平。2024年度我校新增1个市级立项课题、8个区级立项课题，15位教师被确认为第五批市级骨干教师。</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四、喜迎百年校庆，学校发展开启新征程。</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学校高度重视、统一部署，围绕“十个一工程”以及校庆系列活动，精心筹备，有序推进，在各部门及全体教职工的通力配合下，圆满完成了建校100周年庆典及系列活动，并取得了良好成效：</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1.展现了校园文化。为做好百年校庆活动，学校围绕十个一工程，重点打造了美术馆和校史馆，提升了校园环境建设，以融·禾”为主体元素的宣传册、纪念品，体现了我校“多元融和，艺体见长”的办学特色及“让每株禾苗向阳成长”的育人目标，充分展现了百年老校的历史底蕴和校园文化。</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扩大了立体宣传。“美术馆”、“校史馆”揭牌亮相、中小学教学论坛、百年庆典及文艺晚会等系列活动被主流媒体竞相报道，被广大校友宣传推介，被广大师生转发点赞，形成了良好的宣传氛围，达到了内聚人心，外塑形象、扩大宣传的目的。</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hint="eastAsia" w:ascii="仿宋" w:hAnsi="仿宋" w:eastAsia="仿宋" w:cs="仿宋"/>
          <w:spacing w:val="0"/>
          <w:kern w:val="0"/>
          <w:sz w:val="32"/>
          <w:szCs w:val="32"/>
        </w:rPr>
        <w:t>3.凝聚了师生力量。校庆筹备以来，广大校友积极参与各项活动，踊跃为母校建言献计、贡献力量；全体师生以高度的主人翁意识，协同配合、无私奉献，展现了禾中师生的良好风貌，营造了“团结一心、共襄盛举”的良好氛围。</w:t>
      </w:r>
    </w:p>
    <w:p/>
    <w:p>
      <w:pPr>
        <w:sectPr>
          <w:footerReference r:id="rId6"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31"/>
        <w:widowControl/>
        <w:spacing w:before="100" w:after="100"/>
        <w:ind w:left="0" w:right="0" w:firstLine="0"/>
        <w:jc w:val="left"/>
        <w:rPr>
          <w:rFonts w:ascii="Times New Roman" w:hAnsi="Times New Roman" w:eastAsia="Times New Roman" w:cs="Times New Roman"/>
          <w:kern w:val="0"/>
          <w:sz w:val="24"/>
        </w:rPr>
      </w:pPr>
    </w:p>
    <w:p>
      <w:pPr>
        <w:pStyle w:val="5"/>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21" w:name="_Toc256000005"/>
      <w:bookmarkStart w:id="22" w:name="_Toc256000036"/>
      <w:bookmarkStart w:id="23" w:name="_Toc256000067"/>
      <w:bookmarkStart w:id="24" w:name="_Toc256000098"/>
      <w:r>
        <w:rPr>
          <w:rFonts w:ascii="黑体" w:hAnsi="黑体" w:eastAsia="黑体" w:cs="黑体"/>
          <w:b/>
          <w:spacing w:val="0"/>
          <w:sz w:val="56"/>
          <w:szCs w:val="56"/>
        </w:rPr>
        <w:t>第二部分</w:t>
      </w:r>
      <w:bookmarkEnd w:id="21"/>
      <w:bookmarkEnd w:id="22"/>
      <w:bookmarkEnd w:id="23"/>
      <w:bookmarkEnd w:id="24"/>
    </w:p>
    <w:p>
      <w:pPr>
        <w:pStyle w:val="5"/>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25" w:name="_Toc256000006"/>
      <w:bookmarkStart w:id="26" w:name="_Toc256000037"/>
      <w:bookmarkStart w:id="27" w:name="_Toc256000099"/>
      <w:bookmarkStart w:id="28" w:name="_Toc256000068"/>
      <w:r>
        <w:rPr>
          <w:rFonts w:ascii="黑体" w:hAnsi="黑体" w:eastAsia="黑体" w:cs="黑体"/>
          <w:b/>
          <w:spacing w:val="0"/>
          <w:sz w:val="56"/>
          <w:szCs w:val="56"/>
        </w:rPr>
        <w:t>2024年度决算表</w:t>
      </w:r>
      <w:bookmarkEnd w:id="25"/>
      <w:bookmarkEnd w:id="26"/>
      <w:bookmarkEnd w:id="27"/>
      <w:bookmarkEnd w:id="28"/>
    </w:p>
    <w:p>
      <w:pPr>
        <w:pStyle w:val="31"/>
        <w:widowControl/>
        <w:spacing w:before="100" w:after="100"/>
        <w:ind w:left="0" w:right="0" w:firstLine="0"/>
        <w:jc w:val="center"/>
        <w:rPr>
          <w:rFonts w:ascii="Times New Roman" w:hAnsi="Times New Roman" w:eastAsia="Times New Roman" w:cs="Times New Roman"/>
          <w:kern w:val="0"/>
          <w:sz w:val="24"/>
        </w:rPr>
      </w:pPr>
    </w:p>
    <w:p>
      <w:pPr>
        <w:sectPr>
          <w:footerReference r:id="rId7"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7"/>
        <w:keepNext w:val="0"/>
        <w:keepLines w:val="0"/>
        <w:numPr>
          <w:ilvl w:val="0"/>
          <w:numId w:val="1"/>
        </w:numPr>
        <w:spacing w:before="100" w:after="100" w:line="240" w:lineRule="auto"/>
        <w:ind w:left="720" w:right="0" w:hanging="720" w:firstLineChars="0"/>
        <w:rPr>
          <w:rFonts w:ascii="黑体" w:hAnsi="黑体" w:eastAsia="黑体" w:cs="黑体"/>
          <w:b/>
          <w:spacing w:val="0"/>
        </w:rPr>
      </w:pPr>
      <w:bookmarkStart w:id="29" w:name="_Toc256000100"/>
      <w:bookmarkStart w:id="30" w:name="_Toc256000007"/>
      <w:bookmarkStart w:id="31" w:name="_Toc256000069"/>
      <w:bookmarkStart w:id="32" w:name="_Toc256000038"/>
      <w:r>
        <w:rPr>
          <w:rFonts w:ascii="黑体" w:hAnsi="黑体" w:eastAsia="黑体" w:cs="黑体"/>
          <w:b/>
          <w:spacing w:val="0"/>
        </w:rPr>
        <w:t>收入支出决算总表</w:t>
      </w:r>
      <w:bookmarkEnd w:id="29"/>
      <w:bookmarkEnd w:id="30"/>
      <w:bookmarkEnd w:id="31"/>
      <w:bookmarkEnd w:id="32"/>
    </w:p>
    <w:tbl>
      <w:tblPr>
        <w:tblStyle w:val="24"/>
        <w:tblW w:w="10506" w:type="dxa"/>
        <w:tblInd w:w="0" w:type="dxa"/>
        <w:tblLayout w:type="fixed"/>
        <w:tblCellMar>
          <w:top w:w="15" w:type="dxa"/>
          <w:left w:w="15" w:type="dxa"/>
          <w:bottom w:w="15" w:type="dxa"/>
          <w:right w:w="15" w:type="dxa"/>
        </w:tblCellMar>
      </w:tblPr>
      <w:tblGrid>
        <w:gridCol w:w="1752"/>
        <w:gridCol w:w="1750"/>
        <w:gridCol w:w="1751"/>
        <w:gridCol w:w="1751"/>
        <w:gridCol w:w="1751"/>
        <w:gridCol w:w="1751"/>
      </w:tblGrid>
      <w:tr>
        <w:tblPrEx>
          <w:tblLayout w:type="fixed"/>
          <w:tblCellMar>
            <w:top w:w="15" w:type="dxa"/>
            <w:left w:w="15" w:type="dxa"/>
            <w:bottom w:w="15" w:type="dxa"/>
            <w:right w:w="15" w:type="dxa"/>
          </w:tblCellMar>
        </w:tblPrEx>
        <w:trPr>
          <w:tblHeader/>
        </w:trPr>
        <w:tc>
          <w:tcPr>
            <w:tcW w:w="10506"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收入支出决算总表</w:t>
            </w:r>
          </w:p>
        </w:tc>
      </w:tr>
      <w:tr>
        <w:tblPrEx>
          <w:tblLayout w:type="fixed"/>
          <w:tblCellMar>
            <w:top w:w="15" w:type="dxa"/>
            <w:left w:w="15" w:type="dxa"/>
            <w:bottom w:w="15" w:type="dxa"/>
            <w:right w:w="15" w:type="dxa"/>
          </w:tblCellMar>
        </w:tblPrEx>
        <w:trPr>
          <w:tblHeader/>
        </w:trPr>
        <w:tc>
          <w:tcPr>
            <w:tcW w:w="350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rPr>
          <w:tblHeader/>
        </w:trPr>
        <w:tc>
          <w:tcPr>
            <w:tcW w:w="17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单位：厦门市禾山中学</w:t>
            </w:r>
          </w:p>
        </w:tc>
        <w:tc>
          <w:tcPr>
            <w:tcW w:w="175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17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c>
          <w:tcPr>
            <w:tcW w:w="525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收入</w:t>
            </w:r>
          </w:p>
        </w:tc>
        <w:tc>
          <w:tcPr>
            <w:tcW w:w="525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支出</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行次</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金额</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行次</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金额</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栏次</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栏次</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一、一般公共预算财政拨款收入</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9,687.5</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一、一般公共服务支出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32</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二、政府性基金预算财政拨款收入</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二、外交支出</w:t>
            </w:r>
            <w:r>
              <w:rPr>
                <w:rFonts w:ascii="Times New Roman" w:hAnsi="Times New Roman" w:eastAsia="Times New Roman" w:cs="Times New Roman"/>
                <w:b w:val="0"/>
                <w:bCs w:val="0"/>
                <w:i w:val="0"/>
                <w:iCs w:val="0"/>
                <w:smallCaps w:val="0"/>
                <w:color w:val="000000"/>
                <w:kern w:val="0"/>
                <w:sz w:val="26"/>
                <w:szCs w:val="26"/>
              </w:rPr>
              <w:t xml:space="preserve">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33</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三、国有资本经营预算财政拨款收入</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三、国防支出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34</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四、上级补助收入</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四、公共安全支出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五、事业收入</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五、教育支出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36</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7,577.29</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六、经营收入</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六、科学技术支出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37</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七、附属单位上缴收入</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七、文化旅游体育与传媒支出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38</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八、其他收入</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8</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八、社会保障和就业支出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九、卫生健康支出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40</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10</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十、节能环保支出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41</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11</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十一、城乡社区支出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42</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12</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十二、农林水支出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43</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13</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十三、交通运输支出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44</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14</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十四、资源勘探工业信息等支出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45</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15</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十五、商业服务业等支出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46</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16</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十六、金融支出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47</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17</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十七、援助其他地区支出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48</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18</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十八、自然资源海洋气象等支出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49</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19</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十九、住房保障支出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50</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68.49</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二十、粮油物资储备支出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51</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21</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二十一、国有资本经营预算支出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52</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22</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二十二、灾害防治及应急管理支出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53</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23</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二十三、其他支出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54</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24</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二十四、债务还本支出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55</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25</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二十五、债务付息支出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56</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26</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二十六、抗疫特别国债安排的支出</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57</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本年收入合计</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27</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本年支出合计</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58</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使用非财政拨款结余（含专用结余）</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28</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结余分配</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59</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年初结转和结余</w:t>
            </w:r>
            <w:r>
              <w:rPr>
                <w:rFonts w:ascii="Times New Roman" w:hAnsi="Times New Roman" w:eastAsia="Times New Roman" w:cs="Times New Roman"/>
                <w:b w:val="0"/>
                <w:bCs w:val="0"/>
                <w:i w:val="0"/>
                <w:iCs w:val="0"/>
                <w:smallCaps w:val="0"/>
                <w:color w:val="000000"/>
                <w:kern w:val="0"/>
                <w:sz w:val="26"/>
                <w:szCs w:val="26"/>
              </w:rPr>
              <w:t xml:space="preserve">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29</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年末结转和结余</w:t>
            </w:r>
            <w:r>
              <w:rPr>
                <w:rFonts w:ascii="Times New Roman" w:hAnsi="Times New Roman" w:eastAsia="Times New Roman" w:cs="Times New Roman"/>
                <w:b w:val="0"/>
                <w:bCs w:val="0"/>
                <w:i w:val="0"/>
                <w:iCs w:val="0"/>
                <w:smallCaps w:val="0"/>
                <w:color w:val="000000"/>
                <w:kern w:val="0"/>
                <w:sz w:val="26"/>
                <w:szCs w:val="26"/>
              </w:rPr>
              <w:t xml:space="preserve">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60</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61</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7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总计</w:t>
            </w:r>
          </w:p>
        </w:tc>
        <w:tc>
          <w:tcPr>
            <w:tcW w:w="1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总计</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62</w:t>
            </w:r>
          </w:p>
        </w:tc>
        <w:tc>
          <w:tcPr>
            <w:tcW w:w="1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r>
      <w:tr>
        <w:tblPrEx>
          <w:tblLayout w:type="fixed"/>
          <w:tblCellMar>
            <w:top w:w="15" w:type="dxa"/>
            <w:left w:w="15" w:type="dxa"/>
            <w:bottom w:w="15" w:type="dxa"/>
            <w:right w:w="15" w:type="dxa"/>
          </w:tblCellMar>
        </w:tblPrEx>
        <w:tc>
          <w:tcPr>
            <w:tcW w:w="10506"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w:t>
            </w:r>
            <w:r>
              <w:rPr>
                <w:rFonts w:ascii="Times New Roman" w:hAnsi="Times New Roman" w:eastAsia="Times New Roman" w:cs="Times New Roman"/>
                <w:b w:val="0"/>
                <w:bCs w:val="0"/>
                <w:i w:val="0"/>
                <w:iCs w:val="0"/>
                <w:smallCaps w:val="0"/>
                <w:color w:val="000000"/>
                <w:kern w:val="0"/>
                <w:sz w:val="26"/>
                <w:szCs w:val="26"/>
              </w:rPr>
              <w:t>1.</w:t>
            </w:r>
            <w:r>
              <w:rPr>
                <w:rFonts w:ascii="宋体" w:hAnsi="宋体" w:eastAsia="宋体" w:cs="宋体"/>
                <w:b w:val="0"/>
                <w:bCs w:val="0"/>
                <w:i w:val="0"/>
                <w:iCs w:val="0"/>
                <w:smallCaps w:val="0"/>
                <w:color w:val="000000"/>
                <w:kern w:val="0"/>
                <w:sz w:val="26"/>
                <w:szCs w:val="26"/>
              </w:rPr>
              <w:t>本表反映部门本年度的总收支和年末结转结余情况。</w:t>
            </w:r>
          </w:p>
        </w:tc>
      </w:tr>
      <w:tr>
        <w:tblPrEx>
          <w:tblLayout w:type="fixed"/>
          <w:tblCellMar>
            <w:top w:w="15" w:type="dxa"/>
            <w:left w:w="15" w:type="dxa"/>
            <w:bottom w:w="15" w:type="dxa"/>
            <w:right w:w="15" w:type="dxa"/>
          </w:tblCellMar>
        </w:tblPrEx>
        <w:tc>
          <w:tcPr>
            <w:tcW w:w="10506" w:type="dxa"/>
            <w:gridSpan w:val="6"/>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r>
              <w:rPr>
                <w:rFonts w:ascii="宋体" w:hAnsi="宋体" w:eastAsia="宋体" w:cs="宋体"/>
                <w:b w:val="0"/>
                <w:bCs w:val="0"/>
                <w:i w:val="0"/>
                <w:iCs w:val="0"/>
                <w:smallCaps w:val="0"/>
                <w:color w:val="000000"/>
                <w:kern w:val="0"/>
                <w:sz w:val="26"/>
                <w:szCs w:val="26"/>
              </w:rPr>
              <w:t>本套报表金额单位转换时可能存在尾数误差。</w:t>
            </w:r>
          </w:p>
        </w:tc>
      </w:tr>
    </w:tbl>
    <w:p>
      <w:pPr>
        <w:pStyle w:val="6"/>
        <w:numPr>
          <w:ilvl w:val="0"/>
          <w:numId w:val="0"/>
        </w:numPr>
      </w:pPr>
    </w:p>
    <w:p/>
    <w:p/>
    <w:p/>
    <w:p/>
    <w:p/>
    <w:p/>
    <w:p/>
    <w:p/>
    <w:p/>
    <w:p/>
    <w:p/>
    <w:p/>
    <w:p>
      <w:pPr>
        <w:pStyle w:val="7"/>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二、收入决算表</w:t>
      </w:r>
    </w:p>
    <w:p/>
    <w:tbl>
      <w:tblPr>
        <w:tblStyle w:val="24"/>
        <w:tblW w:w="10506" w:type="dxa"/>
        <w:tblInd w:w="0" w:type="dxa"/>
        <w:tblLayout w:type="fixed"/>
        <w:tblCellMar>
          <w:top w:w="15" w:type="dxa"/>
          <w:left w:w="15" w:type="dxa"/>
          <w:bottom w:w="15" w:type="dxa"/>
          <w:right w:w="15" w:type="dxa"/>
        </w:tblCellMar>
      </w:tblPr>
      <w:tblGrid>
        <w:gridCol w:w="1167"/>
        <w:gridCol w:w="1167"/>
        <w:gridCol w:w="1167"/>
        <w:gridCol w:w="1168"/>
        <w:gridCol w:w="1167"/>
        <w:gridCol w:w="1168"/>
        <w:gridCol w:w="1167"/>
        <w:gridCol w:w="1168"/>
        <w:gridCol w:w="1167"/>
      </w:tblGrid>
      <w:tr>
        <w:tblPrEx>
          <w:tblLayout w:type="fixed"/>
          <w:tblCellMar>
            <w:top w:w="15" w:type="dxa"/>
            <w:left w:w="15" w:type="dxa"/>
            <w:bottom w:w="15" w:type="dxa"/>
            <w:right w:w="15" w:type="dxa"/>
          </w:tblCellMar>
        </w:tblPrEx>
        <w:trPr>
          <w:tblHeader/>
        </w:trPr>
        <w:tc>
          <w:tcPr>
            <w:tcW w:w="1050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收入决算表</w:t>
            </w:r>
          </w:p>
        </w:tc>
      </w:tr>
      <w:tr>
        <w:tblPrEx>
          <w:tblLayout w:type="fixed"/>
          <w:tblCellMar>
            <w:top w:w="15" w:type="dxa"/>
            <w:left w:w="15" w:type="dxa"/>
            <w:bottom w:w="15" w:type="dxa"/>
            <w:right w:w="15" w:type="dxa"/>
          </w:tblCellMar>
        </w:tblPrEx>
        <w:trPr>
          <w:tblHeader/>
        </w:trPr>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4669"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单位：厦门市禾山中学</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11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233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w:t>
            </w:r>
          </w:p>
        </w:tc>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本年收入合计</w:t>
            </w:r>
          </w:p>
        </w:tc>
        <w:tc>
          <w:tcPr>
            <w:tcW w:w="11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财政拨款收入</w:t>
            </w:r>
            <w:r>
              <w:rPr>
                <w:rFonts w:ascii="Times New Roman" w:hAnsi="Times New Roman" w:eastAsia="Times New Roman" w:cs="Times New Roman"/>
                <w:b w:val="0"/>
                <w:bCs w:val="0"/>
                <w:i w:val="0"/>
                <w:iCs w:val="0"/>
                <w:smallCaps w:val="0"/>
                <w:color w:val="000000"/>
                <w:kern w:val="0"/>
                <w:sz w:val="26"/>
                <w:szCs w:val="26"/>
              </w:rPr>
              <w:t xml:space="preserve"> </w:t>
            </w:r>
          </w:p>
        </w:tc>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上级补助收入</w:t>
            </w:r>
          </w:p>
        </w:tc>
        <w:tc>
          <w:tcPr>
            <w:tcW w:w="11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事业收入</w:t>
            </w:r>
          </w:p>
        </w:tc>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经营收入</w:t>
            </w:r>
          </w:p>
        </w:tc>
        <w:tc>
          <w:tcPr>
            <w:tcW w:w="11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附属单位上缴收入</w:t>
            </w:r>
          </w:p>
        </w:tc>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其他收入</w:t>
            </w:r>
          </w:p>
        </w:tc>
      </w:tr>
      <w:tr>
        <w:tblPrEx>
          <w:tblLayout w:type="fixed"/>
          <w:tblCellMar>
            <w:top w:w="15" w:type="dxa"/>
            <w:left w:w="15" w:type="dxa"/>
            <w:bottom w:w="15" w:type="dxa"/>
            <w:right w:w="15" w:type="dxa"/>
          </w:tblCellMar>
        </w:tblPrEx>
        <w:trPr>
          <w:tblHeader/>
        </w:trPr>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科目代码</w:t>
            </w:r>
          </w:p>
        </w:tc>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科目名称</w:t>
            </w: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rPr>
          <w:tblHeader/>
        </w:trPr>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c>
          <w:tcPr>
            <w:tcW w:w="233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栏次</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w:t>
            </w:r>
          </w:p>
        </w:tc>
      </w:tr>
      <w:tr>
        <w:tblPrEx>
          <w:tblLayout w:type="fixed"/>
          <w:tblCellMar>
            <w:top w:w="15" w:type="dxa"/>
            <w:left w:w="15" w:type="dxa"/>
            <w:bottom w:w="15" w:type="dxa"/>
            <w:right w:w="15" w:type="dxa"/>
          </w:tblCellMar>
        </w:tblPrEx>
        <w:tc>
          <w:tcPr>
            <w:tcW w:w="233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教育支出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7,577.29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7,577.29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普通教育</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7,322.2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7,322.2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小学教育</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2,330.79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2,330.79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2050203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初中教育</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4,525.13</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4,525.13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2050299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其他普通教育支出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466.28</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466.28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教育费附加安排的支出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2050999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其他教育费附加安排的支出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20599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其他教育支出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2059999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其他教育支出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社会保障和就业支出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行政事业单位养老支出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事业单位离退休</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762.51</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762.51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2080505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机关事业单位基本养老保险缴费支出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553.21</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553.21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2080506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机关事业单位职业年金缴费支出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368.12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368.12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卫生健康支出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21011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行政事业单位医疗</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2101102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事业单位医疗</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236.85</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236.85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2101199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其他行政事业单位医疗支出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121.02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121.02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住房保障支出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22102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住房改革支出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2210203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购房补贴</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22960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彩票公益金安排的支出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2296003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用于体育事业的彩票公益金支出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050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注：本表反映部门本年度取得的各项收入情况。</w:t>
            </w:r>
          </w:p>
        </w:tc>
      </w:tr>
    </w:tbl>
    <w:p/>
    <w:tbl>
      <w:tblPr>
        <w:tblStyle w:val="24"/>
        <w:tblpPr w:leftFromText="180" w:rightFromText="180" w:vertAnchor="text" w:horzAnchor="page" w:tblpX="720" w:tblpY="-24"/>
        <w:tblOverlap w:val="never"/>
        <w:tblW w:w="10506" w:type="dxa"/>
        <w:tblInd w:w="0" w:type="dxa"/>
        <w:tblLayout w:type="fixed"/>
        <w:tblCellMar>
          <w:top w:w="15" w:type="dxa"/>
          <w:left w:w="15" w:type="dxa"/>
          <w:bottom w:w="15" w:type="dxa"/>
          <w:right w:w="15" w:type="dxa"/>
        </w:tblCellMar>
      </w:tblPr>
      <w:tblGrid>
        <w:gridCol w:w="1068"/>
        <w:gridCol w:w="991"/>
        <w:gridCol w:w="967"/>
        <w:gridCol w:w="1068"/>
        <w:gridCol w:w="1069"/>
        <w:gridCol w:w="1069"/>
        <w:gridCol w:w="1068"/>
        <w:gridCol w:w="1069"/>
        <w:gridCol w:w="1068"/>
        <w:gridCol w:w="1069"/>
      </w:tblGrid>
      <w:tr>
        <w:tblPrEx>
          <w:tblLayout w:type="fixed"/>
          <w:tblCellMar>
            <w:top w:w="15" w:type="dxa"/>
            <w:left w:w="15" w:type="dxa"/>
            <w:bottom w:w="15" w:type="dxa"/>
            <w:right w:w="15" w:type="dxa"/>
          </w:tblCellMar>
        </w:tblPrEx>
        <w:trPr>
          <w:tblHeader/>
        </w:trPr>
        <w:tc>
          <w:tcPr>
            <w:tcW w:w="10506" w:type="dxa"/>
            <w:gridSpan w:val="10"/>
            <w:tcMar>
              <w:top w:w="20" w:type="dxa"/>
              <w:left w:w="20" w:type="dxa"/>
              <w:bottom w:w="20" w:type="dxa"/>
              <w:right w:w="20" w:type="dxa"/>
            </w:tcMar>
            <w:vAlign w:val="center"/>
          </w:tcPr>
          <w:p>
            <w:pPr>
              <w:pStyle w:val="7"/>
              <w:keepNext w:val="0"/>
              <w:keepLines w:val="0"/>
              <w:spacing w:before="100" w:after="100" w:line="240" w:lineRule="auto"/>
              <w:ind w:left="0" w:leftChars="0" w:right="0" w:firstLine="0" w:firstLineChars="0"/>
              <w:rPr>
                <w:rFonts w:ascii="Times New Roman" w:hAnsi="Times New Roman" w:eastAsia="Times New Roman" w:cs="Times New Roman"/>
                <w:b/>
                <w:bCs/>
                <w:kern w:val="0"/>
                <w:sz w:val="28"/>
                <w:szCs w:val="28"/>
              </w:rPr>
            </w:pPr>
            <w:bookmarkStart w:id="33" w:name="_Toc256000040"/>
            <w:bookmarkStart w:id="34" w:name="_Toc256000009"/>
            <w:bookmarkStart w:id="35" w:name="_Toc256000102"/>
            <w:bookmarkStart w:id="36" w:name="_Toc256000071"/>
            <w:r>
              <w:rPr>
                <w:rFonts w:ascii="黑体" w:hAnsi="黑体" w:eastAsia="黑体" w:cs="黑体"/>
                <w:b/>
                <w:spacing w:val="0"/>
              </w:rPr>
              <w:t>三、支出决算表</w:t>
            </w:r>
            <w:bookmarkEnd w:id="33"/>
            <w:bookmarkEnd w:id="34"/>
            <w:bookmarkEnd w:id="35"/>
            <w:bookmarkEnd w:id="36"/>
          </w:p>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支出决算表</w:t>
            </w:r>
          </w:p>
        </w:tc>
      </w:tr>
      <w:tr>
        <w:tblPrEx>
          <w:tblLayout w:type="fixed"/>
          <w:tblCellMar>
            <w:top w:w="15" w:type="dxa"/>
            <w:left w:w="15" w:type="dxa"/>
            <w:bottom w:w="15" w:type="dxa"/>
            <w:right w:w="15" w:type="dxa"/>
          </w:tblCellMar>
        </w:tblPrEx>
        <w:trPr>
          <w:tblHeader/>
        </w:trPr>
        <w:tc>
          <w:tcPr>
            <w:tcW w:w="10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9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9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5163"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单位：厦门市禾山中学</w:t>
            </w:r>
          </w:p>
        </w:tc>
        <w:tc>
          <w:tcPr>
            <w:tcW w:w="10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10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4094"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w:t>
            </w:r>
          </w:p>
        </w:tc>
        <w:tc>
          <w:tcPr>
            <w:tcW w:w="106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本年支出合计</w:t>
            </w:r>
          </w:p>
        </w:tc>
        <w:tc>
          <w:tcPr>
            <w:tcW w:w="106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基本支出</w:t>
            </w:r>
          </w:p>
        </w:tc>
        <w:tc>
          <w:tcPr>
            <w:tcW w:w="10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项目支出</w:t>
            </w:r>
          </w:p>
        </w:tc>
        <w:tc>
          <w:tcPr>
            <w:tcW w:w="106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上缴上级支出</w:t>
            </w:r>
          </w:p>
        </w:tc>
        <w:tc>
          <w:tcPr>
            <w:tcW w:w="10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经营支出</w:t>
            </w:r>
          </w:p>
        </w:tc>
        <w:tc>
          <w:tcPr>
            <w:tcW w:w="106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对附属单位补助支出</w:t>
            </w:r>
          </w:p>
        </w:tc>
      </w:tr>
      <w:tr>
        <w:tblPrEx>
          <w:tblLayout w:type="fixed"/>
          <w:tblCellMar>
            <w:top w:w="15" w:type="dxa"/>
            <w:left w:w="15" w:type="dxa"/>
            <w:bottom w:w="15" w:type="dxa"/>
            <w:right w:w="15" w:type="dxa"/>
          </w:tblCellMar>
        </w:tblPrEx>
        <w:trPr>
          <w:tblHeader/>
        </w:trPr>
        <w:tc>
          <w:tcPr>
            <w:tcW w:w="3026"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科目代码</w:t>
            </w:r>
          </w:p>
        </w:tc>
        <w:tc>
          <w:tcPr>
            <w:tcW w:w="10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科目名称</w:t>
            </w:r>
          </w:p>
        </w:tc>
        <w:tc>
          <w:tcPr>
            <w:tcW w:w="106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rPr>
          <w:tblHeader/>
        </w:trPr>
        <w:tc>
          <w:tcPr>
            <w:tcW w:w="3026"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6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c>
          <w:tcPr>
            <w:tcW w:w="4094"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栏次</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3</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6</w:t>
            </w:r>
          </w:p>
        </w:tc>
      </w:tr>
      <w:tr>
        <w:tblPrEx>
          <w:tblLayout w:type="fixed"/>
          <w:tblCellMar>
            <w:top w:w="15" w:type="dxa"/>
            <w:left w:w="15" w:type="dxa"/>
            <w:bottom w:w="15" w:type="dxa"/>
            <w:right w:w="15" w:type="dxa"/>
          </w:tblCellMar>
        </w:tblPrEx>
        <w:tc>
          <w:tcPr>
            <w:tcW w:w="4094"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9,153.53</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535.97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教育支出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7,577.29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7,043.32</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533.97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普通教育</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7,322.2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7,043.32</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278.87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2050202</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小学教育</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2,330.79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2,330.79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2050203</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初中教育</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4,525.13</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4,525.13</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2050299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其他普通教育支出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466.28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187.41</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278.87</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教育费附加安排的支出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2050999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其他教育费附加安排的支出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20599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其他教育支出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2059999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其他教育支出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社会保障和就业支出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行政事业单位养老支出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2080502</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事业单位离退休</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762.51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762.51</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2080505</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机关事业单位基本养老保险缴费支出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553.21</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553.21</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2080506</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机关事业单位职业年金缴费支出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368.12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368.12</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卫生健康支出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21011</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行政事业单位医疗</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2101102</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事业单位医疗</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236.85</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236.85</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2101199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其他行政事业单位医疗支出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121.02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121.02</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221</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住房保障支出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22102</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住房改革支出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2210203</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购房补贴</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229</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22960</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彩票公益金安排的支出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302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2296003</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用于体育事业的彩票公益金支出</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6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0506" w:type="dxa"/>
            <w:gridSpan w:val="1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注：本表反映部门本年度各项支出情况。</w:t>
            </w:r>
          </w:p>
        </w:tc>
      </w:tr>
    </w:tbl>
    <w:p/>
    <w:p/>
    <w:p/>
    <w:p/>
    <w:p/>
    <w:p/>
    <w:p/>
    <w:p/>
    <w:p/>
    <w:p/>
    <w:p/>
    <w:p/>
    <w:p/>
    <w:p/>
    <w:p/>
    <w:p/>
    <w:p/>
    <w:p/>
    <w:p/>
    <w:p/>
    <w:p/>
    <w:p/>
    <w:p/>
    <w:p/>
    <w:p/>
    <w:p/>
    <w:p/>
    <w:p/>
    <w:p/>
    <w:p/>
    <w:p/>
    <w:p/>
    <w:p/>
    <w:p/>
    <w:p/>
    <w:p/>
    <w:p/>
    <w:p/>
    <w:p/>
    <w:p/>
    <w:p/>
    <w:p/>
    <w:p>
      <w:pPr>
        <w:pStyle w:val="31"/>
        <w:widowControl/>
        <w:spacing w:before="100" w:after="100"/>
        <w:ind w:left="0" w:right="0" w:firstLine="0"/>
        <w:jc w:val="left"/>
        <w:rPr>
          <w:rFonts w:ascii="Times New Roman" w:hAnsi="Times New Roman" w:eastAsia="Times New Roman" w:cs="Times New Roman"/>
          <w:kern w:val="0"/>
          <w:sz w:val="24"/>
        </w:rPr>
      </w:pPr>
    </w:p>
    <w:p>
      <w:pPr>
        <w:rPr>
          <w:rFonts w:ascii="黑体" w:hAnsi="黑体" w:eastAsia="黑体" w:cs="黑体"/>
          <w:b/>
          <w:bCs/>
          <w:spacing w:val="0"/>
          <w:kern w:val="0"/>
          <w:sz w:val="32"/>
          <w:szCs w:val="32"/>
          <w:lang w:val="en-US" w:eastAsia="zh-CN" w:bidi="ar-SA"/>
        </w:rPr>
      </w:pPr>
      <w:bookmarkStart w:id="37" w:name="_Toc256000103"/>
      <w:bookmarkStart w:id="38" w:name="_Toc256000072"/>
      <w:bookmarkStart w:id="39" w:name="_Toc256000010"/>
      <w:bookmarkStart w:id="40" w:name="_Toc256000041"/>
      <w:r>
        <w:rPr>
          <w:rFonts w:ascii="黑体" w:hAnsi="黑体" w:eastAsia="黑体" w:cs="黑体"/>
          <w:b/>
          <w:bCs/>
          <w:spacing w:val="0"/>
          <w:kern w:val="0"/>
          <w:sz w:val="32"/>
          <w:szCs w:val="32"/>
          <w:lang w:val="en-US" w:eastAsia="zh-CN" w:bidi="ar-SA"/>
        </w:rPr>
        <w:t>四、财政拨款收入支出决算总表</w:t>
      </w:r>
      <w:bookmarkEnd w:id="37"/>
      <w:bookmarkEnd w:id="38"/>
      <w:bookmarkEnd w:id="39"/>
      <w:bookmarkEnd w:id="40"/>
    </w:p>
    <w:p/>
    <w:tbl>
      <w:tblPr>
        <w:tblStyle w:val="24"/>
        <w:tblpPr w:leftFromText="180" w:rightFromText="180" w:vertAnchor="text" w:horzAnchor="page" w:tblpX="720" w:tblpY="1"/>
        <w:tblOverlap w:val="never"/>
        <w:tblW w:w="10506" w:type="dxa"/>
        <w:tblInd w:w="0" w:type="dxa"/>
        <w:tblLayout w:type="fixed"/>
        <w:tblCellMar>
          <w:top w:w="15" w:type="dxa"/>
          <w:left w:w="15" w:type="dxa"/>
          <w:bottom w:w="15" w:type="dxa"/>
          <w:right w:w="15" w:type="dxa"/>
        </w:tblCellMar>
      </w:tblPr>
      <w:tblGrid>
        <w:gridCol w:w="1167"/>
        <w:gridCol w:w="1167"/>
        <w:gridCol w:w="1167"/>
        <w:gridCol w:w="1167"/>
        <w:gridCol w:w="1"/>
        <w:gridCol w:w="1167"/>
        <w:gridCol w:w="1167"/>
        <w:gridCol w:w="1"/>
        <w:gridCol w:w="1167"/>
        <w:gridCol w:w="1167"/>
        <w:gridCol w:w="1"/>
        <w:gridCol w:w="1167"/>
      </w:tblGrid>
      <w:tr>
        <w:tblPrEx>
          <w:tblLayout w:type="fixed"/>
          <w:tblCellMar>
            <w:top w:w="15" w:type="dxa"/>
            <w:left w:w="15" w:type="dxa"/>
            <w:bottom w:w="15" w:type="dxa"/>
            <w:right w:w="15" w:type="dxa"/>
          </w:tblCellMar>
        </w:tblPrEx>
        <w:trPr>
          <w:tblHeader/>
        </w:trPr>
        <w:tc>
          <w:tcPr>
            <w:tcW w:w="10506" w:type="dxa"/>
            <w:gridSpan w:val="12"/>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财政拨款收入支出决算总表</w:t>
            </w:r>
          </w:p>
        </w:tc>
      </w:tr>
      <w:tr>
        <w:tblPrEx>
          <w:tblLayout w:type="fixed"/>
          <w:tblCellMar>
            <w:top w:w="15" w:type="dxa"/>
            <w:left w:w="15" w:type="dxa"/>
            <w:bottom w:w="15" w:type="dxa"/>
            <w:right w:w="15" w:type="dxa"/>
          </w:tblCellMar>
        </w:tblPrEx>
        <w:trPr>
          <w:tblHeader/>
        </w:trPr>
        <w:tc>
          <w:tcPr>
            <w:tcW w:w="2334"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rPr>
          <w:tblHeader/>
        </w:trPr>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单位：厦门市禾山中学</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116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c>
          <w:tcPr>
            <w:tcW w:w="350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收入</w:t>
            </w:r>
          </w:p>
        </w:tc>
        <w:tc>
          <w:tcPr>
            <w:tcW w:w="7005" w:type="dxa"/>
            <w:gridSpan w:val="9"/>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支出</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w:t>
            </w:r>
            <w:r>
              <w:rPr>
                <w:rFonts w:ascii="Times New Roman" w:hAnsi="Times New Roman" w:eastAsia="Times New Roman" w:cs="Times New Roman"/>
                <w:b w:val="0"/>
                <w:bCs w:val="0"/>
                <w:i w:val="0"/>
                <w:iCs w:val="0"/>
                <w:smallCaps w:val="0"/>
                <w:color w:val="000000"/>
                <w:kern w:val="0"/>
                <w:sz w:val="26"/>
                <w:szCs w:val="26"/>
              </w:rPr>
              <w:t xml:space="preserve">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行次</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金额</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行次</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一般公共预算财政拨款</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政府性基金预算财政拨款</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国有资本经营预算财政拨款</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栏次</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栏次</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一、一般公共预算财政拨款</w:t>
            </w:r>
            <w:r>
              <w:rPr>
                <w:rFonts w:ascii="Times New Roman" w:hAnsi="Times New Roman" w:eastAsia="Times New Roman" w:cs="Times New Roman"/>
                <w:b w:val="0"/>
                <w:bCs w:val="0"/>
                <w:i w:val="0"/>
                <w:iCs w:val="0"/>
                <w:smallCaps w:val="0"/>
                <w:color w:val="000000"/>
                <w:kern w:val="0"/>
                <w:sz w:val="26"/>
                <w:szCs w:val="26"/>
              </w:rPr>
              <w:t xml:space="preserve">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9,687.5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一、一般公共服务支出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二、政府性基金预算财政拨款</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二、外交支出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三、国有资本经营预算财政拨款</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三、国防支出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四、公共安全支出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五、教育支出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7,577.29</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7,577.29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六、科学技术支出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七、文化旅游体育与传媒支出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八、社会保障和就业支出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九、卫生健康支出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十、节能环保支出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十一、城乡社区支出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十二、农林水支出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十三、交通运输支出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十四、资源勘探工业信息等支出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十五、商业服务业等支出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十六、金融支出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十七、援助其他地区支出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49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十八、自然资源海洋气象等支出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十九、住房保障支出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68.49</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68.49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二十、粮油物资储备支出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二十一、国有资本经营预算支出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二十二、灾害防治及应急管理支出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二十三、其他支出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二十四、债务还本支出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二十五、债务付息支出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二十六、抗疫特别国债安排的支出</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58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本年收入合计</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本年支出合计</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9,687.5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年初财政拨款结转和结余</w:t>
            </w:r>
            <w:r>
              <w:rPr>
                <w:rFonts w:ascii="Times New Roman" w:hAnsi="Times New Roman" w:eastAsia="Times New Roman" w:cs="Times New Roman"/>
                <w:b w:val="0"/>
                <w:bCs w:val="0"/>
                <w:i w:val="0"/>
                <w:iCs w:val="0"/>
                <w:smallCaps w:val="0"/>
                <w:color w:val="000000"/>
                <w:kern w:val="0"/>
                <w:sz w:val="26"/>
                <w:szCs w:val="26"/>
              </w:rPr>
              <w:t xml:space="preserve">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年末财政拨款结转和结余</w:t>
            </w:r>
            <w:r>
              <w:rPr>
                <w:rFonts w:ascii="Times New Roman" w:hAnsi="Times New Roman" w:eastAsia="Times New Roman" w:cs="Times New Roman"/>
                <w:b w:val="0"/>
                <w:bCs w:val="0"/>
                <w:i w:val="0"/>
                <w:iCs w:val="0"/>
                <w:smallCaps w:val="0"/>
                <w:color w:val="000000"/>
                <w:kern w:val="0"/>
                <w:sz w:val="26"/>
                <w:szCs w:val="26"/>
              </w:rPr>
              <w:t xml:space="preserve">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一、一般公共预算财政拨款</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二、政府性基金预算财政拨款</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三、国有资本经营预算财政拨款</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31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63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总计</w:t>
            </w:r>
            <w:r>
              <w:rPr>
                <w:rFonts w:ascii="Times New Roman" w:hAnsi="Times New Roman" w:eastAsia="Times New Roman" w:cs="Times New Roman"/>
                <w:b w:val="0"/>
                <w:bCs w:val="0"/>
                <w:i w:val="0"/>
                <w:iCs w:val="0"/>
                <w:smallCaps w:val="0"/>
                <w:color w:val="000000"/>
                <w:kern w:val="0"/>
                <w:sz w:val="26"/>
                <w:szCs w:val="26"/>
              </w:rPr>
              <w:t xml:space="preserve">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总计</w:t>
            </w:r>
            <w:r>
              <w:rPr>
                <w:rFonts w:ascii="Times New Roman" w:hAnsi="Times New Roman" w:eastAsia="Times New Roman" w:cs="Times New Roman"/>
                <w:b w:val="0"/>
                <w:bCs w:val="0"/>
                <w:i w:val="0"/>
                <w:iCs w:val="0"/>
                <w:smallCaps w:val="0"/>
                <w:color w:val="000000"/>
                <w:kern w:val="0"/>
                <w:sz w:val="26"/>
                <w:szCs w:val="26"/>
              </w:rPr>
              <w:t xml:space="preserve"> </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9,689.5</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9,687.5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1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0506" w:type="dxa"/>
            <w:gridSpan w:val="12"/>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注：本表反映部门本年度一般公共预算财政拨款、政府性基金预算财政拨款和国有资本经营预算财政拨款的总收支和年末结转结余情况。</w:t>
            </w:r>
          </w:p>
        </w:tc>
      </w:tr>
    </w:tbl>
    <w:p/>
    <w:p/>
    <w:p/>
    <w:p/>
    <w:p/>
    <w:p/>
    <w:p/>
    <w:p/>
    <w:p/>
    <w:p/>
    <w:p/>
    <w:p/>
    <w:p/>
    <w:p/>
    <w:p/>
    <w:p/>
    <w:p/>
    <w:p/>
    <w:p/>
    <w:p/>
    <w:p/>
    <w:p/>
    <w:p/>
    <w:p>
      <w:pPr>
        <w:pStyle w:val="7"/>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bookmarkStart w:id="41" w:name="_Toc256000104"/>
      <w:bookmarkStart w:id="42" w:name="_Toc256000011"/>
      <w:bookmarkStart w:id="43" w:name="_Toc256000073"/>
      <w:bookmarkStart w:id="44" w:name="_Toc256000042"/>
      <w:r>
        <w:rPr>
          <w:rFonts w:ascii="黑体" w:hAnsi="黑体" w:eastAsia="黑体" w:cs="黑体"/>
          <w:b/>
          <w:spacing w:val="0"/>
        </w:rPr>
        <w:t>五、一般公共预算财政拨款支出决算表</w:t>
      </w:r>
      <w:bookmarkEnd w:id="41"/>
      <w:bookmarkEnd w:id="42"/>
      <w:bookmarkEnd w:id="43"/>
      <w:bookmarkEnd w:id="44"/>
    </w:p>
    <w:p/>
    <w:tbl>
      <w:tblPr>
        <w:tblStyle w:val="24"/>
        <w:tblW w:w="10506" w:type="dxa"/>
        <w:tblInd w:w="0" w:type="dxa"/>
        <w:tblLayout w:type="fixed"/>
        <w:tblCellMar>
          <w:top w:w="15" w:type="dxa"/>
          <w:left w:w="15" w:type="dxa"/>
          <w:bottom w:w="15" w:type="dxa"/>
          <w:right w:w="15" w:type="dxa"/>
        </w:tblCellMar>
      </w:tblPr>
      <w:tblGrid>
        <w:gridCol w:w="1313"/>
        <w:gridCol w:w="1532"/>
        <w:gridCol w:w="1533"/>
        <w:gridCol w:w="1532"/>
        <w:gridCol w:w="1532"/>
        <w:gridCol w:w="1532"/>
        <w:gridCol w:w="1532"/>
      </w:tblGrid>
      <w:tr>
        <w:tblPrEx>
          <w:tblLayout w:type="fixed"/>
          <w:tblCellMar>
            <w:top w:w="15" w:type="dxa"/>
            <w:left w:w="15" w:type="dxa"/>
            <w:bottom w:w="15" w:type="dxa"/>
            <w:right w:w="15" w:type="dxa"/>
          </w:tblCellMar>
        </w:tblPrEx>
        <w:trPr>
          <w:tblHeader/>
        </w:trPr>
        <w:tc>
          <w:tcPr>
            <w:tcW w:w="10506" w:type="dxa"/>
            <w:gridSpan w:val="7"/>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一般公共预算财政拨款支出决算表</w:t>
            </w:r>
          </w:p>
        </w:tc>
      </w:tr>
      <w:tr>
        <w:tblPrEx>
          <w:tblLayout w:type="fixed"/>
          <w:tblCellMar>
            <w:top w:w="15" w:type="dxa"/>
            <w:left w:w="15" w:type="dxa"/>
            <w:bottom w:w="15" w:type="dxa"/>
            <w:right w:w="15" w:type="dxa"/>
          </w:tblCellMar>
        </w:tblPrEx>
        <w:trPr>
          <w:tblHeader/>
        </w:trPr>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7442"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单位：厦门市禾山中学</w:t>
            </w:r>
          </w:p>
        </w:tc>
        <w:tc>
          <w:tcPr>
            <w:tcW w:w="15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153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c>
          <w:tcPr>
            <w:tcW w:w="591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w:t>
            </w:r>
          </w:p>
        </w:tc>
        <w:tc>
          <w:tcPr>
            <w:tcW w:w="45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本年支出</w:t>
            </w:r>
          </w:p>
        </w:tc>
      </w:tr>
      <w:tr>
        <w:tblPrEx>
          <w:tblLayout w:type="fixed"/>
          <w:tblCellMar>
            <w:top w:w="15" w:type="dxa"/>
            <w:left w:w="15" w:type="dxa"/>
            <w:bottom w:w="15" w:type="dxa"/>
            <w:right w:w="15" w:type="dxa"/>
          </w:tblCellMar>
        </w:tblPrEx>
        <w:trPr>
          <w:tblHeader/>
        </w:trPr>
        <w:tc>
          <w:tcPr>
            <w:tcW w:w="4378"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科目代码</w:t>
            </w:r>
          </w:p>
        </w:tc>
        <w:tc>
          <w:tcPr>
            <w:tcW w:w="15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科目名称</w:t>
            </w:r>
          </w:p>
        </w:tc>
        <w:tc>
          <w:tcPr>
            <w:tcW w:w="15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小计</w:t>
            </w:r>
          </w:p>
        </w:tc>
        <w:tc>
          <w:tcPr>
            <w:tcW w:w="15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基本支出</w:t>
            </w:r>
          </w:p>
        </w:tc>
        <w:tc>
          <w:tcPr>
            <w:tcW w:w="15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项目支出</w:t>
            </w:r>
          </w:p>
        </w:tc>
      </w:tr>
      <w:tr>
        <w:tblPrEx>
          <w:tblLayout w:type="fixed"/>
          <w:tblCellMar>
            <w:top w:w="15" w:type="dxa"/>
            <w:left w:w="15" w:type="dxa"/>
            <w:bottom w:w="15" w:type="dxa"/>
            <w:right w:w="15" w:type="dxa"/>
          </w:tblCellMar>
        </w:tblPrEx>
        <w:trPr>
          <w:tblHeader/>
        </w:trPr>
        <w:tc>
          <w:tcPr>
            <w:tcW w:w="43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5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5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5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5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rPr>
          <w:tblHeader/>
        </w:trPr>
        <w:tc>
          <w:tcPr>
            <w:tcW w:w="43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53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w:t>
            </w:r>
          </w:p>
        </w:tc>
      </w:tr>
      <w:tr>
        <w:tblPrEx>
          <w:tblLayout w:type="fixed"/>
          <w:tblCellMar>
            <w:top w:w="15" w:type="dxa"/>
            <w:left w:w="15" w:type="dxa"/>
            <w:bottom w:w="15" w:type="dxa"/>
            <w:right w:w="15" w:type="dxa"/>
          </w:tblCellMar>
        </w:tblPrEx>
        <w:tc>
          <w:tcPr>
            <w:tcW w:w="591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9,687.5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9,153.53</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533.97</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教育支出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7,577.29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7,043.32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533.97</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普通教育</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7,322.2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7,043.32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278.87</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2050202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小学教育</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2,330.79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2,330.79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2050203</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初中教育</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4,525.13</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4,525.13</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2050299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其他普通教育支出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466.28</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187.41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278.87</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教育费附加安排的支出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2050999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其他教育费附加安排的支出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254.81</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20599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其他教育支出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2059999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其他教育支出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0.28</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社会保障和就业支出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行政事业单位养老支出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1,683.85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2080502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事业单位离退休</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762.51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762.51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2080505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机关事业单位基本养老保险缴费支出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553.21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553.21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2080506</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机关事业单位职业年金缴费支出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368.12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368.12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卫生健康支出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21011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行政事业单位医疗</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357.86</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2101102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事业单位医疗</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236.85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236.85</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2101199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其他行政事业单位医疗支出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121.02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121.02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221</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住房保障支出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22102</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住房改革支出</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437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2210203</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购房补贴</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68.49</w:t>
            </w:r>
          </w:p>
        </w:tc>
        <w:tc>
          <w:tcPr>
            <w:tcW w:w="15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0506" w:type="dxa"/>
            <w:gridSpan w:val="7"/>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注：本表反映部门本年度一般公共预算财政拨款支出情况。</w:t>
            </w:r>
          </w:p>
        </w:tc>
      </w:tr>
    </w:tbl>
    <w:p/>
    <w:p/>
    <w:p/>
    <w:p/>
    <w:p/>
    <w:p/>
    <w:p/>
    <w:p/>
    <w:p/>
    <w:p/>
    <w:p/>
    <w:p/>
    <w:p/>
    <w:p/>
    <w:p/>
    <w:p/>
    <w:p/>
    <w:p/>
    <w:p/>
    <w:p/>
    <w:p/>
    <w:p/>
    <w:p/>
    <w:p/>
    <w:tbl>
      <w:tblPr>
        <w:tblStyle w:val="24"/>
        <w:tblpPr w:leftFromText="180" w:rightFromText="180" w:vertAnchor="text" w:horzAnchor="page" w:tblpX="750" w:tblpY="-39"/>
        <w:tblOverlap w:val="never"/>
        <w:tblW w:w="10506" w:type="dxa"/>
        <w:tblInd w:w="0" w:type="dxa"/>
        <w:tblLayout w:type="fixed"/>
        <w:tblCellMar>
          <w:top w:w="15" w:type="dxa"/>
          <w:left w:w="15" w:type="dxa"/>
          <w:bottom w:w="15" w:type="dxa"/>
          <w:right w:w="15" w:type="dxa"/>
        </w:tblCellMar>
      </w:tblPr>
      <w:tblGrid>
        <w:gridCol w:w="1167"/>
        <w:gridCol w:w="1167"/>
        <w:gridCol w:w="1167"/>
        <w:gridCol w:w="1168"/>
        <w:gridCol w:w="1167"/>
        <w:gridCol w:w="1168"/>
        <w:gridCol w:w="1167"/>
        <w:gridCol w:w="1168"/>
        <w:gridCol w:w="1167"/>
      </w:tblGrid>
      <w:tr>
        <w:tblPrEx>
          <w:tblLayout w:type="fixed"/>
          <w:tblCellMar>
            <w:top w:w="15" w:type="dxa"/>
            <w:left w:w="15" w:type="dxa"/>
            <w:bottom w:w="15" w:type="dxa"/>
            <w:right w:w="15" w:type="dxa"/>
          </w:tblCellMar>
        </w:tblPrEx>
        <w:trPr>
          <w:tblHeader/>
        </w:trPr>
        <w:tc>
          <w:tcPr>
            <w:tcW w:w="10506" w:type="dxa"/>
            <w:gridSpan w:val="9"/>
            <w:tcMar>
              <w:top w:w="20" w:type="dxa"/>
              <w:left w:w="20" w:type="dxa"/>
              <w:bottom w:w="20" w:type="dxa"/>
              <w:right w:w="20" w:type="dxa"/>
            </w:tcMar>
            <w:vAlign w:val="center"/>
          </w:tcPr>
          <w:p>
            <w:pPr>
              <w:pStyle w:val="7"/>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bookmarkStart w:id="45" w:name="_Toc256000012"/>
            <w:bookmarkStart w:id="46" w:name="_Toc256000074"/>
            <w:bookmarkStart w:id="47" w:name="_Toc256000043"/>
            <w:bookmarkStart w:id="48" w:name="_Toc256000105"/>
            <w:r>
              <w:rPr>
                <w:rFonts w:ascii="黑体" w:hAnsi="黑体" w:eastAsia="黑体" w:cs="黑体"/>
                <w:b/>
                <w:spacing w:val="0"/>
              </w:rPr>
              <w:t>六、一般公共预算财政拨款基本支出决算表</w:t>
            </w:r>
            <w:bookmarkEnd w:id="45"/>
            <w:bookmarkEnd w:id="46"/>
            <w:bookmarkEnd w:id="47"/>
            <w:bookmarkEnd w:id="48"/>
          </w:p>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一般公共预算财政拨款基本支出决算表</w:t>
            </w:r>
          </w:p>
        </w:tc>
      </w:tr>
      <w:tr>
        <w:tblPrEx>
          <w:tblLayout w:type="fixed"/>
          <w:tblCellMar>
            <w:top w:w="15" w:type="dxa"/>
            <w:left w:w="15" w:type="dxa"/>
            <w:bottom w:w="15" w:type="dxa"/>
            <w:right w:w="15" w:type="dxa"/>
          </w:tblCellMar>
        </w:tblPrEx>
        <w:trPr>
          <w:tblHeader/>
        </w:trPr>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rPr>
          <w:tblHeader/>
        </w:trPr>
        <w:tc>
          <w:tcPr>
            <w:tcW w:w="4669"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单位：厦门市禾山中学</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11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经济分类科目编码</w:t>
            </w:r>
          </w:p>
        </w:tc>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科目名称</w:t>
            </w:r>
          </w:p>
        </w:tc>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金额</w:t>
            </w:r>
          </w:p>
        </w:tc>
        <w:tc>
          <w:tcPr>
            <w:tcW w:w="11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经济分类科目编码</w:t>
            </w:r>
          </w:p>
        </w:tc>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科目名称</w:t>
            </w:r>
          </w:p>
        </w:tc>
        <w:tc>
          <w:tcPr>
            <w:tcW w:w="11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金额</w:t>
            </w:r>
          </w:p>
        </w:tc>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经济分类科目编码</w:t>
            </w:r>
          </w:p>
        </w:tc>
        <w:tc>
          <w:tcPr>
            <w:tcW w:w="11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科目名称</w:t>
            </w:r>
          </w:p>
        </w:tc>
        <w:tc>
          <w:tcPr>
            <w:tcW w:w="116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金额</w:t>
            </w:r>
          </w:p>
        </w:tc>
      </w:tr>
      <w:tr>
        <w:tblPrEx>
          <w:tblLayout w:type="fixed"/>
          <w:tblCellMar>
            <w:top w:w="15" w:type="dxa"/>
            <w:left w:w="15" w:type="dxa"/>
            <w:bottom w:w="15" w:type="dxa"/>
            <w:right w:w="15" w:type="dxa"/>
          </w:tblCellMar>
        </w:tblPrEx>
        <w:trPr>
          <w:tblHeader/>
        </w:trPr>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16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工资福利支出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7,587.74</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商品和服务支出</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759.08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30703</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国内债务发行费用</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30101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基本工资</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1,007.69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30201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办公费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281.78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30704</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国外债务发行费用</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津贴补贴</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1,421.49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印刷费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2.61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资本性支出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21.4</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30103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奖金</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2,371.36</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30203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咨询费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31001</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房屋建筑物购建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30106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伙食补助费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30204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手续费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31002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办公设备购置</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15.34</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30107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绩效工资</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427.79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30205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水费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12.68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31003</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专用设备购置</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1.09</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30108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机关事业单位基本养老保险缴费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555.88</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30206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电费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93.57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31005</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基础设施建设</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30109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职业年金缴费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369.46</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30207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邮电费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5.79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31006</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大型修缮</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30110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职工基本医疗保险缴费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237.79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30208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取暖费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31007</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信息网络及软件购置更新</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30111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公务员医疗补助缴费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0.39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30209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物业管理费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31008</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物资储备</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30112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其他社会保障缴费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190.69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30211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差旅费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31009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土地补偿</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30113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住房公积金</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605.52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30212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因公出国（境）费用</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31010</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安置补助</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30114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医疗费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30213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维修（护）费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120.66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31011</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地上附着物和青苗补偿</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30199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其他工资福利支出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399.67</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30214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租赁费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31012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拆迁补偿</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对个人和家庭的补助</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785.3</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30215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会议费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31013</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公务用车购置</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30301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离休费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30216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培训费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39.74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31019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其他交通工具购置</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退休费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30217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公务接待费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31021</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文物和陈列品购置</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30303</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退职（役）费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30218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专用材料费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4.49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31022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无形资产购置</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4.98</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30304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抚恤金</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13.54</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30224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被装购置费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31099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其他资本性支出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30305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生活补助</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4.36</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30225</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专用燃料费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对企业补助</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30306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救济费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30226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劳务费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10.56</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31201</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资本金注入</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30307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医疗费补助</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30227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委托业务费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31203</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政府投资基金股权投资</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30308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助学金</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30228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工会经费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140.97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31204</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费用补贴</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30309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奖励金</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18.42</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30229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福利费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8.84</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31205</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利息补贴</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30310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个人农业生产补贴</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30231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公务用车运行维护费</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31206</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其他资本性补助</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30311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代缴社会保险费</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30239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其他交通费用</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3.78</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31299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其他对企业补助</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30399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其他对个人和家庭的补助</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748.97</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30240</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税金及附加费用</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30299</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其他商品和服务支出</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29.7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39907</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国家赔偿费用支出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307</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债务利息及费用支出</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39908</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对民间非营利组织和群众性自治组织补贴</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30701</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国内债务付息</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39909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经常性赠与</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30702</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国外债务付息</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39910</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资本性赠与</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39999</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其他支出</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rPr>
          <w:tblHeader/>
        </w:trPr>
        <w:tc>
          <w:tcPr>
            <w:tcW w:w="2334"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人员经费合计</w:t>
            </w:r>
            <w:r>
              <w:rPr>
                <w:rFonts w:ascii="Times New Roman" w:hAnsi="Times New Roman" w:eastAsia="Times New Roman" w:cs="Times New Roman"/>
                <w:b w:val="0"/>
                <w:bCs w:val="0"/>
                <w:i w:val="0"/>
                <w:iCs w:val="0"/>
                <w:smallCaps w:val="0"/>
                <w:color w:val="000000"/>
                <w:kern w:val="0"/>
                <w:sz w:val="26"/>
                <w:szCs w:val="26"/>
              </w:rPr>
              <w:t xml:space="preserve"> </w:t>
            </w:r>
          </w:p>
        </w:tc>
        <w:tc>
          <w:tcPr>
            <w:tcW w:w="116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8,373.04</w:t>
            </w:r>
          </w:p>
        </w:tc>
        <w:tc>
          <w:tcPr>
            <w:tcW w:w="467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公用经费合计</w:t>
            </w:r>
          </w:p>
        </w:tc>
        <w:tc>
          <w:tcPr>
            <w:tcW w:w="233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780.49</w:t>
            </w:r>
          </w:p>
        </w:tc>
      </w:tr>
      <w:tr>
        <w:tblPrEx>
          <w:tblLayout w:type="fixed"/>
          <w:tblCellMar>
            <w:top w:w="15" w:type="dxa"/>
            <w:left w:w="15" w:type="dxa"/>
            <w:bottom w:w="15" w:type="dxa"/>
            <w:right w:w="15" w:type="dxa"/>
          </w:tblCellMar>
        </w:tblPrEx>
        <w:trPr>
          <w:tblHeader/>
        </w:trPr>
        <w:tc>
          <w:tcPr>
            <w:tcW w:w="1050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注：本表反映部门本年度一般公共预算财政拨款基本支出明细情况。</w:t>
            </w:r>
          </w:p>
        </w:tc>
      </w:tr>
    </w:tbl>
    <w:p/>
    <w:p/>
    <w:p/>
    <w:p/>
    <w:p/>
    <w:p/>
    <w:p/>
    <w:p/>
    <w:p/>
    <w:p/>
    <w:p/>
    <w:p/>
    <w:p/>
    <w:p/>
    <w:p/>
    <w:p/>
    <w:p/>
    <w:p/>
    <w:p/>
    <w:p/>
    <w:p/>
    <w:p/>
    <w:p/>
    <w:p/>
    <w:p/>
    <w:p/>
    <w:p/>
    <w:p/>
    <w:p/>
    <w:p/>
    <w:p/>
    <w:p/>
    <w:p/>
    <w:p/>
    <w:p/>
    <w:p/>
    <w:p>
      <w:pPr>
        <w:pStyle w:val="7"/>
        <w:keepNext w:val="0"/>
        <w:keepLines w:val="0"/>
        <w:numPr>
          <w:ilvl w:val="0"/>
          <w:numId w:val="2"/>
        </w:numPr>
        <w:spacing w:before="100" w:after="100" w:line="240" w:lineRule="auto"/>
        <w:ind w:left="720" w:right="0" w:hanging="720" w:firstLineChars="0"/>
        <w:rPr>
          <w:rFonts w:ascii="黑体" w:hAnsi="黑体" w:eastAsia="黑体" w:cs="黑体"/>
          <w:b/>
          <w:spacing w:val="0"/>
        </w:rPr>
      </w:pPr>
      <w:bookmarkStart w:id="49" w:name="_Toc256000075"/>
      <w:bookmarkStart w:id="50" w:name="_Toc256000044"/>
      <w:bookmarkStart w:id="51" w:name="_Toc256000106"/>
      <w:bookmarkStart w:id="52" w:name="_Toc256000013"/>
      <w:r>
        <w:rPr>
          <w:rFonts w:ascii="黑体" w:hAnsi="黑体" w:eastAsia="黑体" w:cs="黑体"/>
          <w:b/>
          <w:spacing w:val="0"/>
        </w:rPr>
        <w:t>一般公共预算财政拨款“三公”经费支出决算表</w:t>
      </w:r>
      <w:bookmarkEnd w:id="49"/>
      <w:bookmarkEnd w:id="50"/>
      <w:bookmarkEnd w:id="51"/>
      <w:bookmarkEnd w:id="52"/>
    </w:p>
    <w:tbl>
      <w:tblPr>
        <w:tblStyle w:val="24"/>
        <w:tblW w:w="10506" w:type="dxa"/>
        <w:tblInd w:w="0" w:type="dxa"/>
        <w:tblLayout w:type="fixed"/>
        <w:tblCellMar>
          <w:top w:w="15" w:type="dxa"/>
          <w:left w:w="15" w:type="dxa"/>
          <w:bottom w:w="15" w:type="dxa"/>
          <w:right w:w="15" w:type="dxa"/>
        </w:tblCellMar>
      </w:tblPr>
      <w:tblGrid>
        <w:gridCol w:w="875"/>
        <w:gridCol w:w="875"/>
        <w:gridCol w:w="875"/>
        <w:gridCol w:w="875"/>
        <w:gridCol w:w="875"/>
        <w:gridCol w:w="876"/>
        <w:gridCol w:w="876"/>
        <w:gridCol w:w="876"/>
        <w:gridCol w:w="876"/>
        <w:gridCol w:w="875"/>
        <w:gridCol w:w="1"/>
        <w:gridCol w:w="875"/>
        <w:gridCol w:w="876"/>
      </w:tblGrid>
      <w:tr>
        <w:tblPrEx>
          <w:tblLayout w:type="fixed"/>
          <w:tblCellMar>
            <w:top w:w="15" w:type="dxa"/>
            <w:left w:w="15" w:type="dxa"/>
            <w:bottom w:w="15" w:type="dxa"/>
            <w:right w:w="15" w:type="dxa"/>
          </w:tblCellMar>
        </w:tblPrEx>
        <w:trPr>
          <w:tblHeader/>
        </w:trPr>
        <w:tc>
          <w:tcPr>
            <w:tcW w:w="10506" w:type="dxa"/>
            <w:gridSpan w:val="13"/>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一般公共预算财政拨款</w:t>
            </w:r>
            <w:r>
              <w:rPr>
                <w:rFonts w:ascii="Times New Roman" w:hAnsi="Times New Roman" w:eastAsia="Times New Roman" w:cs="Times New Roman"/>
                <w:b w:val="0"/>
                <w:bCs w:val="0"/>
                <w:i w:val="0"/>
                <w:iCs w:val="0"/>
                <w:smallCaps w:val="0"/>
                <w:color w:val="000000"/>
                <w:kern w:val="0"/>
                <w:sz w:val="27"/>
                <w:szCs w:val="27"/>
              </w:rPr>
              <w:t>“</w:t>
            </w:r>
            <w:r>
              <w:rPr>
                <w:rFonts w:ascii="宋体" w:hAnsi="宋体" w:eastAsia="宋体" w:cs="宋体"/>
                <w:b w:val="0"/>
                <w:bCs w:val="0"/>
                <w:i w:val="0"/>
                <w:iCs w:val="0"/>
                <w:smallCaps w:val="0"/>
                <w:color w:val="000000"/>
                <w:kern w:val="0"/>
                <w:sz w:val="27"/>
                <w:szCs w:val="27"/>
              </w:rPr>
              <w:t>三公</w:t>
            </w:r>
            <w:r>
              <w:rPr>
                <w:rFonts w:ascii="Times New Roman" w:hAnsi="Times New Roman" w:eastAsia="Times New Roman" w:cs="Times New Roman"/>
                <w:b w:val="0"/>
                <w:bCs w:val="0"/>
                <w:i w:val="0"/>
                <w:iCs w:val="0"/>
                <w:smallCaps w:val="0"/>
                <w:color w:val="000000"/>
                <w:kern w:val="0"/>
                <w:sz w:val="27"/>
                <w:szCs w:val="27"/>
              </w:rPr>
              <w:t>”</w:t>
            </w:r>
            <w:r>
              <w:rPr>
                <w:rFonts w:ascii="宋体" w:hAnsi="宋体" w:eastAsia="宋体" w:cs="宋体"/>
                <w:b w:val="0"/>
                <w:bCs w:val="0"/>
                <w:i w:val="0"/>
                <w:iCs w:val="0"/>
                <w:smallCaps w:val="0"/>
                <w:color w:val="000000"/>
                <w:kern w:val="0"/>
                <w:sz w:val="27"/>
                <w:szCs w:val="27"/>
              </w:rPr>
              <w:t>经费支出决算</w:t>
            </w:r>
          </w:p>
        </w:tc>
      </w:tr>
      <w:tr>
        <w:tblPrEx>
          <w:tblLayout w:type="fixed"/>
          <w:tblCellMar>
            <w:top w:w="15" w:type="dxa"/>
            <w:left w:w="15" w:type="dxa"/>
            <w:bottom w:w="15" w:type="dxa"/>
            <w:right w:w="15" w:type="dxa"/>
          </w:tblCellMar>
        </w:tblPrEx>
        <w:trPr>
          <w:tblHeader/>
        </w:trPr>
        <w:tc>
          <w:tcPr>
            <w:tcW w:w="8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5251"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单位：厦门市禾山中学</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7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c>
          <w:tcPr>
            <w:tcW w:w="5251"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预算数</w:t>
            </w:r>
          </w:p>
        </w:tc>
        <w:tc>
          <w:tcPr>
            <w:tcW w:w="5255" w:type="dxa"/>
            <w:gridSpan w:val="7"/>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决算数</w:t>
            </w:r>
          </w:p>
        </w:tc>
      </w:tr>
      <w:tr>
        <w:tblPrEx>
          <w:tblLayout w:type="fixed"/>
          <w:tblCellMar>
            <w:top w:w="15" w:type="dxa"/>
            <w:left w:w="15" w:type="dxa"/>
            <w:bottom w:w="15" w:type="dxa"/>
            <w:right w:w="15" w:type="dxa"/>
          </w:tblCellMar>
        </w:tblPrEx>
        <w:trPr>
          <w:tblHeader/>
        </w:trPr>
        <w:tc>
          <w:tcPr>
            <w:tcW w:w="87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87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因公出国</w:t>
            </w:r>
            <w:r>
              <w:rPr>
                <w:rFonts w:ascii="Times New Roman" w:hAnsi="Times New Roman" w:eastAsia="Times New Roman" w:cs="Times New Roman"/>
                <w:b w:val="0"/>
                <w:bCs w:val="0"/>
                <w:i w:val="0"/>
                <w:iCs w:val="0"/>
                <w:smallCaps w:val="0"/>
                <w:color w:val="000000"/>
                <w:kern w:val="0"/>
                <w:sz w:val="26"/>
                <w:szCs w:val="26"/>
              </w:rPr>
              <w:t xml:space="preserve"> </w:t>
            </w:r>
            <w:r>
              <w:rPr>
                <w:rFonts w:ascii="宋体" w:hAnsi="宋体" w:eastAsia="宋体" w:cs="宋体"/>
                <w:b w:val="0"/>
                <w:bCs w:val="0"/>
                <w:i w:val="0"/>
                <w:iCs w:val="0"/>
                <w:smallCaps w:val="0"/>
                <w:color w:val="000000"/>
                <w:kern w:val="0"/>
                <w:sz w:val="26"/>
                <w:szCs w:val="26"/>
              </w:rPr>
              <w:t>（境）费</w:t>
            </w:r>
          </w:p>
        </w:tc>
        <w:tc>
          <w:tcPr>
            <w:tcW w:w="262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公务用车购置及运行维护费</w:t>
            </w:r>
          </w:p>
        </w:tc>
        <w:tc>
          <w:tcPr>
            <w:tcW w:w="8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公务接待费</w:t>
            </w:r>
          </w:p>
        </w:tc>
        <w:tc>
          <w:tcPr>
            <w:tcW w:w="8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8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因公出国</w:t>
            </w:r>
            <w:r>
              <w:rPr>
                <w:rFonts w:ascii="Times New Roman" w:hAnsi="Times New Roman" w:eastAsia="Times New Roman" w:cs="Times New Roman"/>
                <w:b w:val="0"/>
                <w:bCs w:val="0"/>
                <w:i w:val="0"/>
                <w:iCs w:val="0"/>
                <w:smallCaps w:val="0"/>
                <w:color w:val="000000"/>
                <w:kern w:val="0"/>
                <w:sz w:val="26"/>
                <w:szCs w:val="26"/>
              </w:rPr>
              <w:t xml:space="preserve"> </w:t>
            </w:r>
            <w:r>
              <w:rPr>
                <w:rFonts w:ascii="宋体" w:hAnsi="宋体" w:eastAsia="宋体" w:cs="宋体"/>
                <w:b w:val="0"/>
                <w:bCs w:val="0"/>
                <w:i w:val="0"/>
                <w:iCs w:val="0"/>
                <w:smallCaps w:val="0"/>
                <w:color w:val="000000"/>
                <w:kern w:val="0"/>
                <w:sz w:val="26"/>
                <w:szCs w:val="26"/>
              </w:rPr>
              <w:t>（境）费</w:t>
            </w:r>
          </w:p>
        </w:tc>
        <w:tc>
          <w:tcPr>
            <w:tcW w:w="2627"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公务用车购置及运行维护费</w:t>
            </w:r>
          </w:p>
        </w:tc>
        <w:tc>
          <w:tcPr>
            <w:tcW w:w="8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公务接待费</w:t>
            </w:r>
          </w:p>
        </w:tc>
      </w:tr>
      <w:tr>
        <w:tblPrEx>
          <w:tblLayout w:type="fixed"/>
          <w:tblCellMar>
            <w:top w:w="15" w:type="dxa"/>
            <w:left w:w="15" w:type="dxa"/>
            <w:bottom w:w="15" w:type="dxa"/>
            <w:right w:w="15" w:type="dxa"/>
          </w:tblCellMar>
        </w:tblPrEx>
        <w:trPr>
          <w:tblHeader/>
        </w:trPr>
        <w:tc>
          <w:tcPr>
            <w:tcW w:w="8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小计</w:t>
            </w:r>
            <w:r>
              <w:rPr>
                <w:rFonts w:ascii="Times New Roman" w:hAnsi="Times New Roman" w:eastAsia="Times New Roman" w:cs="Times New Roman"/>
                <w:b w:val="0"/>
                <w:bCs w:val="0"/>
                <w:i w:val="0"/>
                <w:iCs w:val="0"/>
                <w:smallCaps w:val="0"/>
                <w:color w:val="000000"/>
                <w:kern w:val="0"/>
                <w:sz w:val="26"/>
                <w:szCs w:val="26"/>
              </w:rPr>
              <w:t xml:space="preserve"> </w:t>
            </w:r>
          </w:p>
        </w:tc>
        <w:tc>
          <w:tcPr>
            <w:tcW w:w="87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公务用车购置费</w:t>
            </w:r>
          </w:p>
        </w:tc>
        <w:tc>
          <w:tcPr>
            <w:tcW w:w="87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公务用车运行维护费</w:t>
            </w: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小计</w:t>
            </w:r>
            <w:r>
              <w:rPr>
                <w:rFonts w:ascii="Times New Roman" w:hAnsi="Times New Roman" w:eastAsia="Times New Roman" w:cs="Times New Roman"/>
                <w:b w:val="0"/>
                <w:bCs w:val="0"/>
                <w:i w:val="0"/>
                <w:iCs w:val="0"/>
                <w:smallCaps w:val="0"/>
                <w:color w:val="000000"/>
                <w:kern w:val="0"/>
                <w:sz w:val="26"/>
                <w:szCs w:val="26"/>
              </w:rPr>
              <w:t xml:space="preserve"> </w:t>
            </w:r>
          </w:p>
        </w:tc>
        <w:tc>
          <w:tcPr>
            <w:tcW w:w="876"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公务用车购置费</w:t>
            </w:r>
          </w:p>
        </w:tc>
        <w:tc>
          <w:tcPr>
            <w:tcW w:w="87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公务用车运行维护费</w:t>
            </w: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rPr>
          <w:tblHeader/>
        </w:trPr>
        <w:tc>
          <w:tcPr>
            <w:tcW w:w="8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7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w:t>
            </w:r>
          </w:p>
        </w:tc>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w:t>
            </w:r>
          </w:p>
        </w:tc>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8</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w:t>
            </w:r>
          </w:p>
        </w:tc>
        <w:tc>
          <w:tcPr>
            <w:tcW w:w="87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10</w:t>
            </w:r>
          </w:p>
        </w:tc>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11</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12</w:t>
            </w:r>
          </w:p>
        </w:tc>
      </w:tr>
      <w:tr>
        <w:tblPrEx>
          <w:tblLayout w:type="fixed"/>
          <w:tblCellMar>
            <w:top w:w="15" w:type="dxa"/>
            <w:left w:w="15" w:type="dxa"/>
            <w:bottom w:w="15" w:type="dxa"/>
            <w:right w:w="15" w:type="dxa"/>
          </w:tblCellMar>
        </w:tblPrEx>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r>
              <w:rPr>
                <w:rFonts w:ascii="Times New Roman" w:hAnsi="Times New Roman" w:eastAsia="Times New Roman" w:cs="Times New Roman"/>
                <w:b w:val="0"/>
                <w:bCs w:val="0"/>
                <w:i w:val="0"/>
                <w:iCs w:val="0"/>
                <w:smallCaps w:val="0"/>
                <w:color w:val="000000"/>
                <w:kern w:val="0"/>
                <w:sz w:val="26"/>
                <w:szCs w:val="26"/>
              </w:rPr>
              <w:t> </w:t>
            </w:r>
          </w:p>
        </w:tc>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7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7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7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r>
      <w:tr>
        <w:tblPrEx>
          <w:tblLayout w:type="fixed"/>
          <w:tblCellMar>
            <w:top w:w="15" w:type="dxa"/>
            <w:left w:w="15" w:type="dxa"/>
            <w:bottom w:w="15" w:type="dxa"/>
            <w:right w:w="15" w:type="dxa"/>
          </w:tblCellMar>
        </w:tblPrEx>
        <w:tc>
          <w:tcPr>
            <w:tcW w:w="10506" w:type="dxa"/>
            <w:gridSpan w:val="13"/>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注：本表反映部门本年度财政拨款</w:t>
            </w:r>
            <w:r>
              <w:rPr>
                <w:rFonts w:ascii="Times New Roman" w:hAnsi="Times New Roman" w:eastAsia="Times New Roman" w:cs="Times New Roman"/>
                <w:b w:val="0"/>
                <w:bCs w:val="0"/>
                <w:i w:val="0"/>
                <w:iCs w:val="0"/>
                <w:smallCaps w:val="0"/>
                <w:color w:val="000000"/>
                <w:kern w:val="0"/>
                <w:sz w:val="26"/>
                <w:szCs w:val="26"/>
              </w:rPr>
              <w:t>“</w:t>
            </w:r>
            <w:r>
              <w:rPr>
                <w:rFonts w:ascii="宋体" w:hAnsi="宋体" w:eastAsia="宋体" w:cs="宋体"/>
                <w:b w:val="0"/>
                <w:bCs w:val="0"/>
                <w:i w:val="0"/>
                <w:iCs w:val="0"/>
                <w:smallCaps w:val="0"/>
                <w:color w:val="000000"/>
                <w:kern w:val="0"/>
                <w:sz w:val="26"/>
                <w:szCs w:val="26"/>
              </w:rPr>
              <w:t>三公</w:t>
            </w:r>
            <w:r>
              <w:rPr>
                <w:rFonts w:ascii="Times New Roman" w:hAnsi="Times New Roman" w:eastAsia="Times New Roman" w:cs="Times New Roman"/>
                <w:b w:val="0"/>
                <w:bCs w:val="0"/>
                <w:i w:val="0"/>
                <w:iCs w:val="0"/>
                <w:smallCaps w:val="0"/>
                <w:color w:val="000000"/>
                <w:kern w:val="0"/>
                <w:sz w:val="26"/>
                <w:szCs w:val="26"/>
              </w:rPr>
              <w:t>”</w:t>
            </w:r>
            <w:r>
              <w:rPr>
                <w:rFonts w:ascii="宋体" w:hAnsi="宋体" w:eastAsia="宋体" w:cs="宋体"/>
                <w:b w:val="0"/>
                <w:bCs w:val="0"/>
                <w:i w:val="0"/>
                <w:iCs w:val="0"/>
                <w:smallCaps w:val="0"/>
                <w:color w:val="000000"/>
                <w:kern w:val="0"/>
                <w:sz w:val="26"/>
                <w:szCs w:val="26"/>
              </w:rPr>
              <w:t>经费支出预决算情况。其中，预算数为</w:t>
            </w:r>
            <w:r>
              <w:rPr>
                <w:rFonts w:ascii="Times New Roman" w:hAnsi="Times New Roman" w:eastAsia="Times New Roman" w:cs="Times New Roman"/>
                <w:b w:val="0"/>
                <w:bCs w:val="0"/>
                <w:i w:val="0"/>
                <w:iCs w:val="0"/>
                <w:smallCaps w:val="0"/>
                <w:color w:val="000000"/>
                <w:kern w:val="0"/>
                <w:sz w:val="26"/>
                <w:szCs w:val="26"/>
              </w:rPr>
              <w:t>“</w:t>
            </w:r>
            <w:r>
              <w:rPr>
                <w:rFonts w:ascii="宋体" w:hAnsi="宋体" w:eastAsia="宋体" w:cs="宋体"/>
                <w:b w:val="0"/>
                <w:bCs w:val="0"/>
                <w:i w:val="0"/>
                <w:iCs w:val="0"/>
                <w:smallCaps w:val="0"/>
                <w:color w:val="000000"/>
                <w:kern w:val="0"/>
                <w:sz w:val="26"/>
                <w:szCs w:val="26"/>
              </w:rPr>
              <w:t>三公</w:t>
            </w:r>
            <w:r>
              <w:rPr>
                <w:rFonts w:ascii="Times New Roman" w:hAnsi="Times New Roman" w:eastAsia="Times New Roman" w:cs="Times New Roman"/>
                <w:b w:val="0"/>
                <w:bCs w:val="0"/>
                <w:i w:val="0"/>
                <w:iCs w:val="0"/>
                <w:smallCaps w:val="0"/>
                <w:color w:val="000000"/>
                <w:kern w:val="0"/>
                <w:sz w:val="26"/>
                <w:szCs w:val="26"/>
              </w:rPr>
              <w:t>”</w:t>
            </w:r>
            <w:r>
              <w:rPr>
                <w:rFonts w:ascii="宋体" w:hAnsi="宋体" w:eastAsia="宋体" w:cs="宋体"/>
                <w:b w:val="0"/>
                <w:bCs w:val="0"/>
                <w:i w:val="0"/>
                <w:iCs w:val="0"/>
                <w:smallCaps w:val="0"/>
                <w:color w:val="000000"/>
                <w:kern w:val="0"/>
                <w:sz w:val="26"/>
                <w:szCs w:val="26"/>
              </w:rPr>
              <w:t>经费全年预算数，反映按规定程序调整后的预算数；决算数是包括当年财政拨款和以前年度结转资金安排的实际支出。</w:t>
            </w:r>
          </w:p>
        </w:tc>
      </w:tr>
    </w:tbl>
    <w:p>
      <w:pPr>
        <w:pStyle w:val="6"/>
        <w:numPr>
          <w:ilvl w:val="0"/>
          <w:numId w:val="0"/>
        </w:numPr>
      </w:pPr>
    </w:p>
    <w:p/>
    <w:p/>
    <w:p/>
    <w:p/>
    <w:p/>
    <w:p/>
    <w:p/>
    <w:p/>
    <w:p/>
    <w:p/>
    <w:p/>
    <w:p/>
    <w:p/>
    <w:p/>
    <w:p/>
    <w:p/>
    <w:p/>
    <w:p/>
    <w:p/>
    <w:p/>
    <w:p/>
    <w:p/>
    <w:p/>
    <w:p/>
    <w:p/>
    <w:p>
      <w:pPr>
        <w:pStyle w:val="7"/>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bookmarkStart w:id="53" w:name="_Toc256000076"/>
      <w:bookmarkStart w:id="54" w:name="_Toc256000014"/>
      <w:bookmarkStart w:id="55" w:name="_Toc256000045"/>
      <w:bookmarkStart w:id="56" w:name="_Toc256000107"/>
      <w:r>
        <w:rPr>
          <w:rFonts w:ascii="黑体" w:hAnsi="黑体" w:eastAsia="黑体" w:cs="黑体"/>
          <w:b/>
          <w:spacing w:val="0"/>
        </w:rPr>
        <w:t>八、政府性基金预算财政拨款收入支出决算表</w:t>
      </w:r>
      <w:bookmarkEnd w:id="53"/>
      <w:bookmarkEnd w:id="54"/>
      <w:bookmarkEnd w:id="55"/>
      <w:bookmarkEnd w:id="56"/>
    </w:p>
    <w:p>
      <w:pPr>
        <w:rPr>
          <w:rFonts w:hint="eastAsia" w:eastAsia="宋体"/>
          <w:lang w:val="en-US" w:eastAsia="zh-CN"/>
        </w:rPr>
      </w:pPr>
      <w:r>
        <w:rPr>
          <w:rFonts w:hint="eastAsia"/>
          <w:lang w:val="en-US" w:eastAsia="zh-CN"/>
        </w:rPr>
        <w:t>.</w:t>
      </w:r>
    </w:p>
    <w:tbl>
      <w:tblPr>
        <w:tblStyle w:val="24"/>
        <w:tblW w:w="10506" w:type="dxa"/>
        <w:tblInd w:w="0" w:type="dxa"/>
        <w:tblLayout w:type="fixed"/>
        <w:tblCellMar>
          <w:top w:w="15" w:type="dxa"/>
          <w:left w:w="15" w:type="dxa"/>
          <w:bottom w:w="15" w:type="dxa"/>
          <w:right w:w="15" w:type="dxa"/>
        </w:tblCellMar>
      </w:tblPr>
      <w:tblGrid>
        <w:gridCol w:w="1313"/>
        <w:gridCol w:w="1313"/>
        <w:gridCol w:w="1313"/>
        <w:gridCol w:w="1314"/>
        <w:gridCol w:w="1313"/>
        <w:gridCol w:w="1313"/>
        <w:gridCol w:w="1314"/>
        <w:gridCol w:w="1313"/>
      </w:tblGrid>
      <w:tr>
        <w:tblPrEx>
          <w:tblLayout w:type="fixed"/>
          <w:tblCellMar>
            <w:top w:w="15" w:type="dxa"/>
            <w:left w:w="15" w:type="dxa"/>
            <w:bottom w:w="15" w:type="dxa"/>
            <w:right w:w="15" w:type="dxa"/>
          </w:tblCellMar>
        </w:tblPrEx>
        <w:trPr>
          <w:tblHeader/>
        </w:trPr>
        <w:tc>
          <w:tcPr>
            <w:tcW w:w="10506" w:type="dxa"/>
            <w:gridSpan w:val="8"/>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政府性基金预算财政拨款收入支出决算表</w:t>
            </w:r>
          </w:p>
        </w:tc>
      </w:tr>
      <w:tr>
        <w:tblPrEx>
          <w:tblLayout w:type="fixed"/>
          <w:tblCellMar>
            <w:top w:w="15" w:type="dxa"/>
            <w:left w:w="15" w:type="dxa"/>
            <w:bottom w:w="15" w:type="dxa"/>
            <w:right w:w="15" w:type="dxa"/>
          </w:tblCellMar>
        </w:tblPrEx>
        <w:trPr>
          <w:tblHeader/>
        </w:trPr>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5253"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单位：厦门市禾山中学</w:t>
            </w:r>
          </w:p>
        </w:tc>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26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w:t>
            </w:r>
          </w:p>
        </w:tc>
        <w:tc>
          <w:tcPr>
            <w:tcW w:w="13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年初结转和结余</w:t>
            </w:r>
            <w:r>
              <w:rPr>
                <w:rFonts w:ascii="Times New Roman" w:hAnsi="Times New Roman" w:eastAsia="Times New Roman" w:cs="Times New Roman"/>
                <w:b w:val="0"/>
                <w:bCs w:val="0"/>
                <w:i w:val="0"/>
                <w:iCs w:val="0"/>
                <w:smallCaps w:val="0"/>
                <w:color w:val="000000"/>
                <w:kern w:val="0"/>
                <w:sz w:val="26"/>
                <w:szCs w:val="26"/>
              </w:rPr>
              <w:t xml:space="preserve"> </w:t>
            </w:r>
          </w:p>
        </w:tc>
        <w:tc>
          <w:tcPr>
            <w:tcW w:w="131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本年收入</w:t>
            </w:r>
          </w:p>
        </w:tc>
        <w:tc>
          <w:tcPr>
            <w:tcW w:w="394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本年支出</w:t>
            </w:r>
          </w:p>
        </w:tc>
        <w:tc>
          <w:tcPr>
            <w:tcW w:w="13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年末结转和结余</w:t>
            </w:r>
          </w:p>
        </w:tc>
      </w:tr>
      <w:tr>
        <w:tblPrEx>
          <w:tblLayout w:type="fixed"/>
          <w:tblCellMar>
            <w:top w:w="15" w:type="dxa"/>
            <w:left w:w="15" w:type="dxa"/>
            <w:bottom w:w="15" w:type="dxa"/>
            <w:right w:w="15" w:type="dxa"/>
          </w:tblCellMar>
        </w:tblPrEx>
        <w:trPr>
          <w:tblHeader/>
        </w:trPr>
        <w:tc>
          <w:tcPr>
            <w:tcW w:w="13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支出功能分类科目编码</w:t>
            </w:r>
          </w:p>
        </w:tc>
        <w:tc>
          <w:tcPr>
            <w:tcW w:w="13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科目名称</w:t>
            </w: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小计</w:t>
            </w:r>
          </w:p>
        </w:tc>
        <w:tc>
          <w:tcPr>
            <w:tcW w:w="131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基本支出</w:t>
            </w:r>
            <w:r>
              <w:rPr>
                <w:rFonts w:ascii="Times New Roman" w:hAnsi="Times New Roman" w:eastAsia="Times New Roman" w:cs="Times New Roman"/>
                <w:b w:val="0"/>
                <w:bCs w:val="0"/>
                <w:i w:val="0"/>
                <w:iCs w:val="0"/>
                <w:smallCaps w:val="0"/>
                <w:color w:val="000000"/>
                <w:kern w:val="0"/>
                <w:sz w:val="26"/>
                <w:szCs w:val="26"/>
              </w:rPr>
              <w:t xml:space="preserve"> </w:t>
            </w:r>
          </w:p>
        </w:tc>
        <w:tc>
          <w:tcPr>
            <w:tcW w:w="131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项目支出</w:t>
            </w: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rPr>
          <w:tblHeader/>
        </w:trPr>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c>
          <w:tcPr>
            <w:tcW w:w="26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栏次</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13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w:t>
            </w:r>
          </w:p>
        </w:tc>
        <w:tc>
          <w:tcPr>
            <w:tcW w:w="13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w:t>
            </w:r>
          </w:p>
        </w:tc>
      </w:tr>
      <w:tr>
        <w:tblPrEx>
          <w:tblLayout w:type="fixed"/>
          <w:tblCellMar>
            <w:top w:w="15" w:type="dxa"/>
            <w:left w:w="15" w:type="dxa"/>
            <w:bottom w:w="15" w:type="dxa"/>
            <w:right w:w="15" w:type="dxa"/>
          </w:tblCellMar>
        </w:tblPrEx>
        <w:tc>
          <w:tcPr>
            <w:tcW w:w="26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229</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其他支出</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22960</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彩票公益金安排的支出</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2296003</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用于体育事业的彩票公益金支出</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1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3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0506" w:type="dxa"/>
            <w:gridSpan w:val="8"/>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注：本表反映部门本年度政府性基金预算财政拨款收入、支出及结转和结余情况。</w:t>
            </w:r>
          </w:p>
        </w:tc>
      </w:tr>
    </w:tbl>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hint="eastAsia" w:eastAsia="宋体"/>
          <w:lang w:val="en-US" w:eastAsia="zh-CN"/>
        </w:rPr>
      </w:pPr>
    </w:p>
    <w:p>
      <w:pPr>
        <w:rPr>
          <w:rFonts w:ascii="黑体" w:hAnsi="黑体" w:eastAsia="黑体" w:cs="黑体"/>
          <w:b/>
          <w:bCs/>
          <w:spacing w:val="0"/>
          <w:kern w:val="0"/>
          <w:sz w:val="32"/>
          <w:szCs w:val="32"/>
          <w:lang w:val="en-US" w:eastAsia="zh-CN" w:bidi="ar-SA"/>
        </w:rPr>
      </w:pPr>
      <w:bookmarkStart w:id="57" w:name="_Toc256000015"/>
      <w:bookmarkStart w:id="58" w:name="_Toc256000077"/>
      <w:bookmarkStart w:id="59" w:name="_Toc256000046"/>
      <w:bookmarkStart w:id="60" w:name="_Toc256000108"/>
      <w:r>
        <w:rPr>
          <w:rFonts w:ascii="黑体" w:hAnsi="黑体" w:eastAsia="黑体" w:cs="黑体"/>
          <w:b/>
          <w:bCs/>
          <w:spacing w:val="0"/>
          <w:kern w:val="0"/>
          <w:sz w:val="32"/>
          <w:szCs w:val="32"/>
          <w:lang w:val="en-US" w:eastAsia="zh-CN" w:bidi="ar-SA"/>
        </w:rPr>
        <w:t>九、国有资本经营预算财政拨款支出决算表</w:t>
      </w:r>
      <w:bookmarkEnd w:id="57"/>
      <w:bookmarkEnd w:id="58"/>
      <w:bookmarkEnd w:id="59"/>
      <w:bookmarkEnd w:id="60"/>
    </w:p>
    <w:p>
      <w:pPr>
        <w:rPr>
          <w:rFonts w:hint="eastAsia" w:ascii="黑体" w:hAnsi="黑体" w:eastAsia="黑体" w:cs="黑体"/>
          <w:b/>
          <w:bCs/>
          <w:spacing w:val="0"/>
          <w:kern w:val="0"/>
          <w:sz w:val="32"/>
          <w:szCs w:val="32"/>
          <w:lang w:val="en-US" w:eastAsia="zh-CN" w:bidi="ar-SA"/>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tabs>
          <w:tab w:val="left" w:pos="726"/>
        </w:tabs>
        <w:bidi w:val="0"/>
        <w:jc w:val="left"/>
        <w:rPr>
          <w:rFonts w:hint="eastAsia"/>
          <w:lang w:val="en-US" w:eastAsia="zh-CN"/>
        </w:rPr>
      </w:pPr>
      <w:r>
        <w:rPr>
          <w:rFonts w:hint="eastAsia"/>
          <w:lang w:val="en-US" w:eastAsia="zh-CN"/>
        </w:rPr>
        <w:tab/>
      </w:r>
    </w:p>
    <w:tbl>
      <w:tblPr>
        <w:tblStyle w:val="24"/>
        <w:tblW w:w="10506" w:type="dxa"/>
        <w:tblInd w:w="0" w:type="dxa"/>
        <w:tblLayout w:type="fixed"/>
        <w:tblCellMar>
          <w:top w:w="15" w:type="dxa"/>
          <w:left w:w="15" w:type="dxa"/>
          <w:bottom w:w="15" w:type="dxa"/>
          <w:right w:w="15" w:type="dxa"/>
        </w:tblCellMar>
      </w:tblPr>
      <w:tblGrid>
        <w:gridCol w:w="2101"/>
        <w:gridCol w:w="2100"/>
        <w:gridCol w:w="2101"/>
        <w:gridCol w:w="1"/>
        <w:gridCol w:w="2101"/>
        <w:gridCol w:w="2102"/>
      </w:tblGrid>
      <w:tr>
        <w:tblPrEx>
          <w:tblLayout w:type="fixed"/>
          <w:tblCellMar>
            <w:top w:w="15" w:type="dxa"/>
            <w:left w:w="15" w:type="dxa"/>
            <w:bottom w:w="15" w:type="dxa"/>
            <w:right w:w="15" w:type="dxa"/>
          </w:tblCellMar>
        </w:tblPrEx>
        <w:trPr>
          <w:tblHeader/>
        </w:trPr>
        <w:tc>
          <w:tcPr>
            <w:tcW w:w="10506" w:type="dxa"/>
            <w:gridSpan w:val="6"/>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国有资本经营预算财政拨款支出决算表</w:t>
            </w:r>
          </w:p>
        </w:tc>
      </w:tr>
      <w:tr>
        <w:tblPrEx>
          <w:tblLayout w:type="fixed"/>
          <w:tblCellMar>
            <w:top w:w="15" w:type="dxa"/>
            <w:left w:w="15" w:type="dxa"/>
            <w:bottom w:w="15" w:type="dxa"/>
            <w:right w:w="15" w:type="dxa"/>
          </w:tblCellMar>
        </w:tblPrEx>
        <w:trPr>
          <w:tblHeader/>
        </w:trPr>
        <w:tc>
          <w:tcPr>
            <w:tcW w:w="21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1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10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1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1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420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单位：厦门市禾山中学</w:t>
            </w:r>
          </w:p>
        </w:tc>
        <w:tc>
          <w:tcPr>
            <w:tcW w:w="210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21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10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c>
          <w:tcPr>
            <w:tcW w:w="420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项目</w:t>
            </w:r>
          </w:p>
        </w:tc>
        <w:tc>
          <w:tcPr>
            <w:tcW w:w="6305"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本年支出</w:t>
            </w:r>
          </w:p>
        </w:tc>
      </w:tr>
      <w:tr>
        <w:tblPrEx>
          <w:tblLayout w:type="fixed"/>
          <w:tblCellMar>
            <w:top w:w="15" w:type="dxa"/>
            <w:left w:w="15" w:type="dxa"/>
            <w:bottom w:w="15" w:type="dxa"/>
            <w:right w:w="15" w:type="dxa"/>
          </w:tblCellMar>
        </w:tblPrEx>
        <w:trPr>
          <w:tblHeader/>
        </w:trPr>
        <w:tc>
          <w:tcPr>
            <w:tcW w:w="210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科目代码</w:t>
            </w:r>
          </w:p>
        </w:tc>
        <w:tc>
          <w:tcPr>
            <w:tcW w:w="210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科目名称</w:t>
            </w:r>
          </w:p>
        </w:tc>
        <w:tc>
          <w:tcPr>
            <w:tcW w:w="210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合计</w:t>
            </w:r>
          </w:p>
        </w:tc>
        <w:tc>
          <w:tcPr>
            <w:tcW w:w="2102" w:type="dxa"/>
            <w:gridSpan w:val="2"/>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基本支出</w:t>
            </w:r>
          </w:p>
        </w:tc>
        <w:tc>
          <w:tcPr>
            <w:tcW w:w="210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项目支出</w:t>
            </w:r>
          </w:p>
        </w:tc>
      </w:tr>
      <w:tr>
        <w:tblPrEx>
          <w:tblLayout w:type="fixed"/>
          <w:tblCellMar>
            <w:top w:w="15" w:type="dxa"/>
            <w:left w:w="15" w:type="dxa"/>
            <w:bottom w:w="15" w:type="dxa"/>
            <w:right w:w="15" w:type="dxa"/>
          </w:tblCellMar>
        </w:tblPrEx>
        <w:trPr>
          <w:tblHeader/>
        </w:trPr>
        <w:tc>
          <w:tcPr>
            <w:tcW w:w="21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1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1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102"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1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r>
      <w:tr>
        <w:tblPrEx>
          <w:tblLayout w:type="fixed"/>
          <w:tblCellMar>
            <w:top w:w="15" w:type="dxa"/>
            <w:left w:w="15" w:type="dxa"/>
            <w:bottom w:w="15" w:type="dxa"/>
            <w:right w:w="15" w:type="dxa"/>
          </w:tblCellMar>
        </w:tblPrEx>
        <w:trPr>
          <w:tblHeader/>
        </w:trPr>
        <w:tc>
          <w:tcPr>
            <w:tcW w:w="21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1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10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102"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1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r>
      <w:tr>
        <w:tblPrEx>
          <w:tblLayout w:type="fixed"/>
          <w:tblCellMar>
            <w:top w:w="15" w:type="dxa"/>
            <w:left w:w="15" w:type="dxa"/>
            <w:bottom w:w="15" w:type="dxa"/>
            <w:right w:w="15" w:type="dxa"/>
          </w:tblCellMar>
        </w:tblPrEx>
        <w:tc>
          <w:tcPr>
            <w:tcW w:w="420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栏次</w:t>
            </w:r>
          </w:p>
        </w:tc>
        <w:tc>
          <w:tcPr>
            <w:tcW w:w="2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w:t>
            </w:r>
          </w:p>
        </w:tc>
        <w:tc>
          <w:tcPr>
            <w:tcW w:w="210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w:t>
            </w:r>
          </w:p>
        </w:tc>
        <w:tc>
          <w:tcPr>
            <w:tcW w:w="2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3</w:t>
            </w:r>
          </w:p>
        </w:tc>
      </w:tr>
      <w:tr>
        <w:tblPrEx>
          <w:tblLayout w:type="fixed"/>
          <w:tblCellMar>
            <w:top w:w="15" w:type="dxa"/>
            <w:left w:w="15" w:type="dxa"/>
            <w:bottom w:w="15" w:type="dxa"/>
            <w:right w:w="15" w:type="dxa"/>
          </w:tblCellMar>
        </w:tblPrEx>
        <w:tc>
          <w:tcPr>
            <w:tcW w:w="4201"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合计</w:t>
            </w:r>
          </w:p>
        </w:tc>
        <w:tc>
          <w:tcPr>
            <w:tcW w:w="2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10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2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1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10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10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1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10506" w:type="dxa"/>
            <w:gridSpan w:val="6"/>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注：本表反映部门本年度国有资本经营预算财政拨款支出情况。</w:t>
            </w:r>
          </w:p>
        </w:tc>
      </w:tr>
    </w:tbl>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tabs>
          <w:tab w:val="left" w:pos="726"/>
        </w:tabs>
        <w:bidi w:val="0"/>
        <w:jc w:val="left"/>
        <w:rPr>
          <w:rFonts w:hint="eastAsia"/>
          <w:lang w:val="en-US" w:eastAsia="zh-CN"/>
        </w:rPr>
      </w:pP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5"/>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61" w:name="_Toc256000016"/>
      <w:bookmarkStart w:id="62" w:name="_Toc256000078"/>
      <w:bookmarkStart w:id="63" w:name="_Toc256000109"/>
      <w:bookmarkStart w:id="64" w:name="_Toc256000047"/>
      <w:r>
        <w:rPr>
          <w:rFonts w:ascii="黑体" w:hAnsi="黑体" w:eastAsia="黑体" w:cs="黑体"/>
          <w:b/>
          <w:spacing w:val="0"/>
          <w:sz w:val="56"/>
          <w:szCs w:val="56"/>
        </w:rPr>
        <w:t>第三部分</w:t>
      </w:r>
      <w:bookmarkEnd w:id="61"/>
      <w:bookmarkEnd w:id="62"/>
      <w:bookmarkEnd w:id="63"/>
      <w:bookmarkEnd w:id="64"/>
    </w:p>
    <w:p>
      <w:pPr>
        <w:pStyle w:val="5"/>
        <w:keepNext w:val="0"/>
        <w:keepLines w:val="0"/>
        <w:spacing w:before="100" w:after="100" w:line="600" w:lineRule="atLeast"/>
        <w:ind w:left="0" w:right="0" w:firstLine="0" w:firstLineChars="0"/>
        <w:jc w:val="center"/>
        <w:rPr>
          <w:rFonts w:ascii="Times New Roman" w:hAnsi="Times New Roman" w:eastAsia="Times New Roman" w:cs="Times New Roman"/>
          <w:b/>
          <w:bCs/>
          <w:kern w:val="0"/>
          <w:sz w:val="36"/>
          <w:szCs w:val="36"/>
        </w:rPr>
      </w:pPr>
      <w:bookmarkStart w:id="65" w:name="_Toc256000048"/>
      <w:bookmarkStart w:id="66" w:name="_Toc256000079"/>
      <w:bookmarkStart w:id="67" w:name="_Toc256000110"/>
      <w:bookmarkStart w:id="68" w:name="_Toc256000017"/>
      <w:r>
        <w:rPr>
          <w:rFonts w:ascii="黑体" w:hAnsi="黑体" w:eastAsia="黑体" w:cs="黑体"/>
          <w:b/>
          <w:spacing w:val="0"/>
          <w:sz w:val="56"/>
          <w:szCs w:val="56"/>
        </w:rPr>
        <w:t>2024年度决算情况说明</w:t>
      </w:r>
      <w:bookmarkEnd w:id="65"/>
      <w:bookmarkEnd w:id="66"/>
      <w:bookmarkEnd w:id="67"/>
      <w:bookmarkEnd w:id="68"/>
    </w:p>
    <w:p>
      <w:pPr>
        <w:pStyle w:val="30"/>
        <w:widowControl/>
        <w:spacing w:before="100" w:after="100" w:line="600" w:lineRule="atLeast"/>
        <w:ind w:left="0" w:right="0" w:firstLine="0"/>
        <w:jc w:val="center"/>
        <w:rPr>
          <w:rFonts w:ascii="Times New Roman" w:hAnsi="Times New Roman" w:eastAsia="Times New Roman" w:cs="Times New Roman"/>
          <w:kern w:val="0"/>
          <w:sz w:val="24"/>
        </w:rPr>
      </w:pPr>
    </w:p>
    <w:p>
      <w:pPr>
        <w:sectPr>
          <w:footerReference r:id="rId8"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7"/>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69" w:name="_Toc256000049"/>
      <w:bookmarkStart w:id="70" w:name="_Toc256000018"/>
      <w:bookmarkStart w:id="71" w:name="_Toc256000080"/>
      <w:bookmarkStart w:id="72" w:name="_Toc256000111"/>
      <w:r>
        <w:rPr>
          <w:rFonts w:ascii="黑体" w:hAnsi="黑体" w:eastAsia="黑体" w:cs="黑体"/>
          <w:b/>
          <w:spacing w:val="0"/>
        </w:rPr>
        <w:t>一、收入支出决算总体情况说明</w:t>
      </w:r>
      <w:bookmarkEnd w:id="69"/>
      <w:bookmarkEnd w:id="70"/>
      <w:bookmarkEnd w:id="71"/>
      <w:bookmarkEnd w:id="72"/>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2024年度本单位收入总计9689.50万元，支出总计9689.50万元，与上年决算数相比，各增加377.37万元，各增长4.05%。主要</w:t>
      </w:r>
      <w:r>
        <w:rPr>
          <w:rFonts w:hint="eastAsia" w:ascii="仿宋" w:hAnsi="仿宋" w:eastAsia="仿宋" w:cs="仿宋"/>
          <w:spacing w:val="0"/>
          <w:kern w:val="0"/>
          <w:sz w:val="32"/>
          <w:szCs w:val="32"/>
        </w:rPr>
        <w:t>是</w:t>
      </w:r>
      <w:bookmarkStart w:id="73" w:name="OLE_LINK1"/>
      <w:r>
        <w:rPr>
          <w:rFonts w:hint="eastAsia" w:ascii="仿宋" w:hAnsi="仿宋" w:eastAsia="仿宋" w:cs="仿宋"/>
          <w:spacing w:val="0"/>
          <w:kern w:val="0"/>
          <w:sz w:val="32"/>
          <w:szCs w:val="32"/>
        </w:rPr>
        <w:t>学生人数</w:t>
      </w:r>
      <w:r>
        <w:rPr>
          <w:rFonts w:hint="eastAsia" w:ascii="仿宋" w:hAnsi="仿宋" w:eastAsia="仿宋" w:cs="仿宋"/>
          <w:spacing w:val="0"/>
          <w:kern w:val="0"/>
          <w:sz w:val="32"/>
          <w:szCs w:val="32"/>
          <w:lang w:val="en-US" w:eastAsia="zh-CN"/>
        </w:rPr>
        <w:t>增加</w:t>
      </w:r>
      <w:r>
        <w:rPr>
          <w:rFonts w:hint="eastAsia" w:ascii="仿宋" w:hAnsi="仿宋" w:eastAsia="仿宋" w:cs="仿宋"/>
          <w:spacing w:val="0"/>
          <w:kern w:val="0"/>
          <w:sz w:val="32"/>
          <w:szCs w:val="32"/>
        </w:rPr>
        <w:t>，因此生均经费</w:t>
      </w:r>
      <w:r>
        <w:rPr>
          <w:rFonts w:hint="eastAsia" w:ascii="仿宋" w:hAnsi="仿宋" w:eastAsia="仿宋" w:cs="仿宋"/>
          <w:spacing w:val="0"/>
          <w:kern w:val="0"/>
          <w:sz w:val="32"/>
          <w:szCs w:val="32"/>
          <w:lang w:val="en-US" w:eastAsia="zh-CN"/>
        </w:rPr>
        <w:t>增加</w:t>
      </w:r>
      <w:r>
        <w:rPr>
          <w:rFonts w:hint="eastAsia" w:ascii="仿宋" w:hAnsi="仿宋" w:eastAsia="仿宋" w:cs="仿宋"/>
          <w:spacing w:val="0"/>
          <w:kern w:val="0"/>
          <w:sz w:val="32"/>
          <w:szCs w:val="32"/>
        </w:rPr>
        <w:t>。</w:t>
      </w:r>
    </w:p>
    <w:bookmarkEnd w:id="73"/>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2024年度收入9689.50万元，比上年决算数</w:t>
      </w:r>
      <w:r>
        <w:rPr>
          <w:rFonts w:ascii="仿宋" w:hAnsi="仿宋" w:eastAsia="仿宋" w:cs="仿宋"/>
          <w:kern w:val="0"/>
          <w:sz w:val="32"/>
          <w:szCs w:val="32"/>
        </w:rPr>
        <w:t>增加</w:t>
      </w:r>
      <w:r>
        <w:rPr>
          <w:rFonts w:ascii="仿宋" w:hAnsi="仿宋" w:eastAsia="仿宋" w:cs="仿宋"/>
          <w:spacing w:val="0"/>
          <w:kern w:val="0"/>
          <w:sz w:val="32"/>
          <w:szCs w:val="32"/>
        </w:rPr>
        <w:t>377.37万元，</w:t>
      </w:r>
      <w:r>
        <w:rPr>
          <w:rFonts w:ascii="仿宋" w:hAnsi="仿宋" w:eastAsia="仿宋" w:cs="仿宋"/>
          <w:kern w:val="0"/>
          <w:sz w:val="32"/>
          <w:szCs w:val="32"/>
        </w:rPr>
        <w:t>增长</w:t>
      </w:r>
      <w:r>
        <w:rPr>
          <w:rFonts w:ascii="仿宋" w:hAnsi="仿宋" w:eastAsia="仿宋" w:cs="仿宋"/>
          <w:spacing w:val="0"/>
          <w:kern w:val="0"/>
          <w:sz w:val="32"/>
          <w:szCs w:val="32"/>
        </w:rPr>
        <w:t>4.05%，具体情况如下：</w:t>
      </w:r>
    </w:p>
    <w:p>
      <w:pPr>
        <w:pStyle w:val="30"/>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1.一般公共预算财政拨款收入9687.50万元。</w:t>
      </w:r>
    </w:p>
    <w:p>
      <w:pPr>
        <w:pStyle w:val="30"/>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2.政府性基金预算财政拨款收入2.00万元。</w:t>
      </w:r>
    </w:p>
    <w:p>
      <w:pPr>
        <w:pStyle w:val="30"/>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2024年度支出9689.50万元，比上年决算数增加377.37万元，增长4.05%，具体情况如下：</w:t>
      </w:r>
    </w:p>
    <w:p>
      <w:pPr>
        <w:pStyle w:val="30"/>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1.基本支出9153.53万元。其中，人员支出8373.04万元，公用支出780.49万元。</w:t>
      </w:r>
    </w:p>
    <w:p>
      <w:pPr>
        <w:pStyle w:val="30"/>
        <w:widowControl/>
        <w:spacing w:before="240" w:after="240"/>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2.项目支出535.97万元。</w:t>
      </w:r>
    </w:p>
    <w:p>
      <w:pPr>
        <w:pStyle w:val="30"/>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30"/>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30"/>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7"/>
        <w:keepNext w:val="0"/>
        <w:keepLines w:val="0"/>
        <w:spacing w:before="100" w:after="100" w:line="240" w:lineRule="auto"/>
        <w:ind w:left="0" w:right="0" w:firstLine="480" w:firstLineChars="0"/>
        <w:rPr>
          <w:rFonts w:ascii="Times New Roman" w:hAnsi="Times New Roman" w:eastAsia="Times New Roman" w:cs="Times New Roman"/>
          <w:b/>
          <w:bCs/>
          <w:kern w:val="0"/>
          <w:sz w:val="28"/>
          <w:szCs w:val="28"/>
        </w:rPr>
      </w:pPr>
      <w:bookmarkStart w:id="74" w:name="_Toc256000112"/>
      <w:bookmarkStart w:id="75" w:name="_Toc256000081"/>
      <w:bookmarkStart w:id="76" w:name="_Toc256000019"/>
      <w:bookmarkStart w:id="77" w:name="_Toc256000050"/>
      <w:r>
        <w:rPr>
          <w:rFonts w:ascii="黑体" w:hAnsi="黑体" w:eastAsia="黑体" w:cs="黑体"/>
          <w:b/>
          <w:spacing w:val="0"/>
        </w:rPr>
        <w:t>二、财政拨款收入支出决算总体情况说明</w:t>
      </w:r>
      <w:bookmarkEnd w:id="74"/>
      <w:bookmarkEnd w:id="75"/>
      <w:bookmarkEnd w:id="76"/>
      <w:bookmarkEnd w:id="77"/>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2024年度财政拨款收入总计9689.50万元，支出总计9689.50万元，与上年决算数相比，各增加377.37万元，增长4.05%，主要是：</w:t>
      </w:r>
      <w:r>
        <w:rPr>
          <w:rFonts w:hint="eastAsia" w:ascii="仿宋" w:hAnsi="仿宋" w:eastAsia="仿宋" w:cs="仿宋"/>
          <w:spacing w:val="0"/>
          <w:kern w:val="0"/>
          <w:sz w:val="32"/>
          <w:szCs w:val="32"/>
        </w:rPr>
        <w:t>学生人数</w:t>
      </w:r>
      <w:r>
        <w:rPr>
          <w:rFonts w:hint="eastAsia" w:ascii="仿宋" w:hAnsi="仿宋" w:eastAsia="仿宋" w:cs="仿宋"/>
          <w:spacing w:val="0"/>
          <w:kern w:val="0"/>
          <w:sz w:val="32"/>
          <w:szCs w:val="32"/>
          <w:lang w:val="en-US" w:eastAsia="zh-CN"/>
        </w:rPr>
        <w:t>增加</w:t>
      </w:r>
      <w:r>
        <w:rPr>
          <w:rFonts w:hint="eastAsia" w:ascii="仿宋" w:hAnsi="仿宋" w:eastAsia="仿宋" w:cs="仿宋"/>
          <w:spacing w:val="0"/>
          <w:kern w:val="0"/>
          <w:sz w:val="32"/>
          <w:szCs w:val="32"/>
        </w:rPr>
        <w:t>，因此生均经费</w:t>
      </w:r>
      <w:r>
        <w:rPr>
          <w:rFonts w:hint="eastAsia" w:ascii="仿宋" w:hAnsi="仿宋" w:eastAsia="仿宋" w:cs="仿宋"/>
          <w:spacing w:val="0"/>
          <w:kern w:val="0"/>
          <w:sz w:val="32"/>
          <w:szCs w:val="32"/>
          <w:lang w:val="en-US" w:eastAsia="zh-CN"/>
        </w:rPr>
        <w:t>增加</w:t>
      </w:r>
      <w:r>
        <w:rPr>
          <w:rFonts w:hint="eastAsia" w:ascii="仿宋" w:hAnsi="仿宋" w:eastAsia="仿宋" w:cs="仿宋"/>
          <w:spacing w:val="0"/>
          <w:kern w:val="0"/>
          <w:sz w:val="32"/>
          <w:szCs w:val="32"/>
        </w:rPr>
        <w:t>。</w:t>
      </w:r>
    </w:p>
    <w:p>
      <w:pPr>
        <w:pStyle w:val="7"/>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78" w:name="_Toc256000082"/>
      <w:bookmarkStart w:id="79" w:name="_Toc256000020"/>
      <w:bookmarkStart w:id="80" w:name="_Toc256000051"/>
      <w:bookmarkStart w:id="81" w:name="_Toc256000113"/>
      <w:r>
        <w:rPr>
          <w:rFonts w:ascii="黑体" w:hAnsi="黑体" w:eastAsia="黑体" w:cs="黑体"/>
          <w:b/>
          <w:spacing w:val="0"/>
        </w:rPr>
        <w:t>三、一般公共预算拨款支出决算情况说明</w:t>
      </w:r>
      <w:bookmarkEnd w:id="78"/>
      <w:bookmarkEnd w:id="79"/>
      <w:bookmarkEnd w:id="80"/>
      <w:bookmarkEnd w:id="81"/>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2024年一般公共预算支出9687.50万元，比上年决算数增加377.37万元，增长4.05%，具体情况如下(按</w:t>
      </w:r>
      <w:r>
        <w:rPr>
          <w:rStyle w:val="32"/>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30"/>
        <w:widowControl/>
        <w:spacing w:before="100" w:after="100" w:line="600" w:lineRule="atLeast"/>
        <w:ind w:left="0" w:right="0" w:firstLine="640"/>
        <w:jc w:val="left"/>
        <w:rPr>
          <w:rFonts w:hint="default" w:ascii="Times New Roman" w:hAnsi="Times New Roman" w:eastAsia="仿宋" w:cs="Times New Roman"/>
          <w:kern w:val="0"/>
          <w:sz w:val="24"/>
          <w:lang w:val="en-US" w:eastAsia="zh-CN"/>
        </w:rPr>
      </w:pPr>
      <w:r>
        <w:rPr>
          <w:rFonts w:ascii="仿宋" w:hAnsi="仿宋" w:eastAsia="仿宋" w:cs="仿宋"/>
          <w:spacing w:val="0"/>
          <w:kern w:val="0"/>
          <w:sz w:val="32"/>
          <w:szCs w:val="32"/>
        </w:rPr>
        <w:t>（一）2050202 小学教育2,330.79万元，较上年决算数增加1,868.10万元，增长403.75%。主要原因是</w:t>
      </w:r>
      <w:r>
        <w:rPr>
          <w:rFonts w:hint="eastAsia" w:ascii="仿宋" w:hAnsi="仿宋" w:eastAsia="仿宋" w:cs="仿宋"/>
          <w:spacing w:val="0"/>
          <w:kern w:val="0"/>
          <w:sz w:val="32"/>
          <w:szCs w:val="32"/>
        </w:rPr>
        <w:t>学生人数</w:t>
      </w:r>
      <w:r>
        <w:rPr>
          <w:rFonts w:hint="eastAsia" w:ascii="仿宋" w:hAnsi="仿宋" w:eastAsia="仿宋" w:cs="仿宋"/>
          <w:spacing w:val="0"/>
          <w:kern w:val="0"/>
          <w:sz w:val="32"/>
          <w:szCs w:val="32"/>
          <w:lang w:val="en-US" w:eastAsia="zh-CN"/>
        </w:rPr>
        <w:t>增加</w:t>
      </w:r>
      <w:r>
        <w:rPr>
          <w:rFonts w:hint="eastAsia" w:ascii="仿宋" w:hAnsi="仿宋" w:eastAsia="仿宋" w:cs="仿宋"/>
          <w:spacing w:val="0"/>
          <w:kern w:val="0"/>
          <w:sz w:val="32"/>
          <w:szCs w:val="32"/>
        </w:rPr>
        <w:t>，因此生均经费</w:t>
      </w:r>
      <w:r>
        <w:rPr>
          <w:rFonts w:hint="eastAsia" w:ascii="仿宋" w:hAnsi="仿宋" w:eastAsia="仿宋" w:cs="仿宋"/>
          <w:spacing w:val="0"/>
          <w:kern w:val="0"/>
          <w:sz w:val="32"/>
          <w:szCs w:val="32"/>
          <w:lang w:val="en-US" w:eastAsia="zh-CN"/>
        </w:rPr>
        <w:t>增加</w:t>
      </w:r>
      <w:r>
        <w:rPr>
          <w:rFonts w:hint="eastAsia" w:ascii="仿宋" w:hAnsi="仿宋" w:eastAsia="仿宋" w:cs="仿宋"/>
          <w:spacing w:val="0"/>
          <w:kern w:val="0"/>
          <w:sz w:val="32"/>
          <w:szCs w:val="32"/>
        </w:rPr>
        <w:t>。</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（二）2050203 初中教育4,525.13万元，较上年决算数减少1,624.55万元，下降26.42%。主要原因是</w:t>
      </w:r>
      <w:r>
        <w:rPr>
          <w:rFonts w:hint="eastAsia" w:ascii="仿宋" w:hAnsi="仿宋" w:eastAsia="仿宋" w:cs="仿宋"/>
          <w:spacing w:val="0"/>
          <w:kern w:val="0"/>
          <w:sz w:val="32"/>
          <w:szCs w:val="32"/>
        </w:rPr>
        <w:t>学生人数减少，因此生均经费少。</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（三）2050299 其他普通教育支出466.28万元，较上年决算数减少35.15万元，下降7.01%。主要原因是</w:t>
      </w:r>
      <w:r>
        <w:rPr>
          <w:rFonts w:hint="eastAsia" w:ascii="仿宋" w:hAnsi="仿宋" w:eastAsia="仿宋" w:cs="仿宋"/>
          <w:spacing w:val="0"/>
          <w:kern w:val="0"/>
          <w:sz w:val="32"/>
          <w:szCs w:val="32"/>
          <w:lang w:val="en-US" w:eastAsia="zh-CN"/>
        </w:rPr>
        <w:t>专项资金减少。</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（四）2050999 其他教育费附加安排的支出254.81万元，较上年决算数增加72.03万元，增长39.41%。主要原因是</w:t>
      </w:r>
      <w:r>
        <w:rPr>
          <w:rFonts w:hint="eastAsia" w:ascii="仿宋" w:hAnsi="仿宋" w:eastAsia="仿宋" w:cs="仿宋"/>
          <w:spacing w:val="0"/>
          <w:kern w:val="0"/>
          <w:sz w:val="32"/>
          <w:szCs w:val="32"/>
          <w:lang w:val="en-US" w:eastAsia="zh-CN"/>
        </w:rPr>
        <w:t>公用经费增加。</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（五）2059999 其他教育支出0.28万元，较上年决算数减少0.28万元，下降50.00%。主要原因是</w:t>
      </w:r>
      <w:r>
        <w:rPr>
          <w:rFonts w:hint="eastAsia" w:ascii="仿宋" w:hAnsi="仿宋" w:eastAsia="仿宋" w:cs="仿宋"/>
          <w:spacing w:val="0"/>
          <w:kern w:val="0"/>
          <w:sz w:val="32"/>
          <w:szCs w:val="32"/>
          <w:lang w:val="en-US" w:eastAsia="zh-CN"/>
        </w:rPr>
        <w:t>专项资金减少。</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（六）2080502 事业单位离退休762.51万元，较上年决算数增加114.51万元，增长17.67%。主要原因是</w:t>
      </w:r>
      <w:r>
        <w:rPr>
          <w:rFonts w:hint="eastAsia" w:ascii="仿宋" w:hAnsi="仿宋" w:eastAsia="仿宋" w:cs="仿宋"/>
          <w:spacing w:val="0"/>
          <w:kern w:val="0"/>
          <w:sz w:val="32"/>
          <w:szCs w:val="32"/>
        </w:rPr>
        <w:t>退休老师的增加。</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（七）2080505 机关事业单位基本养老保险缴费支出553.21万元，较上年决算数增加16.88万元，增长3.15%。主要原因是</w:t>
      </w:r>
      <w:r>
        <w:rPr>
          <w:rFonts w:hint="eastAsia" w:ascii="仿宋" w:hAnsi="仿宋" w:eastAsia="仿宋" w:cs="仿宋"/>
          <w:spacing w:val="0"/>
          <w:kern w:val="0"/>
          <w:sz w:val="32"/>
          <w:szCs w:val="32"/>
        </w:rPr>
        <w:t>社保基数的统一调整。</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（八）2080506 机关事业单位职业年金缴费支出368.12万元，较上年决算数减少113.65万元，下降23.59%。主要原因是</w:t>
      </w:r>
      <w:r>
        <w:rPr>
          <w:rFonts w:hint="eastAsia" w:ascii="仿宋" w:hAnsi="仿宋" w:eastAsia="仿宋" w:cs="仿宋"/>
          <w:spacing w:val="0"/>
          <w:kern w:val="0"/>
          <w:sz w:val="32"/>
          <w:szCs w:val="32"/>
        </w:rPr>
        <w:t>社保基数的统一调整。</w:t>
      </w:r>
      <w:r>
        <w:rPr>
          <w:rFonts w:ascii="仿宋" w:hAnsi="仿宋" w:eastAsia="仿宋" w:cs="仿宋"/>
          <w:spacing w:val="0"/>
          <w:kern w:val="0"/>
          <w:sz w:val="32"/>
          <w:szCs w:val="32"/>
        </w:rPr>
        <w:t>（九）2101102 事业单位医疗236.85万元，较上年决算数增加7.27万元，增长3.17%。主要原因是</w:t>
      </w:r>
      <w:r>
        <w:rPr>
          <w:rFonts w:hint="eastAsia" w:ascii="仿宋" w:hAnsi="仿宋" w:eastAsia="仿宋" w:cs="仿宋"/>
          <w:spacing w:val="0"/>
          <w:kern w:val="0"/>
          <w:sz w:val="32"/>
          <w:szCs w:val="32"/>
        </w:rPr>
        <w:t>社保基数的统一调整。</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（十）2101199 其他行政事业单位医疗支出121.02万元，较上年决算数增加3.71万元，增长3.17%。主要原因是</w:t>
      </w:r>
      <w:r>
        <w:rPr>
          <w:rFonts w:hint="eastAsia" w:ascii="仿宋" w:hAnsi="仿宋" w:eastAsia="仿宋" w:cs="仿宋"/>
          <w:spacing w:val="0"/>
          <w:kern w:val="0"/>
          <w:sz w:val="32"/>
          <w:szCs w:val="32"/>
        </w:rPr>
        <w:t>社保基数的统一调整。</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（十一）2210203 购房补贴68.49万元，较上年决算数增加68.49万元，增长100%。主要原因是</w:t>
      </w:r>
      <w:r>
        <w:rPr>
          <w:rFonts w:hint="eastAsia" w:ascii="仿宋" w:hAnsi="仿宋" w:eastAsia="仿宋" w:cs="仿宋"/>
          <w:spacing w:val="0"/>
          <w:kern w:val="0"/>
          <w:sz w:val="32"/>
          <w:szCs w:val="32"/>
          <w:lang w:val="en-US" w:eastAsia="zh-CN"/>
        </w:rPr>
        <w:t>申请货币化补贴人数增加。</w:t>
      </w:r>
    </w:p>
    <w:p>
      <w:pPr>
        <w:pStyle w:val="7"/>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2" w:name="_Toc256000114"/>
      <w:bookmarkStart w:id="83" w:name="_Toc256000052"/>
      <w:bookmarkStart w:id="84" w:name="_Toc256000021"/>
      <w:bookmarkStart w:id="85" w:name="_Toc256000083"/>
      <w:r>
        <w:rPr>
          <w:rFonts w:ascii="黑体" w:hAnsi="黑体" w:eastAsia="黑体" w:cs="黑体"/>
          <w:b/>
          <w:spacing w:val="0"/>
        </w:rPr>
        <w:t>四、政府性基金预算财政拨款支出决算情况说明</w:t>
      </w:r>
      <w:bookmarkEnd w:id="82"/>
      <w:bookmarkEnd w:id="83"/>
      <w:bookmarkEnd w:id="84"/>
      <w:bookmarkEnd w:id="85"/>
    </w:p>
    <w:p>
      <w:pPr>
        <w:pStyle w:val="30"/>
        <w:widowControl/>
        <w:spacing w:before="100" w:after="100" w:line="600" w:lineRule="atLeast"/>
        <w:ind w:left="0" w:right="0" w:firstLine="704"/>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2024年度政府性基金支出2.00万元，比上年决算数增加0万元，增长0%，具体情况如下(按项级科目统计)：</w:t>
      </w:r>
    </w:p>
    <w:p>
      <w:pPr>
        <w:pStyle w:val="30"/>
        <w:widowControl/>
        <w:spacing w:before="100" w:after="100" w:line="600" w:lineRule="atLeast"/>
        <w:ind w:left="0" w:right="0" w:firstLine="0"/>
        <w:jc w:val="left"/>
        <w:rPr>
          <w:rFonts w:ascii="Times New Roman" w:hAnsi="Times New Roman" w:eastAsia="Times New Roman" w:cs="Times New Roman"/>
          <w:kern w:val="0"/>
          <w:sz w:val="24"/>
        </w:rPr>
      </w:pPr>
      <w:r>
        <w:rPr>
          <w:rFonts w:ascii="仿宋" w:hAnsi="仿宋" w:eastAsia="仿宋" w:cs="仿宋"/>
          <w:spacing w:val="0"/>
          <w:kern w:val="0"/>
          <w:sz w:val="32"/>
          <w:szCs w:val="32"/>
        </w:rPr>
        <w:t>（一）2296003 用于体育事业的彩票公益金支出2.00万元，较上年决算数增加0.00万元，增长0.00%。与上年决算数持平。</w:t>
      </w:r>
    </w:p>
    <w:p>
      <w:pPr>
        <w:pStyle w:val="30"/>
        <w:widowControl/>
        <w:spacing w:before="100" w:after="100" w:line="600" w:lineRule="atLeast"/>
        <w:ind w:left="0" w:right="0" w:firstLine="640"/>
        <w:jc w:val="left"/>
        <w:rPr>
          <w:rFonts w:hint="eastAsia" w:ascii="Times New Roman" w:hAnsi="Times New Roman" w:eastAsia="楷体" w:cs="Times New Roman"/>
          <w:kern w:val="0"/>
          <w:sz w:val="24"/>
          <w:lang w:val="en-US" w:eastAsia="zh-CN"/>
        </w:rPr>
      </w:pPr>
      <w:r>
        <w:rPr>
          <w:rFonts w:ascii="楷体" w:hAnsi="楷体" w:eastAsia="楷体" w:cs="楷体"/>
          <w:spacing w:val="0"/>
          <w:kern w:val="0"/>
          <w:sz w:val="32"/>
          <w:szCs w:val="32"/>
        </w:rPr>
        <w:t>本单位2024年度没有使用政府性基金预算拨款安排的支出</w:t>
      </w:r>
      <w:r>
        <w:rPr>
          <w:rFonts w:hint="eastAsia" w:ascii="楷体" w:hAnsi="楷体" w:eastAsia="楷体" w:cs="楷体"/>
          <w:spacing w:val="0"/>
          <w:kern w:val="0"/>
          <w:sz w:val="32"/>
          <w:szCs w:val="32"/>
          <w:lang w:eastAsia="zh-CN"/>
        </w:rPr>
        <w:t>。</w:t>
      </w:r>
    </w:p>
    <w:p>
      <w:pPr>
        <w:pStyle w:val="7"/>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6" w:name="_Toc256000115"/>
      <w:bookmarkStart w:id="87" w:name="_Toc256000053"/>
      <w:bookmarkStart w:id="88" w:name="_Toc256000022"/>
      <w:bookmarkStart w:id="89" w:name="_Toc256000084"/>
      <w:r>
        <w:rPr>
          <w:rFonts w:ascii="黑体" w:hAnsi="黑体" w:eastAsia="黑体" w:cs="黑体"/>
          <w:b/>
          <w:spacing w:val="0"/>
        </w:rPr>
        <w:t>五、国有资本经营预算财政拨款支出决算情况说明</w:t>
      </w:r>
      <w:bookmarkEnd w:id="86"/>
      <w:bookmarkEnd w:id="87"/>
      <w:bookmarkEnd w:id="88"/>
      <w:bookmarkEnd w:id="89"/>
    </w:p>
    <w:p>
      <w:pPr>
        <w:pStyle w:val="30"/>
        <w:widowControl/>
        <w:spacing w:before="100" w:after="100" w:line="600" w:lineRule="atLeast"/>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2024年度国有资本经营预算支出0万元，比上年决算数增加0万元，增长0%。</w:t>
      </w:r>
    </w:p>
    <w:p>
      <w:pPr>
        <w:pStyle w:val="30"/>
        <w:widowControl/>
        <w:spacing w:before="100" w:after="100" w:line="600" w:lineRule="atLeast"/>
        <w:ind w:left="0" w:right="0" w:firstLine="640"/>
        <w:jc w:val="left"/>
        <w:rPr>
          <w:rFonts w:ascii="仿宋" w:hAnsi="仿宋" w:eastAsia="仿宋" w:cs="仿宋"/>
          <w:spacing w:val="0"/>
          <w:kern w:val="0"/>
          <w:sz w:val="32"/>
          <w:szCs w:val="32"/>
        </w:rPr>
      </w:pPr>
      <w:r>
        <w:rPr>
          <w:rFonts w:ascii="楷体" w:hAnsi="楷体" w:eastAsia="楷体" w:cs="楷体"/>
          <w:spacing w:val="0"/>
          <w:kern w:val="0"/>
          <w:sz w:val="32"/>
          <w:szCs w:val="32"/>
        </w:rPr>
        <w:t>本单位2024年度没有使用国有资本经营预算财政拨款安排的支出。</w:t>
      </w:r>
    </w:p>
    <w:p>
      <w:pPr>
        <w:pStyle w:val="7"/>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90" w:name="_Toc256000023"/>
      <w:bookmarkStart w:id="91" w:name="_Toc256000085"/>
      <w:bookmarkStart w:id="92" w:name="_Toc256000116"/>
      <w:bookmarkStart w:id="93" w:name="_Toc256000054"/>
      <w:r>
        <w:rPr>
          <w:rFonts w:ascii="黑体" w:hAnsi="黑体" w:eastAsia="黑体" w:cs="黑体"/>
          <w:b/>
          <w:spacing w:val="0"/>
        </w:rPr>
        <w:t>六、一般公共预算财政拨款基本支出决算情况说明</w:t>
      </w:r>
      <w:bookmarkEnd w:id="90"/>
      <w:bookmarkEnd w:id="91"/>
      <w:bookmarkEnd w:id="92"/>
      <w:bookmarkEnd w:id="93"/>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2024年度一般公共预算财政拨款基本支出9153.53万元，其中：</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一）人员经费8373.04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二）公用经费780.49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7"/>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94" w:name="_Toc256000086"/>
      <w:bookmarkStart w:id="95" w:name="_Toc256000055"/>
      <w:bookmarkStart w:id="96" w:name="_Toc256000024"/>
      <w:bookmarkStart w:id="97" w:name="_Toc256000117"/>
      <w:r>
        <w:rPr>
          <w:rFonts w:ascii="黑体" w:hAnsi="黑体" w:eastAsia="黑体" w:cs="黑体"/>
          <w:b/>
          <w:spacing w:val="0"/>
        </w:rPr>
        <w:t>七、一般公共预算拨款“三公”经费支出决算情况说明</w:t>
      </w:r>
      <w:bookmarkEnd w:id="94"/>
      <w:bookmarkEnd w:id="95"/>
      <w:bookmarkEnd w:id="96"/>
      <w:bookmarkEnd w:id="97"/>
    </w:p>
    <w:p>
      <w:pPr>
        <w:pStyle w:val="30"/>
        <w:widowControl/>
        <w:spacing w:before="100" w:after="100" w:line="600" w:lineRule="atLeast"/>
        <w:ind w:left="0" w:right="0" w:firstLine="704"/>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2024年度一般公共预算拨款“三公”经费支出0万元，完成全年预算的 0%；较上年增加0万元，增长0%。主要原因是</w:t>
      </w:r>
      <w:r>
        <w:rPr>
          <w:rFonts w:hint="eastAsia" w:ascii="仿宋" w:hAnsi="仿宋" w:eastAsia="仿宋" w:cs="仿宋"/>
          <w:spacing w:val="0"/>
          <w:kern w:val="0"/>
          <w:sz w:val="32"/>
          <w:szCs w:val="32"/>
        </w:rPr>
        <w:t>本单位没有使用“三公”</w:t>
      </w:r>
      <w:r>
        <w:rPr>
          <w:rFonts w:hint="eastAsia" w:ascii="仿宋" w:hAnsi="仿宋" w:eastAsia="仿宋" w:cs="仿宋"/>
          <w:spacing w:val="0"/>
          <w:kern w:val="0"/>
          <w:sz w:val="32"/>
          <w:szCs w:val="32"/>
          <w:lang w:val="en-US" w:eastAsia="zh-CN"/>
        </w:rPr>
        <w:t>经费支出</w:t>
      </w:r>
      <w:r>
        <w:rPr>
          <w:rFonts w:ascii="仿宋" w:hAnsi="仿宋" w:eastAsia="仿宋" w:cs="仿宋"/>
          <w:spacing w:val="0"/>
          <w:kern w:val="0"/>
          <w:sz w:val="32"/>
          <w:szCs w:val="32"/>
        </w:rPr>
        <w:t>。具体情况如下：</w:t>
      </w:r>
    </w:p>
    <w:p>
      <w:pPr>
        <w:pStyle w:val="30"/>
        <w:widowControl/>
        <w:spacing w:before="100" w:after="100" w:line="600" w:lineRule="atLeast"/>
        <w:ind w:left="0" w:right="0" w:firstLine="704"/>
        <w:jc w:val="left"/>
        <w:rPr>
          <w:rFonts w:ascii="Times New Roman" w:hAnsi="Times New Roman" w:eastAsia="Times New Roman" w:cs="Times New Roman"/>
          <w:kern w:val="0"/>
          <w:sz w:val="24"/>
        </w:rPr>
      </w:pPr>
      <w:r>
        <w:rPr>
          <w:rFonts w:ascii="仿宋" w:hAnsi="仿宋" w:eastAsia="仿宋" w:cs="仿宋"/>
          <w:spacing w:val="0"/>
          <w:kern w:val="0"/>
          <w:sz w:val="32"/>
          <w:szCs w:val="32"/>
        </w:rPr>
        <w:t>（一）因公出国（境）费支出0万元，完成全年预算的 0%；较上年增加0万元，增长0%。全年安排本单位组织的出国团组0 个，参加其他单位出国团组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个；全年因公出国（境）累计0人次。主要是</w:t>
      </w:r>
      <w:r>
        <w:rPr>
          <w:rFonts w:hint="eastAsia" w:ascii="仿宋" w:hAnsi="仿宋" w:eastAsia="仿宋" w:cs="仿宋"/>
          <w:spacing w:val="0"/>
          <w:kern w:val="0"/>
          <w:sz w:val="32"/>
          <w:szCs w:val="32"/>
        </w:rPr>
        <w:t>本部门没有安排出国团组及参加其他单位出国团组。</w:t>
      </w:r>
    </w:p>
    <w:p>
      <w:pPr>
        <w:pStyle w:val="30"/>
        <w:widowControl/>
        <w:spacing w:before="100" w:after="100" w:line="600" w:lineRule="atLeast"/>
        <w:ind w:left="0" w:right="0" w:firstLine="645"/>
        <w:jc w:val="left"/>
        <w:rPr>
          <w:rFonts w:ascii="Times New Roman" w:hAnsi="Times New Roman" w:eastAsia="Times New Roman" w:cs="Times New Roman"/>
          <w:kern w:val="0"/>
          <w:sz w:val="24"/>
        </w:rPr>
      </w:pPr>
      <w:r>
        <w:rPr>
          <w:rFonts w:ascii="仿宋" w:hAnsi="仿宋" w:eastAsia="仿宋" w:cs="仿宋"/>
          <w:spacing w:val="0"/>
          <w:kern w:val="0"/>
          <w:sz w:val="32"/>
          <w:szCs w:val="32"/>
        </w:rPr>
        <w:t>（二）公务用车购置及运行费支出0万元，完成全年预算的0%；较上年增加0万元，增长0%。</w:t>
      </w:r>
      <w:r>
        <w:rPr>
          <w:rFonts w:hint="eastAsia" w:ascii="仿宋" w:hAnsi="仿宋" w:eastAsia="仿宋" w:cs="仿宋"/>
          <w:spacing w:val="0"/>
          <w:kern w:val="0"/>
          <w:sz w:val="32"/>
          <w:szCs w:val="32"/>
        </w:rPr>
        <w:t>主要是本单位没有购置公务用车及运行费支出。</w:t>
      </w:r>
      <w:r>
        <w:rPr>
          <w:rFonts w:ascii="仿宋" w:hAnsi="仿宋" w:eastAsia="仿宋" w:cs="仿宋"/>
          <w:spacing w:val="0"/>
          <w:kern w:val="0"/>
          <w:sz w:val="32"/>
          <w:szCs w:val="32"/>
        </w:rPr>
        <w:t>其中：</w:t>
      </w:r>
    </w:p>
    <w:p>
      <w:pPr>
        <w:pStyle w:val="30"/>
        <w:widowControl/>
        <w:spacing w:before="100" w:after="100" w:line="600" w:lineRule="atLeast"/>
        <w:ind w:left="0" w:right="0" w:firstLine="645"/>
        <w:jc w:val="left"/>
        <w:rPr>
          <w:rFonts w:ascii="仿宋" w:hAnsi="仿宋" w:eastAsia="仿宋" w:cs="仿宋"/>
          <w:spacing w:val="0"/>
          <w:kern w:val="0"/>
          <w:sz w:val="32"/>
          <w:szCs w:val="32"/>
        </w:rPr>
      </w:pPr>
      <w:r>
        <w:rPr>
          <w:rFonts w:ascii="仿宋" w:hAnsi="仿宋" w:eastAsia="仿宋" w:cs="仿宋"/>
          <w:spacing w:val="0"/>
          <w:kern w:val="0"/>
          <w:sz w:val="32"/>
          <w:szCs w:val="32"/>
        </w:rPr>
        <w:t>公务用车购置费支出0万元，完成全年预算的0%；较上年增加0万元，增长0%。2024年公务用车购置0辆，主要是</w:t>
      </w:r>
    </w:p>
    <w:p>
      <w:pPr>
        <w:pStyle w:val="30"/>
        <w:widowControl/>
        <w:spacing w:before="100" w:after="100" w:line="600" w:lineRule="atLeast"/>
        <w:ind w:left="0" w:right="0" w:firstLine="645"/>
        <w:jc w:val="left"/>
        <w:rPr>
          <w:rFonts w:ascii="Times New Roman" w:hAnsi="Times New Roman" w:eastAsia="Times New Roman" w:cs="Times New Roman"/>
          <w:kern w:val="0"/>
          <w:sz w:val="24"/>
        </w:rPr>
      </w:pPr>
      <w:r>
        <w:rPr>
          <w:rFonts w:hint="eastAsia" w:ascii="仿宋" w:hAnsi="仿宋" w:eastAsia="仿宋" w:cs="仿宋"/>
          <w:spacing w:val="0"/>
          <w:kern w:val="0"/>
          <w:sz w:val="32"/>
          <w:szCs w:val="32"/>
        </w:rPr>
        <w:t>本单位没有购置公务用车。</w:t>
      </w:r>
    </w:p>
    <w:p>
      <w:pPr>
        <w:pStyle w:val="30"/>
        <w:widowControl/>
        <w:spacing w:before="100" w:after="100" w:line="600" w:lineRule="atLeast"/>
        <w:ind w:left="0" w:right="0" w:firstLine="645"/>
        <w:jc w:val="left"/>
        <w:rPr>
          <w:rFonts w:ascii="仿宋" w:hAnsi="仿宋" w:eastAsia="仿宋" w:cs="仿宋"/>
          <w:spacing w:val="0"/>
          <w:kern w:val="0"/>
          <w:sz w:val="32"/>
          <w:szCs w:val="32"/>
        </w:rPr>
      </w:pPr>
      <w:r>
        <w:rPr>
          <w:rFonts w:ascii="仿宋" w:hAnsi="仿宋" w:eastAsia="仿宋" w:cs="仿宋"/>
          <w:spacing w:val="0"/>
          <w:kern w:val="0"/>
          <w:sz w:val="32"/>
          <w:szCs w:val="32"/>
        </w:rPr>
        <w:t>公务用车运行费支出0万元，完成全年预算的0%；较上年增加0万元，增长0%。主要是</w:t>
      </w:r>
      <w:r>
        <w:rPr>
          <w:rFonts w:hint="eastAsia" w:ascii="仿宋" w:hAnsi="仿宋" w:eastAsia="仿宋" w:cs="仿宋"/>
          <w:spacing w:val="0"/>
          <w:kern w:val="0"/>
          <w:sz w:val="32"/>
          <w:szCs w:val="32"/>
        </w:rPr>
        <w:t>本单位无公务用车运行费用支出</w:t>
      </w:r>
      <w:r>
        <w:rPr>
          <w:rFonts w:ascii="仿宋" w:hAnsi="仿宋" w:eastAsia="仿宋" w:cs="仿宋"/>
          <w:spacing w:val="0"/>
          <w:kern w:val="0"/>
          <w:sz w:val="32"/>
          <w:szCs w:val="32"/>
        </w:rPr>
        <w:t>。截至2024年12月31日，本单位公务用车保有量为0 辆。</w:t>
      </w:r>
    </w:p>
    <w:p>
      <w:pPr>
        <w:pStyle w:val="30"/>
        <w:widowControl/>
        <w:spacing w:before="100" w:after="100" w:line="600" w:lineRule="atLeast"/>
        <w:ind w:left="0" w:right="0" w:firstLine="645"/>
        <w:jc w:val="left"/>
        <w:rPr>
          <w:rFonts w:ascii="Times New Roman" w:hAnsi="Times New Roman" w:eastAsia="Times New Roman" w:cs="Times New Roman"/>
          <w:kern w:val="0"/>
          <w:sz w:val="24"/>
        </w:rPr>
      </w:pPr>
      <w:r>
        <w:rPr>
          <w:rFonts w:ascii="仿宋" w:hAnsi="仿宋" w:eastAsia="仿宋" w:cs="仿宋"/>
          <w:spacing w:val="0"/>
          <w:kern w:val="0"/>
          <w:sz w:val="32"/>
          <w:szCs w:val="32"/>
        </w:rPr>
        <w:t>（三）公务接待费支出0万元，完成全年预算的 0%；较上年增加0万元，增长0%。主要是。累计接待0批次、0人次。主要是</w:t>
      </w:r>
      <w:r>
        <w:rPr>
          <w:rFonts w:hint="eastAsia" w:ascii="仿宋" w:hAnsi="仿宋" w:eastAsia="仿宋" w:cs="仿宋"/>
          <w:spacing w:val="0"/>
          <w:kern w:val="0"/>
          <w:sz w:val="32"/>
          <w:szCs w:val="32"/>
        </w:rPr>
        <w:t>没有公务接待活动。</w:t>
      </w:r>
    </w:p>
    <w:p>
      <w:pPr>
        <w:pStyle w:val="30"/>
        <w:widowControl/>
        <w:spacing w:before="100" w:after="100" w:line="600" w:lineRule="atLeast"/>
        <w:ind w:left="0" w:right="0" w:firstLine="704"/>
        <w:jc w:val="left"/>
        <w:rPr>
          <w:rFonts w:ascii="仿宋" w:hAnsi="仿宋" w:eastAsia="仿宋" w:cs="仿宋"/>
          <w:spacing w:val="0"/>
          <w:kern w:val="0"/>
          <w:sz w:val="32"/>
          <w:szCs w:val="32"/>
        </w:rPr>
      </w:pPr>
      <w:r>
        <w:rPr>
          <w:rFonts w:ascii="仿宋" w:hAnsi="仿宋" w:eastAsia="仿宋" w:cs="仿宋"/>
          <w:spacing w:val="0"/>
          <w:kern w:val="0"/>
          <w:sz w:val="32"/>
          <w:szCs w:val="32"/>
        </w:rPr>
        <w:t>本年无因公出国（境）</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公务用车购置及运行</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t>公务接待</w:t>
      </w:r>
      <w:r>
        <w:rPr>
          <w:rFonts w:hint="eastAsia" w:ascii="仿宋" w:hAnsi="仿宋" w:eastAsia="仿宋" w:cs="仿宋"/>
          <w:spacing w:val="0"/>
          <w:kern w:val="0"/>
          <w:sz w:val="32"/>
          <w:szCs w:val="32"/>
          <w:lang w:val="en-US" w:eastAsia="zh-CN"/>
        </w:rPr>
        <w:t>的</w:t>
      </w:r>
      <w:r>
        <w:rPr>
          <w:rFonts w:ascii="仿宋" w:hAnsi="仿宋" w:eastAsia="仿宋" w:cs="仿宋"/>
          <w:spacing w:val="0"/>
          <w:kern w:val="0"/>
          <w:sz w:val="32"/>
          <w:szCs w:val="32"/>
        </w:rPr>
        <w:t>费用支出。</w:t>
      </w:r>
    </w:p>
    <w:p>
      <w:pPr>
        <w:pStyle w:val="7"/>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98" w:name="_Toc256000087"/>
      <w:bookmarkStart w:id="99" w:name="_Toc256000056"/>
      <w:bookmarkStart w:id="100" w:name="_Toc256000025"/>
      <w:bookmarkStart w:id="101" w:name="_Toc256000118"/>
      <w:r>
        <w:rPr>
          <w:rFonts w:ascii="黑体" w:hAnsi="黑体" w:eastAsia="黑体" w:cs="黑体"/>
          <w:b/>
          <w:spacing w:val="0"/>
        </w:rPr>
        <w:t>八、预算绩效情况说明</w:t>
      </w:r>
      <w:bookmarkEnd w:id="98"/>
      <w:bookmarkEnd w:id="99"/>
      <w:bookmarkEnd w:id="100"/>
      <w:bookmarkEnd w:id="101"/>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根据预算绩效管理要求，本单位组织对2024年度个项目实施单位自评，分别是等项目，涉及财政拨款资金共计</w:t>
      </w:r>
      <w:r>
        <w:rPr>
          <w:rFonts w:hint="eastAsia" w:ascii="仿宋" w:hAnsi="仿宋" w:eastAsia="仿宋" w:cs="仿宋"/>
          <w:spacing w:val="0"/>
          <w:kern w:val="0"/>
          <w:sz w:val="32"/>
          <w:szCs w:val="32"/>
          <w:lang w:val="en-US" w:eastAsia="zh-CN"/>
        </w:rPr>
        <w:t>15.6</w:t>
      </w:r>
      <w:r>
        <w:rPr>
          <w:rFonts w:ascii="仿宋" w:hAnsi="仿宋" w:eastAsia="仿宋" w:cs="仿宋"/>
          <w:spacing w:val="0"/>
          <w:kern w:val="0"/>
          <w:sz w:val="32"/>
          <w:szCs w:val="32"/>
        </w:rPr>
        <w:t>万元。（《项目支出绩效自评表》详见附件）</w:t>
      </w:r>
    </w:p>
    <w:p>
      <w:pPr>
        <w:pStyle w:val="7"/>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102" w:name="_Toc256000119"/>
      <w:bookmarkStart w:id="103" w:name="_Toc256000057"/>
      <w:bookmarkStart w:id="104" w:name="_Toc256000088"/>
      <w:bookmarkStart w:id="105" w:name="_Toc256000026"/>
      <w:r>
        <w:rPr>
          <w:rFonts w:ascii="黑体" w:hAnsi="黑体" w:eastAsia="黑体" w:cs="黑体"/>
          <w:b/>
          <w:spacing w:val="0"/>
        </w:rPr>
        <w:t>九、其他重要事项说明</w:t>
      </w:r>
      <w:bookmarkEnd w:id="102"/>
      <w:bookmarkEnd w:id="103"/>
      <w:bookmarkEnd w:id="104"/>
      <w:bookmarkEnd w:id="105"/>
    </w:p>
    <w:p>
      <w:pPr>
        <w:pStyle w:val="30"/>
        <w:widowControl/>
        <w:spacing w:before="100" w:after="100" w:line="600" w:lineRule="atLeast"/>
        <w:ind w:left="0" w:right="0" w:firstLine="643"/>
        <w:jc w:val="left"/>
        <w:rPr>
          <w:rFonts w:ascii="Times New Roman" w:hAnsi="Times New Roman" w:eastAsia="Times New Roman" w:cs="Times New Roman"/>
          <w:kern w:val="0"/>
          <w:sz w:val="24"/>
        </w:rPr>
      </w:pPr>
      <w:r>
        <w:rPr>
          <w:rFonts w:ascii="楷体" w:hAnsi="楷体" w:eastAsia="楷体" w:cs="楷体"/>
          <w:spacing w:val="0"/>
          <w:kern w:val="0"/>
          <w:sz w:val="32"/>
          <w:szCs w:val="32"/>
        </w:rPr>
        <w:t>（一）机关运行经费</w:t>
      </w:r>
      <w:r>
        <w:rPr>
          <w:rFonts w:ascii="宋体" w:hAnsi="宋体" w:cs="宋体"/>
          <w:spacing w:val="0"/>
          <w:kern w:val="0"/>
          <w:sz w:val="32"/>
          <w:szCs w:val="32"/>
        </w:rPr>
        <w:t> </w:t>
      </w:r>
    </w:p>
    <w:p>
      <w:pPr>
        <w:pStyle w:val="30"/>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2024年度机关运行经费支出0万元，比上年决算数增加0万元，增长0%，主要原因是</w:t>
      </w:r>
      <w:r>
        <w:rPr>
          <w:rFonts w:hint="eastAsia" w:ascii="仿宋" w:hAnsi="仿宋" w:eastAsia="仿宋" w:cs="仿宋"/>
          <w:spacing w:val="0"/>
          <w:kern w:val="0"/>
          <w:sz w:val="32"/>
          <w:szCs w:val="32"/>
        </w:rPr>
        <w:t>本单位为事业单位没有机关运行经费</w:t>
      </w:r>
      <w:r>
        <w:rPr>
          <w:rFonts w:ascii="仿宋" w:hAnsi="仿宋" w:eastAsia="仿宋" w:cs="仿宋"/>
          <w:spacing w:val="0"/>
          <w:kern w:val="0"/>
          <w:sz w:val="32"/>
          <w:szCs w:val="32"/>
        </w:rPr>
        <w:t>。</w:t>
      </w:r>
    </w:p>
    <w:p>
      <w:pPr>
        <w:pStyle w:val="30"/>
        <w:widowControl/>
        <w:spacing w:before="100" w:after="100" w:line="600" w:lineRule="atLeast"/>
        <w:ind w:left="0" w:right="0" w:firstLine="643"/>
        <w:jc w:val="left"/>
        <w:rPr>
          <w:rFonts w:ascii="Times New Roman" w:hAnsi="Times New Roman" w:eastAsia="Times New Roman" w:cs="Times New Roman"/>
          <w:kern w:val="0"/>
          <w:sz w:val="24"/>
        </w:rPr>
      </w:pPr>
      <w:r>
        <w:rPr>
          <w:rStyle w:val="32"/>
          <w:rFonts w:ascii="楷体" w:hAnsi="楷体" w:eastAsia="楷体" w:cs="楷体"/>
          <w:b/>
          <w:bCs/>
          <w:spacing w:val="0"/>
          <w:kern w:val="0"/>
          <w:sz w:val="32"/>
          <w:szCs w:val="32"/>
        </w:rPr>
        <w:t>（二）政府采购情况</w:t>
      </w:r>
    </w:p>
    <w:p>
      <w:pPr>
        <w:pStyle w:val="30"/>
        <w:widowControl/>
        <w:spacing w:before="100" w:after="100" w:line="600" w:lineRule="atLeast"/>
        <w:ind w:left="0" w:right="0" w:firstLine="640"/>
        <w:jc w:val="left"/>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本单位2024年度政府采购支出总额</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万元，其中：政府采购货物支出0万元、政府采购工程支出</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万元、政府采购服务支出</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万元。授予中小企业合同金额</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万元，占政府采购支出总额的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%，其中：授予小微企业合同金额</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万元，占授予中小企业合同金额的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spacing w:val="0"/>
          <w:kern w:val="0"/>
          <w:sz w:val="32"/>
          <w:szCs w:val="32"/>
          <w:lang w:val="en-US" w:eastAsia="zh-CN"/>
        </w:rPr>
        <w:t>0%。</w:t>
      </w:r>
    </w:p>
    <w:p>
      <w:pPr>
        <w:pStyle w:val="30"/>
        <w:widowControl/>
        <w:spacing w:before="100" w:after="100" w:line="600" w:lineRule="atLeast"/>
        <w:ind w:left="0" w:right="0" w:firstLine="640"/>
        <w:jc w:val="left"/>
        <w:rPr>
          <w:rFonts w:hint="default" w:ascii="仿宋" w:hAnsi="仿宋" w:eastAsia="仿宋" w:cs="仿宋"/>
          <w:spacing w:val="0"/>
          <w:kern w:val="0"/>
          <w:sz w:val="32"/>
          <w:szCs w:val="32"/>
          <w:lang w:val="en-US" w:eastAsia="zh-CN"/>
        </w:rPr>
      </w:pPr>
      <w:r>
        <w:rPr>
          <w:rFonts w:hint="default" w:ascii="仿宋" w:hAnsi="仿宋" w:eastAsia="仿宋" w:cs="仿宋"/>
          <w:spacing w:val="0"/>
          <w:kern w:val="0"/>
          <w:sz w:val="32"/>
          <w:szCs w:val="32"/>
          <w:lang w:val="en-US" w:eastAsia="zh-CN"/>
        </w:rPr>
        <w:t>本单位 2024 年度没有政府采购支出。</w:t>
      </w:r>
    </w:p>
    <w:p>
      <w:pPr>
        <w:pStyle w:val="30"/>
        <w:widowControl/>
        <w:spacing w:before="100" w:after="100" w:line="600" w:lineRule="atLeast"/>
        <w:ind w:left="0" w:right="0" w:firstLine="707"/>
        <w:jc w:val="left"/>
        <w:rPr>
          <w:rFonts w:ascii="Times New Roman" w:hAnsi="Times New Roman" w:eastAsia="Times New Roman" w:cs="Times New Roman"/>
          <w:kern w:val="0"/>
          <w:sz w:val="24"/>
        </w:rPr>
      </w:pPr>
      <w:r>
        <w:rPr>
          <w:rStyle w:val="32"/>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30"/>
        <w:widowControl/>
        <w:spacing w:before="100" w:after="100" w:line="600" w:lineRule="atLeast"/>
        <w:ind w:left="0" w:right="0" w:firstLine="704"/>
        <w:jc w:val="left"/>
        <w:rPr>
          <w:rFonts w:ascii="Times New Roman" w:hAnsi="Times New Roman" w:eastAsia="Times New Roman" w:cs="Times New Roman"/>
          <w:kern w:val="0"/>
          <w:sz w:val="24"/>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辆、机要通信用车0辆、应急保障用车0辆、执法执勤用车0辆、特种专业技术用车0辆、离退休干部用车0辆、其他用车0辆，其他用车主要是；单位价值100万元以上设备（不含车辆）0台（套）。</w:t>
      </w:r>
      <w:r>
        <w:rPr>
          <w:rFonts w:ascii="Calibri" w:hAnsi="Calibri" w:eastAsia="Calibri" w:cs="Calibri"/>
          <w:spacing w:val="0"/>
          <w:kern w:val="0"/>
          <w:sz w:val="32"/>
          <w:szCs w:val="32"/>
        </w:rPr>
        <w:t>  </w:t>
      </w:r>
      <w:r>
        <w:rPr>
          <w:rFonts w:ascii="宋体" w:hAnsi="宋体" w:cs="宋体"/>
          <w:spacing w:val="0"/>
          <w:kern w:val="0"/>
          <w:sz w:val="56"/>
          <w:szCs w:val="56"/>
        </w:rPr>
        <w:t xml:space="preserve"> </w:t>
      </w:r>
    </w:p>
    <w:p>
      <w:pPr>
        <w:sectPr>
          <w:footerReference r:id="rId9"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30"/>
        <w:widowControl/>
        <w:spacing w:before="100" w:after="100"/>
        <w:ind w:left="0" w:right="0" w:firstLine="0"/>
        <w:jc w:val="left"/>
        <w:rPr>
          <w:rFonts w:ascii="Times New Roman" w:hAnsi="Times New Roman" w:eastAsia="Times New Roman" w:cs="Times New Roman"/>
          <w:kern w:val="0"/>
          <w:sz w:val="24"/>
        </w:rPr>
      </w:pPr>
    </w:p>
    <w:p>
      <w:pPr>
        <w:pStyle w:val="5"/>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106" w:name="_Toc256000089"/>
      <w:bookmarkStart w:id="107" w:name="_Toc256000027"/>
      <w:bookmarkStart w:id="108" w:name="_Toc256000120"/>
      <w:bookmarkStart w:id="109" w:name="_Toc256000058"/>
      <w:r>
        <w:rPr>
          <w:rFonts w:ascii="黑体" w:hAnsi="黑体" w:eastAsia="黑体" w:cs="黑体"/>
          <w:b/>
          <w:spacing w:val="0"/>
          <w:sz w:val="56"/>
          <w:szCs w:val="56"/>
        </w:rPr>
        <w:t>第四部分</w:t>
      </w:r>
      <w:bookmarkEnd w:id="106"/>
      <w:bookmarkEnd w:id="107"/>
      <w:bookmarkEnd w:id="108"/>
      <w:bookmarkEnd w:id="109"/>
    </w:p>
    <w:p>
      <w:pPr>
        <w:pStyle w:val="5"/>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110" w:name="_Toc256000090"/>
      <w:bookmarkStart w:id="111" w:name="_Toc256000059"/>
      <w:bookmarkStart w:id="112" w:name="_Toc256000121"/>
      <w:bookmarkStart w:id="113" w:name="_Toc256000028"/>
      <w:r>
        <w:rPr>
          <w:rFonts w:ascii="黑体" w:hAnsi="黑体" w:eastAsia="黑体" w:cs="黑体"/>
          <w:b/>
          <w:spacing w:val="0"/>
          <w:sz w:val="56"/>
          <w:szCs w:val="56"/>
        </w:rPr>
        <w:t>名词解释</w:t>
      </w:r>
      <w:bookmarkEnd w:id="110"/>
      <w:bookmarkEnd w:id="111"/>
      <w:bookmarkEnd w:id="112"/>
      <w:bookmarkEnd w:id="113"/>
    </w:p>
    <w:p>
      <w:pPr>
        <w:pStyle w:val="30"/>
        <w:widowControl/>
        <w:spacing w:before="100" w:after="100"/>
        <w:ind w:left="0" w:right="0" w:firstLine="0"/>
        <w:jc w:val="center"/>
        <w:rPr>
          <w:rFonts w:ascii="Times New Roman" w:hAnsi="Times New Roman" w:eastAsia="Times New Roman" w:cs="Times New Roman"/>
          <w:kern w:val="0"/>
          <w:sz w:val="24"/>
        </w:rPr>
      </w:pPr>
    </w:p>
    <w:p>
      <w:pPr>
        <w:sectPr>
          <w:footerReference r:id="rId10"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30"/>
        <w:widowControl/>
        <w:spacing w:before="100" w:after="100" w:line="600" w:lineRule="atLeast"/>
        <w:ind w:left="0" w:right="0" w:firstLine="71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1"/>
        <w:widowControl/>
        <w:spacing w:before="100" w:after="100" w:line="600" w:lineRule="atLeast"/>
        <w:ind w:left="0" w:right="0" w:firstLine="640"/>
        <w:jc w:val="left"/>
        <w:rPr>
          <w:rFonts w:ascii="Times New Roman" w:hAnsi="Times New Roman" w:eastAsia="Times New Roman" w:cs="Times New Roman"/>
          <w:kern w:val="0"/>
          <w:sz w:val="24"/>
        </w:rPr>
      </w:pPr>
      <w:r>
        <w:rPr>
          <w:rStyle w:val="32"/>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30"/>
        <w:widowControl/>
        <w:spacing w:before="240" w:after="240"/>
        <w:jc w:val="left"/>
        <w:rPr>
          <w:rFonts w:ascii="Times New Roman" w:hAnsi="Times New Roman" w:eastAsia="Times New Roman" w:cs="Times New Roman"/>
          <w:kern w:val="0"/>
          <w:sz w:val="24"/>
        </w:rPr>
      </w:pPr>
    </w:p>
    <w:p>
      <w:pPr>
        <w:pStyle w:val="5"/>
        <w:keepNext w:val="0"/>
        <w:keepLines w:val="0"/>
        <w:spacing w:before="299" w:after="299" w:line="240" w:lineRule="auto"/>
        <w:ind w:firstLine="0" w:firstLineChars="0"/>
        <w:jc w:val="center"/>
        <w:rPr>
          <w:rFonts w:ascii="黑体" w:hAnsi="黑体" w:eastAsia="黑体" w:cs="黑体"/>
          <w:b/>
          <w:sz w:val="56"/>
          <w:szCs w:val="56"/>
        </w:rPr>
      </w:pPr>
      <w:bookmarkStart w:id="114" w:name="_Toc256000091"/>
      <w:bookmarkStart w:id="115" w:name="_Toc256000122"/>
      <w:bookmarkStart w:id="116" w:name="_Toc256000060"/>
      <w:bookmarkStart w:id="117" w:name="_Toc256000029"/>
      <w:r>
        <w:rPr>
          <w:rFonts w:ascii="黑体" w:hAnsi="黑体" w:eastAsia="黑体" w:cs="黑体"/>
          <w:b/>
          <w:sz w:val="56"/>
          <w:szCs w:val="56"/>
        </w:rPr>
        <w:t>第五部分</w:t>
      </w:r>
      <w:bookmarkEnd w:id="114"/>
      <w:bookmarkEnd w:id="115"/>
      <w:bookmarkEnd w:id="116"/>
      <w:bookmarkEnd w:id="117"/>
    </w:p>
    <w:p>
      <w:pPr>
        <w:pStyle w:val="5"/>
        <w:keepNext w:val="0"/>
        <w:keepLines w:val="0"/>
        <w:spacing w:before="299" w:after="299" w:line="240" w:lineRule="auto"/>
        <w:ind w:firstLine="0" w:firstLineChars="0"/>
        <w:jc w:val="center"/>
        <w:rPr>
          <w:rFonts w:hint="eastAsia" w:ascii="Calibri" w:hAnsi="Calibri" w:eastAsia="宋体" w:cs="Calibri"/>
          <w:b/>
          <w:sz w:val="56"/>
          <w:szCs w:val="56"/>
          <w:lang w:eastAsia="zh-CN"/>
        </w:rPr>
      </w:pPr>
      <w:r>
        <w:rPr>
          <w:rFonts w:hint="eastAsia" w:ascii="黑体" w:hAnsi="黑体" w:eastAsia="黑体" w:cs="黑体"/>
          <w:b/>
          <w:sz w:val="56"/>
          <w:szCs w:val="56"/>
          <w:lang w:eastAsia="zh-CN"/>
        </w:rPr>
        <w:t>附件</w:t>
      </w:r>
    </w:p>
    <w:p>
      <w:pPr>
        <w:pStyle w:val="6"/>
        <w:rPr>
          <w:rFonts w:ascii="Calibri" w:hAnsi="Calibri" w:eastAsia="Calibri" w:cs="Calibri"/>
          <w:b/>
          <w:sz w:val="56"/>
          <w:szCs w:val="56"/>
        </w:rPr>
      </w:pPr>
    </w:p>
    <w:p>
      <w:pPr>
        <w:pStyle w:val="6"/>
        <w:rPr>
          <w:rFonts w:ascii="Calibri" w:hAnsi="Calibri" w:eastAsia="Calibri" w:cs="Calibri"/>
          <w:b/>
          <w:sz w:val="56"/>
          <w:szCs w:val="56"/>
        </w:rPr>
      </w:pPr>
    </w:p>
    <w:p>
      <w:pPr>
        <w:pStyle w:val="6"/>
        <w:rPr>
          <w:rFonts w:ascii="Calibri" w:hAnsi="Calibri" w:eastAsia="Calibri" w:cs="Calibri"/>
          <w:b/>
          <w:sz w:val="56"/>
          <w:szCs w:val="56"/>
        </w:rPr>
      </w:pPr>
    </w:p>
    <w:p>
      <w:pPr>
        <w:pStyle w:val="6"/>
        <w:rPr>
          <w:rFonts w:ascii="Calibri" w:hAnsi="Calibri" w:eastAsia="Calibri" w:cs="Calibri"/>
          <w:b/>
          <w:sz w:val="56"/>
          <w:szCs w:val="56"/>
        </w:rPr>
      </w:pPr>
    </w:p>
    <w:p>
      <w:pPr>
        <w:pStyle w:val="6"/>
        <w:rPr>
          <w:rFonts w:ascii="Calibri" w:hAnsi="Calibri" w:eastAsia="Calibri" w:cs="Calibri"/>
          <w:b/>
          <w:sz w:val="56"/>
          <w:szCs w:val="56"/>
        </w:rPr>
      </w:pPr>
    </w:p>
    <w:p>
      <w:pPr>
        <w:pStyle w:val="6"/>
        <w:rPr>
          <w:rFonts w:ascii="Calibri" w:hAnsi="Calibri" w:eastAsia="Calibri" w:cs="Calibri"/>
          <w:b/>
          <w:sz w:val="56"/>
          <w:szCs w:val="56"/>
        </w:rPr>
      </w:pPr>
    </w:p>
    <w:p>
      <w:pPr>
        <w:pStyle w:val="6"/>
        <w:rPr>
          <w:rFonts w:ascii="Calibri" w:hAnsi="Calibri" w:eastAsia="Calibri" w:cs="Calibri"/>
          <w:b/>
          <w:sz w:val="56"/>
          <w:szCs w:val="56"/>
        </w:rPr>
      </w:pPr>
    </w:p>
    <w:p>
      <w:pPr>
        <w:pStyle w:val="6"/>
        <w:rPr>
          <w:rFonts w:ascii="Calibri" w:hAnsi="Calibri" w:eastAsia="Calibri" w:cs="Calibri"/>
          <w:b/>
          <w:sz w:val="56"/>
          <w:szCs w:val="56"/>
        </w:rPr>
      </w:pPr>
    </w:p>
    <w:tbl>
      <w:tblPr>
        <w:tblStyle w:val="24"/>
        <w:tblpPr w:leftFromText="180" w:rightFromText="180" w:vertAnchor="text" w:horzAnchor="page" w:tblpX="1199" w:tblpY="63"/>
        <w:tblOverlap w:val="never"/>
        <w:tblW w:w="95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9"/>
        <w:gridCol w:w="627"/>
        <w:gridCol w:w="1068"/>
        <w:gridCol w:w="1372"/>
        <w:gridCol w:w="629"/>
        <w:gridCol w:w="933"/>
        <w:gridCol w:w="868"/>
        <w:gridCol w:w="1062"/>
        <w:gridCol w:w="632"/>
        <w:gridCol w:w="477"/>
        <w:gridCol w:w="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2" w:hRule="atLeast"/>
        </w:trPr>
        <w:tc>
          <w:tcPr>
            <w:tcW w:w="9560"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9" w:hRule="atLeast"/>
        </w:trPr>
        <w:tc>
          <w:tcPr>
            <w:tcW w:w="9560"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6" w:hRule="atLeast"/>
        </w:trPr>
        <w:tc>
          <w:tcPr>
            <w:tcW w:w="919" w:type="dxa"/>
            <w:tcBorders>
              <w:top w:val="nil"/>
              <w:left w:val="nil"/>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预算单位（盖章）：                                                                                                  </w:t>
            </w:r>
          </w:p>
        </w:tc>
        <w:tc>
          <w:tcPr>
            <w:tcW w:w="627" w:type="dxa"/>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13"/>
                <w:szCs w:val="13"/>
                <w:u w:val="none"/>
              </w:rPr>
            </w:pPr>
          </w:p>
        </w:tc>
        <w:tc>
          <w:tcPr>
            <w:tcW w:w="1068" w:type="dxa"/>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13"/>
                <w:szCs w:val="13"/>
                <w:u w:val="none"/>
              </w:rPr>
            </w:pPr>
          </w:p>
        </w:tc>
        <w:tc>
          <w:tcPr>
            <w:tcW w:w="1372" w:type="dxa"/>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13"/>
                <w:szCs w:val="13"/>
                <w:u w:val="none"/>
              </w:rPr>
            </w:pPr>
          </w:p>
        </w:tc>
        <w:tc>
          <w:tcPr>
            <w:tcW w:w="629" w:type="dxa"/>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13"/>
                <w:szCs w:val="13"/>
                <w:u w:val="none"/>
              </w:rPr>
            </w:pPr>
          </w:p>
        </w:tc>
        <w:tc>
          <w:tcPr>
            <w:tcW w:w="933" w:type="dxa"/>
            <w:tcBorders>
              <w:top w:val="nil"/>
              <w:left w:val="nil"/>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868" w:type="dxa"/>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13"/>
                <w:szCs w:val="13"/>
                <w:u w:val="none"/>
              </w:rPr>
            </w:pPr>
          </w:p>
        </w:tc>
        <w:tc>
          <w:tcPr>
            <w:tcW w:w="1062" w:type="dxa"/>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13"/>
                <w:szCs w:val="13"/>
                <w:u w:val="none"/>
              </w:rPr>
            </w:pPr>
          </w:p>
        </w:tc>
        <w:tc>
          <w:tcPr>
            <w:tcW w:w="632" w:type="dxa"/>
            <w:tcBorders>
              <w:top w:val="nil"/>
              <w:left w:val="nil"/>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3"/>
                <w:szCs w:val="13"/>
                <w:u w:val="none"/>
              </w:rPr>
            </w:pPr>
          </w:p>
        </w:tc>
        <w:tc>
          <w:tcPr>
            <w:tcW w:w="477" w:type="dxa"/>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000000"/>
                <w:sz w:val="13"/>
                <w:szCs w:val="13"/>
                <w:u w:val="none"/>
              </w:rPr>
            </w:pPr>
          </w:p>
        </w:tc>
        <w:tc>
          <w:tcPr>
            <w:tcW w:w="973" w:type="dxa"/>
            <w:tcBorders>
              <w:top w:val="nil"/>
              <w:left w:val="nil"/>
              <w:bottom w:val="single" w:color="000000" w:sz="4" w:space="0"/>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kern w:val="0"/>
                <w:sz w:val="13"/>
                <w:szCs w:val="13"/>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4" w:hRule="atLeast"/>
        </w:trPr>
        <w:tc>
          <w:tcPr>
            <w:tcW w:w="1546" w:type="dxa"/>
            <w:gridSpan w:val="2"/>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项目名称</w:t>
            </w:r>
          </w:p>
        </w:tc>
        <w:tc>
          <w:tcPr>
            <w:tcW w:w="4002"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义务教育阶段家庭经济困难学生营养餐补助</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自评年度</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1" w:hRule="atLeast"/>
        </w:trPr>
        <w:tc>
          <w:tcPr>
            <w:tcW w:w="15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主管部门</w:t>
            </w:r>
          </w:p>
        </w:tc>
        <w:tc>
          <w:tcPr>
            <w:tcW w:w="4002"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湖里区教育局</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实施单位</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厦门市禾山中学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11" w:hRule="atLeast"/>
        </w:trPr>
        <w:tc>
          <w:tcPr>
            <w:tcW w:w="154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年度预算执行情况</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年初预算数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已调整数</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调整后预算数</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全年执行数</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执行率</w:t>
            </w:r>
          </w:p>
        </w:tc>
        <w:tc>
          <w:tcPr>
            <w:tcW w:w="63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设置分值</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得分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8" w:hRule="atLeast"/>
        </w:trPr>
        <w:tc>
          <w:tcPr>
            <w:tcW w:w="15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年度资金总额</w:t>
            </w:r>
          </w:p>
        </w:tc>
        <w:tc>
          <w:tcPr>
            <w:tcW w:w="1372"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15.6</w:t>
            </w:r>
          </w:p>
        </w:tc>
        <w:tc>
          <w:tcPr>
            <w:tcW w:w="629"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w:t>
            </w:r>
          </w:p>
        </w:tc>
        <w:tc>
          <w:tcPr>
            <w:tcW w:w="933"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15.6</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7.491</w:t>
            </w:r>
          </w:p>
        </w:tc>
        <w:tc>
          <w:tcPr>
            <w:tcW w:w="1062"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48.01%</w:t>
            </w:r>
          </w:p>
        </w:tc>
        <w:tc>
          <w:tcPr>
            <w:tcW w:w="63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w:t>
            </w:r>
          </w:p>
        </w:tc>
        <w:tc>
          <w:tcPr>
            <w:tcW w:w="477"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系统内自愿放弃资助的学生数量较多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2" w:hRule="atLeast"/>
        </w:trPr>
        <w:tc>
          <w:tcPr>
            <w:tcW w:w="15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其中：当年财政拨款</w:t>
            </w:r>
          </w:p>
        </w:tc>
        <w:tc>
          <w:tcPr>
            <w:tcW w:w="1372"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15.6</w:t>
            </w:r>
          </w:p>
        </w:tc>
        <w:tc>
          <w:tcPr>
            <w:tcW w:w="629"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w:t>
            </w:r>
          </w:p>
        </w:tc>
        <w:tc>
          <w:tcPr>
            <w:tcW w:w="933"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15.6</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7.491</w:t>
            </w:r>
          </w:p>
        </w:tc>
        <w:tc>
          <w:tcPr>
            <w:tcW w:w="1062"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48.01%</w:t>
            </w:r>
          </w:p>
        </w:tc>
        <w:tc>
          <w:tcPr>
            <w:tcW w:w="63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2" w:hRule="atLeast"/>
        </w:trPr>
        <w:tc>
          <w:tcPr>
            <w:tcW w:w="15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 xml:space="preserve">     上年结转资金</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3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2" w:hRule="atLeast"/>
        </w:trPr>
        <w:tc>
          <w:tcPr>
            <w:tcW w:w="154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 xml:space="preserve">     其他资金</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3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6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年度</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总体</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目标</w:t>
            </w:r>
          </w:p>
        </w:tc>
        <w:tc>
          <w:tcPr>
            <w:tcW w:w="46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预期目标</w:t>
            </w:r>
          </w:p>
        </w:tc>
        <w:tc>
          <w:tcPr>
            <w:tcW w:w="40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2"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462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2024年完成春、秋两季关于我区义务教育阶段公办校（学校提供午餐）家庭经济困难学生营养餐补助对象审核及资金下拨。</w:t>
            </w:r>
          </w:p>
        </w:tc>
        <w:tc>
          <w:tcPr>
            <w:tcW w:w="4012"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406"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462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4012"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4" w:hRule="atLeast"/>
        </w:trPr>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一级指标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二级指标</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三级指标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指标类型</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绩效目标值</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实际完成值</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完成比例</w:t>
            </w:r>
          </w:p>
        </w:tc>
        <w:tc>
          <w:tcPr>
            <w:tcW w:w="63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设置分值</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得分</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8"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绩</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效</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指</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标</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完</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成</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情</w:t>
            </w:r>
            <w:r>
              <w:rPr>
                <w:rFonts w:hint="eastAsia" w:ascii="宋体" w:hAnsi="宋体" w:eastAsia="宋体" w:cs="宋体"/>
                <w:b/>
                <w:bCs/>
                <w:i w:val="0"/>
                <w:iCs w:val="0"/>
                <w:color w:val="000000"/>
                <w:kern w:val="0"/>
                <w:sz w:val="15"/>
                <w:szCs w:val="15"/>
                <w:u w:val="none"/>
                <w:lang w:val="en-US" w:eastAsia="zh-CN" w:bidi="ar"/>
              </w:rPr>
              <w:br w:type="textWrapping"/>
            </w:r>
            <w:r>
              <w:rPr>
                <w:rFonts w:hint="eastAsia" w:ascii="宋体" w:hAnsi="宋体" w:eastAsia="宋体" w:cs="宋体"/>
                <w:b/>
                <w:bCs/>
                <w:i w:val="0"/>
                <w:iCs w:val="0"/>
                <w:color w:val="000000"/>
                <w:kern w:val="0"/>
                <w:sz w:val="15"/>
                <w:szCs w:val="15"/>
                <w:u w:val="none"/>
                <w:lang w:val="en-US" w:eastAsia="zh-CN" w:bidi="ar"/>
              </w:rPr>
              <w:t>况</w:t>
            </w:r>
          </w:p>
        </w:tc>
        <w:tc>
          <w:tcPr>
            <w:tcW w:w="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产出指标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数量指标</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审核义务教育阶段阶段受助学生</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0"/>
                <w:szCs w:val="10"/>
                <w:u w:val="none"/>
              </w:rPr>
            </w:pPr>
            <w:r>
              <w:rPr>
                <w:rFonts w:ascii="宋体" w:hAnsi="宋体" w:eastAsia="宋体" w:cs="宋体"/>
                <w:i w:val="0"/>
                <w:iCs w:val="0"/>
                <w:color w:val="000000"/>
                <w:kern w:val="0"/>
                <w:sz w:val="10"/>
                <w:szCs w:val="10"/>
                <w:u w:val="none"/>
                <w:lang w:val="en-US" w:eastAsia="zh-CN" w:bidi="ar"/>
              </w:rPr>
              <w:t>定量</w:t>
            </w:r>
          </w:p>
        </w:tc>
        <w:tc>
          <w:tcPr>
            <w:tcW w:w="933"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130</w:t>
            </w:r>
          </w:p>
        </w:tc>
        <w:tc>
          <w:tcPr>
            <w:tcW w:w="868"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69</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53.08%</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477"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系统内自愿放弃资助的学生数量较多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8"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数量指标</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全年营养餐补助人数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0"/>
                <w:szCs w:val="10"/>
                <w:u w:val="none"/>
              </w:rPr>
            </w:pPr>
            <w:r>
              <w:rPr>
                <w:rFonts w:ascii="宋体" w:hAnsi="宋体" w:eastAsia="宋体" w:cs="宋体"/>
                <w:i w:val="0"/>
                <w:iCs w:val="0"/>
                <w:color w:val="000000"/>
                <w:kern w:val="0"/>
                <w:sz w:val="10"/>
                <w:szCs w:val="10"/>
                <w:u w:val="none"/>
                <w:lang w:val="en-US" w:eastAsia="zh-CN" w:bidi="ar"/>
              </w:rPr>
              <w:t>定量</w:t>
            </w:r>
          </w:p>
        </w:tc>
        <w:tc>
          <w:tcPr>
            <w:tcW w:w="933"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260</w:t>
            </w:r>
          </w:p>
        </w:tc>
        <w:tc>
          <w:tcPr>
            <w:tcW w:w="868"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53.85%</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w:t>
            </w:r>
          </w:p>
        </w:tc>
        <w:tc>
          <w:tcPr>
            <w:tcW w:w="477"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系统内自愿放弃资助的学生数量较多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5"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成本指标</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营养餐发放标准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0"/>
                <w:szCs w:val="10"/>
                <w:u w:val="none"/>
              </w:rPr>
            </w:pPr>
            <w:r>
              <w:rPr>
                <w:rFonts w:ascii="宋体" w:hAnsi="宋体" w:eastAsia="宋体" w:cs="宋体"/>
                <w:i w:val="0"/>
                <w:iCs w:val="0"/>
                <w:color w:val="000000"/>
                <w:kern w:val="0"/>
                <w:sz w:val="10"/>
                <w:szCs w:val="10"/>
                <w:u w:val="none"/>
                <w:lang w:val="en-US" w:eastAsia="zh-CN" w:bidi="ar"/>
              </w:rPr>
              <w:t>定量</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6/餐</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6/餐</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100.00%</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1"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时效指标</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义务教育困难生资助资金下拨及时率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0"/>
                <w:szCs w:val="10"/>
                <w:u w:val="none"/>
              </w:rPr>
            </w:pPr>
            <w:r>
              <w:rPr>
                <w:rFonts w:ascii="宋体" w:hAnsi="宋体" w:eastAsia="宋体" w:cs="宋体"/>
                <w:i w:val="0"/>
                <w:iCs w:val="0"/>
                <w:color w:val="000000"/>
                <w:kern w:val="0"/>
                <w:sz w:val="10"/>
                <w:szCs w:val="10"/>
                <w:u w:val="none"/>
                <w:lang w:val="en-US" w:eastAsia="zh-CN" w:bidi="ar"/>
              </w:rPr>
              <w:t>定量</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100.00%</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1"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5"/>
                <w:szCs w:val="15"/>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满意度</w:t>
            </w:r>
            <w:r>
              <w:rPr>
                <w:rFonts w:hint="eastAsia" w:ascii="宋体" w:hAnsi="宋体" w:eastAsia="宋体" w:cs="宋体"/>
                <w:i w:val="0"/>
                <w:iCs w:val="0"/>
                <w:color w:val="000000"/>
                <w:kern w:val="0"/>
                <w:sz w:val="15"/>
                <w:szCs w:val="15"/>
                <w:u w:val="none"/>
                <w:lang w:val="en-US" w:eastAsia="zh-CN" w:bidi="ar"/>
              </w:rPr>
              <w:br w:type="textWrapping"/>
            </w:r>
            <w:r>
              <w:rPr>
                <w:rFonts w:hint="eastAsia" w:ascii="宋体" w:hAnsi="宋体" w:eastAsia="宋体" w:cs="宋体"/>
                <w:i w:val="0"/>
                <w:iCs w:val="0"/>
                <w:color w:val="000000"/>
                <w:kern w:val="0"/>
                <w:sz w:val="15"/>
                <w:szCs w:val="15"/>
                <w:u w:val="none"/>
                <w:lang w:val="en-US" w:eastAsia="zh-CN" w:bidi="ar"/>
              </w:rPr>
              <w:t>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服务对象满意度指标</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受资助对象满意度</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0"/>
                <w:szCs w:val="10"/>
                <w:u w:val="none"/>
              </w:rPr>
            </w:pPr>
            <w:r>
              <w:rPr>
                <w:rFonts w:ascii="宋体" w:hAnsi="宋体" w:eastAsia="宋体" w:cs="宋体"/>
                <w:i w:val="0"/>
                <w:iCs w:val="0"/>
                <w:color w:val="000000"/>
                <w:kern w:val="0"/>
                <w:sz w:val="10"/>
                <w:szCs w:val="10"/>
                <w:u w:val="none"/>
                <w:lang w:val="en-US" w:eastAsia="zh-CN" w:bidi="ar"/>
              </w:rPr>
              <w:t>定量</w:t>
            </w:r>
          </w:p>
        </w:tc>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100%</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477" w:type="dxa"/>
            <w:tcBorders>
              <w:top w:val="single" w:color="000000" w:sz="4" w:space="0"/>
              <w:left w:val="single" w:color="000000" w:sz="4" w:space="0"/>
              <w:bottom w:val="single" w:color="000000" w:sz="4" w:space="0"/>
              <w:right w:val="single" w:color="000000" w:sz="4" w:space="0"/>
            </w:tcBorders>
            <w:shd w:val="clear" w:color="auto" w:fill="E6B8B7"/>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4" w:hRule="atLeast"/>
        </w:trPr>
        <w:tc>
          <w:tcPr>
            <w:tcW w:w="74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总分</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79</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1" w:hRule="atLeast"/>
        </w:trPr>
        <w:tc>
          <w:tcPr>
            <w:tcW w:w="95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0"/>
                <w:szCs w:val="10"/>
                <w:u w:val="none"/>
              </w:rPr>
            </w:pPr>
            <w:r>
              <w:rPr>
                <w:rFonts w:hint="eastAsia" w:ascii="宋体" w:hAnsi="宋体" w:eastAsia="宋体" w:cs="宋体"/>
                <w:i w:val="0"/>
                <w:iCs w:val="0"/>
                <w:color w:val="000000"/>
                <w:kern w:val="0"/>
                <w:sz w:val="10"/>
                <w:szCs w:val="10"/>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iCs w:val="0"/>
                <w:color w:val="000000"/>
                <w:kern w:val="0"/>
                <w:sz w:val="10"/>
                <w:szCs w:val="10"/>
                <w:u w:val="none"/>
                <w:lang w:val="en-US" w:eastAsia="zh-CN" w:bidi="ar"/>
              </w:rPr>
              <w:br w:type="textWrapping"/>
            </w:r>
            <w:r>
              <w:rPr>
                <w:rFonts w:hint="eastAsia" w:ascii="宋体" w:hAnsi="宋体" w:eastAsia="宋体" w:cs="宋体"/>
                <w:i w:val="0"/>
                <w:iCs w:val="0"/>
                <w:color w:val="000000"/>
                <w:kern w:val="0"/>
                <w:sz w:val="10"/>
                <w:szCs w:val="10"/>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iCs w:val="0"/>
                <w:color w:val="000000"/>
                <w:kern w:val="0"/>
                <w:sz w:val="10"/>
                <w:szCs w:val="10"/>
                <w:u w:val="none"/>
                <w:lang w:val="en-US" w:eastAsia="zh-CN" w:bidi="ar"/>
              </w:rPr>
              <w:br w:type="textWrapping"/>
            </w:r>
            <w:r>
              <w:rPr>
                <w:rFonts w:hint="eastAsia" w:ascii="宋体" w:hAnsi="宋体" w:eastAsia="宋体" w:cs="宋体"/>
                <w:i w:val="0"/>
                <w:iCs w:val="0"/>
                <w:color w:val="000000"/>
                <w:kern w:val="0"/>
                <w:sz w:val="10"/>
                <w:szCs w:val="10"/>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tabs>
          <w:tab w:val="left" w:pos="1788"/>
        </w:tabs>
        <w:bidi w:val="0"/>
        <w:jc w:val="left"/>
        <w:rPr>
          <w:rFonts w:ascii="Times New Roman" w:hAnsi="Times New Roman" w:eastAsia="Times New Roman" w:cs="Times New Roman"/>
          <w:vanish/>
          <w:kern w:val="0"/>
          <w:sz w:val="24"/>
        </w:rPr>
      </w:pPr>
      <w:r>
        <w:rPr>
          <w:rFonts w:hint="eastAsia"/>
          <w:lang w:val="en-US" w:eastAsia="zh-CN"/>
        </w:rPr>
        <w:tab/>
      </w:r>
      <w:r>
        <w:rPr>
          <w:rFonts w:ascii="Times New Roman" w:hAnsi="Times New Roman" w:eastAsia="Times New Roman" w:cs="Times New Roman"/>
          <w:vanish/>
          <w:kern w:val="0"/>
          <w:sz w:val="24"/>
        </w:rPr>
        <w:t>word page break</w:t>
      </w:r>
      <w:bookmarkEnd w:id="0"/>
    </w:p>
    <w:sectPr>
      <w:footerReference r:id="rId11"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6</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31</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38</w:t>
    </w:r>
    <w:r>
      <w:rPr>
        <w:rFonts w:ascii="宋体" w:hAnsi="宋体" w:eastAsia="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39</w:t>
    </w:r>
    <w:r>
      <w:rPr>
        <w:rFonts w:ascii="宋体" w:hAnsi="宋体" w:eastAsia="宋体" w:cs="宋体"/>
        <w:sz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7ABAB7"/>
    <w:multiLevelType w:val="singleLevel"/>
    <w:tmpl w:val="9E7ABAB7"/>
    <w:lvl w:ilvl="0" w:tentative="0">
      <w:start w:val="1"/>
      <w:numFmt w:val="chineseCounting"/>
      <w:suff w:val="nothing"/>
      <w:lvlText w:val="%1、"/>
      <w:lvlJc w:val="left"/>
      <w:rPr>
        <w:rFonts w:hint="eastAsia"/>
      </w:rPr>
    </w:lvl>
  </w:abstractNum>
  <w:abstractNum w:abstractNumId="1">
    <w:nsid w:val="10B82A8B"/>
    <w:multiLevelType w:val="singleLevel"/>
    <w:tmpl w:val="10B82A8B"/>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rsids>
    <w:rsidRoot w:val="00000000"/>
    <w:rsid w:val="37CC173E"/>
    <w:rsid w:val="388A262F"/>
    <w:rsid w:val="571C7785"/>
    <w:rsid w:val="67F905B6"/>
    <w:rsid w:val="68A42FFE"/>
    <w:rsid w:val="6AD40B8C"/>
    <w:rsid w:val="70D05042"/>
    <w:rsid w:val="7DD943E7"/>
    <w:rsid w:val="7EB17FA7"/>
    <w:rsid w:val="7F384D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5">
    <w:name w:val="heading 2"/>
    <w:basedOn w:val="6"/>
    <w:next w:val="6"/>
    <w:qFormat/>
    <w:uiPriority w:val="0"/>
    <w:pPr>
      <w:keepNext/>
      <w:keepLines/>
      <w:spacing w:before="260" w:after="260" w:line="416" w:lineRule="auto"/>
      <w:outlineLvl w:val="1"/>
    </w:pPr>
    <w:rPr>
      <w:rFonts w:ascii="Arial" w:hAnsi="Arial" w:eastAsia="仿宋"/>
      <w:bCs/>
      <w:sz w:val="32"/>
      <w:szCs w:val="32"/>
    </w:rPr>
  </w:style>
  <w:style w:type="paragraph" w:styleId="7">
    <w:name w:val="heading 3"/>
    <w:basedOn w:val="6"/>
    <w:next w:val="6"/>
    <w:link w:val="29"/>
    <w:qFormat/>
    <w:uiPriority w:val="0"/>
    <w:pPr>
      <w:keepNext/>
      <w:keepLines/>
      <w:spacing w:before="260" w:after="260" w:line="416" w:lineRule="auto"/>
      <w:outlineLvl w:val="2"/>
    </w:pPr>
    <w:rPr>
      <w:rFonts w:eastAsia="仿宋"/>
      <w:bCs/>
      <w:sz w:val="32"/>
      <w:szCs w:val="32"/>
    </w:rPr>
  </w:style>
  <w:style w:type="paragraph" w:styleId="8">
    <w:name w:val="heading 4"/>
    <w:basedOn w:val="6"/>
    <w:next w:val="6"/>
    <w:link w:val="25"/>
    <w:qFormat/>
    <w:uiPriority w:val="0"/>
    <w:pPr>
      <w:keepNext/>
      <w:keepLines/>
      <w:spacing w:before="280" w:after="290" w:line="376" w:lineRule="auto"/>
      <w:outlineLvl w:val="3"/>
    </w:pPr>
    <w:rPr>
      <w:rFonts w:ascii="Cambria" w:hAnsi="Cambria" w:eastAsia="仿宋"/>
      <w:bCs/>
      <w:sz w:val="32"/>
      <w:szCs w:val="28"/>
    </w:rPr>
  </w:style>
  <w:style w:type="character" w:default="1" w:styleId="21">
    <w:name w:val="Default Paragraph Font"/>
    <w:unhideWhenUsed/>
    <w:qFormat/>
    <w:uiPriority w:val="1"/>
  </w:style>
  <w:style w:type="table" w:default="1" w:styleId="24">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kern w:val="0"/>
      <w:sz w:val="20"/>
      <w:szCs w:val="20"/>
    </w:rPr>
  </w:style>
  <w:style w:type="paragraph" w:styleId="3">
    <w:name w:val="Body Text"/>
    <w:basedOn w:val="1"/>
    <w:next w:val="2"/>
    <w:qFormat/>
    <w:uiPriority w:val="0"/>
    <w:pPr>
      <w:spacing w:after="120"/>
    </w:pPr>
  </w:style>
  <w:style w:type="paragraph" w:customStyle="1" w:styleId="6">
    <w:name w:val="No Spacing"/>
    <w:link w:val="26"/>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9">
    <w:name w:val="toc 7"/>
    <w:basedOn w:val="1"/>
    <w:next w:val="1"/>
    <w:qFormat/>
    <w:uiPriority w:val="0"/>
    <w:pPr>
      <w:ind w:left="1260"/>
      <w:jc w:val="left"/>
    </w:pPr>
    <w:rPr>
      <w:sz w:val="20"/>
      <w:szCs w:val="20"/>
    </w:rPr>
  </w:style>
  <w:style w:type="paragraph" w:styleId="10">
    <w:name w:val="Document Map"/>
    <w:basedOn w:val="1"/>
    <w:qFormat/>
    <w:uiPriority w:val="0"/>
    <w:pPr>
      <w:shd w:val="clear" w:color="auto" w:fill="000080"/>
    </w:pPr>
  </w:style>
  <w:style w:type="paragraph" w:styleId="11">
    <w:name w:val="toc 5"/>
    <w:basedOn w:val="1"/>
    <w:next w:val="1"/>
    <w:qFormat/>
    <w:uiPriority w:val="0"/>
    <w:pPr>
      <w:ind w:left="840"/>
      <w:jc w:val="left"/>
    </w:pPr>
    <w:rPr>
      <w:sz w:val="20"/>
      <w:szCs w:val="20"/>
    </w:rPr>
  </w:style>
  <w:style w:type="paragraph" w:styleId="12">
    <w:name w:val="toc 3"/>
    <w:next w:val="7"/>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3">
    <w:name w:val="toc 8"/>
    <w:basedOn w:val="1"/>
    <w:next w:val="1"/>
    <w:qFormat/>
    <w:uiPriority w:val="0"/>
    <w:pPr>
      <w:ind w:left="1470"/>
      <w:jc w:val="left"/>
    </w:pPr>
    <w:rPr>
      <w:sz w:val="20"/>
      <w:szCs w:val="20"/>
    </w:rPr>
  </w:style>
  <w:style w:type="paragraph" w:styleId="14">
    <w:name w:val="footer"/>
    <w:basedOn w:val="1"/>
    <w:link w:val="27"/>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next w:val="6"/>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7">
    <w:name w:val="toc 4"/>
    <w:basedOn w:val="1"/>
    <w:next w:val="1"/>
    <w:qFormat/>
    <w:uiPriority w:val="0"/>
    <w:pPr>
      <w:ind w:left="630"/>
      <w:jc w:val="left"/>
    </w:pPr>
    <w:rPr>
      <w:sz w:val="20"/>
      <w:szCs w:val="20"/>
    </w:rPr>
  </w:style>
  <w:style w:type="paragraph" w:styleId="18">
    <w:name w:val="toc 6"/>
    <w:basedOn w:val="1"/>
    <w:next w:val="1"/>
    <w:qFormat/>
    <w:uiPriority w:val="0"/>
    <w:pPr>
      <w:ind w:left="1050"/>
      <w:jc w:val="left"/>
    </w:pPr>
    <w:rPr>
      <w:sz w:val="20"/>
      <w:szCs w:val="20"/>
    </w:rPr>
  </w:style>
  <w:style w:type="paragraph" w:styleId="19">
    <w:name w:val="toc 2"/>
    <w:next w:val="6"/>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20">
    <w:name w:val="toc 9"/>
    <w:basedOn w:val="1"/>
    <w:next w:val="1"/>
    <w:qFormat/>
    <w:uiPriority w:val="0"/>
    <w:pPr>
      <w:ind w:left="1680"/>
      <w:jc w:val="left"/>
    </w:pPr>
    <w:rPr>
      <w:sz w:val="20"/>
      <w:szCs w:val="20"/>
    </w:rPr>
  </w:style>
  <w:style w:type="character" w:styleId="22">
    <w:name w:val="page number"/>
    <w:basedOn w:val="21"/>
    <w:qFormat/>
    <w:uiPriority w:val="0"/>
  </w:style>
  <w:style w:type="character" w:styleId="23">
    <w:name w:val="Hyperlink"/>
    <w:qFormat/>
    <w:uiPriority w:val="0"/>
    <w:rPr>
      <w:rFonts w:ascii="宋体" w:hAnsi="宋体" w:eastAsia="仿宋" w:cs="Times New Roman"/>
      <w:kern w:val="2"/>
      <w:sz w:val="32"/>
      <w:szCs w:val="32"/>
      <w:lang w:val="en-US" w:eastAsia="zh-CN" w:bidi="ar-SA"/>
    </w:rPr>
  </w:style>
  <w:style w:type="character" w:customStyle="1" w:styleId="25">
    <w:name w:val="标题 4 字符"/>
    <w:basedOn w:val="21"/>
    <w:link w:val="8"/>
    <w:qFormat/>
    <w:uiPriority w:val="0"/>
    <w:rPr>
      <w:rFonts w:ascii="Cambria" w:hAnsi="Cambria" w:eastAsia="仿宋"/>
      <w:bCs/>
      <w:kern w:val="2"/>
      <w:sz w:val="32"/>
      <w:szCs w:val="28"/>
    </w:rPr>
  </w:style>
  <w:style w:type="character" w:customStyle="1" w:styleId="26">
    <w:name w:val="无间隔 字符"/>
    <w:link w:val="6"/>
    <w:qFormat/>
    <w:locked/>
    <w:uiPriority w:val="0"/>
    <w:rPr>
      <w:rFonts w:eastAsia="仿宋_GB2312"/>
      <w:sz w:val="30"/>
      <w:szCs w:val="22"/>
      <w:lang w:bidi="ar-SA"/>
    </w:rPr>
  </w:style>
  <w:style w:type="character" w:customStyle="1" w:styleId="27">
    <w:name w:val="页脚 字符"/>
    <w:basedOn w:val="21"/>
    <w:link w:val="14"/>
    <w:qFormat/>
    <w:uiPriority w:val="0"/>
    <w:rPr>
      <w:kern w:val="2"/>
      <w:sz w:val="18"/>
      <w:szCs w:val="18"/>
    </w:rPr>
  </w:style>
  <w:style w:type="paragraph" w:customStyle="1" w:styleId="28">
    <w:name w:val="List Paragraph"/>
    <w:basedOn w:val="1"/>
    <w:qFormat/>
    <w:uiPriority w:val="0"/>
    <w:pPr>
      <w:ind w:firstLine="420" w:firstLineChars="200"/>
    </w:pPr>
  </w:style>
  <w:style w:type="character" w:customStyle="1" w:styleId="29">
    <w:name w:val="标题 3 字符"/>
    <w:basedOn w:val="21"/>
    <w:link w:val="7"/>
    <w:qFormat/>
    <w:uiPriority w:val="0"/>
    <w:rPr>
      <w:rFonts w:eastAsia="仿宋"/>
      <w:bCs/>
      <w:kern w:val="2"/>
      <w:sz w:val="32"/>
      <w:szCs w:val="32"/>
    </w:rPr>
  </w:style>
  <w:style w:type="paragraph" w:customStyle="1" w:styleId="30">
    <w:name w:val="MsoNormal"/>
    <w:basedOn w:val="1"/>
    <w:qFormat/>
    <w:uiPriority w:val="0"/>
  </w:style>
  <w:style w:type="paragraph" w:customStyle="1" w:styleId="31">
    <w:name w:val="p"/>
    <w:basedOn w:val="1"/>
    <w:qFormat/>
    <w:uiPriority w:val="0"/>
  </w:style>
  <w:style w:type="character" w:customStyle="1" w:styleId="32">
    <w:name w:val="15"/>
    <w:basedOn w:val="21"/>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49</Pages>
  <Words>413</Words>
  <Characters>445</Characters>
  <Lines>1</Lines>
  <Paragraphs>1</Paragraphs>
  <TotalTime>1</TotalTime>
  <ScaleCrop>false</ScaleCrop>
  <LinksUpToDate>false</LinksUpToDate>
  <CharactersWithSpaces>538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2022-03-23T20:40:00Z</dcterms:created>
  <dc:creator>Administrator</dc:creator>
  <cp:lastModifiedBy>Administrator</cp:lastModifiedBy>
  <cp:lastPrinted>2021-04-16T08:45:00Z</cp:lastPrinted>
  <dcterms:modified xsi:type="dcterms:W3CDTF">2026-02-05T06:51:39Z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eyJoZGlkIjoiNGZiN2Y0NDNlZGYzMWQ2NzAxM2ZhOTdmODc3NmQxY2MiLCJ1c2VySWQiOiIyNDEwOTUxOTgifQ==</vt:lpwstr>
  </property>
</Properties>
</file>