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lang w:val="en-US" w:eastAsia="zh-CN"/>
        </w:rPr>
        <w:t>2024</w:t>
      </w:r>
      <w:r>
        <w:rPr>
          <w:rFonts w:hint="eastAsia" w:ascii="方正小标宋简体" w:eastAsia="方正小标宋简体"/>
          <w:b/>
          <w:bCs/>
          <w:sz w:val="84"/>
          <w:szCs w:val="84"/>
          <w:highlight w:val="none"/>
        </w:rPr>
        <w:t>年度</w:t>
      </w: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rPr>
        <w:t>厦门市翔鹭小学</w:t>
      </w:r>
    </w:p>
    <w:p>
      <w:pPr>
        <w:widowControl/>
        <w:jc w:val="center"/>
        <w:rPr>
          <w:rFonts w:hint="eastAsia" w:ascii="方正小标宋简体" w:eastAsia="方正小标宋简体"/>
          <w:b/>
          <w:bCs/>
          <w:sz w:val="84"/>
          <w:szCs w:val="84"/>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sz w:val="84"/>
          <w:szCs w:val="84"/>
          <w:highlight w:val="none"/>
          <w:lang w:val="en-US" w:eastAsia="zh-CN"/>
        </w:rPr>
        <w:t>单位</w:t>
      </w:r>
      <w:r>
        <w:rPr>
          <w:rFonts w:hint="eastAsia" w:ascii="方正小标宋简体" w:eastAsia="方正小标宋简体"/>
          <w:b/>
          <w:bCs/>
          <w:sz w:val="84"/>
          <w:szCs w:val="84"/>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20"/>
            <w:tabs>
              <w:tab w:val="right" w:leader="dot" w:pos="9730"/>
            </w:tabs>
            <w:rPr>
              <w:rFonts w:asciiTheme="minorHAnsi" w:hAnsiTheme="minorHAnsi"/>
              <w:sz w:val="2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fldChar w:fldCharType="begin"/>
          </w:r>
          <w:r>
            <w:instrText xml:space="preserve"> HYPERLINK \l "_Toc256000093" </w:instrText>
          </w:r>
          <w:r>
            <w:fldChar w:fldCharType="separate"/>
          </w:r>
          <w:r>
            <w:rPr>
              <w:rStyle w:val="24"/>
              <w:rFonts w:ascii="黑体" w:hAnsi="黑体" w:eastAsia="黑体" w:cs="黑体"/>
            </w:rPr>
            <w:t>第一部分</w:t>
          </w:r>
          <w:r>
            <w:tab/>
          </w:r>
          <w:r>
            <w:fldChar w:fldCharType="begin"/>
          </w:r>
          <w:r>
            <w:instrText xml:space="preserve"> PAGEREF _Toc256000093 \h </w:instrText>
          </w:r>
          <w:r>
            <w:fldChar w:fldCharType="separate"/>
          </w:r>
          <w:r>
            <w:t>4</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"_Toc256000094" </w:instrText>
          </w:r>
          <w:r>
            <w:fldChar w:fldCharType="separate"/>
          </w:r>
          <w:r>
            <w:rPr>
              <w:rStyle w:val="24"/>
              <w:rFonts w:ascii="黑体" w:hAnsi="黑体" w:eastAsia="黑体" w:cs="黑体"/>
            </w:rPr>
            <w:t>单位概况</w:t>
          </w:r>
          <w:r>
            <w:tab/>
          </w:r>
          <w:r>
            <w:fldChar w:fldCharType="begin"/>
          </w:r>
          <w:r>
            <w:instrText xml:space="preserve"> PAGEREF _Toc256000094 \h </w:instrText>
          </w:r>
          <w:r>
            <w:fldChar w:fldCharType="separate"/>
          </w:r>
          <w:r>
            <w:t>4</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"_Toc256000095" </w:instrText>
          </w:r>
          <w:r>
            <w:fldChar w:fldCharType="separate"/>
          </w:r>
          <w:r>
            <w:rPr>
              <w:rStyle w:val="24"/>
              <w:rFonts w:ascii="黑体" w:hAnsi="黑体" w:eastAsia="黑体" w:cs="黑体"/>
            </w:rPr>
            <w:t>一、单位主要职责</w:t>
          </w:r>
          <w:r>
            <w:tab/>
          </w:r>
          <w:r>
            <w:fldChar w:fldCharType="begin"/>
          </w:r>
          <w:r>
            <w:instrText xml:space="preserve"> PAGEREF _Toc256000095 \h </w:instrText>
          </w:r>
          <w:r>
            <w:fldChar w:fldCharType="separate"/>
          </w:r>
          <w:r>
            <w:t>4</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"_Toc256000096" </w:instrText>
          </w:r>
          <w:r>
            <w:fldChar w:fldCharType="separate"/>
          </w:r>
          <w:r>
            <w:rPr>
              <w:rStyle w:val="24"/>
              <w:rFonts w:ascii="黑体" w:hAnsi="黑体" w:eastAsia="黑体" w:cs="黑体"/>
            </w:rPr>
            <w:t>二、单位基本情况</w:t>
          </w:r>
          <w:r>
            <w:tab/>
          </w:r>
          <w:r>
            <w:fldChar w:fldCharType="begin"/>
          </w:r>
          <w:r>
            <w:instrText xml:space="preserve"> PAGEREF _Toc256000096 \h </w:instrText>
          </w:r>
          <w:r>
            <w:fldChar w:fldCharType="separate"/>
          </w:r>
          <w:r>
            <w:t>4</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"_Toc256000097" </w:instrText>
          </w:r>
          <w:r>
            <w:fldChar w:fldCharType="separate"/>
          </w:r>
          <w:r>
            <w:rPr>
              <w:rStyle w:val="24"/>
              <w:rFonts w:ascii="黑体" w:hAnsi="黑体" w:eastAsia="黑体" w:cs="黑体"/>
            </w:rPr>
            <w:t>三、单位主要工作总结</w:t>
          </w:r>
          <w:r>
            <w:tab/>
          </w:r>
          <w:r>
            <w:fldChar w:fldCharType="begin"/>
          </w:r>
          <w:r>
            <w:instrText xml:space="preserve"> PAGEREF _Toc256000097 \h </w:instrText>
          </w:r>
          <w:r>
            <w:fldChar w:fldCharType="separate"/>
          </w:r>
          <w:r>
            <w:t>5</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"_Toc256000098" </w:instrText>
          </w:r>
          <w:r>
            <w:fldChar w:fldCharType="separate"/>
          </w:r>
          <w:r>
            <w:rPr>
              <w:rStyle w:val="24"/>
              <w:rFonts w:ascii="黑体" w:hAnsi="黑体" w:eastAsia="黑体" w:cs="黑体"/>
            </w:rPr>
            <w:t>第二部分</w:t>
          </w:r>
          <w:r>
            <w:tab/>
          </w:r>
          <w:r>
            <w:fldChar w:fldCharType="begin"/>
          </w:r>
          <w:r>
            <w:instrText xml:space="preserve"> PAGEREF _Toc256000098 \h </w:instrText>
          </w:r>
          <w:r>
            <w:fldChar w:fldCharType="separate"/>
          </w:r>
          <w:r>
            <w:t>6</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"_Toc256000099" </w:instrText>
          </w:r>
          <w:r>
            <w:fldChar w:fldCharType="separate"/>
          </w:r>
          <w:r>
            <w:rPr>
              <w:rStyle w:val="24"/>
              <w:rFonts w:ascii="黑体" w:hAnsi="黑体" w:eastAsia="黑体" w:cs="黑体"/>
            </w:rPr>
            <w:t>2024年度决算表</w:t>
          </w:r>
          <w:r>
            <w:tab/>
          </w:r>
          <w:r>
            <w:fldChar w:fldCharType="begin"/>
          </w:r>
          <w:r>
            <w:instrText xml:space="preserve"> PAGEREF _Toc256000099 \h </w:instrText>
          </w:r>
          <w:r>
            <w:fldChar w:fldCharType="separate"/>
          </w:r>
          <w:r>
            <w:t>6</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"_Toc256000100" </w:instrText>
          </w:r>
          <w:r>
            <w:fldChar w:fldCharType="separate"/>
          </w:r>
          <w:r>
            <w:rPr>
              <w:rStyle w:val="24"/>
              <w:rFonts w:ascii="黑体" w:hAnsi="黑体" w:eastAsia="黑体" w:cs="黑体"/>
            </w:rPr>
            <w:t>一、收入支出决算总表</w:t>
          </w:r>
          <w:r>
            <w:tab/>
          </w:r>
          <w:r>
            <w:fldChar w:fldCharType="begin"/>
          </w:r>
          <w:r>
            <w:instrText xml:space="preserve"> PAGEREF _Toc256000100 \h </w:instrText>
          </w:r>
          <w:r>
            <w:fldChar w:fldCharType="separate"/>
          </w:r>
          <w:r>
            <w:t>6</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"_Toc256000101" </w:instrText>
          </w:r>
          <w:r>
            <w:fldChar w:fldCharType="separate"/>
          </w:r>
          <w:r>
            <w:rPr>
              <w:rStyle w:val="24"/>
              <w:rFonts w:ascii="黑体" w:hAnsi="黑体" w:eastAsia="黑体" w:cs="黑体"/>
            </w:rPr>
            <w:t>二、收入决算表</w:t>
          </w:r>
          <w:r>
            <w:tab/>
          </w:r>
          <w:r>
            <w:fldChar w:fldCharType="begin"/>
          </w:r>
          <w:r>
            <w:instrText xml:space="preserve"> PAGEREF _Toc256000101 \h </w:instrText>
          </w:r>
          <w:r>
            <w:fldChar w:fldCharType="separate"/>
          </w:r>
          <w:r>
            <w:t>7</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"_Toc256000102" </w:instrText>
          </w:r>
          <w:r>
            <w:fldChar w:fldCharType="separate"/>
          </w:r>
          <w:r>
            <w:rPr>
              <w:rStyle w:val="24"/>
              <w:rFonts w:ascii="黑体" w:hAnsi="黑体" w:eastAsia="黑体" w:cs="黑体"/>
            </w:rPr>
            <w:t>三、支出决算表</w:t>
          </w:r>
          <w:r>
            <w:tab/>
          </w:r>
          <w:r>
            <w:fldChar w:fldCharType="begin"/>
          </w:r>
          <w:r>
            <w:instrText xml:space="preserve"> PAGEREF _Toc256000102 \h </w:instrText>
          </w:r>
          <w:r>
            <w:fldChar w:fldCharType="separate"/>
          </w:r>
          <w:r>
            <w:t>8</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"_Toc256000103" </w:instrText>
          </w:r>
          <w:r>
            <w:fldChar w:fldCharType="separate"/>
          </w:r>
          <w:r>
            <w:rPr>
              <w:rStyle w:val="24"/>
              <w:rFonts w:ascii="黑体" w:hAnsi="黑体" w:eastAsia="黑体" w:cs="黑体"/>
            </w:rPr>
            <w:t>四、财政拨款收入支出决算总表</w:t>
          </w:r>
          <w:r>
            <w:tab/>
          </w:r>
          <w:r>
            <w:fldChar w:fldCharType="begin"/>
          </w:r>
          <w:r>
            <w:instrText xml:space="preserve"> PAGEREF _Toc256000103 \h </w:instrText>
          </w:r>
          <w:r>
            <w:fldChar w:fldCharType="separate"/>
          </w:r>
          <w:r>
            <w:t>9</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"_Toc256000104" </w:instrText>
          </w:r>
          <w:r>
            <w:fldChar w:fldCharType="separate"/>
          </w:r>
          <w:r>
            <w:rPr>
              <w:rStyle w:val="24"/>
              <w:rFonts w:ascii="黑体" w:hAnsi="黑体" w:eastAsia="黑体" w:cs="黑体"/>
            </w:rPr>
            <w:t>五、一般公共预算财政拨款支出决算表</w:t>
          </w:r>
          <w:r>
            <w:tab/>
          </w:r>
          <w:r>
            <w:fldChar w:fldCharType="begin"/>
          </w:r>
          <w:r>
            <w:instrText xml:space="preserve"> PAGEREF _Toc256000104 \h </w:instrText>
          </w:r>
          <w:r>
            <w:fldChar w:fldCharType="separate"/>
          </w:r>
          <w:r>
            <w:t>10</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"_Toc256000105" </w:instrText>
          </w:r>
          <w:r>
            <w:fldChar w:fldCharType="separate"/>
          </w:r>
          <w:r>
            <w:rPr>
              <w:rStyle w:val="24"/>
              <w:rFonts w:ascii="黑体" w:hAnsi="黑体" w:eastAsia="黑体" w:cs="黑体"/>
            </w:rPr>
            <w:t>六、一般公共预算财政拨款基本支出决算表</w:t>
          </w:r>
          <w:r>
            <w:tab/>
          </w:r>
          <w:r>
            <w:fldChar w:fldCharType="begin"/>
          </w:r>
          <w:r>
            <w:instrText xml:space="preserve"> PAGEREF _Toc256000105 \h </w:instrText>
          </w:r>
          <w:r>
            <w:fldChar w:fldCharType="separate"/>
          </w:r>
          <w:r>
            <w:t>12</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"_Toc256000106" </w:instrText>
          </w:r>
          <w:r>
            <w:fldChar w:fldCharType="separate"/>
          </w:r>
          <w:r>
            <w:rPr>
              <w:rStyle w:val="24"/>
              <w:rFonts w:ascii="黑体" w:hAnsi="黑体" w:eastAsia="黑体" w:cs="黑体"/>
            </w:rPr>
            <w:t>七、一般公共预算财政拨款“三公”经费支出决算表</w:t>
          </w:r>
          <w:r>
            <w:tab/>
          </w:r>
          <w:r>
            <w:fldChar w:fldCharType="begin"/>
          </w:r>
          <w:r>
            <w:instrText xml:space="preserve"> PAGEREF _Toc256000106 \h </w:instrText>
          </w:r>
          <w:r>
            <w:fldChar w:fldCharType="separate"/>
          </w:r>
          <w:r>
            <w:t>13</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"_Toc256000107" </w:instrText>
          </w:r>
          <w:r>
            <w:fldChar w:fldCharType="separate"/>
          </w:r>
          <w:r>
            <w:rPr>
              <w:rStyle w:val="24"/>
              <w:rFonts w:ascii="黑体" w:hAnsi="黑体" w:eastAsia="黑体" w:cs="黑体"/>
            </w:rPr>
            <w:t>八、政府性基金预算财政拨款收入支出决算表</w:t>
          </w:r>
          <w:r>
            <w:tab/>
          </w:r>
          <w:r>
            <w:fldChar w:fldCharType="begin"/>
          </w:r>
          <w:r>
            <w:instrText xml:space="preserve"> PAGEREF _Toc256000107 \h </w:instrText>
          </w:r>
          <w:r>
            <w:fldChar w:fldCharType="separate"/>
          </w:r>
          <w:r>
            <w:t>14</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"_Toc256000108" </w:instrText>
          </w:r>
          <w:r>
            <w:fldChar w:fldCharType="separate"/>
          </w:r>
          <w:r>
            <w:rPr>
              <w:rStyle w:val="24"/>
              <w:rFonts w:ascii="黑体" w:hAnsi="黑体" w:eastAsia="黑体" w:cs="黑体"/>
            </w:rPr>
            <w:t>九、国有资本经营预算财政拨款支出决算表</w:t>
          </w:r>
          <w:r>
            <w:tab/>
          </w:r>
          <w:r>
            <w:fldChar w:fldCharType="begin"/>
          </w:r>
          <w:r>
            <w:instrText xml:space="preserve"> PAGEREF _Toc256000108 \h </w:instrText>
          </w:r>
          <w:r>
            <w:fldChar w:fldCharType="separate"/>
          </w:r>
          <w:r>
            <w:t>14</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"_Toc256000109" </w:instrText>
          </w:r>
          <w:r>
            <w:fldChar w:fldCharType="separate"/>
          </w:r>
          <w:r>
            <w:rPr>
              <w:rStyle w:val="24"/>
              <w:rFonts w:ascii="黑体" w:hAnsi="黑体" w:eastAsia="黑体" w:cs="黑体"/>
            </w:rPr>
            <w:t>第三部分</w:t>
          </w:r>
          <w:r>
            <w:tab/>
          </w:r>
          <w:r>
            <w:fldChar w:fldCharType="begin"/>
          </w:r>
          <w:r>
            <w:instrText xml:space="preserve"> PAGEREF _Toc256000109 \h </w:instrText>
          </w:r>
          <w:r>
            <w:fldChar w:fldCharType="separate"/>
          </w:r>
          <w:r>
            <w:t>14</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"_Toc256000110" </w:instrText>
          </w:r>
          <w:r>
            <w:fldChar w:fldCharType="separate"/>
          </w:r>
          <w:r>
            <w:rPr>
              <w:rStyle w:val="24"/>
              <w:rFonts w:ascii="黑体" w:hAnsi="黑体" w:eastAsia="黑体" w:cs="黑体"/>
            </w:rPr>
            <w:t>2024年度决算情况说明</w:t>
          </w:r>
          <w:r>
            <w:tab/>
          </w:r>
          <w:r>
            <w:fldChar w:fldCharType="begin"/>
          </w:r>
          <w:r>
            <w:instrText xml:space="preserve"> PAGEREF _Toc256000110 \h </w:instrText>
          </w:r>
          <w:r>
            <w:fldChar w:fldCharType="separate"/>
          </w:r>
          <w:r>
            <w:t>15</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"_Toc256000111" </w:instrText>
          </w:r>
          <w:r>
            <w:fldChar w:fldCharType="separate"/>
          </w:r>
          <w:r>
            <w:rPr>
              <w:rStyle w:val="24"/>
              <w:rFonts w:ascii="黑体" w:hAnsi="黑体" w:eastAsia="黑体" w:cs="黑体"/>
            </w:rPr>
            <w:t>一、收入支出决算总体情况说明</w:t>
          </w:r>
          <w:r>
            <w:tab/>
          </w:r>
          <w:r>
            <w:fldChar w:fldCharType="begin"/>
          </w:r>
          <w:r>
            <w:instrText xml:space="preserve"> PAGEREF _Toc256000111 \h </w:instrText>
          </w:r>
          <w:r>
            <w:fldChar w:fldCharType="separate"/>
          </w:r>
          <w:r>
            <w:t>15</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"_Toc256000112" </w:instrText>
          </w:r>
          <w:r>
            <w:fldChar w:fldCharType="separate"/>
          </w:r>
          <w:r>
            <w:rPr>
              <w:rStyle w:val="24"/>
              <w:rFonts w:ascii="黑体" w:hAnsi="黑体" w:eastAsia="黑体" w:cs="黑体"/>
            </w:rPr>
            <w:t>二、财政拨款收入支出决算总体情况说明</w:t>
          </w:r>
          <w:r>
            <w:tab/>
          </w:r>
          <w:r>
            <w:fldChar w:fldCharType="begin"/>
          </w:r>
          <w:r>
            <w:instrText xml:space="preserve"> PAGEREF _Toc256000112 \h </w:instrText>
          </w:r>
          <w:r>
            <w:fldChar w:fldCharType="separate"/>
          </w:r>
          <w:r>
            <w:t>16</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"_Toc256000113" </w:instrText>
          </w:r>
          <w:r>
            <w:fldChar w:fldCharType="separate"/>
          </w:r>
          <w:r>
            <w:rPr>
              <w:rStyle w:val="24"/>
              <w:rFonts w:ascii="黑体" w:hAnsi="黑体" w:eastAsia="黑体" w:cs="黑体"/>
            </w:rPr>
            <w:t>三、一般公共预算拨款支出决算情况说明</w:t>
          </w:r>
          <w:r>
            <w:tab/>
          </w:r>
          <w:r>
            <w:fldChar w:fldCharType="begin"/>
          </w:r>
          <w:r>
            <w:instrText xml:space="preserve"> PAGEREF _Toc256000113 \h </w:instrText>
          </w:r>
          <w:r>
            <w:fldChar w:fldCharType="separate"/>
          </w:r>
          <w:r>
            <w:t>16</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"_Toc256000114" </w:instrText>
          </w:r>
          <w:r>
            <w:fldChar w:fldCharType="separate"/>
          </w:r>
          <w:r>
            <w:rPr>
              <w:rStyle w:val="24"/>
              <w:rFonts w:ascii="黑体" w:hAnsi="黑体" w:eastAsia="黑体" w:cs="黑体"/>
            </w:rPr>
            <w:t>四、政府性基金预算财政拨款支出决算情况说明</w:t>
          </w:r>
          <w:r>
            <w:tab/>
          </w:r>
          <w:r>
            <w:fldChar w:fldCharType="begin"/>
          </w:r>
          <w:r>
            <w:instrText xml:space="preserve"> PAGEREF _Toc256000114 \h </w:instrText>
          </w:r>
          <w:r>
            <w:fldChar w:fldCharType="separate"/>
          </w:r>
          <w:r>
            <w:t>17</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"_Toc256000115" </w:instrText>
          </w:r>
          <w:r>
            <w:fldChar w:fldCharType="separate"/>
          </w:r>
          <w:r>
            <w:rPr>
              <w:rStyle w:val="24"/>
              <w:rFonts w:ascii="黑体" w:hAnsi="黑体" w:eastAsia="黑体" w:cs="黑体"/>
            </w:rPr>
            <w:t>五、国有资本经营预算财政拨款支出决算情况说明</w:t>
          </w:r>
          <w:r>
            <w:tab/>
          </w:r>
          <w:r>
            <w:fldChar w:fldCharType="begin"/>
          </w:r>
          <w:r>
            <w:instrText xml:space="preserve"> PAGEREF _Toc256000115 \h </w:instrText>
          </w:r>
          <w:r>
            <w:fldChar w:fldCharType="separate"/>
          </w:r>
          <w:r>
            <w:t>18</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"_Toc256000116" </w:instrText>
          </w:r>
          <w:r>
            <w:fldChar w:fldCharType="separate"/>
          </w:r>
          <w:r>
            <w:rPr>
              <w:rStyle w:val="24"/>
              <w:rFonts w:ascii="黑体" w:hAnsi="黑体" w:eastAsia="黑体" w:cs="黑体"/>
            </w:rPr>
            <w:t>六、一般公共预算财政拨款基本支出决算情况说明</w:t>
          </w:r>
          <w:r>
            <w:tab/>
          </w:r>
          <w:r>
            <w:fldChar w:fldCharType="begin"/>
          </w:r>
          <w:r>
            <w:instrText xml:space="preserve"> PAGEREF _Toc256000116 \h </w:instrText>
          </w:r>
          <w:r>
            <w:fldChar w:fldCharType="separate"/>
          </w:r>
          <w:r>
            <w:t>18</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"_Toc256000117" </w:instrText>
          </w:r>
          <w:r>
            <w:fldChar w:fldCharType="separate"/>
          </w:r>
          <w:r>
            <w:rPr>
              <w:rStyle w:val="24"/>
              <w:rFonts w:ascii="黑体" w:hAnsi="黑体" w:eastAsia="黑体" w:cs="黑体"/>
            </w:rPr>
            <w:t>七、一般公共预算拨款“三公”经费支出决算情况说明</w:t>
          </w:r>
          <w:r>
            <w:tab/>
          </w:r>
          <w:r>
            <w:fldChar w:fldCharType="begin"/>
          </w:r>
          <w:r>
            <w:instrText xml:space="preserve"> PAGEREF _Toc256000117 \h </w:instrText>
          </w:r>
          <w:r>
            <w:fldChar w:fldCharType="separate"/>
          </w:r>
          <w:r>
            <w:t>19</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"_Toc256000118" </w:instrText>
          </w:r>
          <w:r>
            <w:fldChar w:fldCharType="separate"/>
          </w:r>
          <w:r>
            <w:rPr>
              <w:rStyle w:val="24"/>
              <w:rFonts w:ascii="黑体" w:hAnsi="黑体" w:eastAsia="黑体" w:cs="黑体"/>
            </w:rPr>
            <w:t>八、预算绩效情况说明</w:t>
          </w:r>
          <w:r>
            <w:tab/>
          </w:r>
          <w:r>
            <w:fldChar w:fldCharType="begin"/>
          </w:r>
          <w:r>
            <w:instrText xml:space="preserve"> PAGEREF _Toc256000118 \h </w:instrText>
          </w:r>
          <w:r>
            <w:fldChar w:fldCharType="separate"/>
          </w:r>
          <w:r>
            <w:t>19</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"_Toc256000119" </w:instrText>
          </w:r>
          <w:r>
            <w:fldChar w:fldCharType="separate"/>
          </w:r>
          <w:r>
            <w:rPr>
              <w:rStyle w:val="24"/>
              <w:rFonts w:ascii="黑体" w:hAnsi="黑体" w:eastAsia="黑体" w:cs="黑体"/>
            </w:rPr>
            <w:t>九、其他重要事项说明</w:t>
          </w:r>
          <w:r>
            <w:tab/>
          </w:r>
          <w:r>
            <w:fldChar w:fldCharType="begin"/>
          </w:r>
          <w:r>
            <w:instrText xml:space="preserve"> PAGEREF _Toc256000119 \h </w:instrText>
          </w:r>
          <w:r>
            <w:fldChar w:fldCharType="separate"/>
          </w:r>
          <w:r>
            <w:t>20</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"_Toc256000120" </w:instrText>
          </w:r>
          <w:r>
            <w:fldChar w:fldCharType="separate"/>
          </w:r>
          <w:r>
            <w:rPr>
              <w:rStyle w:val="24"/>
              <w:rFonts w:ascii="黑体" w:hAnsi="黑体" w:eastAsia="黑体" w:cs="黑体"/>
            </w:rPr>
            <w:t>第四部分</w:t>
          </w:r>
          <w:r>
            <w:tab/>
          </w:r>
          <w:r>
            <w:rPr>
              <w:rFonts w:hint="eastAsia"/>
              <w:lang w:val="en-US" w:eastAsia="zh-CN"/>
            </w:rPr>
            <w:t>18</w:t>
          </w:r>
          <w:r>
            <w:fldChar w:fldCharType="end"/>
          </w:r>
        </w:p>
        <w:p>
          <w:pPr>
            <w:pStyle w:val="20"/>
            <w:tabs>
              <w:tab w:val="right" w:leader="dot" w:pos="9730"/>
            </w:tabs>
            <w:rPr>
              <w:rFonts w:asciiTheme="minorHAnsi" w:hAnsiTheme="minorHAnsi"/>
              <w:sz w:val="22"/>
            </w:rPr>
          </w:pPr>
          <w:r>
            <w:fldChar w:fldCharType="begin"/>
          </w:r>
          <w:r>
            <w:instrText xml:space="preserve"> HYPERLINK \l "_Toc256000121" </w:instrText>
          </w:r>
          <w:r>
            <w:fldChar w:fldCharType="separate"/>
          </w:r>
          <w:r>
            <w:rPr>
              <w:rStyle w:val="24"/>
              <w:rFonts w:ascii="黑体" w:hAnsi="黑体" w:eastAsia="黑体" w:cs="黑体"/>
            </w:rPr>
            <w:t>名词解释</w:t>
          </w:r>
          <w:r>
            <w:tab/>
          </w:r>
          <w:r>
            <w:fldChar w:fldCharType="begin"/>
          </w:r>
          <w:r>
            <w:instrText xml:space="preserve"> PAGEREF _Toc256000121 \h </w:instrText>
          </w:r>
          <w:r>
            <w:fldChar w:fldCharType="separate"/>
          </w:r>
          <w:r>
            <w:t>21</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"_Toc256000122" </w:instrText>
          </w:r>
          <w:r>
            <w:fldChar w:fldCharType="separate"/>
          </w:r>
          <w:r>
            <w:rPr>
              <w:rStyle w:val="24"/>
              <w:rFonts w:ascii="黑体" w:hAnsi="黑体" w:eastAsia="黑体" w:cs="黑体"/>
            </w:rPr>
            <w:t>第五部分</w:t>
          </w:r>
          <w:r>
            <w:tab/>
          </w:r>
          <w:r>
            <w:fldChar w:fldCharType="begin"/>
          </w:r>
          <w:r>
            <w:instrText xml:space="preserve"> PAGEREF _Toc256000122 \h </w:instrText>
          </w:r>
          <w:r>
            <w:fldChar w:fldCharType="separate"/>
          </w:r>
          <w:r>
            <w:t>23</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"_Toc256000123" </w:instrText>
          </w:r>
          <w:r>
            <w:fldChar w:fldCharType="separate"/>
          </w:r>
          <w:r>
            <w:rPr>
              <w:rStyle w:val="24"/>
              <w:rFonts w:ascii="黑体" w:hAnsi="黑体" w:eastAsia="黑体" w:cs="黑体"/>
            </w:rPr>
            <w:t>附件</w:t>
          </w:r>
          <w:r>
            <w:tab/>
          </w:r>
          <w:r>
            <w:fldChar w:fldCharType="begin"/>
          </w:r>
          <w:r>
            <w:instrText xml:space="preserve"> PAGEREF _Toc256000123 \h </w:instrText>
          </w:r>
          <w:r>
            <w:fldChar w:fldCharType="separate"/>
          </w:r>
          <w:r>
            <w:t>23</w:t>
          </w:r>
          <w:r>
            <w:fldChar w:fldCharType="end"/>
          </w:r>
          <w: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4"/>
        <w:keepNext w:val="0"/>
        <w:keepLines w:val="0"/>
        <w:spacing w:before="100" w:after="100" w:line="240" w:lineRule="auto"/>
        <w:ind w:left="0" w:right="0" w:firstLine="0" w:firstLineChars="0"/>
        <w:jc w:val="center"/>
        <w:rPr>
          <w:rFonts w:ascii="黑体" w:hAnsi="黑体" w:eastAsia="黑体" w:cs="黑体"/>
          <w:b/>
          <w:spacing w:val="0"/>
          <w:sz w:val="36"/>
          <w:szCs w:val="36"/>
        </w:rPr>
      </w:pPr>
      <w:bookmarkStart w:id="0" w:name="_Toc256000062"/>
      <w:bookmarkStart w:id="1" w:name="_Toc256000000"/>
      <w:bookmarkStart w:id="2" w:name="_Toc256000031"/>
      <w:bookmarkStart w:id="3" w:name="_Toc256000093"/>
      <w:bookmarkStart w:id="4" w:name="a000"/>
      <w:r>
        <w:rPr>
          <w:rFonts w:ascii="黑体" w:hAnsi="黑体" w:eastAsia="黑体" w:cs="黑体"/>
          <w:b/>
          <w:spacing w:val="0"/>
          <w:sz w:val="36"/>
          <w:szCs w:val="36"/>
        </w:rPr>
        <w:t>第一部分</w:t>
      </w:r>
      <w:bookmarkEnd w:id="0"/>
      <w:bookmarkEnd w:id="1"/>
      <w:bookmarkEnd w:id="2"/>
      <w:bookmarkEnd w:id="3"/>
      <w:r>
        <w:rPr>
          <w:rFonts w:ascii="宋体" w:hAnsi="宋体" w:eastAsia="宋体" w:cs="宋体"/>
          <w:b/>
          <w:spacing w:val="0"/>
          <w:sz w:val="36"/>
          <w:szCs w:val="36"/>
        </w:rPr>
        <w:t> </w:t>
      </w:r>
      <w:bookmarkStart w:id="5" w:name="_Toc256000032"/>
      <w:bookmarkStart w:id="6" w:name="_Toc256000001"/>
      <w:bookmarkStart w:id="7" w:name="_Toc256000063"/>
      <w:bookmarkStart w:id="8" w:name="_Toc256000094"/>
      <w:r>
        <w:rPr>
          <w:rFonts w:ascii="黑体" w:hAnsi="黑体" w:eastAsia="黑体" w:cs="黑体"/>
          <w:b/>
          <w:spacing w:val="0"/>
          <w:sz w:val="36"/>
          <w:szCs w:val="36"/>
        </w:rPr>
        <w:t>单位概况</w:t>
      </w:r>
      <w:bookmarkEnd w:id="5"/>
      <w:bookmarkEnd w:id="6"/>
      <w:bookmarkEnd w:id="7"/>
      <w:bookmarkEnd w:id="8"/>
    </w:p>
    <w:p>
      <w:pPr>
        <w:pStyle w:val="4"/>
        <w:keepNext w:val="0"/>
        <w:keepLines w:val="0"/>
        <w:spacing w:before="100" w:after="100" w:line="240" w:lineRule="auto"/>
        <w:ind w:left="0" w:right="0" w:firstLine="0" w:firstLineChars="0"/>
        <w:jc w:val="center"/>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6"/>
        <w:keepNext w:val="0"/>
        <w:keepLines w:val="0"/>
        <w:pageBreakBefore w:val="0"/>
        <w:widowControl/>
        <w:kinsoku/>
        <w:wordWrap/>
        <w:overflowPunct/>
        <w:topLinePunct w:val="0"/>
        <w:autoSpaceDE/>
        <w:autoSpaceDN/>
        <w:bidi w:val="0"/>
        <w:adjustRightInd/>
        <w:snapToGrid/>
        <w:spacing w:before="100" w:after="100" w:line="600" w:lineRule="exact"/>
        <w:ind w:left="0" w:right="0" w:firstLine="0" w:firstLineChars="0"/>
        <w:textAlignment w:val="auto"/>
        <w:rPr>
          <w:rFonts w:ascii="黑体" w:hAnsi="黑体" w:eastAsia="黑体" w:cs="黑体"/>
          <w:b/>
          <w:spacing w:val="0"/>
        </w:rPr>
      </w:pPr>
      <w:bookmarkStart w:id="9" w:name="_Toc256000033"/>
      <w:bookmarkStart w:id="10" w:name="_Toc256000002"/>
      <w:bookmarkStart w:id="11" w:name="_Toc256000064"/>
      <w:bookmarkStart w:id="12" w:name="_Toc256000095"/>
    </w:p>
    <w:p>
      <w:pPr>
        <w:pStyle w:val="6"/>
        <w:keepNext w:val="0"/>
        <w:keepLines w:val="0"/>
        <w:pageBreakBefore w:val="0"/>
        <w:widowControl/>
        <w:kinsoku/>
        <w:wordWrap/>
        <w:overflowPunct/>
        <w:topLinePunct w:val="0"/>
        <w:autoSpaceDE/>
        <w:autoSpaceDN/>
        <w:bidi w:val="0"/>
        <w:adjustRightInd/>
        <w:snapToGrid/>
        <w:spacing w:before="100" w:after="100" w:line="600" w:lineRule="exact"/>
        <w:ind w:left="0" w:right="0" w:firstLine="643" w:firstLineChars="200"/>
        <w:textAlignment w:val="auto"/>
        <w:rPr>
          <w:rFonts w:ascii="Times New Roman" w:hAnsi="Times New Roman" w:eastAsia="Times New Roman" w:cs="Times New Roman"/>
          <w:b/>
          <w:bCs/>
          <w:kern w:val="0"/>
          <w:sz w:val="28"/>
          <w:szCs w:val="28"/>
        </w:rPr>
      </w:pPr>
      <w:r>
        <w:rPr>
          <w:rFonts w:ascii="黑体" w:hAnsi="黑体" w:eastAsia="黑体" w:cs="黑体"/>
          <w:b/>
          <w:spacing w:val="0"/>
        </w:rPr>
        <w:t>一、单位主要职责</w:t>
      </w:r>
      <w:bookmarkEnd w:id="9"/>
      <w:bookmarkEnd w:id="10"/>
      <w:bookmarkEnd w:id="11"/>
      <w:bookmarkEnd w:id="12"/>
    </w:p>
    <w:p>
      <w:pPr>
        <w:pStyle w:val="31"/>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jc w:val="lef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厦门市翔鹭小学以“名家引领成长”为办学理念，以“名家文化”作为学校的办学特色，引导学生向古今中外各领域的杰出人物学习，提高自身的文化水平和个人素养，从而达到提升学校办学品位的目的。学校的主要职责是：</w:t>
      </w:r>
    </w:p>
    <w:p>
      <w:pPr>
        <w:pStyle w:val="31"/>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jc w:val="lef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（一）实施小学义务教育</w:t>
      </w:r>
    </w:p>
    <w:p>
      <w:pPr>
        <w:pStyle w:val="31"/>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jc w:val="lef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包括开展普通小学各类文化课程教学，教育教研、学籍管理等工作，全面素质教育；包括思想品德、科学、体育、艺术等学科教育，课外教育活动、综合实践活动等工作。</w:t>
      </w:r>
    </w:p>
    <w:p>
      <w:pPr>
        <w:pStyle w:val="31"/>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jc w:val="lef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（二）其他相关社会教育服务</w:t>
      </w:r>
    </w:p>
    <w:p>
      <w:pPr>
        <w:pStyle w:val="31"/>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jc w:val="lef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包括后勤保障、卫生保健服务、开展对外交流等工作。</w:t>
      </w:r>
    </w:p>
    <w:p>
      <w:pPr>
        <w:pStyle w:val="31"/>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jc w:val="lef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（三）内部运行管理</w:t>
      </w:r>
    </w:p>
    <w:p>
      <w:pPr>
        <w:pStyle w:val="31"/>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jc w:val="lef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包括日常运行、维护，单位内部人事、财务管理工作。</w:t>
      </w:r>
      <w:bookmarkStart w:id="13" w:name="_Toc256000096"/>
      <w:bookmarkStart w:id="14" w:name="_Toc256000065"/>
      <w:bookmarkStart w:id="15" w:name="_Toc256000034"/>
      <w:bookmarkStart w:id="16" w:name="_Toc256000003"/>
    </w:p>
    <w:p>
      <w:pPr>
        <w:pStyle w:val="31"/>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jc w:val="left"/>
        <w:textAlignment w:val="auto"/>
        <w:rPr>
          <w:rFonts w:ascii="Times New Roman" w:hAnsi="Times New Roman" w:eastAsia="Times New Roman" w:cs="Times New Roman"/>
          <w:b/>
          <w:bCs/>
          <w:kern w:val="0"/>
          <w:sz w:val="32"/>
          <w:szCs w:val="32"/>
        </w:rPr>
      </w:pPr>
      <w:r>
        <w:rPr>
          <w:rFonts w:ascii="黑体" w:hAnsi="黑体" w:eastAsia="黑体" w:cs="黑体"/>
          <w:b/>
          <w:spacing w:val="0"/>
          <w:sz w:val="32"/>
          <w:szCs w:val="32"/>
        </w:rPr>
        <w:t>二、单位基本情况</w:t>
      </w:r>
      <w:bookmarkEnd w:id="13"/>
      <w:bookmarkEnd w:id="14"/>
      <w:bookmarkEnd w:id="15"/>
      <w:bookmarkEnd w:id="16"/>
    </w:p>
    <w:p>
      <w:pPr>
        <w:pStyle w:val="31"/>
        <w:keepNext w:val="0"/>
        <w:keepLines w:val="0"/>
        <w:pageBreakBefore w:val="0"/>
        <w:widowControl/>
        <w:kinsoku/>
        <w:wordWrap/>
        <w:overflowPunct/>
        <w:topLinePunct w:val="0"/>
        <w:autoSpaceDE/>
        <w:autoSpaceDN/>
        <w:bidi w:val="0"/>
        <w:adjustRightInd/>
        <w:snapToGrid/>
        <w:spacing w:before="313" w:beforeLines="100" w:after="313" w:afterLines="100" w:line="600" w:lineRule="exact"/>
        <w:ind w:firstLine="641"/>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从决算单位构成看，本单位包括</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个内设机构，其中：列入2024年决算编制范围的单位详细情况见下表:</w:t>
      </w:r>
    </w:p>
    <w:tbl>
      <w:tblPr>
        <w:tblStyle w:val="25"/>
        <w:tblW w:w="9784"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3412"/>
        <w:gridCol w:w="637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171" w:hRule="atLeast"/>
          <w:tblHeader/>
          <w:jc w:val="center"/>
        </w:trPr>
        <w:tc>
          <w:tcPr>
            <w:tcW w:w="3412" w:type="dxa"/>
            <w:tcBorders>
              <w:bottom w:val="single" w:color="auto" w:sz="4"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600" w:lineRule="exact"/>
              <w:ind w:firstLine="640"/>
              <w:jc w:val="center"/>
              <w:textAlignment w:val="auto"/>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序号</w:t>
            </w:r>
          </w:p>
        </w:tc>
        <w:tc>
          <w:tcPr>
            <w:tcW w:w="6372" w:type="dxa"/>
            <w:tcBorders>
              <w:left w:val="inset" w:color="808080" w:sz="6" w:space="0"/>
              <w:bottom w:val="single" w:color="auto" w:sz="4"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600" w:lineRule="exact"/>
              <w:ind w:firstLine="640"/>
              <w:jc w:val="center"/>
              <w:textAlignment w:val="auto"/>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174" w:hRule="atLeast"/>
          <w:tblHeader/>
          <w:jc w:val="center"/>
        </w:trPr>
        <w:tc>
          <w:tcPr>
            <w:tcW w:w="3412" w:type="dxa"/>
            <w:tcBorders>
              <w:top w:val="single" w:color="auto" w:sz="4"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600" w:lineRule="exact"/>
              <w:ind w:firstLine="640"/>
              <w:jc w:val="center"/>
              <w:textAlignment w:val="auto"/>
              <w:rPr>
                <w:rFonts w:hint="default" w:ascii="仿宋" w:hAnsi="仿宋" w:eastAsia="仿宋" w:cs="仿宋"/>
                <w:b w:val="0"/>
                <w:bCs w:val="0"/>
                <w:i w:val="0"/>
                <w:iCs w:val="0"/>
                <w:smallCaps w:val="0"/>
                <w:color w:val="000000"/>
                <w:spacing w:val="0"/>
                <w:kern w:val="0"/>
                <w:sz w:val="32"/>
                <w:szCs w:val="32"/>
                <w:lang w:val="en-US" w:eastAsia="zh-CN"/>
              </w:rPr>
            </w:pPr>
            <w:r>
              <w:rPr>
                <w:rFonts w:hint="eastAsia" w:ascii="仿宋" w:hAnsi="仿宋" w:eastAsia="仿宋" w:cs="仿宋"/>
                <w:b w:val="0"/>
                <w:bCs w:val="0"/>
                <w:i w:val="0"/>
                <w:iCs w:val="0"/>
                <w:smallCaps w:val="0"/>
                <w:color w:val="000000"/>
                <w:spacing w:val="0"/>
                <w:kern w:val="0"/>
                <w:sz w:val="32"/>
                <w:szCs w:val="32"/>
                <w:lang w:val="en-US" w:eastAsia="zh-CN"/>
              </w:rPr>
              <w:t>01</w:t>
            </w:r>
          </w:p>
        </w:tc>
        <w:tc>
          <w:tcPr>
            <w:tcW w:w="6372" w:type="dxa"/>
            <w:tcBorders>
              <w:top w:val="single" w:color="auto" w:sz="4" w:space="0"/>
              <w:lef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600" w:lineRule="exact"/>
              <w:ind w:firstLine="640"/>
              <w:jc w:val="center"/>
              <w:textAlignment w:val="auto"/>
              <w:rPr>
                <w:rFonts w:hint="eastAsia" w:ascii="仿宋" w:hAnsi="仿宋" w:eastAsia="仿宋" w:cs="仿宋"/>
                <w:b w:val="0"/>
                <w:bCs w:val="0"/>
                <w:i w:val="0"/>
                <w:iCs w:val="0"/>
                <w:smallCaps w:val="0"/>
                <w:color w:val="000000"/>
                <w:spacing w:val="0"/>
                <w:kern w:val="0"/>
                <w:sz w:val="32"/>
                <w:szCs w:val="32"/>
                <w:lang w:eastAsia="zh-CN"/>
              </w:rPr>
            </w:pPr>
            <w:r>
              <w:rPr>
                <w:rFonts w:hint="eastAsia" w:ascii="仿宋" w:hAnsi="仿宋" w:eastAsia="仿宋" w:cs="仿宋"/>
                <w:b w:val="0"/>
                <w:bCs w:val="0"/>
                <w:i w:val="0"/>
                <w:iCs w:val="0"/>
                <w:smallCaps w:val="0"/>
                <w:color w:val="000000"/>
                <w:spacing w:val="0"/>
                <w:kern w:val="0"/>
                <w:sz w:val="32"/>
                <w:szCs w:val="32"/>
                <w:lang w:eastAsia="zh-CN"/>
              </w:rPr>
              <w:t>厦门市翔鹭小学</w:t>
            </w:r>
          </w:p>
        </w:tc>
      </w:tr>
    </w:tbl>
    <w:p>
      <w:pPr>
        <w:pStyle w:val="6"/>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0"/>
        <w:textAlignment w:val="auto"/>
        <w:rPr>
          <w:rFonts w:ascii="Times New Roman" w:hAnsi="Times New Roman" w:eastAsia="Times New Roman" w:cs="Times New Roman"/>
          <w:b/>
          <w:bCs/>
          <w:kern w:val="0"/>
          <w:sz w:val="28"/>
          <w:szCs w:val="28"/>
        </w:rPr>
      </w:pPr>
      <w:bookmarkStart w:id="17" w:name="_Toc256000035"/>
      <w:bookmarkStart w:id="18" w:name="_Toc256000004"/>
      <w:bookmarkStart w:id="19" w:name="_Toc256000066"/>
      <w:bookmarkStart w:id="20" w:name="_Toc256000097"/>
      <w:r>
        <w:rPr>
          <w:rFonts w:ascii="黑体" w:hAnsi="黑体" w:eastAsia="黑体" w:cs="黑体"/>
          <w:b/>
          <w:spacing w:val="0"/>
        </w:rPr>
        <w:t>三、单位主要工作总结</w:t>
      </w:r>
      <w:bookmarkEnd w:id="17"/>
      <w:bookmarkEnd w:id="18"/>
      <w:bookmarkEnd w:id="19"/>
      <w:bookmarkEnd w:id="20"/>
    </w:p>
    <w:p>
      <w:pPr>
        <w:pStyle w:val="31"/>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jc w:val="lef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2024年，厦门市翔鹭小学单位主要任务是以习近平新时代中国特色社会主义思想为引领，坚持“名家引领成长，培育时代新人”的办学特色，以立德树人为根本，以深化教育教学改革为重点，加强干部队伍和教师队伍建设。围绕上述任务，重点完成了以下工作:</w:t>
      </w:r>
    </w:p>
    <w:p>
      <w:pPr>
        <w:pStyle w:val="31"/>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jc w:val="lef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（一）立德树人，规范德育工作：1.加强教师德育队伍建设；2.培养学生良好学习和生活习惯。</w:t>
      </w:r>
    </w:p>
    <w:p>
      <w:pPr>
        <w:pStyle w:val="31"/>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jc w:val="lef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（二）常规管理，提升教学质量：1.加强教学常规管理；2.提高教学质量意识；3.注重学生素养提升。</w:t>
      </w:r>
    </w:p>
    <w:p>
      <w:pPr>
        <w:pStyle w:val="31"/>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jc w:val="lef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（三）校本研修，助力教师成长：1.名师示范引领；2.加强岗位练兵；3.做好课题研究；4.探索数字转型；5.加强专业培训。</w:t>
      </w:r>
    </w:p>
    <w:p>
      <w:pPr>
        <w:pStyle w:val="31"/>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jc w:val="lef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（四）明确职责，牢记安全使命：1.树立“以人为本，预防为主，安全第一”的安全意识；2.坚持依法治校，努力创建平安和谐校园。</w:t>
      </w:r>
    </w:p>
    <w:p>
      <w:pPr>
        <w:pStyle w:val="31"/>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jc w:val="lef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（五）重视服务，做好后勤管理：1.做好财务管理工作；2.做好资产管理工作；3.做好后勤保障工作。</w:t>
      </w:r>
    </w:p>
    <w:p>
      <w:pPr>
        <w:pStyle w:val="31"/>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jc w:val="lef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（六）工会建设，共创温馨校园：本年度学校工会紧紧围绕学校教育工作，以服务全体教职工为主要目标，加强自身建设，充分发挥职能，组织教职工参与学校管理。</w:t>
      </w:r>
    </w:p>
    <w:p>
      <w:pPr>
        <w:pStyle w:val="5"/>
        <w:rPr>
          <w:rFonts w:ascii="黑体" w:hAnsi="黑体" w:eastAsia="黑体" w:cs="黑体"/>
          <w:b/>
          <w:spacing w:val="0"/>
          <w:sz w:val="36"/>
          <w:szCs w:val="36"/>
        </w:rPr>
      </w:pPr>
      <w:bookmarkStart w:id="21" w:name="_Toc256000098"/>
      <w:bookmarkStart w:id="22" w:name="_Toc256000036"/>
      <w:bookmarkStart w:id="23" w:name="_Toc256000067"/>
      <w:bookmarkStart w:id="24" w:name="_Toc256000005"/>
    </w:p>
    <w:p>
      <w:pPr>
        <w:pStyle w:val="4"/>
        <w:keepNext w:val="0"/>
        <w:keepLines w:val="0"/>
        <w:spacing w:before="100" w:after="100" w:line="240" w:lineRule="auto"/>
        <w:ind w:left="0" w:right="0" w:firstLine="0" w:firstLineChars="0"/>
        <w:jc w:val="center"/>
      </w:pPr>
      <w:r>
        <w:rPr>
          <w:rFonts w:ascii="黑体" w:hAnsi="黑体" w:eastAsia="黑体" w:cs="黑体"/>
          <w:b/>
          <w:spacing w:val="0"/>
          <w:sz w:val="36"/>
          <w:szCs w:val="36"/>
        </w:rPr>
        <w:t>第二部分</w:t>
      </w:r>
      <w:bookmarkEnd w:id="21"/>
      <w:bookmarkEnd w:id="22"/>
      <w:bookmarkEnd w:id="23"/>
      <w:bookmarkEnd w:id="24"/>
      <w:bookmarkStart w:id="25" w:name="_Toc256000099"/>
      <w:bookmarkStart w:id="26" w:name="_Toc256000006"/>
      <w:bookmarkStart w:id="27" w:name="_Toc256000037"/>
      <w:bookmarkStart w:id="28" w:name="_Toc256000068"/>
      <w:r>
        <w:rPr>
          <w:rFonts w:ascii="黑体" w:hAnsi="黑体" w:eastAsia="黑体" w:cs="黑体"/>
          <w:b/>
          <w:spacing w:val="0"/>
          <w:sz w:val="36"/>
          <w:szCs w:val="36"/>
        </w:rPr>
        <w:t>2024年度决算表</w:t>
      </w:r>
      <w:bookmarkEnd w:id="25"/>
      <w:bookmarkEnd w:id="26"/>
      <w:bookmarkEnd w:id="27"/>
      <w:bookmarkEnd w:id="28"/>
    </w:p>
    <w:p>
      <w:pPr>
        <w:pStyle w:val="4"/>
        <w:keepNext w:val="0"/>
        <w:keepLines w:val="0"/>
        <w:spacing w:before="100" w:after="100" w:line="240" w:lineRule="auto"/>
        <w:ind w:left="0" w:right="0" w:firstLine="0" w:firstLineChars="0"/>
        <w:jc w:val="center"/>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6"/>
        <w:keepNext w:val="0"/>
        <w:keepLines w:val="0"/>
        <w:spacing w:before="100" w:after="100" w:line="240" w:lineRule="auto"/>
        <w:ind w:left="720" w:right="0" w:hanging="720" w:firstLineChars="0"/>
        <w:rPr>
          <w:rFonts w:ascii="黑体" w:hAnsi="黑体" w:eastAsia="黑体" w:cs="黑体"/>
          <w:b/>
          <w:spacing w:val="0"/>
        </w:rPr>
      </w:pPr>
      <w:bookmarkStart w:id="29" w:name="_Toc256000100"/>
      <w:bookmarkStart w:id="30" w:name="_Toc256000007"/>
      <w:bookmarkStart w:id="31" w:name="_Toc256000069"/>
      <w:bookmarkStart w:id="32" w:name="_Toc256000038"/>
    </w:p>
    <w:p>
      <w:pPr>
        <w:pStyle w:val="6"/>
        <w:keepNext w:val="0"/>
        <w:keepLines w:val="0"/>
        <w:spacing w:before="100" w:after="100" w:line="240" w:lineRule="auto"/>
        <w:ind w:left="0" w:leftChars="0" w:right="0" w:firstLine="321" w:firstLineChars="100"/>
        <w:rPr>
          <w:rFonts w:ascii="Times New Roman" w:hAnsi="Times New Roman" w:eastAsia="Times New Roman" w:cs="Times New Roman"/>
          <w:b/>
          <w:bCs/>
          <w:kern w:val="0"/>
          <w:sz w:val="28"/>
          <w:szCs w:val="28"/>
        </w:rPr>
      </w:pPr>
      <w:r>
        <w:rPr>
          <w:rFonts w:ascii="黑体" w:hAnsi="黑体" w:eastAsia="黑体" w:cs="黑体"/>
          <w:b/>
          <w:spacing w:val="0"/>
        </w:rPr>
        <w:t>一、收入支出决算总表</w:t>
      </w:r>
      <w:bookmarkEnd w:id="29"/>
      <w:bookmarkEnd w:id="30"/>
      <w:bookmarkEnd w:id="31"/>
      <w:bookmarkEnd w:id="32"/>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066" w:type="dxa"/>
        <w:jc w:val="center"/>
        <w:tblInd w:w="0" w:type="dxa"/>
        <w:tblLayout w:type="fixed"/>
        <w:tblCellMar>
          <w:top w:w="15" w:type="dxa"/>
          <w:left w:w="15" w:type="dxa"/>
          <w:bottom w:w="15" w:type="dxa"/>
          <w:right w:w="15" w:type="dxa"/>
        </w:tblCellMar>
      </w:tblPr>
      <w:tblGrid>
        <w:gridCol w:w="3399"/>
        <w:gridCol w:w="492"/>
        <w:gridCol w:w="642"/>
        <w:gridCol w:w="3006"/>
        <w:gridCol w:w="816"/>
        <w:gridCol w:w="711"/>
      </w:tblGrid>
      <w:tr>
        <w:tblPrEx>
          <w:tblLayout w:type="fixed"/>
          <w:tblCellMar>
            <w:top w:w="15" w:type="dxa"/>
            <w:left w:w="15" w:type="dxa"/>
            <w:bottom w:w="15" w:type="dxa"/>
            <w:right w:w="15" w:type="dxa"/>
          </w:tblCellMar>
        </w:tblPrEx>
        <w:trPr>
          <w:trHeight w:val="0" w:hRule="atLeast"/>
          <w:tblHeader/>
          <w:jc w:val="center"/>
        </w:trPr>
        <w:tc>
          <w:tcPr>
            <w:tcW w:w="9066" w:type="dxa"/>
            <w:gridSpan w:val="6"/>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收入支出决算总表</w:t>
            </w:r>
          </w:p>
        </w:tc>
      </w:tr>
      <w:tr>
        <w:tblPrEx>
          <w:tblLayout w:type="fixed"/>
          <w:tblCellMar>
            <w:top w:w="15" w:type="dxa"/>
            <w:left w:w="15" w:type="dxa"/>
            <w:bottom w:w="15" w:type="dxa"/>
            <w:right w:w="15" w:type="dxa"/>
          </w:tblCellMar>
        </w:tblPrEx>
        <w:trPr>
          <w:trHeight w:val="0" w:hRule="atLeast"/>
          <w:tblHeader/>
          <w:jc w:val="center"/>
        </w:trPr>
        <w:tc>
          <w:tcPr>
            <w:tcW w:w="3891"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1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3891"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单位：厦门市翔鹭小学</w:t>
            </w:r>
            <w:r>
              <w:rPr>
                <w:rFonts w:ascii="Times New Roman" w:hAnsi="Times New Roman" w:eastAsia="Times New Roman" w:cs="Times New Roman"/>
                <w:b w:val="0"/>
                <w:bCs w:val="0"/>
                <w:i w:val="0"/>
                <w:iCs w:val="0"/>
                <w:smallCaps w:val="0"/>
                <w:color w:val="000000"/>
                <w:kern w:val="0"/>
                <w:sz w:val="18"/>
                <w:szCs w:val="18"/>
              </w:rPr>
              <w:t> </w:t>
            </w:r>
          </w:p>
        </w:tc>
        <w:tc>
          <w:tcPr>
            <w:tcW w:w="64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527"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453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453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一、一般公共预算财政拨款收入</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2,947</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二、政府性基金预算财政拨款收入</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三、国有资本经营预算财政拨款收入</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四、上级补助收入</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五、事业收入</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2,576.09</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六、经营收入</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七、附属单位上缴收入</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八、其他收入</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255.78</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102.78</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2,949.9</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2,949.9</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使用非财政拨款结余（含专用结余）</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结余分配</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6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2,949.9</w:t>
            </w:r>
          </w:p>
        </w:tc>
        <w:tc>
          <w:tcPr>
            <w:tcW w:w="3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8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2,949.9</w:t>
            </w:r>
          </w:p>
        </w:tc>
      </w:tr>
      <w:tr>
        <w:tblPrEx>
          <w:tblLayout w:type="fixed"/>
          <w:tblCellMar>
            <w:top w:w="15" w:type="dxa"/>
            <w:left w:w="15" w:type="dxa"/>
            <w:bottom w:w="15" w:type="dxa"/>
            <w:right w:w="15" w:type="dxa"/>
          </w:tblCellMar>
        </w:tblPrEx>
        <w:trPr>
          <w:trHeight w:val="0" w:hRule="atLeast"/>
          <w:jc w:val="center"/>
        </w:trPr>
        <w:tc>
          <w:tcPr>
            <w:tcW w:w="9066" w:type="dxa"/>
            <w:gridSpan w:val="6"/>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rFonts w:ascii="宋体" w:hAnsi="宋体" w:eastAsia="宋体" w:cs="宋体"/>
                <w:b w:val="0"/>
                <w:bCs w:val="0"/>
                <w:i w:val="0"/>
                <w:iCs w:val="0"/>
                <w:smallCaps w:val="0"/>
                <w:color w:val="000000"/>
                <w:kern w:val="0"/>
                <w:sz w:val="18"/>
                <w:szCs w:val="18"/>
              </w:rPr>
              <w:t>本表反映部门本年度的总收支和年末结转结余情况。</w:t>
            </w:r>
          </w:p>
        </w:tc>
      </w:tr>
      <w:tr>
        <w:tblPrEx>
          <w:tblLayout w:type="fixed"/>
          <w:tblCellMar>
            <w:top w:w="15" w:type="dxa"/>
            <w:left w:w="15" w:type="dxa"/>
            <w:bottom w:w="15" w:type="dxa"/>
            <w:right w:w="15" w:type="dxa"/>
          </w:tblCellMar>
        </w:tblPrEx>
        <w:trPr>
          <w:trHeight w:val="0" w:hRule="atLeast"/>
          <w:jc w:val="center"/>
        </w:trPr>
        <w:tc>
          <w:tcPr>
            <w:tcW w:w="9066" w:type="dxa"/>
            <w:gridSpan w:val="6"/>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rFonts w:ascii="宋体" w:hAnsi="宋体" w:eastAsia="宋体" w:cs="宋体"/>
                <w:b w:val="0"/>
                <w:bCs w:val="0"/>
                <w:i w:val="0"/>
                <w:iCs w:val="0"/>
                <w:smallCaps w:val="0"/>
                <w:color w:val="000000"/>
                <w:kern w:val="0"/>
                <w:sz w:val="18"/>
                <w:szCs w:val="18"/>
              </w:rPr>
              <w:t>本套报表金额单位转换时可能存在尾数误差。</w:t>
            </w:r>
          </w:p>
        </w:tc>
      </w:tr>
    </w:tbl>
    <w:p>
      <w:pPr>
        <w:widowControl/>
        <w:ind w:firstLine="640" w:firstLineChars="200"/>
        <w:jc w:val="left"/>
        <w:rPr>
          <w:rFonts w:ascii="Times New Roman" w:hAnsi="Times New Roman" w:eastAsia="Times New Roman" w:cs="Times New Roman"/>
          <w:kern w:val="0"/>
          <w:sz w:val="32"/>
          <w:szCs w:val="32"/>
        </w:rPr>
      </w:pPr>
    </w:p>
    <w:p>
      <w:pPr>
        <w:widowControl/>
        <w:ind w:firstLine="321" w:firstLineChars="100"/>
        <w:jc w:val="left"/>
        <w:rPr>
          <w:rFonts w:ascii="Times New Roman" w:hAnsi="Times New Roman" w:eastAsia="Times New Roman" w:cs="Times New Roman"/>
          <w:b/>
          <w:bCs/>
          <w:kern w:val="0"/>
          <w:sz w:val="32"/>
          <w:szCs w:val="32"/>
        </w:rPr>
      </w:pPr>
      <w:bookmarkStart w:id="33" w:name="_Toc256000039"/>
      <w:bookmarkStart w:id="34" w:name="_Toc256000070"/>
      <w:bookmarkStart w:id="35" w:name="_Toc256000008"/>
      <w:bookmarkStart w:id="36" w:name="_Toc256000101"/>
      <w:r>
        <w:rPr>
          <w:rFonts w:ascii="黑体" w:hAnsi="黑体" w:eastAsia="黑体" w:cs="黑体"/>
          <w:b/>
          <w:spacing w:val="0"/>
          <w:sz w:val="32"/>
          <w:szCs w:val="32"/>
        </w:rPr>
        <w:t>二、收入决算表</w:t>
      </w:r>
      <w:bookmarkEnd w:id="33"/>
      <w:bookmarkEnd w:id="34"/>
      <w:bookmarkEnd w:id="35"/>
      <w:bookmarkEnd w:id="36"/>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066" w:type="dxa"/>
        <w:jc w:val="center"/>
        <w:tblInd w:w="0" w:type="dxa"/>
        <w:tblLayout w:type="fixed"/>
        <w:tblCellMar>
          <w:top w:w="15" w:type="dxa"/>
          <w:left w:w="15" w:type="dxa"/>
          <w:bottom w:w="15" w:type="dxa"/>
          <w:right w:w="15" w:type="dxa"/>
        </w:tblCellMar>
      </w:tblPr>
      <w:tblGrid>
        <w:gridCol w:w="1007"/>
        <w:gridCol w:w="3136"/>
        <w:gridCol w:w="840"/>
        <w:gridCol w:w="828"/>
        <w:gridCol w:w="792"/>
        <w:gridCol w:w="480"/>
        <w:gridCol w:w="576"/>
        <w:gridCol w:w="828"/>
        <w:gridCol w:w="579"/>
      </w:tblGrid>
      <w:tr>
        <w:tblPrEx>
          <w:tblLayout w:type="fixed"/>
          <w:tblCellMar>
            <w:top w:w="15" w:type="dxa"/>
            <w:left w:w="15" w:type="dxa"/>
            <w:bottom w:w="15" w:type="dxa"/>
            <w:right w:w="15" w:type="dxa"/>
          </w:tblCellMar>
        </w:tblPrEx>
        <w:trPr>
          <w:trHeight w:val="0" w:hRule="atLeast"/>
          <w:tblHeader/>
          <w:jc w:val="center"/>
        </w:trPr>
        <w:tc>
          <w:tcPr>
            <w:tcW w:w="906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收入决算表</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5811"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单位：厦门市翔鹭小学</w:t>
            </w:r>
          </w:p>
        </w:tc>
        <w:tc>
          <w:tcPr>
            <w:tcW w:w="1272"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07"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tblHeader/>
          <w:jc w:val="center"/>
        </w:trPr>
        <w:tc>
          <w:tcPr>
            <w:tcW w:w="4143"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84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82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财政拨款收入</w:t>
            </w:r>
            <w:r>
              <w:rPr>
                <w:rFonts w:ascii="Times New Roman" w:hAnsi="Times New Roman" w:eastAsia="Times New Roman" w:cs="Times New Roman"/>
                <w:b w:val="0"/>
                <w:bCs w:val="0"/>
                <w:i w:val="0"/>
                <w:iCs w:val="0"/>
                <w:smallCaps w:val="0"/>
                <w:color w:val="000000"/>
                <w:kern w:val="0"/>
                <w:sz w:val="18"/>
                <w:szCs w:val="18"/>
              </w:rPr>
              <w:t xml:space="preserve"> </w:t>
            </w:r>
          </w:p>
        </w:tc>
        <w:tc>
          <w:tcPr>
            <w:tcW w:w="79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上级补助收入</w:t>
            </w:r>
          </w:p>
        </w:tc>
        <w:tc>
          <w:tcPr>
            <w:tcW w:w="48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事业收入</w:t>
            </w:r>
          </w:p>
        </w:tc>
        <w:tc>
          <w:tcPr>
            <w:tcW w:w="57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经营收入</w:t>
            </w:r>
          </w:p>
        </w:tc>
        <w:tc>
          <w:tcPr>
            <w:tcW w:w="82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附属单位上缴收入</w:t>
            </w:r>
          </w:p>
        </w:tc>
        <w:tc>
          <w:tcPr>
            <w:tcW w:w="57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其他收入</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313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84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2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9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8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7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2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7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13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4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2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9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8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7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2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7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4143"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Layout w:type="fixed"/>
          <w:tblCellMar>
            <w:top w:w="15" w:type="dxa"/>
            <w:left w:w="15" w:type="dxa"/>
            <w:bottom w:w="15" w:type="dxa"/>
            <w:right w:w="15" w:type="dxa"/>
          </w:tblCellMar>
        </w:tblPrEx>
        <w:trPr>
          <w:trHeight w:val="0" w:hRule="atLeast"/>
          <w:jc w:val="center"/>
        </w:trPr>
        <w:tc>
          <w:tcPr>
            <w:tcW w:w="4143"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2,949.9</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2,949.9</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2,576.09</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2,576.09</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2,154.29</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2,154.29</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1,978.87</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1,978.87</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175.42</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175.42</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421.66</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421.66</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421.66</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421.66</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0.15</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0.15</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0.15</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0.15</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255.78</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255.78</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255.78</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255.78</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17.46</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17.46</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158.88</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158.88</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79.44</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79.44</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102.78</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102.78</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102.78</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102.78</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68.02</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68.02</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34.76</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34.76</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注：本表反映部门本年度取得的各项收入情况。</w:t>
            </w:r>
          </w:p>
        </w:tc>
      </w:tr>
    </w:tbl>
    <w:p>
      <w:pPr>
        <w:widowControl/>
        <w:jc w:val="left"/>
        <w:rPr>
          <w:rFonts w:hint="eastAsia" w:eastAsia="宋体" w:cs="Times New Roman"/>
          <w:kern w:val="0"/>
          <w:sz w:val="32"/>
          <w:szCs w:val="32"/>
          <w:lang w:val="en-US" w:eastAsia="zh-CN"/>
        </w:rPr>
      </w:pPr>
      <w:r>
        <w:rPr>
          <w:rFonts w:ascii="Times New Roman" w:hAnsi="Times New Roman" w:eastAsia="Times New Roman" w:cs="Times New Roman"/>
          <w:kern w:val="0"/>
          <w:sz w:val="32"/>
          <w:szCs w:val="32"/>
        </w:rPr>
        <w:t> </w:t>
      </w:r>
      <w:bookmarkStart w:id="37" w:name="_Toc256000102"/>
      <w:bookmarkStart w:id="38" w:name="_Toc256000009"/>
      <w:bookmarkStart w:id="39" w:name="_Toc256000071"/>
      <w:bookmarkStart w:id="40" w:name="_Toc256000040"/>
      <w:r>
        <w:rPr>
          <w:rFonts w:hint="eastAsia" w:eastAsia="宋体" w:cs="Times New Roman"/>
          <w:kern w:val="0"/>
          <w:sz w:val="32"/>
          <w:szCs w:val="32"/>
          <w:lang w:val="en-US" w:eastAsia="zh-CN"/>
        </w:rPr>
        <w:t xml:space="preserve">      </w:t>
      </w:r>
    </w:p>
    <w:p>
      <w:pPr>
        <w:widowControl/>
        <w:ind w:firstLine="321" w:firstLineChars="100"/>
        <w:jc w:val="left"/>
        <w:rPr>
          <w:rFonts w:ascii="Times New Roman" w:hAnsi="Times New Roman" w:eastAsia="Times New Roman" w:cs="Times New Roman"/>
          <w:b/>
          <w:bCs/>
          <w:kern w:val="0"/>
          <w:sz w:val="32"/>
          <w:szCs w:val="32"/>
        </w:rPr>
      </w:pPr>
      <w:r>
        <w:rPr>
          <w:rFonts w:ascii="黑体" w:hAnsi="黑体" w:eastAsia="黑体" w:cs="黑体"/>
          <w:b/>
          <w:spacing w:val="0"/>
          <w:sz w:val="32"/>
          <w:szCs w:val="32"/>
        </w:rPr>
        <w:t>三、支出决算表</w:t>
      </w:r>
      <w:bookmarkEnd w:id="37"/>
      <w:bookmarkEnd w:id="38"/>
      <w:bookmarkEnd w:id="39"/>
      <w:bookmarkEnd w:id="40"/>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066" w:type="dxa"/>
        <w:jc w:val="center"/>
        <w:tblInd w:w="0" w:type="dxa"/>
        <w:tblLayout w:type="fixed"/>
        <w:tblCellMar>
          <w:top w:w="15" w:type="dxa"/>
          <w:left w:w="15" w:type="dxa"/>
          <w:bottom w:w="15" w:type="dxa"/>
          <w:right w:w="15" w:type="dxa"/>
        </w:tblCellMar>
      </w:tblPr>
      <w:tblGrid>
        <w:gridCol w:w="922"/>
        <w:gridCol w:w="855"/>
        <w:gridCol w:w="240"/>
        <w:gridCol w:w="2978"/>
        <w:gridCol w:w="708"/>
        <w:gridCol w:w="708"/>
        <w:gridCol w:w="588"/>
        <w:gridCol w:w="588"/>
        <w:gridCol w:w="432"/>
        <w:gridCol w:w="1047"/>
      </w:tblGrid>
      <w:tr>
        <w:tblPrEx>
          <w:tblLayout w:type="fixed"/>
          <w:tblCellMar>
            <w:top w:w="15" w:type="dxa"/>
            <w:left w:w="15" w:type="dxa"/>
            <w:bottom w:w="15" w:type="dxa"/>
            <w:right w:w="15" w:type="dxa"/>
          </w:tblCellMar>
        </w:tblPrEx>
        <w:trPr>
          <w:trHeight w:val="544" w:hRule="atLeast"/>
          <w:tblHeader/>
          <w:jc w:val="center"/>
        </w:trPr>
        <w:tc>
          <w:tcPr>
            <w:tcW w:w="9066" w:type="dxa"/>
            <w:gridSpan w:val="1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支出决算表</w:t>
            </w:r>
          </w:p>
        </w:tc>
      </w:tr>
      <w:tr>
        <w:tblPrEx>
          <w:tblLayout w:type="fixed"/>
          <w:tblCellMar>
            <w:top w:w="15" w:type="dxa"/>
            <w:left w:w="15" w:type="dxa"/>
            <w:bottom w:w="15" w:type="dxa"/>
            <w:right w:w="15" w:type="dxa"/>
          </w:tblCellMar>
        </w:tblPrEx>
        <w:trPr>
          <w:trHeight w:val="0" w:hRule="atLeast"/>
          <w:tblHeader/>
          <w:jc w:val="center"/>
        </w:trPr>
        <w:tc>
          <w:tcPr>
            <w:tcW w:w="9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97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5703"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单位：厦门市翔鹭小学</w:t>
            </w:r>
          </w:p>
        </w:tc>
        <w:tc>
          <w:tcPr>
            <w:tcW w:w="129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9"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tblHeader/>
          <w:jc w:val="center"/>
        </w:trPr>
        <w:tc>
          <w:tcPr>
            <w:tcW w:w="4995"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7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7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5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5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上缴上级支出</w:t>
            </w:r>
          </w:p>
        </w:tc>
        <w:tc>
          <w:tcPr>
            <w:tcW w:w="43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经营支出</w:t>
            </w:r>
          </w:p>
        </w:tc>
        <w:tc>
          <w:tcPr>
            <w:tcW w:w="104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对附属单位补助支出</w:t>
            </w:r>
          </w:p>
        </w:tc>
      </w:tr>
      <w:tr>
        <w:tblPrEx>
          <w:tblLayout w:type="fixed"/>
          <w:tblCellMar>
            <w:top w:w="15" w:type="dxa"/>
            <w:left w:w="15" w:type="dxa"/>
            <w:bottom w:w="15" w:type="dxa"/>
            <w:right w:w="15" w:type="dxa"/>
          </w:tblCellMar>
        </w:tblPrEx>
        <w:trPr>
          <w:trHeight w:val="0" w:hRule="atLeast"/>
          <w:tblHeader/>
          <w:jc w:val="center"/>
        </w:trPr>
        <w:tc>
          <w:tcPr>
            <w:tcW w:w="2017"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297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708"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08"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88"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88"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32"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47"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2017"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97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08"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08"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88"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88"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32"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47"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4995"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rPr>
          <w:trHeight w:val="0" w:hRule="atLeast"/>
          <w:jc w:val="center"/>
        </w:trPr>
        <w:tc>
          <w:tcPr>
            <w:tcW w:w="4995"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2,949.9</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2,402.47</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547.43</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2,576.09</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2,031.56</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544.53</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2,154.29</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2,031.56</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122.72</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1,978.87</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1,978.87</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175.42</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52.7</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122.72</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421.66</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421.66</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421.66</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421.66</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0.15</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0.15</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0.15</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0.15</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255.78</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255.78</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255.78</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255.78</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17.46</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17.46</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158.88</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158.88</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79.44</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79.44</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102.78</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102.78</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102.78</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102.78</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68.02</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68.02</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34.76</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34.76</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29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1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注：本表反映部门本年度各项支出情况。</w:t>
            </w:r>
          </w:p>
        </w:tc>
      </w:tr>
    </w:tbl>
    <w:p>
      <w:pPr>
        <w:widowControl/>
        <w:jc w:val="left"/>
        <w:rPr>
          <w:rFonts w:ascii="Times New Roman" w:hAnsi="Times New Roman" w:eastAsia="Times New Roman" w:cs="Times New Roman"/>
          <w:spacing w:val="0"/>
          <w:kern w:val="0"/>
          <w:sz w:val="27"/>
          <w:szCs w:val="27"/>
        </w:rPr>
      </w:pPr>
      <w:r>
        <w:rPr>
          <w:rFonts w:ascii="Times New Roman" w:hAnsi="Times New Roman" w:eastAsia="Times New Roman" w:cs="Times New Roman"/>
          <w:kern w:val="0"/>
          <w:sz w:val="24"/>
        </w:rPr>
        <w:t> </w:t>
      </w:r>
      <w:r>
        <w:rPr>
          <w:rFonts w:ascii="Times New Roman" w:hAnsi="Times New Roman" w:eastAsia="Times New Roman" w:cs="Times New Roman"/>
          <w:spacing w:val="0"/>
          <w:kern w:val="0"/>
          <w:sz w:val="27"/>
          <w:szCs w:val="27"/>
        </w:rPr>
        <w:t> </w:t>
      </w:r>
    </w:p>
    <w:p>
      <w:pPr>
        <w:pStyle w:val="6"/>
        <w:keepNext w:val="0"/>
        <w:keepLines w:val="0"/>
        <w:spacing w:before="100" w:after="100" w:line="240" w:lineRule="auto"/>
        <w:ind w:left="0" w:leftChars="0" w:right="0" w:firstLine="321" w:firstLineChars="100"/>
        <w:rPr>
          <w:rFonts w:ascii="Times New Roman" w:hAnsi="Times New Roman" w:eastAsia="Times New Roman" w:cs="Times New Roman"/>
          <w:b/>
          <w:bCs/>
          <w:kern w:val="0"/>
          <w:sz w:val="28"/>
          <w:szCs w:val="28"/>
        </w:rPr>
      </w:pPr>
      <w:bookmarkStart w:id="41" w:name="_Toc256000010"/>
      <w:bookmarkStart w:id="42" w:name="_Toc256000103"/>
      <w:bookmarkStart w:id="43" w:name="_Toc256000072"/>
      <w:bookmarkStart w:id="44" w:name="_Toc256000041"/>
      <w:r>
        <w:rPr>
          <w:rFonts w:ascii="黑体" w:hAnsi="黑体" w:eastAsia="黑体" w:cs="黑体"/>
          <w:b/>
          <w:spacing w:val="0"/>
        </w:rPr>
        <w:t>四、财政拨款收入支出决算总表</w:t>
      </w:r>
      <w:bookmarkEnd w:id="41"/>
      <w:bookmarkEnd w:id="42"/>
      <w:bookmarkEnd w:id="43"/>
      <w:bookmarkEnd w:id="44"/>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066" w:type="dxa"/>
        <w:jc w:val="center"/>
        <w:tblInd w:w="0" w:type="dxa"/>
        <w:tblLayout w:type="fixed"/>
        <w:tblCellMar>
          <w:top w:w="15" w:type="dxa"/>
          <w:left w:w="15" w:type="dxa"/>
          <w:bottom w:w="15" w:type="dxa"/>
          <w:right w:w="15" w:type="dxa"/>
        </w:tblCellMar>
      </w:tblPr>
      <w:tblGrid>
        <w:gridCol w:w="2547"/>
        <w:gridCol w:w="252"/>
        <w:gridCol w:w="648"/>
        <w:gridCol w:w="2472"/>
        <w:gridCol w:w="300"/>
        <w:gridCol w:w="720"/>
        <w:gridCol w:w="684"/>
        <w:gridCol w:w="696"/>
        <w:gridCol w:w="747"/>
      </w:tblGrid>
      <w:tr>
        <w:tblPrEx>
          <w:tblLayout w:type="fixed"/>
          <w:tblCellMar>
            <w:top w:w="15" w:type="dxa"/>
            <w:left w:w="15" w:type="dxa"/>
            <w:bottom w:w="15" w:type="dxa"/>
            <w:right w:w="15" w:type="dxa"/>
          </w:tblCellMar>
        </w:tblPrEx>
        <w:trPr>
          <w:trHeight w:val="700" w:hRule="atLeast"/>
          <w:tblHeader/>
          <w:jc w:val="center"/>
        </w:trPr>
        <w:tc>
          <w:tcPr>
            <w:tcW w:w="906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财政拨款收入支出决算总表</w:t>
            </w:r>
          </w:p>
        </w:tc>
      </w:tr>
      <w:tr>
        <w:tblPrEx>
          <w:tblLayout w:type="fixed"/>
          <w:tblCellMar>
            <w:top w:w="15" w:type="dxa"/>
            <w:left w:w="15" w:type="dxa"/>
            <w:bottom w:w="15" w:type="dxa"/>
            <w:right w:w="15" w:type="dxa"/>
          </w:tblCellMar>
        </w:tblPrEx>
        <w:trPr>
          <w:trHeight w:val="0" w:hRule="atLeast"/>
          <w:tblHeader/>
          <w:jc w:val="center"/>
        </w:trPr>
        <w:tc>
          <w:tcPr>
            <w:tcW w:w="2799"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3447"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单位：厦门市翔鹭小学</w:t>
            </w:r>
          </w:p>
        </w:tc>
        <w:tc>
          <w:tcPr>
            <w:tcW w:w="247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0"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r>
              <w:rPr>
                <w:rFonts w:ascii="Times New Roman" w:hAnsi="Times New Roman" w:eastAsia="Times New Roman" w:cs="Times New Roman"/>
                <w:b w:val="0"/>
                <w:bCs w:val="0"/>
                <w:i w:val="0"/>
                <w:iCs w:val="0"/>
                <w:smallCaps w:val="0"/>
                <w:color w:val="000000"/>
                <w:kern w:val="0"/>
                <w:sz w:val="18"/>
                <w:szCs w:val="18"/>
              </w:rPr>
              <w:t> </w:t>
            </w:r>
          </w:p>
        </w:tc>
        <w:tc>
          <w:tcPr>
            <w:tcW w:w="2127"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344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5619"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r>
              <w:rPr>
                <w:rFonts w:ascii="Times New Roman" w:hAnsi="Times New Roman" w:eastAsia="Times New Roman" w:cs="Times New Roman"/>
                <w:b w:val="0"/>
                <w:bCs w:val="0"/>
                <w:i w:val="0"/>
                <w:iCs w:val="0"/>
                <w:smallCaps w:val="0"/>
                <w:color w:val="000000"/>
                <w:kern w:val="0"/>
                <w:sz w:val="18"/>
                <w:szCs w:val="18"/>
              </w:rPr>
              <w:t xml:space="preserve">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一般公共预算财政拨款</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政府性基金预算财政拨款</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国有资本经营预算财政拨款</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r>
              <w:rPr>
                <w:rFonts w:ascii="Times New Roman" w:hAnsi="Times New Roman" w:eastAsia="Times New Roman" w:cs="Times New Roman"/>
                <w:b w:val="0"/>
                <w:bCs w:val="0"/>
                <w:i w:val="0"/>
                <w:iCs w:val="0"/>
                <w:smallCaps w:val="0"/>
                <w:color w:val="000000"/>
                <w:kern w:val="0"/>
                <w:sz w:val="18"/>
                <w:szCs w:val="18"/>
              </w:rPr>
              <w:t xml:space="preserve">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2,947</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2,576.09</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2,576.09</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255.78</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255.78</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102.78</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102.78</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2,949.9</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2,949.9</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2,947</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5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2,949.9</w:t>
            </w:r>
          </w:p>
        </w:tc>
        <w:tc>
          <w:tcPr>
            <w:tcW w:w="24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2,949.9</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2,947</w:t>
            </w:r>
          </w:p>
        </w:tc>
        <w:tc>
          <w:tcPr>
            <w:tcW w:w="6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74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注：本表反映部门本年度一般公共预算财政拨款、政府性基金预算财政拨款和国有资本经营预算财政拨款的总收支和年末结转结余情况。</w:t>
            </w:r>
          </w:p>
        </w:tc>
      </w:tr>
    </w:tbl>
    <w:p>
      <w:pPr>
        <w:widowControl/>
        <w:jc w:val="left"/>
        <w:rPr>
          <w:rFonts w:hint="eastAsia" w:eastAsia="宋体" w:cs="Times New Roman"/>
          <w:spacing w:val="0"/>
          <w:kern w:val="0"/>
          <w:sz w:val="32"/>
          <w:szCs w:val="32"/>
          <w:lang w:val="en-US" w:eastAsia="zh-CN"/>
        </w:rPr>
      </w:pPr>
      <w:r>
        <w:rPr>
          <w:rFonts w:ascii="Times New Roman" w:hAnsi="Times New Roman" w:eastAsia="Times New Roman" w:cs="Times New Roman"/>
          <w:kern w:val="0"/>
          <w:sz w:val="24"/>
        </w:rPr>
        <w:t> </w:t>
      </w:r>
      <w:r>
        <w:rPr>
          <w:rFonts w:ascii="Times New Roman" w:hAnsi="Times New Roman" w:eastAsia="Times New Roman" w:cs="Times New Roman"/>
          <w:spacing w:val="0"/>
          <w:kern w:val="0"/>
          <w:sz w:val="32"/>
          <w:szCs w:val="32"/>
        </w:rPr>
        <w:t> </w:t>
      </w:r>
      <w:bookmarkStart w:id="45" w:name="_Toc256000011"/>
      <w:bookmarkStart w:id="46" w:name="_Toc256000104"/>
      <w:bookmarkStart w:id="47" w:name="_Toc256000073"/>
      <w:bookmarkStart w:id="48" w:name="_Toc256000042"/>
      <w:r>
        <w:rPr>
          <w:rFonts w:hint="eastAsia" w:eastAsia="宋体" w:cs="Times New Roman"/>
          <w:spacing w:val="0"/>
          <w:kern w:val="0"/>
          <w:sz w:val="32"/>
          <w:szCs w:val="32"/>
          <w:lang w:val="en-US" w:eastAsia="zh-CN"/>
        </w:rPr>
        <w:t xml:space="preserve">     </w:t>
      </w:r>
    </w:p>
    <w:p>
      <w:pPr>
        <w:pStyle w:val="2"/>
        <w:rPr>
          <w:rFonts w:hint="eastAsia"/>
          <w:lang w:val="en-US" w:eastAsia="zh-CN"/>
        </w:rPr>
      </w:pPr>
    </w:p>
    <w:p>
      <w:pPr>
        <w:pStyle w:val="2"/>
        <w:rPr>
          <w:rFonts w:hint="eastAsia"/>
          <w:lang w:val="en-US" w:eastAsia="zh-CN"/>
        </w:rPr>
      </w:pPr>
    </w:p>
    <w:p>
      <w:pPr>
        <w:widowControl/>
        <w:ind w:firstLine="640" w:firstLineChars="200"/>
        <w:jc w:val="left"/>
        <w:rPr>
          <w:rFonts w:hint="eastAsia" w:eastAsia="宋体" w:cs="Times New Roman"/>
          <w:spacing w:val="0"/>
          <w:kern w:val="0"/>
          <w:sz w:val="32"/>
          <w:szCs w:val="32"/>
          <w:lang w:val="en-US" w:eastAsia="zh-CN"/>
        </w:rPr>
      </w:pPr>
    </w:p>
    <w:p>
      <w:pPr>
        <w:widowControl/>
        <w:ind w:firstLine="320" w:firstLineChars="100"/>
        <w:jc w:val="left"/>
        <w:rPr>
          <w:rFonts w:ascii="Times New Roman" w:hAnsi="Times New Roman" w:eastAsia="Times New Roman" w:cs="Times New Roman"/>
          <w:b/>
          <w:bCs/>
          <w:kern w:val="0"/>
          <w:sz w:val="32"/>
          <w:szCs w:val="32"/>
        </w:rPr>
      </w:pPr>
      <w:r>
        <w:rPr>
          <w:rFonts w:hint="eastAsia" w:eastAsia="宋体" w:cs="Times New Roman"/>
          <w:spacing w:val="0"/>
          <w:kern w:val="0"/>
          <w:sz w:val="32"/>
          <w:szCs w:val="32"/>
          <w:lang w:val="en-US" w:eastAsia="zh-CN"/>
        </w:rPr>
        <w:t xml:space="preserve"> </w:t>
      </w:r>
      <w:r>
        <w:rPr>
          <w:rFonts w:ascii="黑体" w:hAnsi="黑体" w:eastAsia="黑体" w:cs="黑体"/>
          <w:b/>
          <w:spacing w:val="0"/>
          <w:sz w:val="32"/>
          <w:szCs w:val="32"/>
        </w:rPr>
        <w:t>五、一般公共预算财政拨款支出决算表</w:t>
      </w:r>
      <w:bookmarkEnd w:id="45"/>
      <w:bookmarkEnd w:id="46"/>
      <w:bookmarkEnd w:id="47"/>
      <w:bookmarkEnd w:id="48"/>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066" w:type="dxa"/>
        <w:jc w:val="center"/>
        <w:tblInd w:w="0" w:type="dxa"/>
        <w:tblLayout w:type="fixed"/>
        <w:tblCellMar>
          <w:top w:w="15" w:type="dxa"/>
          <w:left w:w="15" w:type="dxa"/>
          <w:bottom w:w="15" w:type="dxa"/>
          <w:right w:w="15" w:type="dxa"/>
        </w:tblCellMar>
      </w:tblPr>
      <w:tblGrid>
        <w:gridCol w:w="1133"/>
        <w:gridCol w:w="1322"/>
        <w:gridCol w:w="240"/>
        <w:gridCol w:w="2984"/>
        <w:gridCol w:w="912"/>
        <w:gridCol w:w="1032"/>
        <w:gridCol w:w="1443"/>
      </w:tblGrid>
      <w:tr>
        <w:tblPrEx>
          <w:tblLayout w:type="fixed"/>
          <w:tblCellMar>
            <w:top w:w="15" w:type="dxa"/>
            <w:left w:w="15" w:type="dxa"/>
            <w:bottom w:w="15" w:type="dxa"/>
            <w:right w:w="15" w:type="dxa"/>
          </w:tblCellMar>
        </w:tblPrEx>
        <w:trPr>
          <w:trHeight w:val="0" w:hRule="atLeast"/>
          <w:tblHeader/>
          <w:jc w:val="center"/>
        </w:trPr>
        <w:tc>
          <w:tcPr>
            <w:tcW w:w="9066" w:type="dxa"/>
            <w:gridSpan w:val="7"/>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一般公共预算财政拨款支出决算表</w:t>
            </w:r>
          </w:p>
        </w:tc>
      </w:tr>
      <w:tr>
        <w:tblPrEx>
          <w:tblLayout w:type="fixed"/>
          <w:tblCellMar>
            <w:top w:w="15" w:type="dxa"/>
            <w:left w:w="15" w:type="dxa"/>
            <w:bottom w:w="15" w:type="dxa"/>
            <w:right w:w="15" w:type="dxa"/>
          </w:tblCellMar>
        </w:tblPrEx>
        <w:trPr>
          <w:trHeight w:val="0" w:hRule="atLeast"/>
          <w:tblHeader/>
          <w:jc w:val="center"/>
        </w:trPr>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9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4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6591"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单位：厦门市翔鹭小学</w:t>
            </w:r>
          </w:p>
        </w:tc>
        <w:tc>
          <w:tcPr>
            <w:tcW w:w="10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44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5679"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33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rHeight w:val="312" w:hRule="atLeast"/>
          <w:tblHeader/>
          <w:jc w:val="center"/>
        </w:trPr>
        <w:tc>
          <w:tcPr>
            <w:tcW w:w="2695"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298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1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03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144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rHeight w:val="312" w:hRule="atLeast"/>
          <w:tblHeader/>
          <w:jc w:val="center"/>
        </w:trPr>
        <w:tc>
          <w:tcPr>
            <w:tcW w:w="2695"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98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3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44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2695"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98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rPr>
          <w:trHeight w:val="0" w:hRule="atLeast"/>
          <w:jc w:val="center"/>
        </w:trPr>
        <w:tc>
          <w:tcPr>
            <w:tcW w:w="5679"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2,947</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2,402.47</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544.53</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2,576.09</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2,031.56</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544.53</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2,154.29</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2,031.56</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122.72</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1,978.87</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1,978.87</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175.42</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52.7</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122.72</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421.66</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421.66</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421.66</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421.66</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0.15</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0.15</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0.15</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0.15</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255.78</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255.78</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255.78</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255.78</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17.46</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17.46</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158.88</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158.88</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79.44</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79.44</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102.78</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102.78</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102.78</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102.78</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68.02</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68.02</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34.76</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34.76</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2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7"/>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注：本表反映部门本年度一般公共预算财政拨款支出情况。</w:t>
            </w:r>
          </w:p>
        </w:tc>
      </w:tr>
    </w:tbl>
    <w:p>
      <w:pPr>
        <w:widowControl/>
        <w:jc w:val="left"/>
        <w:rPr>
          <w:rFonts w:ascii="黑体" w:hAnsi="黑体" w:eastAsia="黑体" w:cs="黑体"/>
          <w:b/>
          <w:spacing w:val="0"/>
        </w:rPr>
      </w:pPr>
      <w:r>
        <w:rPr>
          <w:rFonts w:ascii="Times New Roman" w:hAnsi="Times New Roman" w:eastAsia="Times New Roman" w:cs="Times New Roman"/>
          <w:kern w:val="0"/>
          <w:sz w:val="24"/>
        </w:rPr>
        <w:t> </w:t>
      </w:r>
      <w:bookmarkStart w:id="49" w:name="_Toc256000012"/>
      <w:bookmarkStart w:id="50" w:name="_Toc256000043"/>
      <w:bookmarkStart w:id="51" w:name="_Toc256000074"/>
      <w:bookmarkStart w:id="52" w:name="_Toc256000105"/>
    </w:p>
    <w:p>
      <w:pPr>
        <w:pStyle w:val="6"/>
        <w:keepNext w:val="0"/>
        <w:keepLines w:val="0"/>
        <w:spacing w:before="100" w:after="100" w:line="240" w:lineRule="auto"/>
        <w:ind w:left="842" w:leftChars="338" w:right="0" w:hanging="132" w:hangingChars="41"/>
        <w:rPr>
          <w:rFonts w:ascii="黑体" w:hAnsi="黑体" w:eastAsia="黑体" w:cs="黑体"/>
          <w:b/>
          <w:spacing w:val="0"/>
        </w:rPr>
      </w:pPr>
    </w:p>
    <w:p>
      <w:pPr>
        <w:pStyle w:val="6"/>
        <w:keepNext w:val="0"/>
        <w:keepLines w:val="0"/>
        <w:spacing w:before="100" w:after="100" w:line="240" w:lineRule="auto"/>
        <w:ind w:left="842" w:leftChars="338" w:right="0" w:hanging="132" w:hangingChars="41"/>
        <w:rPr>
          <w:rFonts w:ascii="黑体" w:hAnsi="黑体" w:eastAsia="黑体" w:cs="黑体"/>
          <w:b/>
          <w:spacing w:val="0"/>
        </w:rPr>
      </w:pPr>
    </w:p>
    <w:p>
      <w:pPr>
        <w:pStyle w:val="6"/>
        <w:keepNext w:val="0"/>
        <w:keepLines w:val="0"/>
        <w:spacing w:before="100" w:after="100" w:line="240" w:lineRule="auto"/>
        <w:ind w:left="842" w:leftChars="338" w:right="0" w:hanging="132" w:hangingChars="41"/>
        <w:rPr>
          <w:rFonts w:ascii="黑体" w:hAnsi="黑体" w:eastAsia="黑体" w:cs="黑体"/>
          <w:b/>
          <w:spacing w:val="0"/>
        </w:rPr>
      </w:pPr>
    </w:p>
    <w:p>
      <w:pPr>
        <w:pStyle w:val="6"/>
        <w:keepNext w:val="0"/>
        <w:keepLines w:val="0"/>
        <w:spacing w:before="100" w:after="100" w:line="240" w:lineRule="auto"/>
        <w:ind w:left="0" w:leftChars="0" w:right="0" w:firstLine="321" w:firstLineChars="100"/>
        <w:rPr>
          <w:rFonts w:ascii="Times New Roman" w:hAnsi="Times New Roman" w:eastAsia="Times New Roman" w:cs="Times New Roman"/>
          <w:b/>
          <w:bCs/>
          <w:kern w:val="0"/>
          <w:sz w:val="28"/>
          <w:szCs w:val="28"/>
        </w:rPr>
      </w:pPr>
      <w:r>
        <w:rPr>
          <w:rFonts w:ascii="黑体" w:hAnsi="黑体" w:eastAsia="黑体" w:cs="黑体"/>
          <w:b/>
          <w:spacing w:val="0"/>
        </w:rPr>
        <w:t>六、一般公共预算财政拨款基本支出决算表</w:t>
      </w:r>
      <w:bookmarkEnd w:id="49"/>
      <w:bookmarkEnd w:id="50"/>
      <w:bookmarkEnd w:id="51"/>
      <w:bookmarkEnd w:id="52"/>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066" w:type="dxa"/>
        <w:jc w:val="center"/>
        <w:tblInd w:w="0" w:type="dxa"/>
        <w:tblLayout w:type="fixed"/>
        <w:tblCellMar>
          <w:top w:w="15" w:type="dxa"/>
          <w:left w:w="15" w:type="dxa"/>
          <w:bottom w:w="15" w:type="dxa"/>
          <w:right w:w="15" w:type="dxa"/>
        </w:tblCellMar>
      </w:tblPr>
      <w:tblGrid>
        <w:gridCol w:w="627"/>
        <w:gridCol w:w="2040"/>
        <w:gridCol w:w="708"/>
        <w:gridCol w:w="636"/>
        <w:gridCol w:w="1728"/>
        <w:gridCol w:w="612"/>
        <w:gridCol w:w="700"/>
        <w:gridCol w:w="1532"/>
        <w:gridCol w:w="483"/>
      </w:tblGrid>
      <w:tr>
        <w:tblPrEx>
          <w:tblLayout w:type="fixed"/>
          <w:tblCellMar>
            <w:top w:w="15" w:type="dxa"/>
            <w:left w:w="15" w:type="dxa"/>
            <w:bottom w:w="15" w:type="dxa"/>
            <w:right w:w="15" w:type="dxa"/>
          </w:tblCellMar>
        </w:tblPrEx>
        <w:trPr>
          <w:trHeight w:val="0" w:hRule="atLeast"/>
          <w:tblHeader/>
          <w:jc w:val="center"/>
        </w:trPr>
        <w:tc>
          <w:tcPr>
            <w:tcW w:w="906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一般公共预算财政拨款基本支出决算表</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0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72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4011"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单位：厦门市翔鹭小学</w:t>
            </w:r>
          </w:p>
        </w:tc>
        <w:tc>
          <w:tcPr>
            <w:tcW w:w="172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6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01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312" w:hRule="atLeast"/>
          <w:tblHeader/>
          <w:jc w:val="center"/>
        </w:trPr>
        <w:tc>
          <w:tcPr>
            <w:tcW w:w="62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204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7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63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72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61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70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53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48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rHeight w:val="312" w:hRule="atLeast"/>
          <w:tblHeader/>
          <w:jc w:val="center"/>
        </w:trPr>
        <w:tc>
          <w:tcPr>
            <w:tcW w:w="62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04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3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72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1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0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53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8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工资福利支出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2,140.29</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商品和服务支出</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231.52</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30703</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国内债务发行费用</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30101</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基本工资</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279.8</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30201</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68.09</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30704</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国外债务发行费用</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30102</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津贴补贴</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408.17</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30202</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印刷费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资本性支出</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8.82</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30103</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奖金</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671.06</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30203</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咨询费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31001</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房屋建筑物购建</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30106</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伙食补助费</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30204</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手续费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办公设备购置</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8.82</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30107</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绩效工资</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122.81</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30205</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水费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4.15</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31003</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专用设备购置</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30108</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158.88</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30206</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电费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14.01</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31005</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基础设施建设</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30109</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职业年金缴费</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79.44</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30207</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邮电费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0.36</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31006</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大型修缮</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30110</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职工基本医疗保险缴费</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68.02</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30208</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取暖费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31007</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信息网络及软件购置更新</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30111</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公务员医疗补助缴费</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30209</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物业管理费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物资储备</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30112</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其他社会保障缴费</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46.88</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30211</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差旅费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土地补偿</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30113</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住房公积金</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173.77</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30212</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因公出国（境）费用</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31010</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安置补助</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30114</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30213</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维修（护）费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45.98</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31011</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地上附着物和青苗补偿</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30199</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其他工资福利支出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131.46</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30214</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租赁费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拆迁补偿</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对个人和家庭的补助</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21.84</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30215</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会议费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31013</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30301</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离休费</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30216</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培训费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14.54</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其他交通工具购置</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30302</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退休费</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30217</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31021</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文物和陈列品购置</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30303</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退职（役）费</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30218</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专用材料费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无形资产购置</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30304</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抚恤金</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30224</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被装购置费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31099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其他资本性支出</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30305</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生活补助</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30225</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专用燃料费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对企业补助</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30306</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救济费</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30226</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劳务费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24.97</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31201</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资本金注入</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30307</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医疗费补助</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30227</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委托业务费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31203</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政府投资基金股权投资</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30308</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助学金</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30228</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工会经费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39.44</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31204</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费用补贴</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30309</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奖励金</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4.38</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30229</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福利费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2.89</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31205</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利息补贴</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30310</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个人农业生产补贴</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30231</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31206</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其他资本性补助</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30311</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代缴社会保险费</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30239</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其他交通费用</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3.32</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31299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其他对企业补助</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30399</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其他对个人和家庭的补助</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17.46</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30240</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税金及附加费用</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30299</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其他商品和服务支出</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11.77</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39907</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国家赔偿费用支出</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债务利息及费用支出</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39908</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对民间非营利组织和群众性自治组织补贴</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30701</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国内债务付息</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经常性赠与</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30702</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国外债务付息</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39910</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资本性赠与</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7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39999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4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266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人员经费合计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2,162.13</w:t>
            </w:r>
          </w:p>
        </w:tc>
        <w:tc>
          <w:tcPr>
            <w:tcW w:w="3676"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公用经费合计</w:t>
            </w:r>
          </w:p>
        </w:tc>
        <w:tc>
          <w:tcPr>
            <w:tcW w:w="20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240.34</w:t>
            </w:r>
          </w:p>
        </w:tc>
      </w:tr>
      <w:tr>
        <w:tblPrEx>
          <w:tblLayout w:type="fixed"/>
          <w:tblCellMar>
            <w:top w:w="15" w:type="dxa"/>
            <w:left w:w="15" w:type="dxa"/>
            <w:bottom w:w="15" w:type="dxa"/>
            <w:right w:w="15" w:type="dxa"/>
          </w:tblCellMar>
        </w:tblPrEx>
        <w:trPr>
          <w:trHeight w:val="0" w:hRule="atLeast"/>
          <w:tblHeader/>
          <w:jc w:val="center"/>
        </w:trPr>
        <w:tc>
          <w:tcPr>
            <w:tcW w:w="906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注：本表反映部门本年度一般公共预算财政拨款基本支出明细情况。</w:t>
            </w:r>
          </w:p>
        </w:tc>
      </w:tr>
    </w:tbl>
    <w:p>
      <w:pPr>
        <w:pStyle w:val="6"/>
        <w:keepNext w:val="0"/>
        <w:keepLines w:val="0"/>
        <w:spacing w:before="100" w:after="100" w:line="240" w:lineRule="auto"/>
        <w:ind w:right="0"/>
        <w:rPr>
          <w:rFonts w:ascii="黑体" w:hAnsi="黑体" w:eastAsia="黑体" w:cs="黑体"/>
          <w:b/>
          <w:spacing w:val="0"/>
        </w:rPr>
      </w:pPr>
      <w:bookmarkStart w:id="53" w:name="_Toc256000075"/>
      <w:bookmarkStart w:id="54" w:name="_Toc256000013"/>
      <w:bookmarkStart w:id="55" w:name="_Toc256000106"/>
      <w:bookmarkStart w:id="56" w:name="_Toc256000044"/>
    </w:p>
    <w:p>
      <w:pPr>
        <w:pStyle w:val="6"/>
        <w:keepNext w:val="0"/>
        <w:keepLines w:val="0"/>
        <w:spacing w:before="100" w:after="100" w:line="240" w:lineRule="auto"/>
        <w:ind w:right="0"/>
        <w:rPr>
          <w:rFonts w:ascii="Times New Roman" w:hAnsi="Times New Roman" w:eastAsia="Times New Roman" w:cs="Times New Roman"/>
          <w:b/>
          <w:bCs/>
          <w:kern w:val="0"/>
          <w:sz w:val="28"/>
          <w:szCs w:val="28"/>
        </w:rPr>
      </w:pPr>
      <w:r>
        <w:rPr>
          <w:rFonts w:ascii="黑体" w:hAnsi="黑体" w:eastAsia="黑体" w:cs="黑体"/>
          <w:b/>
          <w:spacing w:val="0"/>
        </w:rPr>
        <w:t>七、一般公共预算财政拨款“三公”经费支出决算表</w:t>
      </w:r>
      <w:bookmarkEnd w:id="53"/>
      <w:bookmarkEnd w:id="54"/>
      <w:bookmarkEnd w:id="55"/>
      <w:bookmarkEnd w:id="56"/>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066" w:type="dxa"/>
        <w:jc w:val="center"/>
        <w:tblInd w:w="0" w:type="dxa"/>
        <w:tblLayout w:type="fixed"/>
        <w:tblCellMar>
          <w:top w:w="15" w:type="dxa"/>
          <w:left w:w="15" w:type="dxa"/>
          <w:bottom w:w="15" w:type="dxa"/>
          <w:right w:w="15" w:type="dxa"/>
        </w:tblCellMar>
      </w:tblPr>
      <w:tblGrid>
        <w:gridCol w:w="755"/>
        <w:gridCol w:w="755"/>
        <w:gridCol w:w="755"/>
        <w:gridCol w:w="755"/>
        <w:gridCol w:w="1"/>
        <w:gridCol w:w="755"/>
        <w:gridCol w:w="755"/>
        <w:gridCol w:w="755"/>
        <w:gridCol w:w="1"/>
        <w:gridCol w:w="755"/>
        <w:gridCol w:w="1"/>
        <w:gridCol w:w="755"/>
        <w:gridCol w:w="1"/>
        <w:gridCol w:w="755"/>
        <w:gridCol w:w="755"/>
        <w:gridCol w:w="1"/>
        <w:gridCol w:w="756"/>
      </w:tblGrid>
      <w:tr>
        <w:tblPrEx>
          <w:tblLayout w:type="fixed"/>
          <w:tblCellMar>
            <w:top w:w="15" w:type="dxa"/>
            <w:left w:w="15" w:type="dxa"/>
            <w:bottom w:w="15" w:type="dxa"/>
            <w:right w:w="15" w:type="dxa"/>
          </w:tblCellMar>
        </w:tblPrEx>
        <w:trPr>
          <w:trHeight w:val="0" w:hRule="atLeast"/>
          <w:tblHeader/>
          <w:jc w:val="center"/>
        </w:trPr>
        <w:tc>
          <w:tcPr>
            <w:tcW w:w="9066" w:type="dxa"/>
            <w:gridSpan w:val="17"/>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三公</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经费支出决算</w:t>
            </w:r>
          </w:p>
        </w:tc>
      </w:tr>
      <w:tr>
        <w:tblPrEx>
          <w:tblLayout w:type="fixed"/>
          <w:tblCellMar>
            <w:top w:w="15" w:type="dxa"/>
            <w:left w:w="15" w:type="dxa"/>
            <w:bottom w:w="15" w:type="dxa"/>
            <w:right w:w="15" w:type="dxa"/>
          </w:tblCellMar>
        </w:tblPrEx>
        <w:trPr>
          <w:trHeight w:val="0" w:hRule="atLeast"/>
          <w:tblHeader/>
          <w:jc w:val="center"/>
        </w:trPr>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4531" w:type="dxa"/>
            <w:gridSpan w:val="7"/>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单位：厦门市翔鹭小学</w:t>
            </w:r>
          </w:p>
        </w:tc>
        <w:tc>
          <w:tcPr>
            <w:tcW w:w="1512"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2"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4531" w:type="dxa"/>
            <w:gridSpan w:val="7"/>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预算数</w:t>
            </w:r>
          </w:p>
        </w:tc>
        <w:tc>
          <w:tcPr>
            <w:tcW w:w="4535" w:type="dxa"/>
            <w:gridSpan w:val="10"/>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决算数</w:t>
            </w:r>
          </w:p>
        </w:tc>
      </w:tr>
      <w:tr>
        <w:tblPrEx>
          <w:tblLayout w:type="fixed"/>
          <w:tblCellMar>
            <w:top w:w="15" w:type="dxa"/>
            <w:left w:w="15" w:type="dxa"/>
            <w:bottom w:w="15" w:type="dxa"/>
            <w:right w:w="15" w:type="dxa"/>
          </w:tblCellMar>
        </w:tblPrEx>
        <w:trPr>
          <w:trHeight w:val="0" w:hRule="atLeast"/>
          <w:tblHeader/>
          <w:jc w:val="center"/>
        </w:trPr>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266"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267" w:type="dxa"/>
            <w:gridSpan w:val="5"/>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757"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r>
      <w:tr>
        <w:tblPrEx>
          <w:tblLayout w:type="fixed"/>
          <w:tblCellMar>
            <w:top w:w="15" w:type="dxa"/>
            <w:left w:w="15" w:type="dxa"/>
            <w:bottom w:w="15" w:type="dxa"/>
            <w:right w:w="15" w:type="dxa"/>
          </w:tblCellMar>
        </w:tblPrEx>
        <w:trPr>
          <w:trHeight w:val="312" w:hRule="atLeast"/>
          <w:tblHeader/>
          <w:jc w:val="cent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75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75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r>
      <w:tr>
        <w:tblPrEx>
          <w:tblLayout w:type="fixed"/>
          <w:tblCellMar>
            <w:top w:w="15" w:type="dxa"/>
            <w:left w:w="15" w:type="dxa"/>
            <w:bottom w:w="15" w:type="dxa"/>
            <w:right w:w="15" w:type="dxa"/>
          </w:tblCellMar>
        </w:tblPrEx>
        <w:trPr>
          <w:trHeight w:val="0" w:hRule="atLeast"/>
          <w:jc w:val="center"/>
        </w:trPr>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bookmarkStart w:id="121" w:name="_GoBack" w:colFirst="1" w:colLast="11"/>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r>
      <w:bookmarkEnd w:id="121"/>
      <w:tr>
        <w:tblPrEx>
          <w:tblLayout w:type="fixed"/>
          <w:tblCellMar>
            <w:top w:w="15" w:type="dxa"/>
            <w:left w:w="15" w:type="dxa"/>
            <w:bottom w:w="15" w:type="dxa"/>
            <w:right w:w="15" w:type="dxa"/>
          </w:tblCellMar>
        </w:tblPrEx>
        <w:trPr>
          <w:trHeight w:val="0" w:hRule="atLeast"/>
          <w:jc w:val="center"/>
        </w:trPr>
        <w:tc>
          <w:tcPr>
            <w:tcW w:w="9066" w:type="dxa"/>
            <w:gridSpan w:val="17"/>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注：本表反映部门本年度财政拨款</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经费支出预决算情况。其中，预算数为</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经费全年预算数，反映按规定程序调整后的预算数；决算数是包括当年财政拨款和以前年度结转资金安排的实际支出。</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1"/>
        <w:widowControl/>
        <w:spacing w:before="100" w:after="100"/>
        <w:ind w:left="0" w:right="0" w:firstLine="640" w:firstLineChars="200"/>
        <w:jc w:val="left"/>
        <w:rPr>
          <w:rFonts w:ascii="仿宋" w:hAnsi="仿宋" w:eastAsia="仿宋" w:cs="仿宋"/>
          <w:kern w:val="0"/>
          <w:sz w:val="32"/>
          <w:szCs w:val="32"/>
        </w:rPr>
      </w:pPr>
      <w:r>
        <w:rPr>
          <w:rFonts w:ascii="仿宋" w:hAnsi="仿宋" w:eastAsia="仿宋" w:cs="仿宋"/>
          <w:kern w:val="0"/>
          <w:sz w:val="32"/>
          <w:szCs w:val="32"/>
        </w:rPr>
        <w:t>本</w:t>
      </w:r>
      <w:r>
        <w:rPr>
          <w:rFonts w:hint="eastAsia" w:ascii="仿宋" w:hAnsi="仿宋" w:eastAsia="仿宋" w:cs="仿宋"/>
          <w:kern w:val="0"/>
          <w:sz w:val="32"/>
          <w:szCs w:val="32"/>
          <w:lang w:eastAsia="zh-CN"/>
        </w:rPr>
        <w:t>单位</w:t>
      </w:r>
      <w:r>
        <w:rPr>
          <w:rFonts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年度没有使用一般公共预算财政拨款安排的“三公”经费支出。</w:t>
      </w:r>
    </w:p>
    <w:p>
      <w:pPr>
        <w:pStyle w:val="6"/>
        <w:keepNext w:val="0"/>
        <w:keepLines w:val="0"/>
        <w:spacing w:before="100" w:after="100" w:line="240" w:lineRule="auto"/>
        <w:ind w:left="0" w:right="0" w:firstLine="643" w:firstLineChars="200"/>
        <w:rPr>
          <w:rFonts w:ascii="黑体" w:hAnsi="黑体" w:eastAsia="黑体" w:cs="黑体"/>
          <w:b/>
          <w:spacing w:val="0"/>
        </w:rPr>
      </w:pPr>
      <w:bookmarkStart w:id="57" w:name="_Toc256000014"/>
      <w:bookmarkStart w:id="58" w:name="_Toc256000045"/>
      <w:bookmarkStart w:id="59" w:name="_Toc256000076"/>
      <w:bookmarkStart w:id="60" w:name="_Toc256000107"/>
    </w:p>
    <w:p>
      <w:pPr>
        <w:pStyle w:val="6"/>
        <w:keepNext w:val="0"/>
        <w:keepLines w:val="0"/>
        <w:spacing w:before="100" w:after="100" w:line="240" w:lineRule="auto"/>
        <w:ind w:left="0" w:right="0" w:firstLine="643" w:firstLineChars="200"/>
        <w:rPr>
          <w:rFonts w:ascii="黑体" w:hAnsi="黑体" w:eastAsia="黑体" w:cs="黑体"/>
          <w:b/>
          <w:spacing w:val="0"/>
        </w:rPr>
      </w:pPr>
    </w:p>
    <w:p>
      <w:pPr>
        <w:pStyle w:val="6"/>
        <w:keepNext w:val="0"/>
        <w:keepLines w:val="0"/>
        <w:spacing w:before="100" w:after="100" w:line="240" w:lineRule="auto"/>
        <w:ind w:left="0" w:right="0" w:firstLine="643" w:firstLineChars="200"/>
        <w:rPr>
          <w:rFonts w:ascii="黑体" w:hAnsi="黑体" w:eastAsia="黑体" w:cs="黑体"/>
          <w:b/>
          <w:spacing w:val="0"/>
        </w:rPr>
      </w:pPr>
    </w:p>
    <w:p>
      <w:pPr>
        <w:pStyle w:val="6"/>
        <w:keepNext w:val="0"/>
        <w:keepLines w:val="0"/>
        <w:spacing w:before="100" w:after="100" w:line="240" w:lineRule="auto"/>
        <w:ind w:left="0" w:right="0" w:firstLine="643" w:firstLineChars="200"/>
        <w:rPr>
          <w:rFonts w:ascii="黑体" w:hAnsi="黑体" w:eastAsia="黑体" w:cs="黑体"/>
          <w:b/>
          <w:spacing w:val="0"/>
        </w:rPr>
      </w:pPr>
    </w:p>
    <w:p>
      <w:pPr>
        <w:pStyle w:val="6"/>
        <w:keepNext w:val="0"/>
        <w:keepLines w:val="0"/>
        <w:spacing w:before="100" w:after="100" w:line="240" w:lineRule="auto"/>
        <w:ind w:left="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八、政府性基金预算财政拨款收入支出决算表</w:t>
      </w:r>
      <w:bookmarkEnd w:id="57"/>
      <w:bookmarkEnd w:id="58"/>
      <w:bookmarkEnd w:id="59"/>
      <w:bookmarkEnd w:id="60"/>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066" w:type="dxa"/>
        <w:jc w:val="center"/>
        <w:tblInd w:w="0" w:type="dxa"/>
        <w:tblLayout w:type="fixed"/>
        <w:tblCellMar>
          <w:top w:w="15" w:type="dxa"/>
          <w:left w:w="15" w:type="dxa"/>
          <w:bottom w:w="15" w:type="dxa"/>
          <w:right w:w="15" w:type="dxa"/>
        </w:tblCellMar>
      </w:tblPr>
      <w:tblGrid>
        <w:gridCol w:w="1133"/>
        <w:gridCol w:w="2650"/>
        <w:gridCol w:w="1032"/>
        <w:gridCol w:w="840"/>
        <w:gridCol w:w="840"/>
        <w:gridCol w:w="876"/>
        <w:gridCol w:w="876"/>
        <w:gridCol w:w="819"/>
      </w:tblGrid>
      <w:tr>
        <w:tblPrEx>
          <w:tblLayout w:type="fixed"/>
          <w:tblCellMar>
            <w:top w:w="15" w:type="dxa"/>
            <w:left w:w="15" w:type="dxa"/>
            <w:bottom w:w="15" w:type="dxa"/>
            <w:right w:w="15" w:type="dxa"/>
          </w:tblCellMar>
        </w:tblPrEx>
        <w:trPr>
          <w:trHeight w:val="0" w:hRule="atLeast"/>
          <w:tblHeader/>
          <w:jc w:val="center"/>
        </w:trPr>
        <w:tc>
          <w:tcPr>
            <w:tcW w:w="9066" w:type="dxa"/>
            <w:gridSpan w:val="8"/>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政府性基金预算财政拨款收入支出决算表</w:t>
            </w:r>
          </w:p>
        </w:tc>
      </w:tr>
      <w:tr>
        <w:tblPrEx>
          <w:tblLayout w:type="fixed"/>
          <w:tblCellMar>
            <w:top w:w="15" w:type="dxa"/>
            <w:left w:w="15" w:type="dxa"/>
            <w:bottom w:w="15" w:type="dxa"/>
            <w:right w:w="15" w:type="dxa"/>
          </w:tblCellMar>
        </w:tblPrEx>
        <w:trPr>
          <w:trHeight w:val="0" w:hRule="atLeast"/>
          <w:tblHeader/>
          <w:jc w:val="center"/>
        </w:trPr>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5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1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5655"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单位：厦门市翔鹭小学</w:t>
            </w:r>
          </w:p>
        </w:tc>
        <w:tc>
          <w:tcPr>
            <w:tcW w:w="8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8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9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tblHeader/>
          <w:jc w:val="center"/>
        </w:trPr>
        <w:tc>
          <w:tcPr>
            <w:tcW w:w="3783"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03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84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w:t>
            </w:r>
          </w:p>
        </w:tc>
        <w:tc>
          <w:tcPr>
            <w:tcW w:w="259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c>
          <w:tcPr>
            <w:tcW w:w="81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p>
        </w:tc>
      </w:tr>
      <w:tr>
        <w:tblPrEx>
          <w:tblLayout w:type="fixed"/>
          <w:tblCellMar>
            <w:top w:w="15" w:type="dxa"/>
            <w:left w:w="15" w:type="dxa"/>
            <w:bottom w:w="15" w:type="dxa"/>
            <w:right w:w="15" w:type="dxa"/>
          </w:tblCellMar>
        </w:tblPrEx>
        <w:trPr>
          <w:trHeight w:val="0" w:hRule="atLeast"/>
          <w:tblHeader/>
          <w:jc w:val="center"/>
        </w:trPr>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支出功能分类科目编码</w:t>
            </w:r>
          </w:p>
        </w:tc>
        <w:tc>
          <w:tcPr>
            <w:tcW w:w="265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3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4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4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87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87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819"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65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3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4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4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7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7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19"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3783"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8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rPr>
          <w:trHeight w:val="0" w:hRule="atLeast"/>
          <w:jc w:val="center"/>
        </w:trPr>
        <w:tc>
          <w:tcPr>
            <w:tcW w:w="3783"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26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26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26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8"/>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注：本表反映部门本年度政府性基金预算财政拨款收入、支出及结转和结余情况。</w:t>
            </w:r>
          </w:p>
        </w:tc>
      </w:tr>
    </w:tbl>
    <w:p>
      <w:pPr>
        <w:widowControl/>
        <w:jc w:val="left"/>
        <w:rPr>
          <w:rFonts w:ascii="黑体" w:hAnsi="黑体" w:eastAsia="黑体" w:cs="黑体"/>
          <w:b/>
          <w:spacing w:val="0"/>
          <w:sz w:val="32"/>
          <w:szCs w:val="32"/>
        </w:rPr>
      </w:pPr>
      <w:bookmarkStart w:id="61" w:name="_Toc256000015"/>
      <w:bookmarkStart w:id="62" w:name="_Toc256000046"/>
      <w:bookmarkStart w:id="63" w:name="_Toc256000077"/>
      <w:bookmarkStart w:id="64" w:name="_Toc256000108"/>
    </w:p>
    <w:p>
      <w:pPr>
        <w:widowControl/>
        <w:ind w:firstLine="643" w:firstLineChars="200"/>
        <w:jc w:val="left"/>
        <w:rPr>
          <w:rFonts w:ascii="Times New Roman" w:hAnsi="Times New Roman" w:eastAsia="Times New Roman" w:cs="Times New Roman"/>
          <w:b/>
          <w:bCs/>
          <w:kern w:val="0"/>
          <w:sz w:val="32"/>
          <w:szCs w:val="32"/>
        </w:rPr>
      </w:pPr>
      <w:r>
        <w:rPr>
          <w:rFonts w:ascii="黑体" w:hAnsi="黑体" w:eastAsia="黑体" w:cs="黑体"/>
          <w:b/>
          <w:spacing w:val="0"/>
          <w:sz w:val="32"/>
          <w:szCs w:val="32"/>
        </w:rPr>
        <w:t>九、国有资本经营预算财政拨款支出决算表</w:t>
      </w:r>
      <w:bookmarkEnd w:id="61"/>
      <w:bookmarkEnd w:id="62"/>
      <w:bookmarkEnd w:id="63"/>
      <w:bookmarkEnd w:id="64"/>
    </w:p>
    <w:p>
      <w:pPr>
        <w:widowControl/>
        <w:spacing w:before="240" w:after="240"/>
        <w:jc w:val="left"/>
        <w:rPr>
          <w:rFonts w:ascii="Times New Roman" w:hAnsi="Times New Roman" w:eastAsia="Times New Roman" w:cs="Times New Roman"/>
          <w:vanish/>
          <w:kern w:val="0"/>
          <w:sz w:val="24"/>
        </w:rPr>
      </w:pPr>
    </w:p>
    <w:p>
      <w:pPr>
        <w:widowControl/>
        <w:spacing w:before="240" w:after="240"/>
        <w:jc w:val="left"/>
        <w:rPr>
          <w:rFonts w:ascii="Times New Roman" w:hAnsi="Times New Roman" w:eastAsia="Times New Roman" w:cs="Times New Roman"/>
          <w:vanish/>
          <w:kern w:val="0"/>
          <w:sz w:val="24"/>
        </w:r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100" w:type="dxa"/>
        <w:jc w:val="center"/>
        <w:tblInd w:w="0" w:type="dxa"/>
        <w:tblLayout w:type="fixed"/>
        <w:tblCellMar>
          <w:top w:w="15" w:type="dxa"/>
          <w:left w:w="15" w:type="dxa"/>
          <w:bottom w:w="15" w:type="dxa"/>
          <w:right w:w="15" w:type="dxa"/>
        </w:tblCellMar>
      </w:tblPr>
      <w:tblGrid>
        <w:gridCol w:w="2349"/>
        <w:gridCol w:w="1688"/>
        <w:gridCol w:w="1687"/>
        <w:gridCol w:w="1"/>
        <w:gridCol w:w="1688"/>
        <w:gridCol w:w="1687"/>
      </w:tblGrid>
      <w:tr>
        <w:tblPrEx>
          <w:tblLayout w:type="fixed"/>
          <w:tblCellMar>
            <w:top w:w="15" w:type="dxa"/>
            <w:left w:w="15" w:type="dxa"/>
            <w:bottom w:w="15" w:type="dxa"/>
            <w:right w:w="15" w:type="dxa"/>
          </w:tblCellMar>
        </w:tblPrEx>
        <w:trPr>
          <w:trHeight w:val="891" w:hRule="atLeast"/>
          <w:tblHeader/>
          <w:jc w:val="center"/>
        </w:trPr>
        <w:tc>
          <w:tcPr>
            <w:tcW w:w="9100" w:type="dxa"/>
            <w:gridSpan w:val="6"/>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国有资本经营预算财政拨款支出决算表</w:t>
            </w:r>
          </w:p>
        </w:tc>
      </w:tr>
      <w:tr>
        <w:tblPrEx>
          <w:tblLayout w:type="fixed"/>
          <w:tblCellMar>
            <w:top w:w="15" w:type="dxa"/>
            <w:left w:w="15" w:type="dxa"/>
            <w:bottom w:w="15" w:type="dxa"/>
            <w:right w:w="15" w:type="dxa"/>
          </w:tblCellMar>
        </w:tblPrEx>
        <w:trPr>
          <w:trHeight w:val="324" w:hRule="atLeast"/>
          <w:tblHeader/>
          <w:jc w:val="center"/>
        </w:trPr>
        <w:tc>
          <w:tcPr>
            <w:tcW w:w="234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8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89"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8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345" w:hRule="atLeast"/>
          <w:jc w:val="center"/>
        </w:trPr>
        <w:tc>
          <w:tcPr>
            <w:tcW w:w="4037"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单位：厦门市翔鹭小学</w:t>
            </w:r>
          </w:p>
        </w:tc>
        <w:tc>
          <w:tcPr>
            <w:tcW w:w="168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689"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8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345" w:hRule="atLeast"/>
          <w:jc w:val="center"/>
        </w:trPr>
        <w:tc>
          <w:tcPr>
            <w:tcW w:w="40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5063"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rHeight w:val="410" w:hRule="atLeast"/>
          <w:tblHeader/>
          <w:jc w:val="center"/>
        </w:trPr>
        <w:tc>
          <w:tcPr>
            <w:tcW w:w="234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6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688"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6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168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rHeight w:val="373" w:hRule="atLeast"/>
          <w:tblHeader/>
          <w:jc w:val="center"/>
        </w:trPr>
        <w:tc>
          <w:tcPr>
            <w:tcW w:w="234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6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688"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6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68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73" w:hRule="atLeast"/>
          <w:tblHeader/>
          <w:jc w:val="center"/>
        </w:trPr>
        <w:tc>
          <w:tcPr>
            <w:tcW w:w="234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6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688"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6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68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45" w:hRule="atLeast"/>
          <w:jc w:val="center"/>
        </w:trPr>
        <w:tc>
          <w:tcPr>
            <w:tcW w:w="40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68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6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rPr>
          <w:trHeight w:val="345" w:hRule="atLeast"/>
          <w:jc w:val="center"/>
        </w:trPr>
        <w:tc>
          <w:tcPr>
            <w:tcW w:w="40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68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450" w:hRule="atLeast"/>
          <w:jc w:val="center"/>
        </w:trPr>
        <w:tc>
          <w:tcPr>
            <w:tcW w:w="9100" w:type="dxa"/>
            <w:gridSpan w:val="6"/>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注：本表反映部门本年度国有资本经营预算财政拨款支出情况。</w:t>
            </w:r>
          </w:p>
        </w:tc>
      </w:tr>
    </w:tbl>
    <w:p>
      <w:pPr>
        <w:keepNext w:val="0"/>
        <w:keepLines w:val="0"/>
        <w:pageBreakBefore w:val="0"/>
        <w:widowControl/>
        <w:kinsoku/>
        <w:wordWrap/>
        <w:overflowPunct/>
        <w:topLinePunct w:val="0"/>
        <w:autoSpaceDE/>
        <w:autoSpaceDN/>
        <w:bidi w:val="0"/>
        <w:adjustRightInd/>
        <w:snapToGrid/>
        <w:spacing w:line="560" w:lineRule="exact"/>
        <w:jc w:val="left"/>
        <w:textAlignment w:val="auto"/>
        <w:outlineLvl w:val="9"/>
        <w:rPr>
          <w:sz w:val="32"/>
          <w:szCs w:val="32"/>
        </w:rPr>
      </w:pPr>
      <w:r>
        <w:rPr>
          <w:rFonts w:ascii="Times New Roman" w:hAnsi="Times New Roman" w:eastAsia="Times New Roman" w:cs="Times New Roman"/>
          <w:kern w:val="0"/>
          <w:sz w:val="24"/>
        </w:rPr>
        <w:t> </w:t>
      </w:r>
      <w:r>
        <w:rPr>
          <w:rFonts w:ascii="Calibri" w:hAnsi="Calibri" w:eastAsia="Calibri" w:cs="Calibri"/>
          <w:spacing w:val="0"/>
          <w:kern w:val="0"/>
          <w:sz w:val="32"/>
          <w:szCs w:val="32"/>
        </w:rPr>
        <w:t> </w:t>
      </w:r>
      <w:bookmarkStart w:id="65" w:name="_Toc256000016"/>
      <w:bookmarkStart w:id="66" w:name="_Toc256000078"/>
      <w:bookmarkStart w:id="67" w:name="_Toc256000047"/>
      <w:bookmarkStart w:id="68" w:name="_Toc256000109"/>
      <w:r>
        <w:rPr>
          <w:rFonts w:hint="eastAsia" w:ascii="Calibri" w:hAnsi="Calibri" w:eastAsia="宋体" w:cs="Calibri"/>
          <w:spacing w:val="0"/>
          <w:kern w:val="0"/>
          <w:sz w:val="32"/>
          <w:szCs w:val="32"/>
          <w:lang w:val="en-US" w:eastAsia="zh-CN"/>
        </w:rPr>
        <w:t xml:space="preserve">    </w:t>
      </w:r>
      <w:r>
        <w:rPr>
          <w:rFonts w:hint="eastAsia" w:ascii="Calibri" w:hAnsi="Calibri" w:cs="Calibri"/>
          <w:spacing w:val="0"/>
          <w:kern w:val="0"/>
          <w:sz w:val="32"/>
          <w:szCs w:val="32"/>
          <w:lang w:val="en-US" w:eastAsia="zh-CN"/>
        </w:rPr>
        <w:t xml:space="preserve">    </w:t>
      </w:r>
      <w:r>
        <w:rPr>
          <w:rFonts w:ascii="仿宋" w:hAnsi="仿宋" w:eastAsia="仿宋" w:cs="仿宋"/>
          <w:kern w:val="0"/>
          <w:sz w:val="32"/>
          <w:szCs w:val="32"/>
        </w:rPr>
        <w:t>本</w:t>
      </w:r>
      <w:r>
        <w:rPr>
          <w:rFonts w:hint="eastAsia" w:ascii="仿宋" w:hAnsi="仿宋" w:eastAsia="仿宋" w:cs="仿宋"/>
          <w:kern w:val="0"/>
          <w:sz w:val="32"/>
          <w:szCs w:val="32"/>
          <w:lang w:eastAsia="zh-CN"/>
        </w:rPr>
        <w:t>单位</w:t>
      </w:r>
      <w:r>
        <w:rPr>
          <w:rFonts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年度没有使用国有资本经营预算财政拨款安排的收支</w:t>
      </w:r>
      <w:r>
        <w:rPr>
          <w:rFonts w:hint="eastAsia" w:ascii="仿宋" w:hAnsi="仿宋" w:eastAsia="仿宋" w:cs="仿宋"/>
          <w:kern w:val="0"/>
          <w:sz w:val="32"/>
          <w:szCs w:val="32"/>
          <w:lang w:eastAsia="zh-CN"/>
        </w:rPr>
        <w:t>。</w:t>
      </w:r>
      <w:r>
        <w:rPr>
          <w:rFonts w:ascii="Times New Roman" w:hAnsi="Times New Roman" w:eastAsia="Times New Roman" w:cs="Times New Roman"/>
          <w:kern w:val="0"/>
          <w:sz w:val="32"/>
          <w:szCs w:val="32"/>
        </w:rPr>
        <w:t> </w:t>
      </w:r>
    </w:p>
    <w:p>
      <w:pPr>
        <w:pStyle w:val="4"/>
        <w:keepNext w:val="0"/>
        <w:keepLines w:val="0"/>
        <w:spacing w:before="100" w:after="100" w:line="240" w:lineRule="auto"/>
        <w:ind w:left="0" w:right="0" w:firstLine="0" w:firstLineChars="0"/>
        <w:jc w:val="center"/>
        <w:rPr>
          <w:rFonts w:ascii="黑体" w:hAnsi="黑体" w:eastAsia="黑体" w:cs="黑体"/>
          <w:b/>
          <w:spacing w:val="0"/>
          <w:sz w:val="36"/>
          <w:szCs w:val="36"/>
        </w:rPr>
      </w:pPr>
      <w:r>
        <w:rPr>
          <w:rFonts w:ascii="黑体" w:hAnsi="黑体" w:eastAsia="黑体" w:cs="黑体"/>
          <w:b/>
          <w:spacing w:val="0"/>
          <w:sz w:val="36"/>
          <w:szCs w:val="36"/>
        </w:rPr>
        <w:t>第三部分</w:t>
      </w:r>
      <w:bookmarkEnd w:id="65"/>
      <w:bookmarkEnd w:id="66"/>
      <w:bookmarkEnd w:id="67"/>
      <w:bookmarkEnd w:id="68"/>
      <w:r>
        <w:rPr>
          <w:rFonts w:ascii="宋体" w:hAnsi="宋体" w:eastAsia="宋体" w:cs="宋体"/>
          <w:b/>
          <w:spacing w:val="0"/>
          <w:sz w:val="36"/>
          <w:szCs w:val="36"/>
        </w:rPr>
        <w:t> </w:t>
      </w:r>
      <w:bookmarkStart w:id="69" w:name="_Toc256000017"/>
      <w:bookmarkStart w:id="70" w:name="_Toc256000079"/>
      <w:bookmarkStart w:id="71" w:name="_Toc256000048"/>
      <w:bookmarkStart w:id="72" w:name="_Toc256000110"/>
      <w:r>
        <w:rPr>
          <w:rFonts w:ascii="黑体" w:hAnsi="黑体" w:eastAsia="黑体" w:cs="黑体"/>
          <w:b/>
          <w:spacing w:val="0"/>
          <w:sz w:val="36"/>
          <w:szCs w:val="36"/>
        </w:rPr>
        <w:t>2024年度决算情况说明</w:t>
      </w:r>
      <w:bookmarkEnd w:id="69"/>
      <w:bookmarkEnd w:id="70"/>
      <w:bookmarkEnd w:id="71"/>
      <w:bookmarkEnd w:id="72"/>
    </w:p>
    <w:p>
      <w:pPr>
        <w:pStyle w:val="4"/>
        <w:keepNext w:val="0"/>
        <w:keepLines w:val="0"/>
        <w:spacing w:before="100" w:after="100" w:line="240" w:lineRule="auto"/>
        <w:ind w:left="0" w:right="0" w:firstLine="0" w:firstLineChars="0"/>
        <w:jc w:val="center"/>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pStyle w:val="6"/>
        <w:keepNext w:val="0"/>
        <w:keepLines w:val="0"/>
        <w:pageBreakBefore w:val="0"/>
        <w:kinsoku/>
        <w:wordWrap/>
        <w:overflowPunct/>
        <w:topLinePunct w:val="0"/>
        <w:autoSpaceDE/>
        <w:autoSpaceDN/>
        <w:bidi w:val="0"/>
        <w:adjustRightInd/>
        <w:snapToGrid/>
        <w:spacing w:before="100" w:after="100" w:line="560" w:lineRule="exact"/>
        <w:ind w:left="0" w:right="0" w:firstLine="640" w:firstLineChars="0"/>
        <w:textAlignment w:val="auto"/>
        <w:rPr>
          <w:rFonts w:ascii="Times New Roman" w:hAnsi="Times New Roman" w:eastAsia="Times New Roman" w:cs="Times New Roman"/>
          <w:b/>
          <w:bCs/>
          <w:kern w:val="0"/>
          <w:sz w:val="28"/>
          <w:szCs w:val="28"/>
        </w:rPr>
      </w:pPr>
      <w:bookmarkStart w:id="73" w:name="_Toc256000080"/>
      <w:bookmarkStart w:id="74" w:name="_Toc256000018"/>
      <w:bookmarkStart w:id="75" w:name="_Toc256000049"/>
      <w:bookmarkStart w:id="76" w:name="_Toc256000111"/>
      <w:r>
        <w:rPr>
          <w:rFonts w:ascii="黑体" w:hAnsi="黑体" w:eastAsia="黑体" w:cs="黑体"/>
          <w:b/>
          <w:spacing w:val="0"/>
        </w:rPr>
        <w:t>一、收入支出决算总体情况说明</w:t>
      </w:r>
      <w:bookmarkEnd w:id="73"/>
      <w:bookmarkEnd w:id="74"/>
      <w:bookmarkEnd w:id="75"/>
      <w:bookmarkEnd w:id="76"/>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（一）收入支出决算总体情况说明</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2024年度本单位收入总计2949.90万元，支出总计2949.90万元，与上年决算数相比，各增加238.71万元，各增长8.80%。主要是</w:t>
      </w:r>
      <w:r>
        <w:rPr>
          <w:rFonts w:hint="eastAsia" w:ascii="仿宋" w:hAnsi="仿宋" w:eastAsia="仿宋" w:cs="仿宋"/>
          <w:spacing w:val="0"/>
          <w:kern w:val="0"/>
          <w:sz w:val="32"/>
          <w:szCs w:val="32"/>
          <w:lang w:eastAsia="zh-CN"/>
        </w:rPr>
        <w:t>教育设施设备增加。</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（二）收入决算情况说明</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2024年度收入2949.90万元，比上年决算数</w:t>
      </w:r>
      <w:r>
        <w:rPr>
          <w:rFonts w:ascii="仿宋" w:hAnsi="仿宋" w:eastAsia="仿宋" w:cs="仿宋"/>
          <w:kern w:val="0"/>
          <w:sz w:val="32"/>
          <w:szCs w:val="32"/>
        </w:rPr>
        <w:t>增加</w:t>
      </w:r>
      <w:r>
        <w:rPr>
          <w:rFonts w:ascii="仿宋" w:hAnsi="仿宋" w:eastAsia="仿宋" w:cs="仿宋"/>
          <w:spacing w:val="0"/>
          <w:kern w:val="0"/>
          <w:sz w:val="32"/>
          <w:szCs w:val="32"/>
        </w:rPr>
        <w:t>238.71万元，</w:t>
      </w:r>
      <w:r>
        <w:rPr>
          <w:rFonts w:ascii="仿宋" w:hAnsi="仿宋" w:eastAsia="仿宋" w:cs="仿宋"/>
          <w:kern w:val="0"/>
          <w:sz w:val="32"/>
          <w:szCs w:val="32"/>
        </w:rPr>
        <w:t>增长</w:t>
      </w:r>
      <w:r>
        <w:rPr>
          <w:rFonts w:ascii="仿宋" w:hAnsi="仿宋" w:eastAsia="仿宋" w:cs="仿宋"/>
          <w:spacing w:val="0"/>
          <w:kern w:val="0"/>
          <w:sz w:val="32"/>
          <w:szCs w:val="32"/>
        </w:rPr>
        <w:t>8.80%，具体情况如下：</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160" w:right="0" w:firstLine="48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1.一般公共预算财政拨款收入2947.00万元。</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160" w:right="0" w:firstLine="48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2.政府性基金预算财政拨款收入2.90万元。</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160" w:right="0" w:firstLine="48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3.国有资本经营预算财政拨款收入0万元。</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4.上级补助收入0万元。</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5.事业收入0万元。</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6.经营收入0万元。</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7.附属单位上缴收入0万元。</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8.其他收入0万元。</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（三）支出决算情况说明</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2024年度支出2949.90万元，比上年决算数增加238.71万元，增长8.80%，具体情况如下：</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right="0" w:firstLine="64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1.基本支出2402.47万元。其中，人员支出2162.13万元，公用支出240.34万元。</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right="0" w:firstLine="64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2.项目支出547.43万元。</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right="0" w:firstLine="64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3.上缴上级支出0万元。</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4.经营支出0万元。</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5.对附属单位补助支出0万元。</w:t>
      </w:r>
    </w:p>
    <w:p>
      <w:pPr>
        <w:pStyle w:val="6"/>
        <w:keepNext w:val="0"/>
        <w:keepLines w:val="0"/>
        <w:pageBreakBefore w:val="0"/>
        <w:kinsoku/>
        <w:wordWrap/>
        <w:overflowPunct/>
        <w:topLinePunct w:val="0"/>
        <w:autoSpaceDE/>
        <w:autoSpaceDN/>
        <w:bidi w:val="0"/>
        <w:adjustRightInd/>
        <w:snapToGrid/>
        <w:spacing w:before="100" w:after="100" w:line="560" w:lineRule="exact"/>
        <w:ind w:right="0"/>
        <w:textAlignment w:val="auto"/>
        <w:rPr>
          <w:rFonts w:ascii="Times New Roman" w:hAnsi="Times New Roman" w:eastAsia="Times New Roman" w:cs="Times New Roman"/>
          <w:b/>
          <w:bCs/>
          <w:kern w:val="0"/>
          <w:sz w:val="28"/>
          <w:szCs w:val="28"/>
        </w:rPr>
      </w:pPr>
      <w:bookmarkStart w:id="77" w:name="_Toc256000112"/>
      <w:bookmarkStart w:id="78" w:name="_Toc256000019"/>
      <w:bookmarkStart w:id="79" w:name="_Toc256000081"/>
      <w:bookmarkStart w:id="80" w:name="_Toc256000050"/>
      <w:r>
        <w:rPr>
          <w:rFonts w:ascii="黑体" w:hAnsi="黑体" w:eastAsia="黑体" w:cs="黑体"/>
          <w:b/>
          <w:spacing w:val="0"/>
        </w:rPr>
        <w:t>二、财政拨款收入支出决算总体情况说明</w:t>
      </w:r>
      <w:bookmarkEnd w:id="77"/>
      <w:bookmarkEnd w:id="78"/>
      <w:bookmarkEnd w:id="79"/>
      <w:bookmarkEnd w:id="80"/>
    </w:p>
    <w:p>
      <w:pPr>
        <w:pStyle w:val="31"/>
        <w:keepNext w:val="0"/>
        <w:keepLines w:val="0"/>
        <w:pageBreakBefore w:val="0"/>
        <w:widowControl/>
        <w:kinsoku/>
        <w:wordWrap/>
        <w:overflowPunct/>
        <w:topLinePunct w:val="0"/>
        <w:autoSpaceDE/>
        <w:autoSpaceDN/>
        <w:bidi w:val="0"/>
        <w:adjustRightInd/>
        <w:snapToGrid/>
        <w:spacing w:before="100" w:after="100" w:line="600" w:lineRule="exact"/>
        <w:ind w:right="0" w:firstLine="641"/>
        <w:jc w:val="both"/>
        <w:textAlignment w:val="auto"/>
        <w:outlineLvl w:val="9"/>
        <w:rPr>
          <w:rFonts w:ascii="仿宋" w:hAnsi="仿宋" w:eastAsia="仿宋" w:cs="仿宋"/>
          <w:spacing w:val="0"/>
          <w:kern w:val="0"/>
          <w:sz w:val="32"/>
          <w:szCs w:val="32"/>
        </w:rPr>
      </w:pPr>
      <w:r>
        <w:rPr>
          <w:rFonts w:ascii="仿宋" w:hAnsi="仿宋" w:eastAsia="仿宋" w:cs="仿宋"/>
          <w:spacing w:val="0"/>
          <w:kern w:val="0"/>
          <w:sz w:val="32"/>
          <w:szCs w:val="32"/>
        </w:rPr>
        <w:t>2024年度财政拨款收入总计2949.90万元，支出总计2949.90万元，与上年决算数相比，各增加238.71万元，增长8.80%，主要是：</w:t>
      </w:r>
      <w:r>
        <w:rPr>
          <w:rFonts w:hint="eastAsia" w:ascii="仿宋" w:hAnsi="仿宋" w:eastAsia="仿宋" w:cs="仿宋"/>
          <w:spacing w:val="0"/>
          <w:kern w:val="0"/>
          <w:sz w:val="32"/>
          <w:szCs w:val="32"/>
          <w:lang w:eastAsia="zh-CN"/>
        </w:rPr>
        <w:t>教育设施设备增加。</w:t>
      </w:r>
    </w:p>
    <w:p>
      <w:pPr>
        <w:pStyle w:val="6"/>
        <w:keepNext w:val="0"/>
        <w:keepLines w:val="0"/>
        <w:pageBreakBefore w:val="0"/>
        <w:kinsoku/>
        <w:wordWrap/>
        <w:overflowPunct/>
        <w:topLinePunct w:val="0"/>
        <w:autoSpaceDE/>
        <w:autoSpaceDN/>
        <w:bidi w:val="0"/>
        <w:adjustRightInd/>
        <w:snapToGrid/>
        <w:spacing w:before="100" w:after="100" w:line="560" w:lineRule="exact"/>
        <w:ind w:left="0" w:right="0" w:firstLine="640" w:firstLineChars="0"/>
        <w:textAlignment w:val="auto"/>
        <w:rPr>
          <w:rFonts w:ascii="Times New Roman" w:hAnsi="Times New Roman" w:eastAsia="Times New Roman" w:cs="Times New Roman"/>
          <w:b/>
          <w:bCs/>
          <w:kern w:val="0"/>
          <w:sz w:val="28"/>
          <w:szCs w:val="28"/>
        </w:rPr>
      </w:pPr>
      <w:bookmarkStart w:id="81" w:name="_Toc256000051"/>
      <w:bookmarkStart w:id="82" w:name="_Toc256000113"/>
      <w:bookmarkStart w:id="83" w:name="_Toc256000020"/>
      <w:bookmarkStart w:id="84" w:name="_Toc256000082"/>
      <w:r>
        <w:rPr>
          <w:rFonts w:ascii="黑体" w:hAnsi="黑体" w:eastAsia="黑体" w:cs="黑体"/>
          <w:b/>
          <w:spacing w:val="0"/>
        </w:rPr>
        <w:t>三、一般公共预算拨款支出决算情况说明</w:t>
      </w:r>
      <w:bookmarkEnd w:id="81"/>
      <w:bookmarkEnd w:id="82"/>
      <w:bookmarkEnd w:id="83"/>
      <w:bookmarkEnd w:id="84"/>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Times New Roman" w:hAnsi="Times New Roman" w:eastAsia="Times New Roman" w:cs="Times New Roman"/>
          <w:kern w:val="0"/>
          <w:sz w:val="24"/>
          <w:highlight w:val="none"/>
        </w:rPr>
      </w:pPr>
      <w:r>
        <w:rPr>
          <w:rFonts w:ascii="仿宋" w:hAnsi="仿宋" w:eastAsia="仿宋" w:cs="仿宋"/>
          <w:spacing w:val="0"/>
          <w:kern w:val="0"/>
          <w:sz w:val="32"/>
          <w:szCs w:val="32"/>
        </w:rPr>
        <w:t>2024年一般公共预算支出2947.00万元，比上年决算数增加253.93万元，增长9.43%，具体情况如下(按</w:t>
      </w:r>
      <w:r>
        <w:rPr>
          <w:rStyle w:val="33"/>
          <w:rFonts w:ascii="仿宋" w:hAnsi="仿宋" w:eastAsia="仿宋" w:cs="仿宋"/>
          <w:spacing w:val="0"/>
          <w:kern w:val="0"/>
          <w:sz w:val="32"/>
          <w:szCs w:val="32"/>
        </w:rPr>
        <w:t>项级科</w:t>
      </w:r>
      <w:r>
        <w:rPr>
          <w:rStyle w:val="33"/>
          <w:rFonts w:ascii="仿宋" w:hAnsi="仿宋" w:eastAsia="仿宋" w:cs="仿宋"/>
          <w:spacing w:val="0"/>
          <w:kern w:val="0"/>
          <w:sz w:val="32"/>
          <w:szCs w:val="32"/>
          <w:highlight w:val="none"/>
        </w:rPr>
        <w:t>目</w:t>
      </w:r>
      <w:r>
        <w:rPr>
          <w:rFonts w:ascii="仿宋" w:hAnsi="仿宋" w:eastAsia="仿宋" w:cs="仿宋"/>
          <w:spacing w:val="0"/>
          <w:kern w:val="0"/>
          <w:sz w:val="32"/>
          <w:szCs w:val="32"/>
          <w:highlight w:val="none"/>
        </w:rPr>
        <w:t>分类统计)：</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highlight w:val="none"/>
        </w:rPr>
        <w:t>（一）2050202 小学教育1,978.87万元，较上年决算数减少9.45万元，下降0.48%。主要原因是</w:t>
      </w:r>
      <w:r>
        <w:rPr>
          <w:rFonts w:hint="eastAsia" w:ascii="仿宋" w:hAnsi="仿宋" w:eastAsia="仿宋" w:cs="仿宋"/>
          <w:spacing w:val="0"/>
          <w:kern w:val="0"/>
          <w:sz w:val="32"/>
          <w:szCs w:val="32"/>
          <w:highlight w:val="none"/>
          <w:lang w:eastAsia="zh-CN"/>
        </w:rPr>
        <w:t>学生数减少。</w:t>
      </w:r>
      <w:r>
        <w:rPr>
          <w:rFonts w:ascii="仿宋" w:hAnsi="仿宋" w:eastAsia="仿宋" w:cs="仿宋"/>
          <w:spacing w:val="0"/>
          <w:kern w:val="0"/>
          <w:sz w:val="32"/>
          <w:szCs w:val="32"/>
          <w:highlight w:val="none"/>
        </w:rPr>
        <w:br w:type="textWrapping"/>
      </w:r>
      <w:r>
        <w:rPr>
          <w:rFonts w:hint="eastAsia" w:ascii="仿宋" w:hAnsi="仿宋" w:eastAsia="仿宋" w:cs="仿宋"/>
          <w:spacing w:val="0"/>
          <w:kern w:val="0"/>
          <w:sz w:val="32"/>
          <w:szCs w:val="32"/>
          <w:highlight w:val="none"/>
          <w:lang w:val="en-US" w:eastAsia="zh-CN"/>
        </w:rPr>
        <w:t xml:space="preserve">    </w:t>
      </w:r>
      <w:r>
        <w:rPr>
          <w:rFonts w:ascii="仿宋" w:hAnsi="仿宋" w:eastAsia="仿宋" w:cs="仿宋"/>
          <w:spacing w:val="0"/>
          <w:kern w:val="0"/>
          <w:sz w:val="32"/>
          <w:szCs w:val="32"/>
        </w:rPr>
        <w:t>（二）2050299 其他普通教育支出175.42万元，较上年决算数增加21.31万元，增长13.82%。主要原因是</w:t>
      </w:r>
      <w:r>
        <w:rPr>
          <w:rFonts w:hint="eastAsia" w:ascii="仿宋" w:hAnsi="仿宋" w:eastAsia="仿宋" w:cs="仿宋"/>
          <w:spacing w:val="0"/>
          <w:kern w:val="0"/>
          <w:sz w:val="32"/>
          <w:szCs w:val="32"/>
          <w:lang w:eastAsia="zh-CN"/>
        </w:rPr>
        <w:t>校园修缮采购支出增加。</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（三）2050999 其他教育费附加安排的支出421.66万元，较上年决算数增加227.38万元，增长117.04%。主要原因是</w:t>
      </w:r>
      <w:r>
        <w:rPr>
          <w:rFonts w:hint="eastAsia" w:ascii="仿宋" w:hAnsi="仿宋" w:eastAsia="仿宋" w:cs="仿宋"/>
          <w:spacing w:val="0"/>
          <w:kern w:val="0"/>
          <w:sz w:val="32"/>
          <w:szCs w:val="32"/>
          <w:lang w:eastAsia="zh-CN"/>
        </w:rPr>
        <w:t>教育设施设备支出增加</w:t>
      </w:r>
      <w:r>
        <w:rPr>
          <w:rFonts w:ascii="仿宋" w:hAnsi="仿宋" w:eastAsia="仿宋" w:cs="仿宋"/>
          <w:spacing w:val="0"/>
          <w:kern w:val="0"/>
          <w:sz w:val="32"/>
          <w:szCs w:val="32"/>
        </w:rPr>
        <w:t>。</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（四）2059999 其他教育支出0.15万元，较上年决算数增加0.01万元，增长7.14%。主要原因是</w:t>
      </w:r>
      <w:r>
        <w:rPr>
          <w:rFonts w:hint="eastAsia" w:ascii="仿宋" w:hAnsi="仿宋" w:eastAsia="仿宋" w:cs="仿宋"/>
          <w:spacing w:val="0"/>
          <w:kern w:val="0"/>
          <w:sz w:val="32"/>
          <w:szCs w:val="32"/>
          <w:lang w:eastAsia="zh-CN"/>
        </w:rPr>
        <w:t>教育设备支出增加。</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spacing w:val="0"/>
          <w:kern w:val="0"/>
          <w:sz w:val="32"/>
          <w:szCs w:val="32"/>
        </w:rPr>
      </w:pPr>
      <w:r>
        <w:rPr>
          <w:rFonts w:ascii="仿宋" w:hAnsi="仿宋" w:eastAsia="仿宋" w:cs="仿宋"/>
          <w:spacing w:val="0"/>
          <w:kern w:val="0"/>
          <w:sz w:val="32"/>
          <w:szCs w:val="32"/>
        </w:rPr>
        <w:t>（五）2080502 事业单位离退休17.46万元，较上年决算数增加0.04万元，增长0.20%。主要原因是</w:t>
      </w:r>
      <w:r>
        <w:rPr>
          <w:rFonts w:hint="eastAsia" w:ascii="仿宋" w:hAnsi="仿宋" w:eastAsia="仿宋" w:cs="仿宋"/>
          <w:spacing w:val="0"/>
          <w:kern w:val="0"/>
          <w:sz w:val="32"/>
          <w:szCs w:val="32"/>
          <w:lang w:eastAsia="zh-CN"/>
        </w:rPr>
        <w:t>退休人员费用增加</w:t>
      </w:r>
      <w:r>
        <w:rPr>
          <w:rFonts w:hint="eastAsia" w:ascii="仿宋" w:hAnsi="仿宋" w:eastAsia="仿宋" w:cs="仿宋"/>
          <w:spacing w:val="0"/>
          <w:kern w:val="0"/>
          <w:sz w:val="32"/>
          <w:szCs w:val="32"/>
        </w:rPr>
        <w:t>。</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spacing w:val="0"/>
          <w:kern w:val="0"/>
          <w:sz w:val="32"/>
          <w:szCs w:val="32"/>
        </w:rPr>
      </w:pPr>
      <w:r>
        <w:rPr>
          <w:rFonts w:ascii="仿宋" w:hAnsi="仿宋" w:eastAsia="仿宋" w:cs="仿宋"/>
          <w:spacing w:val="0"/>
          <w:kern w:val="0"/>
          <w:sz w:val="32"/>
          <w:szCs w:val="32"/>
        </w:rPr>
        <w:t>（六）2080505 机关事业单位基本养老保险缴费支出158.88万元，较上年决算数增加1.07万元，增长0.68%。主要原因是</w:t>
      </w:r>
      <w:r>
        <w:rPr>
          <w:rFonts w:hint="eastAsia" w:ascii="仿宋" w:hAnsi="仿宋" w:eastAsia="仿宋" w:cs="仿宋"/>
          <w:spacing w:val="0"/>
          <w:kern w:val="0"/>
          <w:sz w:val="32"/>
          <w:szCs w:val="32"/>
          <w:lang w:eastAsia="zh-CN"/>
        </w:rPr>
        <w:t>缴费基数调整</w:t>
      </w:r>
      <w:r>
        <w:rPr>
          <w:rFonts w:hint="eastAsia" w:ascii="仿宋" w:hAnsi="仿宋" w:eastAsia="仿宋" w:cs="仿宋"/>
          <w:spacing w:val="0"/>
          <w:kern w:val="0"/>
          <w:sz w:val="32"/>
          <w:szCs w:val="32"/>
        </w:rPr>
        <w:t>。</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spacing w:val="0"/>
          <w:kern w:val="0"/>
          <w:sz w:val="32"/>
          <w:szCs w:val="32"/>
        </w:rPr>
      </w:pPr>
      <w:r>
        <w:rPr>
          <w:rFonts w:ascii="仿宋" w:hAnsi="仿宋" w:eastAsia="仿宋" w:cs="仿宋"/>
          <w:spacing w:val="0"/>
          <w:kern w:val="0"/>
          <w:sz w:val="32"/>
          <w:szCs w:val="32"/>
        </w:rPr>
        <w:t>（七）2080506 机关事业单位职业年金缴费支出79.44万元，较上年决算数增加0.54万元，增长0.68%。主要原因是</w:t>
      </w:r>
      <w:r>
        <w:rPr>
          <w:rFonts w:hint="eastAsia" w:ascii="仿宋" w:hAnsi="仿宋" w:eastAsia="仿宋" w:cs="仿宋"/>
          <w:spacing w:val="0"/>
          <w:kern w:val="0"/>
          <w:sz w:val="32"/>
          <w:szCs w:val="32"/>
        </w:rPr>
        <w:t>缴费基数调整。</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spacing w:val="0"/>
          <w:kern w:val="0"/>
          <w:sz w:val="32"/>
          <w:szCs w:val="32"/>
        </w:rPr>
      </w:pPr>
      <w:r>
        <w:rPr>
          <w:rFonts w:ascii="仿宋" w:hAnsi="仿宋" w:eastAsia="仿宋" w:cs="仿宋"/>
          <w:spacing w:val="0"/>
          <w:kern w:val="0"/>
          <w:sz w:val="32"/>
          <w:szCs w:val="32"/>
        </w:rPr>
        <w:t>（八）2101102 事业单位医疗68.02万元，较上年决算数增加0.46万元，增长0.68%。主要原因是</w:t>
      </w:r>
      <w:r>
        <w:rPr>
          <w:rFonts w:hint="eastAsia" w:ascii="仿宋" w:hAnsi="仿宋" w:eastAsia="仿宋" w:cs="仿宋"/>
          <w:spacing w:val="0"/>
          <w:kern w:val="0"/>
          <w:sz w:val="32"/>
          <w:szCs w:val="32"/>
        </w:rPr>
        <w:t>缴费基数调整。</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spacing w:val="0"/>
          <w:kern w:val="0"/>
          <w:sz w:val="32"/>
          <w:szCs w:val="32"/>
        </w:rPr>
      </w:pPr>
      <w:r>
        <w:rPr>
          <w:rFonts w:ascii="仿宋" w:hAnsi="仿宋" w:eastAsia="仿宋" w:cs="仿宋"/>
          <w:spacing w:val="0"/>
          <w:kern w:val="0"/>
          <w:sz w:val="32"/>
          <w:szCs w:val="32"/>
        </w:rPr>
        <w:t>（九）2101199 其他行政事业单位医疗支出34.76万元，较上年决算数增加0.24万元，增长0.68%。主要原因是</w:t>
      </w:r>
      <w:r>
        <w:rPr>
          <w:rFonts w:hint="eastAsia" w:ascii="仿宋" w:hAnsi="仿宋" w:eastAsia="仿宋" w:cs="仿宋"/>
          <w:spacing w:val="0"/>
          <w:kern w:val="0"/>
          <w:sz w:val="32"/>
          <w:szCs w:val="32"/>
        </w:rPr>
        <w:t>缴费基数调整。</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（十）2210203 购房补贴12.35万元，较上年决算数增加12.35万元，增长100%。主要原因是</w:t>
      </w:r>
      <w:r>
        <w:rPr>
          <w:rFonts w:hint="eastAsia" w:ascii="仿宋" w:hAnsi="仿宋" w:eastAsia="仿宋" w:cs="仿宋"/>
          <w:spacing w:val="0"/>
          <w:kern w:val="0"/>
          <w:sz w:val="32"/>
          <w:szCs w:val="32"/>
          <w:lang w:eastAsia="zh-CN"/>
        </w:rPr>
        <w:t>符合购房补贴支出人数增加。</w:t>
      </w:r>
    </w:p>
    <w:p>
      <w:pPr>
        <w:pStyle w:val="6"/>
        <w:keepNext w:val="0"/>
        <w:keepLines w:val="0"/>
        <w:pageBreakBefore w:val="0"/>
        <w:kinsoku/>
        <w:wordWrap/>
        <w:overflowPunct/>
        <w:topLinePunct w:val="0"/>
        <w:autoSpaceDE/>
        <w:autoSpaceDN/>
        <w:bidi w:val="0"/>
        <w:adjustRightInd/>
        <w:snapToGrid/>
        <w:spacing w:before="100" w:after="100" w:line="560" w:lineRule="exact"/>
        <w:ind w:left="0" w:right="0" w:firstLine="640" w:firstLineChars="0"/>
        <w:textAlignment w:val="auto"/>
        <w:rPr>
          <w:rFonts w:ascii="Times New Roman" w:hAnsi="Times New Roman" w:eastAsia="Times New Roman" w:cs="Times New Roman"/>
          <w:b/>
          <w:bCs/>
          <w:kern w:val="0"/>
          <w:sz w:val="28"/>
          <w:szCs w:val="28"/>
        </w:rPr>
      </w:pPr>
      <w:bookmarkStart w:id="85" w:name="_Toc256000052"/>
      <w:bookmarkStart w:id="86" w:name="_Toc256000083"/>
      <w:bookmarkStart w:id="87" w:name="_Toc256000114"/>
      <w:bookmarkStart w:id="88" w:name="_Toc256000021"/>
      <w:r>
        <w:rPr>
          <w:rFonts w:ascii="黑体" w:hAnsi="黑体" w:eastAsia="黑体" w:cs="黑体"/>
          <w:b/>
          <w:spacing w:val="0"/>
        </w:rPr>
        <w:t>四、政府性基金预算财政拨款支出决算情况说明</w:t>
      </w:r>
      <w:bookmarkEnd w:id="85"/>
      <w:bookmarkEnd w:id="86"/>
      <w:bookmarkEnd w:id="87"/>
      <w:bookmarkEnd w:id="88"/>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704"/>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2024年度政府性基金支出2.90万元，比上年决算数</w:t>
      </w:r>
      <w:r>
        <w:rPr>
          <w:rFonts w:hint="eastAsia" w:ascii="仿宋" w:hAnsi="仿宋" w:eastAsia="仿宋" w:cs="仿宋"/>
          <w:spacing w:val="0"/>
          <w:kern w:val="0"/>
          <w:sz w:val="32"/>
          <w:szCs w:val="32"/>
          <w:lang w:eastAsia="zh-CN"/>
        </w:rPr>
        <w:t>减少</w:t>
      </w:r>
      <w:r>
        <w:rPr>
          <w:rFonts w:ascii="仿宋" w:hAnsi="仿宋" w:eastAsia="仿宋" w:cs="仿宋"/>
          <w:spacing w:val="0"/>
          <w:kern w:val="0"/>
          <w:sz w:val="32"/>
          <w:szCs w:val="32"/>
        </w:rPr>
        <w:t>15.22万元，</w:t>
      </w:r>
      <w:r>
        <w:rPr>
          <w:rFonts w:hint="eastAsia" w:ascii="仿宋" w:hAnsi="仿宋" w:eastAsia="仿宋" w:cs="仿宋"/>
          <w:spacing w:val="0"/>
          <w:kern w:val="0"/>
          <w:sz w:val="32"/>
          <w:szCs w:val="32"/>
          <w:lang w:eastAsia="zh-CN"/>
        </w:rPr>
        <w:t>下降</w:t>
      </w:r>
      <w:r>
        <w:rPr>
          <w:rFonts w:ascii="仿宋" w:hAnsi="仿宋" w:eastAsia="仿宋" w:cs="仿宋"/>
          <w:spacing w:val="0"/>
          <w:kern w:val="0"/>
          <w:sz w:val="32"/>
          <w:szCs w:val="32"/>
        </w:rPr>
        <w:t>84.01%，具体情况如下(按项级科目统计)：</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firstLineChars="200"/>
        <w:jc w:val="both"/>
        <w:textAlignment w:val="auto"/>
        <w:rPr>
          <w:rFonts w:hint="eastAsia" w:ascii="仿宋" w:hAnsi="仿宋" w:eastAsia="仿宋" w:cs="仿宋"/>
          <w:kern w:val="0"/>
          <w:sz w:val="32"/>
          <w:szCs w:val="32"/>
          <w:highlight w:val="none"/>
          <w:shd w:val="clear" w:color="auto" w:fill="FFFFFF"/>
          <w:lang w:eastAsia="zh-CN"/>
        </w:rPr>
      </w:pPr>
      <w:r>
        <w:rPr>
          <w:rFonts w:ascii="仿宋" w:hAnsi="仿宋" w:eastAsia="仿宋" w:cs="仿宋"/>
          <w:spacing w:val="0"/>
          <w:kern w:val="0"/>
          <w:sz w:val="32"/>
          <w:szCs w:val="32"/>
        </w:rPr>
        <w:t>2296003 用于</w:t>
      </w:r>
      <w:r>
        <w:rPr>
          <w:rFonts w:ascii="仿宋" w:hAnsi="仿宋" w:eastAsia="仿宋" w:cs="仿宋"/>
          <w:spacing w:val="0"/>
          <w:kern w:val="0"/>
          <w:sz w:val="32"/>
          <w:szCs w:val="32"/>
          <w:highlight w:val="none"/>
        </w:rPr>
        <w:t>体育事业的彩票公益金支出2.90万元，较上年决算数减少15.22万元，下降84.01%。主要原因是</w:t>
      </w:r>
      <w:r>
        <w:rPr>
          <w:rFonts w:hint="eastAsia" w:ascii="仿宋" w:hAnsi="仿宋" w:eastAsia="仿宋" w:cs="仿宋"/>
          <w:spacing w:val="0"/>
          <w:kern w:val="0"/>
          <w:sz w:val="32"/>
          <w:szCs w:val="32"/>
          <w:highlight w:val="none"/>
          <w:lang w:eastAsia="zh-CN"/>
        </w:rPr>
        <w:t>学校体育</w:t>
      </w:r>
      <w:r>
        <w:rPr>
          <w:rFonts w:hint="eastAsia" w:ascii="仿宋" w:hAnsi="仿宋" w:eastAsia="仿宋" w:cs="仿宋"/>
          <w:kern w:val="0"/>
          <w:sz w:val="32"/>
          <w:szCs w:val="32"/>
          <w:highlight w:val="none"/>
          <w:shd w:val="clear" w:color="auto" w:fill="FFFFFF"/>
        </w:rPr>
        <w:t>场地对外开放</w:t>
      </w:r>
      <w:r>
        <w:rPr>
          <w:rFonts w:hint="eastAsia" w:ascii="仿宋" w:hAnsi="仿宋" w:eastAsia="仿宋" w:cs="仿宋"/>
          <w:kern w:val="0"/>
          <w:sz w:val="32"/>
          <w:szCs w:val="32"/>
          <w:highlight w:val="none"/>
          <w:shd w:val="clear" w:color="auto" w:fill="FFFFFF"/>
          <w:lang w:eastAsia="zh-CN"/>
        </w:rPr>
        <w:t>支出核算科目调整。</w:t>
      </w:r>
      <w:bookmarkStart w:id="89" w:name="_Toc256000053"/>
      <w:bookmarkStart w:id="90" w:name="_Toc256000115"/>
      <w:bookmarkStart w:id="91" w:name="_Toc256000084"/>
      <w:bookmarkStart w:id="92" w:name="_Toc256000022"/>
    </w:p>
    <w:p>
      <w:pPr>
        <w:pStyle w:val="6"/>
        <w:keepNext w:val="0"/>
        <w:keepLines w:val="0"/>
        <w:pageBreakBefore w:val="0"/>
        <w:kinsoku/>
        <w:wordWrap/>
        <w:overflowPunct/>
        <w:topLinePunct w:val="0"/>
        <w:autoSpaceDE/>
        <w:autoSpaceDN/>
        <w:bidi w:val="0"/>
        <w:adjustRightInd/>
        <w:snapToGrid/>
        <w:spacing w:before="100" w:after="100" w:line="560" w:lineRule="exact"/>
        <w:ind w:left="0" w:right="0" w:firstLine="640" w:firstLineChars="0"/>
        <w:textAlignment w:val="auto"/>
        <w:rPr>
          <w:rFonts w:ascii="黑体" w:hAnsi="黑体" w:eastAsia="黑体" w:cs="黑体"/>
          <w:b/>
          <w:spacing w:val="0"/>
        </w:rPr>
      </w:pPr>
      <w:r>
        <w:rPr>
          <w:rFonts w:ascii="黑体" w:hAnsi="黑体" w:eastAsia="黑体" w:cs="黑体"/>
          <w:b/>
          <w:spacing w:val="0"/>
        </w:rPr>
        <w:t>五、国有资本经营预算财政拨款支出决算情况说明</w:t>
      </w:r>
      <w:bookmarkEnd w:id="89"/>
      <w:bookmarkEnd w:id="90"/>
      <w:bookmarkEnd w:id="91"/>
      <w:bookmarkEnd w:id="92"/>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仿宋" w:hAnsi="仿宋" w:eastAsia="仿宋" w:cs="仿宋"/>
          <w:spacing w:val="0"/>
          <w:kern w:val="0"/>
          <w:sz w:val="32"/>
          <w:szCs w:val="32"/>
          <w:highlight w:val="none"/>
        </w:rPr>
      </w:pPr>
      <w:bookmarkStart w:id="93" w:name="_Toc256000054"/>
      <w:bookmarkStart w:id="94" w:name="_Toc256000023"/>
      <w:bookmarkStart w:id="95" w:name="_Toc256000116"/>
      <w:bookmarkStart w:id="96" w:name="_Toc256000085"/>
      <w:r>
        <w:rPr>
          <w:rFonts w:ascii="仿宋" w:hAnsi="仿宋" w:eastAsia="仿宋" w:cs="仿宋"/>
          <w:spacing w:val="0"/>
          <w:kern w:val="0"/>
          <w:sz w:val="32"/>
          <w:szCs w:val="32"/>
          <w:highlight w:val="none"/>
        </w:rPr>
        <w:t>2024年度国有资本经营预算支出0万元，比上年决算数增加0万元，增长0%，具体情况如下(按项级科目统计)：</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楷体" w:cs="仿宋"/>
          <w:spacing w:val="0"/>
          <w:kern w:val="0"/>
          <w:sz w:val="32"/>
          <w:szCs w:val="32"/>
          <w:highlight w:val="yellow"/>
          <w:lang w:eastAsia="zh-CN"/>
        </w:rPr>
      </w:pPr>
      <w:r>
        <w:rPr>
          <w:rFonts w:ascii="仿宋" w:hAnsi="仿宋" w:eastAsia="仿宋" w:cs="仿宋"/>
          <w:spacing w:val="0"/>
          <w:kern w:val="0"/>
          <w:sz w:val="32"/>
          <w:szCs w:val="32"/>
        </w:rPr>
        <w:t>本单位2024年度没有使用国有资本经营预算财政拨款安排的支出</w:t>
      </w:r>
      <w:r>
        <w:rPr>
          <w:rFonts w:hint="eastAsia" w:ascii="仿宋" w:hAnsi="仿宋" w:eastAsia="仿宋" w:cs="仿宋"/>
          <w:spacing w:val="0"/>
          <w:kern w:val="0"/>
          <w:sz w:val="32"/>
          <w:szCs w:val="32"/>
          <w:lang w:eastAsia="zh-CN"/>
        </w:rPr>
        <w:t>。</w:t>
      </w:r>
    </w:p>
    <w:p>
      <w:pPr>
        <w:pStyle w:val="6"/>
        <w:keepNext w:val="0"/>
        <w:keepLines w:val="0"/>
        <w:pageBreakBefore w:val="0"/>
        <w:kinsoku/>
        <w:wordWrap/>
        <w:overflowPunct/>
        <w:topLinePunct w:val="0"/>
        <w:autoSpaceDE/>
        <w:autoSpaceDN/>
        <w:bidi w:val="0"/>
        <w:adjustRightInd/>
        <w:snapToGrid/>
        <w:spacing w:before="100" w:after="100" w:line="560" w:lineRule="exact"/>
        <w:ind w:left="0" w:right="0" w:firstLine="640" w:firstLineChars="0"/>
        <w:textAlignment w:val="auto"/>
        <w:rPr>
          <w:rFonts w:ascii="Times New Roman" w:hAnsi="Times New Roman" w:eastAsia="Times New Roman" w:cs="Times New Roman"/>
          <w:b/>
          <w:bCs/>
          <w:kern w:val="0"/>
          <w:sz w:val="28"/>
          <w:szCs w:val="28"/>
        </w:rPr>
      </w:pPr>
      <w:r>
        <w:rPr>
          <w:rFonts w:ascii="黑体" w:hAnsi="黑体" w:eastAsia="黑体" w:cs="黑体"/>
          <w:b/>
          <w:spacing w:val="0"/>
        </w:rPr>
        <w:t>六、一般公共预算财政拨款基本支出决算情况说明</w:t>
      </w:r>
      <w:bookmarkEnd w:id="93"/>
      <w:bookmarkEnd w:id="94"/>
      <w:bookmarkEnd w:id="95"/>
      <w:bookmarkEnd w:id="96"/>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2024年度一般公共预算财政拨款基本支出2402.47万元，其中：</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一）人员经费2162.13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黑体" w:hAnsi="黑体" w:eastAsia="黑体" w:cs="黑体"/>
          <w:b/>
          <w:spacing w:val="0"/>
          <w:highlight w:val="none"/>
        </w:rPr>
      </w:pPr>
      <w:r>
        <w:rPr>
          <w:rFonts w:ascii="仿宋" w:hAnsi="仿宋" w:eastAsia="仿宋" w:cs="仿宋"/>
          <w:spacing w:val="0"/>
          <w:kern w:val="0"/>
          <w:sz w:val="32"/>
          <w:szCs w:val="32"/>
        </w:rPr>
        <w:t>（二）公用经费240.34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bookmarkStart w:id="97" w:name="_Toc256000024"/>
      <w:bookmarkStart w:id="98" w:name="_Toc256000055"/>
      <w:bookmarkStart w:id="99" w:name="_Toc256000086"/>
      <w:bookmarkStart w:id="100" w:name="_Toc256000117"/>
    </w:p>
    <w:p>
      <w:pPr>
        <w:pStyle w:val="6"/>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firstLineChars="0"/>
        <w:textAlignment w:val="auto"/>
        <w:rPr>
          <w:rFonts w:ascii="黑体" w:hAnsi="黑体" w:eastAsia="黑体" w:cs="黑体"/>
          <w:b/>
          <w:spacing w:val="0"/>
          <w:highlight w:val="none"/>
        </w:rPr>
      </w:pPr>
      <w:r>
        <w:rPr>
          <w:rFonts w:ascii="黑体" w:hAnsi="黑体" w:eastAsia="黑体" w:cs="黑体"/>
          <w:b/>
          <w:spacing w:val="0"/>
          <w:highlight w:val="none"/>
        </w:rPr>
        <w:t>七、一般公共预算拨款“三公”经费支出决算情况说明</w:t>
      </w:r>
      <w:bookmarkEnd w:id="97"/>
      <w:bookmarkEnd w:id="98"/>
      <w:bookmarkEnd w:id="99"/>
      <w:bookmarkEnd w:id="100"/>
      <w:bookmarkStart w:id="101" w:name="_Toc256000118"/>
      <w:bookmarkStart w:id="102" w:name="_Toc256000087"/>
      <w:bookmarkStart w:id="103" w:name="_Toc256000056"/>
      <w:bookmarkStart w:id="104" w:name="_Toc256000025"/>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color w:val="auto"/>
          <w:spacing w:val="0"/>
          <w:kern w:val="0"/>
          <w:sz w:val="32"/>
          <w:szCs w:val="32"/>
          <w:highlight w:val="none"/>
        </w:rPr>
      </w:pPr>
      <w:r>
        <w:rPr>
          <w:rFonts w:ascii="仿宋" w:hAnsi="仿宋" w:eastAsia="仿宋" w:cs="仿宋"/>
          <w:color w:val="auto"/>
          <w:spacing w:val="0"/>
          <w:kern w:val="0"/>
          <w:sz w:val="32"/>
          <w:szCs w:val="32"/>
          <w:highlight w:val="none"/>
        </w:rPr>
        <w:t>2024年度</w:t>
      </w:r>
      <w:r>
        <w:rPr>
          <w:rFonts w:hint="eastAsia" w:ascii="仿宋" w:hAnsi="仿宋" w:eastAsia="仿宋" w:cs="仿宋"/>
          <w:color w:val="auto"/>
          <w:spacing w:val="0"/>
          <w:kern w:val="0"/>
          <w:sz w:val="32"/>
          <w:szCs w:val="32"/>
          <w:highlight w:val="none"/>
        </w:rPr>
        <w:t>一般公共预算拨款“三公”经费支出 0.00万元，</w:t>
      </w:r>
      <w:r>
        <w:rPr>
          <w:rFonts w:hint="eastAsia" w:ascii="仿宋" w:hAnsi="仿宋" w:eastAsia="仿宋" w:cs="仿宋"/>
          <w:color w:val="auto"/>
          <w:spacing w:val="0"/>
          <w:kern w:val="0"/>
          <w:sz w:val="32"/>
          <w:szCs w:val="32"/>
          <w:highlight w:val="none"/>
          <w:lang w:eastAsia="zh-CN"/>
        </w:rPr>
        <w:t>与</w:t>
      </w:r>
      <w:r>
        <w:rPr>
          <w:rFonts w:hint="eastAsia" w:ascii="仿宋" w:hAnsi="仿宋" w:eastAsia="仿宋" w:cs="仿宋"/>
          <w:color w:val="auto"/>
          <w:spacing w:val="0"/>
          <w:kern w:val="0"/>
          <w:sz w:val="32"/>
          <w:szCs w:val="32"/>
          <w:highlight w:val="none"/>
        </w:rPr>
        <w:t>全年预算</w:t>
      </w:r>
      <w:r>
        <w:rPr>
          <w:rFonts w:hint="eastAsia" w:ascii="仿宋" w:hAnsi="仿宋" w:eastAsia="仿宋" w:cs="仿宋"/>
          <w:color w:val="auto"/>
          <w:spacing w:val="0"/>
          <w:kern w:val="0"/>
          <w:sz w:val="32"/>
          <w:szCs w:val="32"/>
          <w:highlight w:val="none"/>
          <w:lang w:val="en-US" w:eastAsia="zh-CN"/>
        </w:rPr>
        <w:t>0.00万元持平，</w:t>
      </w:r>
      <w:r>
        <w:rPr>
          <w:rFonts w:hint="eastAsia" w:ascii="仿宋" w:hAnsi="仿宋" w:eastAsia="仿宋" w:cs="仿宋"/>
          <w:color w:val="auto"/>
          <w:spacing w:val="0"/>
          <w:kern w:val="0"/>
          <w:sz w:val="32"/>
          <w:szCs w:val="32"/>
          <w:highlight w:val="none"/>
        </w:rPr>
        <w:t>较上年</w:t>
      </w:r>
      <w:r>
        <w:rPr>
          <w:rFonts w:hint="eastAsia" w:ascii="仿宋" w:hAnsi="仿宋" w:eastAsia="仿宋" w:cs="仿宋"/>
          <w:color w:val="auto"/>
          <w:spacing w:val="0"/>
          <w:kern w:val="0"/>
          <w:sz w:val="32"/>
          <w:szCs w:val="32"/>
          <w:highlight w:val="none"/>
          <w:lang w:eastAsia="zh-CN"/>
        </w:rPr>
        <w:t>决算的</w:t>
      </w:r>
      <w:r>
        <w:rPr>
          <w:rFonts w:hint="eastAsia" w:ascii="仿宋" w:hAnsi="仿宋" w:eastAsia="仿宋" w:cs="仿宋"/>
          <w:color w:val="auto"/>
          <w:spacing w:val="0"/>
          <w:kern w:val="0"/>
          <w:sz w:val="32"/>
          <w:szCs w:val="32"/>
          <w:highlight w:val="none"/>
          <w:lang w:val="en-US" w:eastAsia="zh-CN"/>
        </w:rPr>
        <w:t>0.00万元相比持平。</w:t>
      </w:r>
      <w:r>
        <w:rPr>
          <w:rFonts w:hint="eastAsia" w:ascii="仿宋" w:hAnsi="仿宋" w:eastAsia="仿宋" w:cs="仿宋"/>
          <w:color w:val="auto"/>
          <w:spacing w:val="0"/>
          <w:kern w:val="0"/>
          <w:sz w:val="32"/>
          <w:szCs w:val="32"/>
          <w:highlight w:val="none"/>
        </w:rPr>
        <w:t>主要原因是</w:t>
      </w:r>
      <w:r>
        <w:rPr>
          <w:rFonts w:hint="eastAsia" w:ascii="仿宋" w:hAnsi="仿宋" w:eastAsia="仿宋" w:cs="仿宋"/>
          <w:color w:val="auto"/>
          <w:spacing w:val="0"/>
          <w:kern w:val="0"/>
          <w:sz w:val="32"/>
          <w:szCs w:val="32"/>
          <w:highlight w:val="none"/>
          <w:lang w:eastAsia="zh-CN"/>
        </w:rPr>
        <w:t>本单位没有使用“三公”经费支出</w:t>
      </w:r>
      <w:r>
        <w:rPr>
          <w:rFonts w:hint="eastAsia" w:ascii="仿宋" w:hAnsi="仿宋" w:eastAsia="仿宋" w:cs="仿宋"/>
          <w:color w:val="auto"/>
          <w:spacing w:val="0"/>
          <w:kern w:val="0"/>
          <w:sz w:val="32"/>
          <w:szCs w:val="32"/>
          <w:highlight w:val="none"/>
        </w:rPr>
        <w:t>。具体情况如下：</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color w:val="auto"/>
          <w:spacing w:val="0"/>
          <w:kern w:val="0"/>
          <w:sz w:val="32"/>
          <w:szCs w:val="32"/>
          <w:highlight w:val="none"/>
          <w:lang w:val="en-US" w:eastAsia="zh-CN"/>
        </w:rPr>
      </w:pPr>
      <w:r>
        <w:rPr>
          <w:rFonts w:hint="eastAsia" w:ascii="仿宋" w:hAnsi="仿宋" w:eastAsia="仿宋" w:cs="仿宋"/>
          <w:color w:val="auto"/>
          <w:spacing w:val="0"/>
          <w:kern w:val="0"/>
          <w:sz w:val="32"/>
          <w:szCs w:val="32"/>
          <w:highlight w:val="none"/>
          <w:lang w:eastAsia="zh-CN"/>
        </w:rPr>
        <w:t>（一）</w:t>
      </w:r>
      <w:r>
        <w:rPr>
          <w:rFonts w:hint="eastAsia" w:ascii="仿宋" w:hAnsi="仿宋" w:eastAsia="仿宋" w:cs="仿宋"/>
          <w:color w:val="auto"/>
          <w:spacing w:val="0"/>
          <w:kern w:val="0"/>
          <w:sz w:val="32"/>
          <w:szCs w:val="32"/>
          <w:highlight w:val="none"/>
        </w:rPr>
        <w:t>因公出国（境）费支出0.00万元，</w:t>
      </w:r>
      <w:r>
        <w:rPr>
          <w:rFonts w:hint="eastAsia" w:ascii="仿宋" w:hAnsi="仿宋" w:eastAsia="仿宋" w:cs="仿宋"/>
          <w:color w:val="auto"/>
          <w:spacing w:val="0"/>
          <w:kern w:val="0"/>
          <w:sz w:val="32"/>
          <w:szCs w:val="32"/>
          <w:highlight w:val="none"/>
          <w:lang w:eastAsia="zh-CN"/>
        </w:rPr>
        <w:t>与</w:t>
      </w:r>
      <w:r>
        <w:rPr>
          <w:rFonts w:hint="eastAsia" w:ascii="仿宋" w:hAnsi="仿宋" w:eastAsia="仿宋" w:cs="仿宋"/>
          <w:color w:val="auto"/>
          <w:spacing w:val="0"/>
          <w:kern w:val="0"/>
          <w:sz w:val="32"/>
          <w:szCs w:val="32"/>
          <w:highlight w:val="none"/>
        </w:rPr>
        <w:t>全年预算</w:t>
      </w:r>
      <w:r>
        <w:rPr>
          <w:rFonts w:hint="eastAsia" w:ascii="仿宋" w:hAnsi="仿宋" w:eastAsia="仿宋" w:cs="仿宋"/>
          <w:color w:val="auto"/>
          <w:spacing w:val="0"/>
          <w:kern w:val="0"/>
          <w:sz w:val="32"/>
          <w:szCs w:val="32"/>
          <w:highlight w:val="none"/>
          <w:lang w:val="en-US" w:eastAsia="zh-CN"/>
        </w:rPr>
        <w:t>0.00万元持平，</w:t>
      </w:r>
      <w:r>
        <w:rPr>
          <w:rFonts w:hint="eastAsia" w:ascii="仿宋" w:hAnsi="仿宋" w:eastAsia="仿宋" w:cs="仿宋"/>
          <w:color w:val="auto"/>
          <w:spacing w:val="0"/>
          <w:kern w:val="0"/>
          <w:sz w:val="32"/>
          <w:szCs w:val="32"/>
          <w:highlight w:val="none"/>
        </w:rPr>
        <w:t>较上年</w:t>
      </w:r>
      <w:r>
        <w:rPr>
          <w:rFonts w:hint="eastAsia" w:ascii="仿宋" w:hAnsi="仿宋" w:eastAsia="仿宋" w:cs="仿宋"/>
          <w:color w:val="auto"/>
          <w:spacing w:val="0"/>
          <w:kern w:val="0"/>
          <w:sz w:val="32"/>
          <w:szCs w:val="32"/>
          <w:highlight w:val="none"/>
          <w:lang w:eastAsia="zh-CN"/>
        </w:rPr>
        <w:t>决算的</w:t>
      </w:r>
      <w:r>
        <w:rPr>
          <w:rFonts w:hint="eastAsia" w:ascii="仿宋" w:hAnsi="仿宋" w:eastAsia="仿宋" w:cs="仿宋"/>
          <w:color w:val="auto"/>
          <w:spacing w:val="0"/>
          <w:kern w:val="0"/>
          <w:sz w:val="32"/>
          <w:szCs w:val="32"/>
          <w:highlight w:val="none"/>
          <w:lang w:val="en-US" w:eastAsia="zh-CN"/>
        </w:rPr>
        <w:t>0.00万元相比持平。</w:t>
      </w:r>
      <w:r>
        <w:rPr>
          <w:rFonts w:hint="eastAsia" w:ascii="仿宋" w:hAnsi="仿宋" w:eastAsia="仿宋" w:cs="仿宋"/>
          <w:color w:val="auto"/>
          <w:spacing w:val="0"/>
          <w:kern w:val="0"/>
          <w:sz w:val="32"/>
          <w:szCs w:val="32"/>
          <w:highlight w:val="none"/>
        </w:rPr>
        <w:t>全年安排本</w:t>
      </w:r>
      <w:r>
        <w:rPr>
          <w:rFonts w:hint="eastAsia" w:ascii="仿宋" w:hAnsi="仿宋" w:eastAsia="仿宋" w:cs="仿宋"/>
          <w:color w:val="auto"/>
          <w:spacing w:val="0"/>
          <w:kern w:val="0"/>
          <w:sz w:val="32"/>
          <w:szCs w:val="32"/>
          <w:highlight w:val="none"/>
          <w:lang w:eastAsia="zh-CN"/>
        </w:rPr>
        <w:t>单位</w:t>
      </w:r>
      <w:r>
        <w:rPr>
          <w:rFonts w:hint="eastAsia" w:ascii="仿宋" w:hAnsi="仿宋" w:eastAsia="仿宋" w:cs="仿宋"/>
          <w:color w:val="auto"/>
          <w:spacing w:val="0"/>
          <w:kern w:val="0"/>
          <w:sz w:val="32"/>
          <w:szCs w:val="32"/>
          <w:highlight w:val="none"/>
        </w:rPr>
        <w:t>组织的出国团组0 个，参加其他</w:t>
      </w:r>
      <w:r>
        <w:rPr>
          <w:rFonts w:hint="eastAsia" w:ascii="仿宋" w:hAnsi="仿宋" w:eastAsia="仿宋" w:cs="仿宋"/>
          <w:color w:val="auto"/>
          <w:spacing w:val="0"/>
          <w:kern w:val="0"/>
          <w:sz w:val="32"/>
          <w:szCs w:val="32"/>
          <w:highlight w:val="none"/>
          <w:lang w:eastAsia="zh-CN"/>
        </w:rPr>
        <w:t>单位</w:t>
      </w:r>
      <w:r>
        <w:rPr>
          <w:rFonts w:hint="eastAsia" w:ascii="仿宋" w:hAnsi="仿宋" w:eastAsia="仿宋" w:cs="仿宋"/>
          <w:color w:val="auto"/>
          <w:spacing w:val="0"/>
          <w:kern w:val="0"/>
          <w:sz w:val="32"/>
          <w:szCs w:val="32"/>
          <w:highlight w:val="none"/>
        </w:rPr>
        <w:t>出国团组</w:t>
      </w:r>
      <w:r>
        <w:rPr>
          <w:rFonts w:hint="eastAsia" w:ascii="仿宋" w:hAnsi="仿宋" w:eastAsia="仿宋" w:cs="仿宋"/>
          <w:color w:val="auto"/>
          <w:spacing w:val="0"/>
          <w:kern w:val="0"/>
          <w:sz w:val="32"/>
          <w:szCs w:val="32"/>
          <w:highlight w:val="none"/>
          <w:lang w:val="en-US" w:eastAsia="zh-CN"/>
        </w:rPr>
        <w:t>0</w:t>
      </w:r>
      <w:r>
        <w:rPr>
          <w:rFonts w:hint="eastAsia" w:ascii="仿宋" w:hAnsi="仿宋" w:eastAsia="仿宋" w:cs="仿宋"/>
          <w:color w:val="auto"/>
          <w:spacing w:val="0"/>
          <w:kern w:val="0"/>
          <w:sz w:val="32"/>
          <w:szCs w:val="32"/>
          <w:highlight w:val="none"/>
        </w:rPr>
        <w:t> 个；全年因公出国（境）累计0人次。主要是</w:t>
      </w:r>
      <w:r>
        <w:rPr>
          <w:rFonts w:hint="eastAsia" w:ascii="仿宋" w:hAnsi="仿宋" w:eastAsia="仿宋" w:cs="仿宋"/>
          <w:color w:val="auto"/>
          <w:spacing w:val="0"/>
          <w:kern w:val="0"/>
          <w:sz w:val="32"/>
          <w:szCs w:val="32"/>
          <w:highlight w:val="none"/>
          <w:lang w:val="en-US" w:eastAsia="zh-CN"/>
        </w:rPr>
        <w:t>本单位没有组织出国团组及参加其他单位</w:t>
      </w:r>
      <w:r>
        <w:rPr>
          <w:rFonts w:hint="default" w:ascii="仿宋" w:hAnsi="仿宋" w:eastAsia="仿宋" w:cs="仿宋"/>
          <w:color w:val="auto"/>
          <w:spacing w:val="0"/>
          <w:kern w:val="0"/>
          <w:sz w:val="32"/>
          <w:szCs w:val="32"/>
          <w:highlight w:val="none"/>
          <w:lang w:val="en-US" w:eastAsia="zh-CN"/>
        </w:rPr>
        <w:t>出国团组。</w:t>
      </w:r>
      <w:r>
        <w:rPr>
          <w:rFonts w:hint="eastAsia" w:ascii="仿宋" w:hAnsi="仿宋" w:eastAsia="仿宋" w:cs="仿宋"/>
          <w:color w:val="auto"/>
          <w:spacing w:val="0"/>
          <w:kern w:val="0"/>
          <w:sz w:val="32"/>
          <w:szCs w:val="32"/>
          <w:highlight w:val="none"/>
          <w:lang w:val="en-US" w:eastAsia="zh-CN"/>
        </w:rPr>
        <w:t xml:space="preserve">  </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color w:val="auto"/>
          <w:spacing w:val="0"/>
          <w:kern w:val="0"/>
          <w:sz w:val="32"/>
          <w:szCs w:val="32"/>
          <w:highlight w:val="none"/>
        </w:rPr>
      </w:pPr>
      <w:r>
        <w:rPr>
          <w:rFonts w:hint="eastAsia" w:ascii="仿宋" w:hAnsi="仿宋" w:eastAsia="仿宋" w:cs="仿宋"/>
          <w:color w:val="auto"/>
          <w:spacing w:val="0"/>
          <w:kern w:val="0"/>
          <w:sz w:val="32"/>
          <w:szCs w:val="32"/>
          <w:highlight w:val="none"/>
        </w:rPr>
        <w:t>（二）公务用车购置及运行费支出0.00万元，</w:t>
      </w:r>
      <w:r>
        <w:rPr>
          <w:rFonts w:hint="eastAsia" w:ascii="仿宋" w:hAnsi="仿宋" w:eastAsia="仿宋" w:cs="仿宋"/>
          <w:color w:val="auto"/>
          <w:spacing w:val="0"/>
          <w:kern w:val="0"/>
          <w:sz w:val="32"/>
          <w:szCs w:val="32"/>
          <w:highlight w:val="none"/>
          <w:lang w:eastAsia="zh-CN"/>
        </w:rPr>
        <w:t>与</w:t>
      </w:r>
      <w:r>
        <w:rPr>
          <w:rFonts w:hint="eastAsia" w:ascii="仿宋" w:hAnsi="仿宋" w:eastAsia="仿宋" w:cs="仿宋"/>
          <w:color w:val="auto"/>
          <w:spacing w:val="0"/>
          <w:kern w:val="0"/>
          <w:sz w:val="32"/>
          <w:szCs w:val="32"/>
          <w:highlight w:val="none"/>
        </w:rPr>
        <w:t>全年预算</w:t>
      </w:r>
      <w:r>
        <w:rPr>
          <w:rFonts w:hint="eastAsia" w:ascii="仿宋" w:hAnsi="仿宋" w:eastAsia="仿宋" w:cs="仿宋"/>
          <w:color w:val="auto"/>
          <w:spacing w:val="0"/>
          <w:kern w:val="0"/>
          <w:sz w:val="32"/>
          <w:szCs w:val="32"/>
          <w:highlight w:val="none"/>
          <w:lang w:val="en-US" w:eastAsia="zh-CN"/>
        </w:rPr>
        <w:t>0.00万元持平，</w:t>
      </w:r>
      <w:r>
        <w:rPr>
          <w:rFonts w:hint="eastAsia" w:ascii="仿宋" w:hAnsi="仿宋" w:eastAsia="仿宋" w:cs="仿宋"/>
          <w:color w:val="auto"/>
          <w:spacing w:val="0"/>
          <w:kern w:val="0"/>
          <w:sz w:val="32"/>
          <w:szCs w:val="32"/>
          <w:highlight w:val="none"/>
        </w:rPr>
        <w:t>较上年</w:t>
      </w:r>
      <w:r>
        <w:rPr>
          <w:rFonts w:hint="eastAsia" w:ascii="仿宋" w:hAnsi="仿宋" w:eastAsia="仿宋" w:cs="仿宋"/>
          <w:color w:val="auto"/>
          <w:spacing w:val="0"/>
          <w:kern w:val="0"/>
          <w:sz w:val="32"/>
          <w:szCs w:val="32"/>
          <w:highlight w:val="none"/>
          <w:lang w:eastAsia="zh-CN"/>
        </w:rPr>
        <w:t>决算的</w:t>
      </w:r>
      <w:r>
        <w:rPr>
          <w:rFonts w:hint="eastAsia" w:ascii="仿宋" w:hAnsi="仿宋" w:eastAsia="仿宋" w:cs="仿宋"/>
          <w:color w:val="auto"/>
          <w:spacing w:val="0"/>
          <w:kern w:val="0"/>
          <w:sz w:val="32"/>
          <w:szCs w:val="32"/>
          <w:highlight w:val="none"/>
          <w:lang w:val="en-US" w:eastAsia="zh-CN"/>
        </w:rPr>
        <w:t>0.00万元相比持平。</w:t>
      </w:r>
      <w:r>
        <w:rPr>
          <w:rFonts w:hint="eastAsia" w:ascii="仿宋" w:hAnsi="仿宋" w:eastAsia="仿宋" w:cs="仿宋"/>
          <w:color w:val="auto"/>
          <w:spacing w:val="0"/>
          <w:kern w:val="0"/>
          <w:sz w:val="32"/>
          <w:szCs w:val="32"/>
          <w:highlight w:val="none"/>
        </w:rPr>
        <w:t>主要是</w:t>
      </w:r>
      <w:r>
        <w:rPr>
          <w:rFonts w:hint="eastAsia" w:ascii="仿宋" w:hAnsi="仿宋" w:eastAsia="仿宋" w:cs="仿宋"/>
          <w:color w:val="auto"/>
          <w:spacing w:val="0"/>
          <w:kern w:val="0"/>
          <w:sz w:val="32"/>
          <w:szCs w:val="32"/>
          <w:highlight w:val="none"/>
          <w:lang w:val="en-US" w:eastAsia="zh-CN"/>
        </w:rPr>
        <w:t>本单位没有购置</w:t>
      </w:r>
      <w:r>
        <w:rPr>
          <w:rFonts w:hint="default" w:ascii="仿宋" w:hAnsi="仿宋" w:eastAsia="仿宋" w:cs="仿宋"/>
          <w:color w:val="auto"/>
          <w:spacing w:val="0"/>
          <w:kern w:val="0"/>
          <w:sz w:val="32"/>
          <w:szCs w:val="32"/>
          <w:highlight w:val="none"/>
          <w:lang w:val="en-US" w:eastAsia="zh-CN"/>
        </w:rPr>
        <w:t>公务用车及运行</w:t>
      </w:r>
      <w:r>
        <w:rPr>
          <w:rFonts w:hint="eastAsia" w:ascii="仿宋" w:hAnsi="仿宋" w:eastAsia="仿宋" w:cs="仿宋"/>
          <w:color w:val="auto"/>
          <w:spacing w:val="0"/>
          <w:kern w:val="0"/>
          <w:sz w:val="32"/>
          <w:szCs w:val="32"/>
          <w:highlight w:val="none"/>
          <w:lang w:val="en-US" w:eastAsia="zh-CN"/>
        </w:rPr>
        <w:t>维护</w:t>
      </w:r>
      <w:r>
        <w:rPr>
          <w:rFonts w:hint="default" w:ascii="仿宋" w:hAnsi="仿宋" w:eastAsia="仿宋" w:cs="仿宋"/>
          <w:color w:val="auto"/>
          <w:spacing w:val="0"/>
          <w:kern w:val="0"/>
          <w:sz w:val="32"/>
          <w:szCs w:val="32"/>
          <w:highlight w:val="none"/>
          <w:lang w:val="en-US" w:eastAsia="zh-CN"/>
        </w:rPr>
        <w:t>费支出。</w:t>
      </w:r>
      <w:r>
        <w:rPr>
          <w:rFonts w:hint="eastAsia" w:ascii="仿宋" w:hAnsi="仿宋" w:eastAsia="仿宋" w:cs="仿宋"/>
          <w:color w:val="auto"/>
          <w:spacing w:val="0"/>
          <w:kern w:val="0"/>
          <w:sz w:val="32"/>
          <w:szCs w:val="32"/>
          <w:highlight w:val="none"/>
        </w:rPr>
        <w:t>其中：</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default" w:ascii="仿宋" w:hAnsi="仿宋" w:eastAsia="仿宋" w:cs="仿宋"/>
          <w:color w:val="auto"/>
          <w:spacing w:val="0"/>
          <w:kern w:val="0"/>
          <w:sz w:val="32"/>
          <w:szCs w:val="32"/>
          <w:highlight w:val="none"/>
          <w:lang w:val="en-US" w:eastAsia="zh-CN"/>
        </w:rPr>
      </w:pPr>
      <w:r>
        <w:rPr>
          <w:rFonts w:hint="eastAsia" w:ascii="仿宋" w:hAnsi="仿宋" w:eastAsia="仿宋" w:cs="仿宋"/>
          <w:color w:val="auto"/>
          <w:spacing w:val="0"/>
          <w:kern w:val="0"/>
          <w:sz w:val="32"/>
          <w:szCs w:val="32"/>
          <w:highlight w:val="none"/>
          <w:lang w:val="en-US" w:eastAsia="zh-CN"/>
        </w:rPr>
        <w:t>公务用车购置费支出0.00万元，与全年预算0.00万元持平，较上年决算的0.00万元相比持平。2024年公务用车购置0 辆。主要是本单位</w:t>
      </w:r>
      <w:r>
        <w:rPr>
          <w:rFonts w:hint="default" w:ascii="仿宋" w:hAnsi="仿宋" w:eastAsia="仿宋" w:cs="仿宋"/>
          <w:color w:val="auto"/>
          <w:spacing w:val="0"/>
          <w:kern w:val="0"/>
          <w:sz w:val="32"/>
          <w:szCs w:val="32"/>
          <w:highlight w:val="none"/>
          <w:lang w:val="en-US" w:eastAsia="zh-CN"/>
        </w:rPr>
        <w:t>没有购置公务用车。</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color w:val="auto"/>
          <w:spacing w:val="0"/>
          <w:kern w:val="0"/>
          <w:sz w:val="32"/>
          <w:szCs w:val="32"/>
          <w:highlight w:val="none"/>
        </w:rPr>
      </w:pPr>
      <w:r>
        <w:rPr>
          <w:rFonts w:hint="eastAsia" w:ascii="仿宋" w:hAnsi="仿宋" w:eastAsia="仿宋" w:cs="仿宋"/>
          <w:color w:val="auto"/>
          <w:spacing w:val="0"/>
          <w:kern w:val="0"/>
          <w:sz w:val="32"/>
          <w:szCs w:val="32"/>
          <w:highlight w:val="none"/>
        </w:rPr>
        <w:t>公务用车运行费支出0.00万元，</w:t>
      </w:r>
      <w:r>
        <w:rPr>
          <w:rFonts w:hint="eastAsia" w:ascii="仿宋" w:hAnsi="仿宋" w:eastAsia="仿宋" w:cs="仿宋"/>
          <w:color w:val="auto"/>
          <w:spacing w:val="0"/>
          <w:kern w:val="0"/>
          <w:sz w:val="32"/>
          <w:szCs w:val="32"/>
          <w:highlight w:val="none"/>
          <w:lang w:eastAsia="zh-CN"/>
        </w:rPr>
        <w:t>与</w:t>
      </w:r>
      <w:r>
        <w:rPr>
          <w:rFonts w:hint="eastAsia" w:ascii="仿宋" w:hAnsi="仿宋" w:eastAsia="仿宋" w:cs="仿宋"/>
          <w:color w:val="auto"/>
          <w:spacing w:val="0"/>
          <w:kern w:val="0"/>
          <w:sz w:val="32"/>
          <w:szCs w:val="32"/>
          <w:highlight w:val="none"/>
        </w:rPr>
        <w:t>全年预算</w:t>
      </w:r>
      <w:r>
        <w:rPr>
          <w:rFonts w:hint="eastAsia" w:ascii="仿宋" w:hAnsi="仿宋" w:eastAsia="仿宋" w:cs="仿宋"/>
          <w:color w:val="auto"/>
          <w:spacing w:val="0"/>
          <w:kern w:val="0"/>
          <w:sz w:val="32"/>
          <w:szCs w:val="32"/>
          <w:highlight w:val="none"/>
          <w:lang w:val="en-US" w:eastAsia="zh-CN"/>
        </w:rPr>
        <w:t>0.00万元持平，</w:t>
      </w:r>
      <w:r>
        <w:rPr>
          <w:rFonts w:hint="eastAsia" w:ascii="仿宋" w:hAnsi="仿宋" w:eastAsia="仿宋" w:cs="仿宋"/>
          <w:color w:val="auto"/>
          <w:spacing w:val="0"/>
          <w:kern w:val="0"/>
          <w:sz w:val="32"/>
          <w:szCs w:val="32"/>
          <w:highlight w:val="none"/>
        </w:rPr>
        <w:t>较上年</w:t>
      </w:r>
      <w:r>
        <w:rPr>
          <w:rFonts w:hint="eastAsia" w:ascii="仿宋" w:hAnsi="仿宋" w:eastAsia="仿宋" w:cs="仿宋"/>
          <w:color w:val="auto"/>
          <w:spacing w:val="0"/>
          <w:kern w:val="0"/>
          <w:sz w:val="32"/>
          <w:szCs w:val="32"/>
          <w:highlight w:val="none"/>
          <w:lang w:eastAsia="zh-CN"/>
        </w:rPr>
        <w:t>决算的</w:t>
      </w:r>
      <w:r>
        <w:rPr>
          <w:rFonts w:hint="eastAsia" w:ascii="仿宋" w:hAnsi="仿宋" w:eastAsia="仿宋" w:cs="仿宋"/>
          <w:color w:val="auto"/>
          <w:spacing w:val="0"/>
          <w:kern w:val="0"/>
          <w:sz w:val="32"/>
          <w:szCs w:val="32"/>
          <w:highlight w:val="none"/>
          <w:lang w:val="en-US" w:eastAsia="zh-CN"/>
        </w:rPr>
        <w:t>0.00万元相比持平。</w:t>
      </w:r>
      <w:r>
        <w:rPr>
          <w:rFonts w:hint="eastAsia" w:ascii="仿宋" w:hAnsi="仿宋" w:eastAsia="仿宋" w:cs="仿宋"/>
          <w:color w:val="auto"/>
          <w:spacing w:val="0"/>
          <w:kern w:val="0"/>
          <w:sz w:val="32"/>
          <w:szCs w:val="32"/>
          <w:highlight w:val="none"/>
        </w:rPr>
        <w:t>主要是</w:t>
      </w:r>
      <w:r>
        <w:rPr>
          <w:rFonts w:hint="eastAsia" w:ascii="仿宋" w:hAnsi="仿宋" w:eastAsia="仿宋" w:cs="仿宋"/>
          <w:color w:val="auto"/>
          <w:spacing w:val="0"/>
          <w:kern w:val="0"/>
          <w:sz w:val="32"/>
          <w:szCs w:val="32"/>
          <w:highlight w:val="none"/>
          <w:lang w:val="en-US" w:eastAsia="zh-CN"/>
        </w:rPr>
        <w:t>本单位没有公务用车运行维护</w:t>
      </w:r>
      <w:r>
        <w:rPr>
          <w:rFonts w:hint="default" w:ascii="仿宋" w:hAnsi="仿宋" w:eastAsia="仿宋" w:cs="仿宋"/>
          <w:color w:val="auto"/>
          <w:spacing w:val="0"/>
          <w:kern w:val="0"/>
          <w:sz w:val="32"/>
          <w:szCs w:val="32"/>
          <w:highlight w:val="none"/>
          <w:lang w:val="en-US" w:eastAsia="zh-CN"/>
        </w:rPr>
        <w:t>费的支出。</w:t>
      </w:r>
      <w:r>
        <w:rPr>
          <w:rFonts w:hint="eastAsia" w:ascii="仿宋" w:hAnsi="仿宋" w:eastAsia="仿宋" w:cs="仿宋"/>
          <w:color w:val="auto"/>
          <w:spacing w:val="0"/>
          <w:kern w:val="0"/>
          <w:sz w:val="32"/>
          <w:szCs w:val="32"/>
          <w:highlight w:val="none"/>
        </w:rPr>
        <w:t>截至202</w:t>
      </w:r>
      <w:r>
        <w:rPr>
          <w:rFonts w:hint="eastAsia" w:ascii="仿宋" w:hAnsi="仿宋" w:eastAsia="仿宋" w:cs="仿宋"/>
          <w:color w:val="auto"/>
          <w:spacing w:val="0"/>
          <w:kern w:val="0"/>
          <w:sz w:val="32"/>
          <w:szCs w:val="32"/>
          <w:highlight w:val="none"/>
          <w:lang w:val="en-US" w:eastAsia="zh-CN"/>
        </w:rPr>
        <w:t>4</w:t>
      </w:r>
      <w:r>
        <w:rPr>
          <w:rFonts w:hint="eastAsia" w:ascii="仿宋" w:hAnsi="仿宋" w:eastAsia="仿宋" w:cs="仿宋"/>
          <w:color w:val="auto"/>
          <w:spacing w:val="0"/>
          <w:kern w:val="0"/>
          <w:sz w:val="32"/>
          <w:szCs w:val="32"/>
          <w:highlight w:val="none"/>
        </w:rPr>
        <w:t>年12月31日，本</w:t>
      </w:r>
      <w:r>
        <w:rPr>
          <w:rFonts w:hint="eastAsia" w:ascii="仿宋" w:hAnsi="仿宋" w:eastAsia="仿宋" w:cs="仿宋"/>
          <w:color w:val="auto"/>
          <w:spacing w:val="0"/>
          <w:kern w:val="0"/>
          <w:sz w:val="32"/>
          <w:szCs w:val="32"/>
          <w:highlight w:val="none"/>
          <w:lang w:eastAsia="zh-CN"/>
        </w:rPr>
        <w:t>单位</w:t>
      </w:r>
      <w:r>
        <w:rPr>
          <w:rFonts w:hint="eastAsia" w:ascii="仿宋" w:hAnsi="仿宋" w:eastAsia="仿宋" w:cs="仿宋"/>
          <w:color w:val="auto"/>
          <w:spacing w:val="0"/>
          <w:kern w:val="0"/>
          <w:sz w:val="32"/>
          <w:szCs w:val="32"/>
          <w:highlight w:val="none"/>
        </w:rPr>
        <w:t>公务用车保有量为0辆。</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default" w:ascii="仿宋" w:hAnsi="仿宋" w:eastAsia="仿宋" w:cs="仿宋"/>
          <w:color w:val="auto"/>
          <w:spacing w:val="0"/>
          <w:kern w:val="0"/>
          <w:sz w:val="32"/>
          <w:szCs w:val="32"/>
          <w:highlight w:val="none"/>
          <w:lang w:val="en-US" w:eastAsia="zh-CN"/>
        </w:rPr>
      </w:pPr>
      <w:r>
        <w:rPr>
          <w:rFonts w:hint="eastAsia" w:ascii="仿宋" w:hAnsi="仿宋" w:eastAsia="仿宋" w:cs="仿宋"/>
          <w:color w:val="auto"/>
          <w:spacing w:val="0"/>
          <w:kern w:val="0"/>
          <w:sz w:val="32"/>
          <w:szCs w:val="32"/>
          <w:highlight w:val="none"/>
        </w:rPr>
        <w:t>（三）公务接待费支出0.00万元，</w:t>
      </w:r>
      <w:r>
        <w:rPr>
          <w:rFonts w:hint="eastAsia" w:ascii="仿宋" w:hAnsi="仿宋" w:eastAsia="仿宋" w:cs="仿宋"/>
          <w:color w:val="auto"/>
          <w:spacing w:val="0"/>
          <w:kern w:val="0"/>
          <w:sz w:val="32"/>
          <w:szCs w:val="32"/>
          <w:highlight w:val="none"/>
          <w:lang w:eastAsia="zh-CN"/>
        </w:rPr>
        <w:t>与</w:t>
      </w:r>
      <w:r>
        <w:rPr>
          <w:rFonts w:hint="eastAsia" w:ascii="仿宋" w:hAnsi="仿宋" w:eastAsia="仿宋" w:cs="仿宋"/>
          <w:color w:val="auto"/>
          <w:spacing w:val="0"/>
          <w:kern w:val="0"/>
          <w:sz w:val="32"/>
          <w:szCs w:val="32"/>
          <w:highlight w:val="none"/>
        </w:rPr>
        <w:t>全年预算</w:t>
      </w:r>
      <w:r>
        <w:rPr>
          <w:rFonts w:hint="eastAsia" w:ascii="仿宋" w:hAnsi="仿宋" w:eastAsia="仿宋" w:cs="仿宋"/>
          <w:color w:val="auto"/>
          <w:spacing w:val="0"/>
          <w:kern w:val="0"/>
          <w:sz w:val="32"/>
          <w:szCs w:val="32"/>
          <w:highlight w:val="none"/>
          <w:lang w:val="en-US" w:eastAsia="zh-CN"/>
        </w:rPr>
        <w:t>0.00万元持平，</w:t>
      </w:r>
      <w:r>
        <w:rPr>
          <w:rFonts w:hint="eastAsia" w:ascii="仿宋" w:hAnsi="仿宋" w:eastAsia="仿宋" w:cs="仿宋"/>
          <w:color w:val="auto"/>
          <w:spacing w:val="0"/>
          <w:kern w:val="0"/>
          <w:sz w:val="32"/>
          <w:szCs w:val="32"/>
          <w:highlight w:val="none"/>
        </w:rPr>
        <w:t>较上年</w:t>
      </w:r>
      <w:r>
        <w:rPr>
          <w:rFonts w:hint="eastAsia" w:ascii="仿宋" w:hAnsi="仿宋" w:eastAsia="仿宋" w:cs="仿宋"/>
          <w:color w:val="auto"/>
          <w:spacing w:val="0"/>
          <w:kern w:val="0"/>
          <w:sz w:val="32"/>
          <w:szCs w:val="32"/>
          <w:highlight w:val="none"/>
          <w:lang w:eastAsia="zh-CN"/>
        </w:rPr>
        <w:t>决算的</w:t>
      </w:r>
      <w:r>
        <w:rPr>
          <w:rFonts w:hint="eastAsia" w:ascii="仿宋" w:hAnsi="仿宋" w:eastAsia="仿宋" w:cs="仿宋"/>
          <w:color w:val="auto"/>
          <w:spacing w:val="0"/>
          <w:kern w:val="0"/>
          <w:sz w:val="32"/>
          <w:szCs w:val="32"/>
          <w:highlight w:val="none"/>
          <w:lang w:val="en-US" w:eastAsia="zh-CN"/>
        </w:rPr>
        <w:t>0.00万元相比持平。</w:t>
      </w:r>
      <w:r>
        <w:rPr>
          <w:rFonts w:hint="eastAsia" w:ascii="仿宋" w:hAnsi="仿宋" w:eastAsia="仿宋" w:cs="仿宋"/>
          <w:color w:val="auto"/>
          <w:spacing w:val="0"/>
          <w:kern w:val="0"/>
          <w:sz w:val="32"/>
          <w:szCs w:val="32"/>
          <w:highlight w:val="none"/>
        </w:rPr>
        <w:t>主要</w:t>
      </w:r>
      <w:r>
        <w:rPr>
          <w:rFonts w:hint="eastAsia" w:ascii="仿宋" w:hAnsi="仿宋" w:eastAsia="仿宋" w:cs="仿宋"/>
          <w:color w:val="auto"/>
          <w:spacing w:val="0"/>
          <w:kern w:val="0"/>
          <w:sz w:val="32"/>
          <w:szCs w:val="32"/>
          <w:highlight w:val="none"/>
          <w:lang w:val="en-US" w:eastAsia="zh-CN"/>
        </w:rPr>
        <w:t>是本单位没有公务接待活动。</w:t>
      </w:r>
      <w:r>
        <w:rPr>
          <w:rFonts w:hint="eastAsia" w:ascii="仿宋" w:hAnsi="仿宋" w:eastAsia="仿宋" w:cs="仿宋"/>
          <w:color w:val="auto"/>
          <w:spacing w:val="0"/>
          <w:kern w:val="0"/>
          <w:sz w:val="32"/>
          <w:szCs w:val="32"/>
          <w:highlight w:val="none"/>
        </w:rPr>
        <w:t>累计接待0 批次、0人次。</w:t>
      </w:r>
    </w:p>
    <w:p>
      <w:pPr>
        <w:pStyle w:val="6"/>
        <w:keepNext w:val="0"/>
        <w:keepLines w:val="0"/>
        <w:pageBreakBefore w:val="0"/>
        <w:kinsoku/>
        <w:wordWrap/>
        <w:overflowPunct/>
        <w:topLinePunct w:val="0"/>
        <w:autoSpaceDE/>
        <w:autoSpaceDN/>
        <w:bidi w:val="0"/>
        <w:adjustRightInd/>
        <w:snapToGrid/>
        <w:spacing w:before="100" w:after="100" w:line="560" w:lineRule="exact"/>
        <w:ind w:left="0" w:right="0" w:firstLine="640" w:firstLineChars="0"/>
        <w:textAlignment w:val="auto"/>
        <w:rPr>
          <w:rFonts w:ascii="Times New Roman" w:hAnsi="Times New Roman" w:eastAsia="Times New Roman" w:cs="Times New Roman"/>
          <w:b/>
          <w:bCs/>
          <w:kern w:val="0"/>
          <w:sz w:val="28"/>
          <w:szCs w:val="28"/>
        </w:rPr>
      </w:pPr>
      <w:r>
        <w:rPr>
          <w:rFonts w:ascii="黑体" w:hAnsi="黑体" w:eastAsia="黑体" w:cs="黑体"/>
          <w:b/>
          <w:spacing w:val="0"/>
        </w:rPr>
        <w:t>八、预算绩效情况说明</w:t>
      </w:r>
      <w:bookmarkEnd w:id="101"/>
      <w:bookmarkEnd w:id="102"/>
      <w:bookmarkEnd w:id="103"/>
      <w:bookmarkEnd w:id="104"/>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仿宋" w:hAnsi="仿宋" w:eastAsia="仿宋" w:cs="仿宋"/>
          <w:color w:val="auto"/>
          <w:spacing w:val="0"/>
          <w:kern w:val="0"/>
          <w:sz w:val="32"/>
          <w:szCs w:val="32"/>
          <w:highlight w:val="none"/>
        </w:rPr>
      </w:pPr>
      <w:r>
        <w:rPr>
          <w:rFonts w:ascii="仿宋" w:hAnsi="仿宋" w:eastAsia="仿宋" w:cs="仿宋"/>
          <w:color w:val="auto"/>
          <w:spacing w:val="0"/>
          <w:kern w:val="0"/>
          <w:sz w:val="32"/>
          <w:szCs w:val="32"/>
          <w:highlight w:val="none"/>
        </w:rPr>
        <w:t>根据预算绩效管理要求，本单位组织对2024年度</w:t>
      </w:r>
      <w:r>
        <w:rPr>
          <w:rFonts w:hint="eastAsia" w:ascii="仿宋" w:hAnsi="仿宋" w:eastAsia="仿宋" w:cs="仿宋"/>
          <w:color w:val="auto"/>
          <w:spacing w:val="0"/>
          <w:kern w:val="0"/>
          <w:sz w:val="32"/>
          <w:szCs w:val="32"/>
          <w:highlight w:val="none"/>
          <w:lang w:val="en-US" w:eastAsia="zh-CN"/>
        </w:rPr>
        <w:t>1</w:t>
      </w:r>
      <w:r>
        <w:rPr>
          <w:rFonts w:ascii="仿宋" w:hAnsi="仿宋" w:eastAsia="仿宋" w:cs="仿宋"/>
          <w:color w:val="auto"/>
          <w:spacing w:val="0"/>
          <w:kern w:val="0"/>
          <w:sz w:val="32"/>
          <w:szCs w:val="32"/>
          <w:highlight w:val="none"/>
        </w:rPr>
        <w:t>个项目实施单位自评，</w:t>
      </w:r>
      <w:r>
        <w:rPr>
          <w:rFonts w:hint="eastAsia" w:ascii="仿宋" w:hAnsi="仿宋" w:eastAsia="仿宋" w:cs="仿宋"/>
          <w:spacing w:val="0"/>
          <w:kern w:val="0"/>
          <w:sz w:val="32"/>
          <w:szCs w:val="32"/>
          <w:lang w:eastAsia="zh-CN"/>
        </w:rPr>
        <w:t>项目名称为</w:t>
      </w:r>
      <w:r>
        <w:rPr>
          <w:rFonts w:hint="eastAsia" w:ascii="仿宋" w:hAnsi="仿宋" w:eastAsia="仿宋" w:cs="仿宋"/>
          <w:spacing w:val="0"/>
          <w:kern w:val="0"/>
          <w:sz w:val="32"/>
          <w:szCs w:val="32"/>
        </w:rPr>
        <w:t>义务教育阶段家庭经济困难学生营养餐补助</w:t>
      </w:r>
      <w:r>
        <w:rPr>
          <w:rFonts w:ascii="仿宋" w:hAnsi="仿宋" w:eastAsia="仿宋" w:cs="仿宋"/>
          <w:color w:val="auto"/>
          <w:spacing w:val="0"/>
          <w:kern w:val="0"/>
          <w:sz w:val="32"/>
          <w:szCs w:val="32"/>
          <w:highlight w:val="none"/>
        </w:rPr>
        <w:t>，涉及财政拨款资金共计</w:t>
      </w:r>
      <w:r>
        <w:rPr>
          <w:rFonts w:hint="eastAsia" w:ascii="仿宋" w:hAnsi="仿宋" w:eastAsia="仿宋" w:cs="仿宋"/>
          <w:color w:val="auto"/>
          <w:spacing w:val="0"/>
          <w:kern w:val="0"/>
          <w:sz w:val="32"/>
          <w:szCs w:val="32"/>
          <w:highlight w:val="none"/>
          <w:lang w:val="en-US" w:eastAsia="zh-CN"/>
        </w:rPr>
        <w:t>0.1524</w:t>
      </w:r>
      <w:r>
        <w:rPr>
          <w:rFonts w:ascii="仿宋" w:hAnsi="仿宋" w:eastAsia="仿宋" w:cs="仿宋"/>
          <w:color w:val="auto"/>
          <w:spacing w:val="0"/>
          <w:kern w:val="0"/>
          <w:sz w:val="32"/>
          <w:szCs w:val="32"/>
          <w:highlight w:val="none"/>
        </w:rPr>
        <w:t>万元。（《项目支出绩效自评表》详见附件）</w:t>
      </w:r>
    </w:p>
    <w:p>
      <w:pPr>
        <w:pStyle w:val="31"/>
        <w:keepNext w:val="0"/>
        <w:keepLines w:val="0"/>
        <w:pageBreakBefore w:val="0"/>
        <w:widowControl/>
        <w:numPr>
          <w:ilvl w:val="0"/>
          <w:numId w:val="1"/>
        </w:numPr>
        <w:kinsoku/>
        <w:wordWrap/>
        <w:overflowPunct/>
        <w:topLinePunct w:val="0"/>
        <w:autoSpaceDE/>
        <w:autoSpaceDN/>
        <w:bidi w:val="0"/>
        <w:adjustRightInd/>
        <w:snapToGrid/>
        <w:spacing w:before="100" w:after="100" w:line="560" w:lineRule="exact"/>
        <w:ind w:left="0" w:right="0" w:firstLine="704"/>
        <w:jc w:val="left"/>
        <w:textAlignment w:val="auto"/>
        <w:rPr>
          <w:rFonts w:ascii="黑体" w:hAnsi="黑体" w:eastAsia="黑体" w:cs="黑体"/>
          <w:b/>
          <w:spacing w:val="0"/>
          <w:sz w:val="32"/>
          <w:szCs w:val="32"/>
        </w:rPr>
      </w:pPr>
      <w:bookmarkStart w:id="105" w:name="_Toc256000119"/>
      <w:bookmarkStart w:id="106" w:name="_Toc256000026"/>
      <w:bookmarkStart w:id="107" w:name="_Toc256000057"/>
      <w:bookmarkStart w:id="108" w:name="_Toc256000088"/>
      <w:r>
        <w:rPr>
          <w:rFonts w:ascii="黑体" w:hAnsi="黑体" w:eastAsia="黑体" w:cs="黑体"/>
          <w:b/>
          <w:spacing w:val="0"/>
          <w:sz w:val="32"/>
          <w:szCs w:val="32"/>
        </w:rPr>
        <w:t>其他重要事项说明</w:t>
      </w:r>
      <w:bookmarkEnd w:id="105"/>
      <w:bookmarkEnd w:id="106"/>
      <w:bookmarkEnd w:id="107"/>
      <w:bookmarkEnd w:id="108"/>
    </w:p>
    <w:p>
      <w:pPr>
        <w:pStyle w:val="31"/>
        <w:keepNext w:val="0"/>
        <w:keepLines w:val="0"/>
        <w:pageBreakBefore w:val="0"/>
        <w:widowControl/>
        <w:numPr>
          <w:ilvl w:val="0"/>
          <w:numId w:val="0"/>
        </w:numPr>
        <w:kinsoku/>
        <w:wordWrap/>
        <w:overflowPunct/>
        <w:topLinePunct w:val="0"/>
        <w:autoSpaceDE/>
        <w:autoSpaceDN/>
        <w:bidi w:val="0"/>
        <w:adjustRightInd/>
        <w:snapToGrid/>
        <w:spacing w:before="100" w:after="100" w:line="560" w:lineRule="exact"/>
        <w:ind w:left="704" w:leftChars="0" w:right="0" w:rightChars="0"/>
        <w:jc w:val="left"/>
        <w:textAlignment w:val="auto"/>
        <w:rPr>
          <w:rFonts w:ascii="仿宋" w:hAnsi="仿宋" w:eastAsia="仿宋" w:cs="仿宋"/>
          <w:color w:val="auto"/>
          <w:spacing w:val="0"/>
          <w:kern w:val="0"/>
          <w:sz w:val="32"/>
          <w:szCs w:val="32"/>
          <w:highlight w:val="none"/>
        </w:rPr>
      </w:pPr>
      <w:r>
        <w:rPr>
          <w:rStyle w:val="33"/>
          <w:rFonts w:ascii="楷体" w:hAnsi="楷体" w:eastAsia="楷体" w:cs="楷体"/>
          <w:b/>
          <w:bCs/>
          <w:spacing w:val="0"/>
          <w:kern w:val="0"/>
          <w:sz w:val="32"/>
          <w:szCs w:val="32"/>
        </w:rPr>
        <w:t>（一）机关运行经费</w:t>
      </w:r>
      <w:r>
        <w:rPr>
          <w:rFonts w:ascii="仿宋" w:hAnsi="仿宋" w:eastAsia="仿宋" w:cs="仿宋"/>
          <w:color w:val="auto"/>
          <w:spacing w:val="0"/>
          <w:kern w:val="0"/>
          <w:sz w:val="32"/>
          <w:szCs w:val="32"/>
          <w:highlight w:val="none"/>
        </w:rPr>
        <w:t> </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仿宋" w:hAnsi="仿宋" w:eastAsia="仿宋" w:cs="仿宋"/>
          <w:color w:val="auto"/>
          <w:spacing w:val="0"/>
          <w:kern w:val="0"/>
          <w:sz w:val="32"/>
          <w:szCs w:val="32"/>
          <w:highlight w:val="none"/>
        </w:rPr>
      </w:pPr>
      <w:r>
        <w:rPr>
          <w:rFonts w:ascii="仿宋" w:hAnsi="仿宋" w:eastAsia="仿宋" w:cs="仿宋"/>
          <w:color w:val="auto"/>
          <w:spacing w:val="0"/>
          <w:kern w:val="0"/>
          <w:sz w:val="32"/>
          <w:szCs w:val="32"/>
          <w:highlight w:val="none"/>
        </w:rPr>
        <w:t>2024年度机关运行经费支出0万元，比上年决算数增加（减少）</w:t>
      </w:r>
      <w:r>
        <w:rPr>
          <w:rFonts w:hint="eastAsia" w:ascii="仿宋" w:hAnsi="仿宋" w:eastAsia="仿宋" w:cs="仿宋"/>
          <w:color w:val="auto"/>
          <w:spacing w:val="0"/>
          <w:kern w:val="0"/>
          <w:sz w:val="32"/>
          <w:szCs w:val="32"/>
          <w:highlight w:val="none"/>
          <w:lang w:val="en-US" w:eastAsia="zh-CN"/>
        </w:rPr>
        <w:t>0</w:t>
      </w:r>
      <w:r>
        <w:rPr>
          <w:rFonts w:ascii="仿宋" w:hAnsi="仿宋" w:eastAsia="仿宋" w:cs="仿宋"/>
          <w:color w:val="auto"/>
          <w:spacing w:val="0"/>
          <w:kern w:val="0"/>
          <w:sz w:val="32"/>
          <w:szCs w:val="32"/>
          <w:highlight w:val="none"/>
        </w:rPr>
        <w:t>万元，增长（下降）</w:t>
      </w:r>
      <w:r>
        <w:rPr>
          <w:rFonts w:hint="eastAsia" w:ascii="仿宋" w:hAnsi="仿宋" w:eastAsia="仿宋" w:cs="仿宋"/>
          <w:color w:val="auto"/>
          <w:spacing w:val="0"/>
          <w:kern w:val="0"/>
          <w:sz w:val="32"/>
          <w:szCs w:val="32"/>
          <w:highlight w:val="none"/>
          <w:lang w:val="en-US" w:eastAsia="zh-CN"/>
        </w:rPr>
        <w:t>0</w:t>
      </w:r>
      <w:r>
        <w:rPr>
          <w:rFonts w:ascii="仿宋" w:hAnsi="仿宋" w:eastAsia="仿宋" w:cs="仿宋"/>
          <w:color w:val="auto"/>
          <w:spacing w:val="0"/>
          <w:kern w:val="0"/>
          <w:sz w:val="32"/>
          <w:szCs w:val="32"/>
          <w:highlight w:val="none"/>
        </w:rPr>
        <w:t>%，主要原因是:本单位为事业单位</w:t>
      </w:r>
      <w:r>
        <w:rPr>
          <w:rFonts w:hint="eastAsia" w:ascii="仿宋" w:hAnsi="仿宋" w:eastAsia="仿宋" w:cs="仿宋"/>
          <w:color w:val="auto"/>
          <w:spacing w:val="0"/>
          <w:kern w:val="0"/>
          <w:sz w:val="32"/>
          <w:szCs w:val="32"/>
          <w:highlight w:val="none"/>
          <w:lang w:eastAsia="zh-CN"/>
        </w:rPr>
        <w:t>，</w:t>
      </w:r>
      <w:r>
        <w:rPr>
          <w:rFonts w:ascii="仿宋" w:hAnsi="仿宋" w:eastAsia="仿宋" w:cs="仿宋"/>
          <w:color w:val="auto"/>
          <w:spacing w:val="0"/>
          <w:kern w:val="0"/>
          <w:sz w:val="32"/>
          <w:szCs w:val="32"/>
          <w:highlight w:val="none"/>
        </w:rPr>
        <w:t>没有机关运行经费。</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Style w:val="33"/>
          <w:rFonts w:ascii="楷体" w:hAnsi="楷体" w:eastAsia="楷体" w:cs="楷体"/>
          <w:b/>
          <w:bCs/>
          <w:spacing w:val="0"/>
          <w:kern w:val="0"/>
          <w:sz w:val="32"/>
          <w:szCs w:val="32"/>
        </w:rPr>
      </w:pPr>
      <w:r>
        <w:rPr>
          <w:rStyle w:val="33"/>
          <w:rFonts w:ascii="楷体" w:hAnsi="楷体" w:eastAsia="楷体" w:cs="楷体"/>
          <w:b/>
          <w:bCs/>
          <w:spacing w:val="0"/>
          <w:kern w:val="0"/>
          <w:sz w:val="32"/>
          <w:szCs w:val="32"/>
        </w:rPr>
        <w:t>（二）政府采购情况</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仿宋" w:hAnsi="仿宋" w:eastAsia="仿宋" w:cs="仿宋"/>
          <w:color w:val="auto"/>
          <w:spacing w:val="0"/>
          <w:kern w:val="0"/>
          <w:sz w:val="32"/>
          <w:szCs w:val="32"/>
          <w:highlight w:val="none"/>
        </w:rPr>
      </w:pPr>
      <w:r>
        <w:rPr>
          <w:rFonts w:ascii="仿宋" w:hAnsi="仿宋" w:eastAsia="仿宋" w:cs="仿宋"/>
          <w:color w:val="auto"/>
          <w:spacing w:val="0"/>
          <w:kern w:val="0"/>
          <w:sz w:val="32"/>
          <w:szCs w:val="32"/>
          <w:highlight w:val="none"/>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color w:val="auto"/>
          <w:spacing w:val="0"/>
          <w:kern w:val="0"/>
          <w:sz w:val="32"/>
          <w:szCs w:val="32"/>
          <w:highlight w:val="none"/>
          <w:lang w:val="en-US" w:eastAsia="zh-CN"/>
        </w:rPr>
        <w:t>0</w:t>
      </w:r>
      <w:r>
        <w:rPr>
          <w:rFonts w:ascii="仿宋" w:hAnsi="仿宋" w:eastAsia="仿宋" w:cs="仿宋"/>
          <w:color w:val="auto"/>
          <w:spacing w:val="0"/>
          <w:kern w:val="0"/>
          <w:sz w:val="32"/>
          <w:szCs w:val="32"/>
          <w:highlight w:val="none"/>
        </w:rPr>
        <w:t>%，工程采购授予中小企业合同金额占工程支出金额的</w:t>
      </w:r>
      <w:r>
        <w:rPr>
          <w:rFonts w:hint="eastAsia" w:ascii="仿宋" w:hAnsi="仿宋" w:eastAsia="仿宋" w:cs="仿宋"/>
          <w:color w:val="auto"/>
          <w:spacing w:val="0"/>
          <w:kern w:val="0"/>
          <w:sz w:val="32"/>
          <w:szCs w:val="32"/>
          <w:highlight w:val="none"/>
          <w:lang w:val="en-US" w:eastAsia="zh-CN"/>
        </w:rPr>
        <w:t>0</w:t>
      </w:r>
      <w:r>
        <w:rPr>
          <w:rFonts w:ascii="仿宋" w:hAnsi="仿宋" w:eastAsia="仿宋" w:cs="仿宋"/>
          <w:color w:val="auto"/>
          <w:spacing w:val="0"/>
          <w:kern w:val="0"/>
          <w:sz w:val="32"/>
          <w:szCs w:val="32"/>
          <w:highlight w:val="none"/>
        </w:rPr>
        <w:t>%，服务采购授予中小企业合同金额占服务支出金额的</w:t>
      </w:r>
      <w:r>
        <w:rPr>
          <w:rFonts w:hint="eastAsia" w:ascii="仿宋" w:hAnsi="仿宋" w:eastAsia="仿宋" w:cs="仿宋"/>
          <w:color w:val="auto"/>
          <w:spacing w:val="0"/>
          <w:kern w:val="0"/>
          <w:sz w:val="32"/>
          <w:szCs w:val="32"/>
          <w:highlight w:val="none"/>
          <w:lang w:val="en-US" w:eastAsia="zh-CN"/>
        </w:rPr>
        <w:t>0</w:t>
      </w:r>
      <w:r>
        <w:rPr>
          <w:rFonts w:hint="eastAsia" w:ascii="仿宋" w:hAnsi="仿宋" w:eastAsia="仿宋" w:cs="仿宋"/>
          <w:color w:val="auto"/>
          <w:spacing w:val="0"/>
          <w:kern w:val="0"/>
          <w:sz w:val="32"/>
          <w:szCs w:val="32"/>
          <w:highlight w:val="none"/>
        </w:rPr>
        <w:t>%。</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仿宋" w:hAnsi="仿宋" w:eastAsia="仿宋" w:cs="仿宋"/>
          <w:color w:val="auto"/>
          <w:spacing w:val="0"/>
          <w:kern w:val="0"/>
          <w:sz w:val="32"/>
          <w:szCs w:val="32"/>
          <w:highlight w:val="none"/>
        </w:rPr>
      </w:pPr>
      <w:r>
        <w:rPr>
          <w:rFonts w:ascii="仿宋" w:hAnsi="仿宋" w:eastAsia="仿宋" w:cs="仿宋"/>
          <w:color w:val="auto"/>
          <w:spacing w:val="0"/>
          <w:kern w:val="0"/>
          <w:sz w:val="32"/>
          <w:szCs w:val="32"/>
          <w:highlight w:val="none"/>
        </w:rPr>
        <w:t>本单位2024年度没有政府采购支出。</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707"/>
        <w:jc w:val="left"/>
        <w:textAlignment w:val="auto"/>
        <w:outlineLvl w:val="9"/>
        <w:rPr>
          <w:rFonts w:ascii="Times New Roman" w:hAnsi="Times New Roman" w:eastAsia="Times New Roman" w:cs="Times New Roman"/>
          <w:kern w:val="0"/>
          <w:sz w:val="24"/>
        </w:rPr>
      </w:pPr>
      <w:r>
        <w:rPr>
          <w:rStyle w:val="33"/>
          <w:rFonts w:ascii="楷体" w:hAnsi="楷体" w:eastAsia="楷体" w:cs="楷体"/>
          <w:b/>
          <w:bCs/>
          <w:spacing w:val="0"/>
          <w:kern w:val="0"/>
          <w:sz w:val="32"/>
          <w:szCs w:val="32"/>
        </w:rPr>
        <w:t>（三）国有资产占用使用情况</w:t>
      </w:r>
      <w:r>
        <w:rPr>
          <w:rFonts w:ascii="宋体" w:hAnsi="宋体" w:cs="宋体"/>
          <w:spacing w:val="0"/>
          <w:kern w:val="0"/>
          <w:sz w:val="32"/>
          <w:szCs w:val="32"/>
        </w:rPr>
        <w:t> </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704"/>
        <w:jc w:val="left"/>
        <w:textAlignment w:val="auto"/>
        <w:outlineLvl w:val="9"/>
        <w:rPr>
          <w:rFonts w:ascii="Calibri" w:hAnsi="Calibri" w:eastAsia="Calibri" w:cs="Calibri"/>
          <w:spacing w:val="0"/>
          <w:kern w:val="0"/>
          <w:sz w:val="32"/>
          <w:szCs w:val="32"/>
        </w:rPr>
      </w:pPr>
      <w:r>
        <w:rPr>
          <w:rFonts w:ascii="仿宋" w:hAnsi="仿宋" w:eastAsia="仿宋" w:cs="仿宋"/>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r>
        <w:rPr>
          <w:rFonts w:ascii="Calibri" w:hAnsi="Calibri" w:eastAsia="Calibri" w:cs="Calibri"/>
          <w:spacing w:val="0"/>
          <w:kern w:val="0"/>
          <w:sz w:val="32"/>
          <w:szCs w:val="32"/>
        </w:rPr>
        <w:t>  </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704"/>
        <w:jc w:val="left"/>
        <w:textAlignment w:val="auto"/>
        <w:outlineLvl w:val="9"/>
        <w:rPr>
          <w:rFonts w:ascii="Calibri" w:hAnsi="Calibri" w:eastAsia="Calibri" w:cs="Calibri"/>
          <w:spacing w:val="0"/>
          <w:kern w:val="0"/>
          <w:sz w:val="32"/>
          <w:szCs w:val="32"/>
        </w:rPr>
      </w:pPr>
    </w:p>
    <w:p>
      <w:pPr>
        <w:pStyle w:val="4"/>
        <w:keepNext w:val="0"/>
        <w:keepLines w:val="0"/>
        <w:numPr>
          <w:ilvl w:val="0"/>
          <w:numId w:val="2"/>
        </w:numPr>
        <w:spacing w:before="100" w:after="100" w:line="240" w:lineRule="auto"/>
        <w:ind w:left="0" w:right="0" w:firstLine="0" w:firstLineChars="0"/>
        <w:jc w:val="center"/>
        <w:rPr>
          <w:rFonts w:ascii="黑体" w:hAnsi="黑体" w:eastAsia="黑体" w:cs="黑体"/>
          <w:b/>
          <w:spacing w:val="0"/>
          <w:sz w:val="32"/>
          <w:szCs w:val="32"/>
        </w:rPr>
      </w:pPr>
      <w:bookmarkStart w:id="109" w:name="_Toc256000028"/>
      <w:bookmarkStart w:id="110" w:name="_Toc256000090"/>
      <w:bookmarkStart w:id="111" w:name="_Toc256000121"/>
      <w:bookmarkStart w:id="112" w:name="_Toc256000059"/>
      <w:r>
        <w:rPr>
          <w:rFonts w:ascii="黑体" w:hAnsi="黑体" w:eastAsia="黑体" w:cs="黑体"/>
          <w:b/>
          <w:spacing w:val="0"/>
          <w:sz w:val="32"/>
          <w:szCs w:val="32"/>
        </w:rPr>
        <w:t>名词解释</w:t>
      </w:r>
      <w:bookmarkEnd w:id="109"/>
      <w:bookmarkEnd w:id="110"/>
      <w:bookmarkEnd w:id="111"/>
      <w:bookmarkEnd w:id="112"/>
    </w:p>
    <w:p>
      <w:pPr>
        <w:pStyle w:val="4"/>
        <w:keepNext w:val="0"/>
        <w:keepLines w:val="0"/>
        <w:numPr>
          <w:ilvl w:val="0"/>
          <w:numId w:val="2"/>
        </w:numPr>
        <w:spacing w:before="100" w:after="100" w:line="240" w:lineRule="auto"/>
        <w:ind w:left="0" w:right="0" w:firstLine="0" w:firstLineChars="0"/>
        <w:jc w:val="center"/>
        <w:rPr>
          <w:rFonts w:ascii="Times New Roman" w:hAnsi="Times New Roman" w:eastAsia="Times New Roman" w:cs="Times New Roman"/>
          <w:vanish/>
          <w:kern w:val="0"/>
          <w:sz w:val="24"/>
        </w:rPr>
      </w:pPr>
    </w:p>
    <w:p>
      <w:pPr>
        <w:pStyle w:val="4"/>
        <w:keepNext w:val="0"/>
        <w:keepLines w:val="0"/>
        <w:numPr>
          <w:ilvl w:val="0"/>
          <w:numId w:val="2"/>
        </w:numPr>
        <w:spacing w:before="100" w:after="100" w:line="240" w:lineRule="auto"/>
        <w:ind w:left="0" w:right="0" w:firstLine="0" w:firstLineChars="0"/>
        <w:jc w:val="center"/>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pStyle w:val="31"/>
        <w:widowControl/>
        <w:spacing w:before="100" w:after="100" w:line="600" w:lineRule="atLeast"/>
        <w:ind w:left="0" w:right="0" w:firstLine="710"/>
        <w:jc w:val="left"/>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31"/>
        <w:widowControl/>
        <w:spacing w:before="100" w:after="100" w:line="600" w:lineRule="atLeast"/>
        <w:ind w:left="0" w:right="0" w:firstLine="710"/>
        <w:jc w:val="left"/>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31"/>
        <w:widowControl/>
        <w:spacing w:before="100" w:after="100" w:line="600" w:lineRule="atLeast"/>
        <w:ind w:left="0" w:right="0" w:firstLine="710"/>
        <w:jc w:val="left"/>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31"/>
        <w:widowControl/>
        <w:spacing w:before="100" w:after="100" w:line="600" w:lineRule="atLeast"/>
        <w:ind w:left="0" w:right="0" w:firstLine="710"/>
        <w:jc w:val="left"/>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Cs w:val="21"/>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31"/>
        <w:widowControl/>
        <w:spacing w:before="100" w:after="100" w:line="600" w:lineRule="atLeast"/>
        <w:ind w:left="0" w:right="0" w:firstLine="710"/>
        <w:jc w:val="left"/>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31"/>
        <w:widowControl/>
        <w:spacing w:before="100" w:after="100" w:line="600" w:lineRule="atLeast"/>
        <w:ind w:left="0" w:right="0" w:firstLine="710"/>
        <w:jc w:val="left"/>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32"/>
        <w:widowControl/>
        <w:spacing w:before="100" w:after="100" w:line="600" w:lineRule="atLeast"/>
        <w:ind w:left="0" w:right="0" w:firstLine="640"/>
        <w:jc w:val="left"/>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32"/>
        <w:widowControl/>
        <w:spacing w:before="100" w:after="100" w:line="600" w:lineRule="atLeast"/>
        <w:ind w:left="0" w:right="0" w:firstLine="640"/>
        <w:jc w:val="left"/>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32"/>
        <w:widowControl/>
        <w:spacing w:before="100" w:after="100" w:line="600" w:lineRule="atLeast"/>
        <w:ind w:left="0" w:right="0" w:firstLine="640"/>
        <w:jc w:val="left"/>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32"/>
        <w:widowControl/>
        <w:spacing w:before="100" w:after="100" w:line="600" w:lineRule="atLeast"/>
        <w:ind w:left="0" w:right="0" w:firstLine="640"/>
        <w:jc w:val="left"/>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32"/>
        <w:widowControl/>
        <w:spacing w:before="100" w:after="100" w:line="600" w:lineRule="atLeast"/>
        <w:ind w:left="0" w:right="0" w:firstLine="640"/>
        <w:jc w:val="left"/>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32"/>
        <w:widowControl/>
        <w:spacing w:before="100" w:after="100" w:line="600" w:lineRule="atLeast"/>
        <w:ind w:left="0" w:right="0" w:firstLine="640"/>
        <w:jc w:val="left"/>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2"/>
        <w:widowControl/>
        <w:spacing w:before="100" w:after="100" w:line="600" w:lineRule="atLeast"/>
        <w:ind w:left="0" w:right="0" w:firstLine="640"/>
        <w:jc w:val="left"/>
        <w:rPr>
          <w:rFonts w:ascii="仿宋" w:hAnsi="仿宋" w:eastAsia="仿宋" w:cs="仿宋"/>
          <w:spacing w:val="0"/>
          <w:kern w:val="0"/>
          <w:sz w:val="32"/>
          <w:szCs w:val="32"/>
        </w:rPr>
      </w:pPr>
      <w:r>
        <w:rPr>
          <w:rStyle w:val="33"/>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113" w:name="_Toc256000029"/>
      <w:bookmarkStart w:id="114" w:name="_Toc256000060"/>
      <w:bookmarkStart w:id="115" w:name="_Toc256000122"/>
      <w:bookmarkStart w:id="116" w:name="_Toc256000091"/>
    </w:p>
    <w:p>
      <w:pPr>
        <w:pStyle w:val="4"/>
        <w:keepNext w:val="0"/>
        <w:keepLines w:val="0"/>
        <w:spacing w:before="299" w:after="299" w:line="240" w:lineRule="auto"/>
        <w:ind w:firstLine="0" w:firstLineChars="0"/>
        <w:jc w:val="center"/>
        <w:rPr>
          <w:rFonts w:ascii="黑体" w:hAnsi="黑体" w:eastAsia="黑体" w:cs="黑体"/>
          <w:b/>
          <w:sz w:val="36"/>
          <w:szCs w:val="36"/>
        </w:rPr>
      </w:pPr>
    </w:p>
    <w:p>
      <w:pPr>
        <w:pStyle w:val="4"/>
        <w:keepNext w:val="0"/>
        <w:keepLines w:val="0"/>
        <w:spacing w:before="299" w:after="299" w:line="240" w:lineRule="auto"/>
        <w:ind w:firstLine="0" w:firstLineChars="0"/>
        <w:jc w:val="center"/>
        <w:rPr>
          <w:rFonts w:ascii="黑体" w:hAnsi="黑体" w:eastAsia="黑体" w:cs="黑体"/>
          <w:b/>
          <w:sz w:val="36"/>
          <w:szCs w:val="36"/>
        </w:rPr>
      </w:pPr>
      <w:r>
        <w:rPr>
          <w:rFonts w:ascii="黑体" w:hAnsi="黑体" w:eastAsia="黑体" w:cs="黑体"/>
          <w:b/>
          <w:sz w:val="36"/>
          <w:szCs w:val="36"/>
        </w:rPr>
        <w:t>第五部分</w:t>
      </w:r>
      <w:bookmarkEnd w:id="113"/>
      <w:bookmarkEnd w:id="114"/>
      <w:bookmarkEnd w:id="115"/>
      <w:bookmarkEnd w:id="116"/>
      <w:r>
        <w:rPr>
          <w:rFonts w:ascii="Calibri" w:hAnsi="Calibri" w:eastAsia="Calibri" w:cs="Calibri"/>
          <w:b/>
          <w:sz w:val="36"/>
          <w:szCs w:val="36"/>
        </w:rPr>
        <w:t> </w:t>
      </w:r>
      <w:bookmarkStart w:id="117" w:name="_Toc256000061"/>
      <w:bookmarkStart w:id="118" w:name="_Toc256000030"/>
      <w:bookmarkStart w:id="119" w:name="_Toc256000092"/>
      <w:bookmarkStart w:id="120" w:name="_Toc256000123"/>
      <w:r>
        <w:rPr>
          <w:rFonts w:ascii="黑体" w:hAnsi="黑体" w:eastAsia="黑体" w:cs="黑体"/>
          <w:b/>
          <w:sz w:val="36"/>
          <w:szCs w:val="36"/>
        </w:rPr>
        <w:t>附件</w:t>
      </w:r>
      <w:bookmarkEnd w:id="117"/>
      <w:bookmarkEnd w:id="118"/>
      <w:bookmarkEnd w:id="119"/>
      <w:bookmarkEnd w:id="120"/>
    </w:p>
    <w:p>
      <w:pPr>
        <w:pStyle w:val="5"/>
      </w:pPr>
    </w:p>
    <w:tbl>
      <w:tblPr>
        <w:tblStyle w:val="25"/>
        <w:tblW w:w="9764"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7"/>
        <w:gridCol w:w="711"/>
        <w:gridCol w:w="1666"/>
        <w:gridCol w:w="1517"/>
        <w:gridCol w:w="1"/>
        <w:gridCol w:w="468"/>
        <w:gridCol w:w="1"/>
        <w:gridCol w:w="1133"/>
        <w:gridCol w:w="694"/>
        <w:gridCol w:w="920"/>
        <w:gridCol w:w="1"/>
        <w:gridCol w:w="406"/>
        <w:gridCol w:w="603"/>
        <w:gridCol w:w="1"/>
        <w:gridCol w:w="13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33" w:hRule="atLeast"/>
          <w:jc w:val="center"/>
        </w:trPr>
        <w:tc>
          <w:tcPr>
            <w:tcW w:w="9764" w:type="dxa"/>
            <w:gridSpan w:val="15"/>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32"/>
                <w:szCs w:val="32"/>
                <w:u w:val="none"/>
                <w:lang w:val="en-US" w:eastAsia="zh-CN" w:bidi="ar"/>
              </w:rPr>
              <w:t>部门（单位）项目支出绩效自评表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67" w:hRule="atLeast"/>
          <w:jc w:val="center"/>
        </w:trPr>
        <w:tc>
          <w:tcPr>
            <w:tcW w:w="9764" w:type="dxa"/>
            <w:gridSpan w:val="15"/>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7" w:hRule="atLeast"/>
          <w:jc w:val="center"/>
        </w:trPr>
        <w:tc>
          <w:tcPr>
            <w:tcW w:w="267" w:type="dxa"/>
            <w:tcBorders>
              <w:bottom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p>
        </w:tc>
        <w:tc>
          <w:tcPr>
            <w:tcW w:w="711" w:type="dxa"/>
            <w:tcBorders>
              <w:bottom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1666" w:type="dxa"/>
            <w:tcBorders>
              <w:bottom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1518" w:type="dxa"/>
            <w:gridSpan w:val="2"/>
            <w:tcBorders>
              <w:bottom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469" w:type="dxa"/>
            <w:gridSpan w:val="2"/>
            <w:tcBorders>
              <w:bottom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1133" w:type="dxa"/>
            <w:tcBorders>
              <w:bottom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694" w:type="dxa"/>
            <w:tcBorders>
              <w:bottom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920" w:type="dxa"/>
            <w:tcBorders>
              <w:bottom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407" w:type="dxa"/>
            <w:gridSpan w:val="2"/>
            <w:tcBorders>
              <w:bottom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604" w:type="dxa"/>
            <w:gridSpan w:val="2"/>
            <w:tcBorders>
              <w:bottom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1375" w:type="dxa"/>
            <w:tcBorders>
              <w:bottom w:val="single" w:color="000000" w:sz="4" w:space="0"/>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79" w:hRule="atLeast"/>
          <w:jc w:val="center"/>
        </w:trPr>
        <w:tc>
          <w:tcPr>
            <w:tcW w:w="978" w:type="dxa"/>
            <w:gridSpan w:val="2"/>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4786" w:type="dxa"/>
            <w:gridSpan w:val="6"/>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义务教育阶段家庭经济困难学生营养餐补助</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自评年度</w:t>
            </w:r>
          </w:p>
        </w:tc>
        <w:tc>
          <w:tcPr>
            <w:tcW w:w="330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2024年1月1日-2024年12月31日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98" w:hRule="atLeast"/>
          <w:jc w:val="center"/>
        </w:trPr>
        <w:tc>
          <w:tcPr>
            <w:tcW w:w="97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478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湖里区教育局</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1930"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厦门市翔鹭小学</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88" w:hRule="atLeast"/>
          <w:jc w:val="center"/>
        </w:trPr>
        <w:tc>
          <w:tcPr>
            <w:tcW w:w="9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年度预算执行情况</w:t>
            </w:r>
          </w:p>
        </w:tc>
        <w:tc>
          <w:tcPr>
            <w:tcW w:w="16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4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已调整数</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调整后预算数</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406"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71" w:hRule="atLeast"/>
          <w:jc w:val="center"/>
        </w:trPr>
        <w:tc>
          <w:tcPr>
            <w:tcW w:w="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16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15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0.36</w:t>
            </w:r>
          </w:p>
        </w:tc>
        <w:tc>
          <w:tcPr>
            <w:tcW w:w="4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0.1524</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w:t>
            </w:r>
          </w:p>
        </w:tc>
        <w:tc>
          <w:tcPr>
            <w:tcW w:w="406"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申请的困难学生未全部在校用午餐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37" w:hRule="atLeast"/>
          <w:jc w:val="center"/>
        </w:trPr>
        <w:tc>
          <w:tcPr>
            <w:tcW w:w="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16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15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0.36</w:t>
            </w:r>
          </w:p>
        </w:tc>
        <w:tc>
          <w:tcPr>
            <w:tcW w:w="4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0.1524</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w:t>
            </w:r>
          </w:p>
        </w:tc>
        <w:tc>
          <w:tcPr>
            <w:tcW w:w="406"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0" w:hRule="atLeast"/>
          <w:jc w:val="center"/>
        </w:trPr>
        <w:tc>
          <w:tcPr>
            <w:tcW w:w="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16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上年结转资金</w:t>
            </w:r>
          </w:p>
        </w:tc>
        <w:tc>
          <w:tcPr>
            <w:tcW w:w="15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4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406"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27" w:hRule="atLeast"/>
          <w:jc w:val="center"/>
        </w:trPr>
        <w:tc>
          <w:tcPr>
            <w:tcW w:w="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16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15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4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406"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5" w:hRule="atLeast"/>
          <w:jc w:val="center"/>
        </w:trPr>
        <w:tc>
          <w:tcPr>
            <w:tcW w:w="26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总体</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目标</w:t>
            </w:r>
          </w:p>
        </w:tc>
        <w:tc>
          <w:tcPr>
            <w:tcW w:w="5497"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4000"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3" w:hRule="atLeast"/>
          <w:jc w:val="center"/>
        </w:trPr>
        <w:tc>
          <w:tcPr>
            <w:tcW w:w="2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5497"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4000"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2024年完成春、秋两季关于我区义务教育阶段公办校（学校提供午餐）家庭经济困难学生营养餐补助对象审核及资金下拨。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178" w:hRule="atLeast"/>
          <w:jc w:val="center"/>
        </w:trPr>
        <w:tc>
          <w:tcPr>
            <w:tcW w:w="2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5497"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4000"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57" w:hRule="atLeast"/>
          <w:jc w:val="center"/>
        </w:trPr>
        <w:tc>
          <w:tcPr>
            <w:tcW w:w="2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6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5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4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指标类型</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绩效目标值</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实际完成值</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完成比例</w:t>
            </w:r>
          </w:p>
        </w:tc>
        <w:tc>
          <w:tcPr>
            <w:tcW w:w="406"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6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7" w:hRule="atLeast"/>
          <w:jc w:val="center"/>
        </w:trPr>
        <w:tc>
          <w:tcPr>
            <w:tcW w:w="26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效</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完</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成</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情</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况</w:t>
            </w:r>
          </w:p>
        </w:tc>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16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5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审核义务教育阶段受助学生</w:t>
            </w:r>
          </w:p>
        </w:tc>
        <w:tc>
          <w:tcPr>
            <w:tcW w:w="4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1134" w:type="dxa"/>
            <w:gridSpan w:val="2"/>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大于等于6人</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6人</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6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82" w:hRule="atLeast"/>
          <w:jc w:val="center"/>
        </w:trPr>
        <w:tc>
          <w:tcPr>
            <w:tcW w:w="2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16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5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全年营养餐补助学生</w:t>
            </w:r>
          </w:p>
        </w:tc>
        <w:tc>
          <w:tcPr>
            <w:tcW w:w="4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大于等于2人</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2人</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6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82" w:hRule="atLeast"/>
          <w:jc w:val="center"/>
        </w:trPr>
        <w:tc>
          <w:tcPr>
            <w:tcW w:w="2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16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5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营养餐发放标准</w:t>
            </w:r>
          </w:p>
        </w:tc>
        <w:tc>
          <w:tcPr>
            <w:tcW w:w="4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85" w:hRule="atLeast"/>
          <w:jc w:val="center"/>
        </w:trPr>
        <w:tc>
          <w:tcPr>
            <w:tcW w:w="2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16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5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义务教育困难生资助资金下拨及时率</w:t>
            </w:r>
          </w:p>
        </w:tc>
        <w:tc>
          <w:tcPr>
            <w:tcW w:w="4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85" w:hRule="atLeast"/>
          <w:jc w:val="center"/>
        </w:trPr>
        <w:tc>
          <w:tcPr>
            <w:tcW w:w="2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711"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效益指标</w:t>
            </w:r>
          </w:p>
        </w:tc>
        <w:tc>
          <w:tcPr>
            <w:tcW w:w="16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5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改善受助学生学习生活质量</w:t>
            </w:r>
          </w:p>
        </w:tc>
        <w:tc>
          <w:tcPr>
            <w:tcW w:w="4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6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85" w:hRule="atLeast"/>
          <w:jc w:val="center"/>
        </w:trPr>
        <w:tc>
          <w:tcPr>
            <w:tcW w:w="2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6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5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受资助对象满意度</w:t>
            </w:r>
          </w:p>
        </w:tc>
        <w:tc>
          <w:tcPr>
            <w:tcW w:w="4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大于等于90%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96" w:hRule="atLeast"/>
          <w:jc w:val="center"/>
        </w:trPr>
        <w:tc>
          <w:tcPr>
            <w:tcW w:w="7379"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100</w:t>
            </w:r>
          </w:p>
        </w:tc>
        <w:tc>
          <w:tcPr>
            <w:tcW w:w="6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884" w:hRule="atLeast"/>
          <w:jc w:val="center"/>
        </w:trPr>
        <w:tc>
          <w:tcPr>
            <w:tcW w:w="9764" w:type="dxa"/>
            <w:gridSpan w:val="1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bookmarkEnd w:id="4"/>
    </w:tbl>
    <w:p>
      <w:pPr>
        <w:widowControl/>
        <w:spacing w:before="240" w:after="240"/>
        <w:jc w:val="left"/>
        <w:rPr>
          <w:rFonts w:ascii="Times New Roman" w:hAnsi="Times New Roman" w:eastAsia="Times New Roman" w:cs="Times New Roman"/>
          <w:vanish/>
          <w:kern w:val="0"/>
          <w:sz w:val="24"/>
        </w:rPr>
      </w:pPr>
    </w:p>
    <w:sectPr>
      <w:footerReference r:id="rId5" w:type="default"/>
      <w:pgSz w:w="11906" w:h="16838"/>
      <w:pgMar w:top="1984" w:right="1083" w:bottom="1984" w:left="1083"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5DD27F"/>
    <w:multiLevelType w:val="singleLevel"/>
    <w:tmpl w:val="C65DD27F"/>
    <w:lvl w:ilvl="0" w:tentative="0">
      <w:start w:val="9"/>
      <w:numFmt w:val="chineseCounting"/>
      <w:suff w:val="nothing"/>
      <w:lvlText w:val="%1、"/>
      <w:lvlJc w:val="left"/>
      <w:rPr>
        <w:rFonts w:hint="eastAsia"/>
      </w:rPr>
    </w:lvl>
  </w:abstractNum>
  <w:abstractNum w:abstractNumId="1">
    <w:nsid w:val="D20562F0"/>
    <w:multiLevelType w:val="singleLevel"/>
    <w:tmpl w:val="D20562F0"/>
    <w:lvl w:ilvl="0" w:tentative="0">
      <w:start w:val="4"/>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17B6E"/>
    <w:rsid w:val="03A37C53"/>
    <w:rsid w:val="048F4FB9"/>
    <w:rsid w:val="056C6299"/>
    <w:rsid w:val="058F2B2B"/>
    <w:rsid w:val="07080D57"/>
    <w:rsid w:val="07B45F88"/>
    <w:rsid w:val="083D25FA"/>
    <w:rsid w:val="0DC32B8C"/>
    <w:rsid w:val="0E2531DB"/>
    <w:rsid w:val="0F0605EC"/>
    <w:rsid w:val="18085C31"/>
    <w:rsid w:val="1AEC046A"/>
    <w:rsid w:val="1D23712E"/>
    <w:rsid w:val="20F86B58"/>
    <w:rsid w:val="21903A3A"/>
    <w:rsid w:val="233E08DF"/>
    <w:rsid w:val="23935FB5"/>
    <w:rsid w:val="29C44A84"/>
    <w:rsid w:val="2A945841"/>
    <w:rsid w:val="31083415"/>
    <w:rsid w:val="34515489"/>
    <w:rsid w:val="37107741"/>
    <w:rsid w:val="37563D0C"/>
    <w:rsid w:val="37AB5678"/>
    <w:rsid w:val="3A593E57"/>
    <w:rsid w:val="3E8A43D9"/>
    <w:rsid w:val="3ED25510"/>
    <w:rsid w:val="3F372190"/>
    <w:rsid w:val="41057F63"/>
    <w:rsid w:val="48A93D16"/>
    <w:rsid w:val="4A471207"/>
    <w:rsid w:val="4FAE3055"/>
    <w:rsid w:val="5D0C121F"/>
    <w:rsid w:val="648D72B7"/>
    <w:rsid w:val="65AF6FBC"/>
    <w:rsid w:val="65D42D38"/>
    <w:rsid w:val="69520EC7"/>
    <w:rsid w:val="6D827276"/>
    <w:rsid w:val="6E917F52"/>
    <w:rsid w:val="6EA76646"/>
    <w:rsid w:val="6F9725DC"/>
    <w:rsid w:val="6FF6016D"/>
    <w:rsid w:val="70D92623"/>
    <w:rsid w:val="70FB4B8D"/>
    <w:rsid w:val="74C631A9"/>
    <w:rsid w:val="789C08F0"/>
    <w:rsid w:val="7C405D6C"/>
    <w:rsid w:val="7C4A57C6"/>
    <w:rsid w:val="7C8C4C85"/>
    <w:rsid w:val="7DD71528"/>
    <w:rsid w:val="7E9767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30"/>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6"/>
    <w:qFormat/>
    <w:uiPriority w:val="0"/>
    <w:pPr>
      <w:keepNext/>
      <w:keepLines/>
      <w:spacing w:before="280" w:after="290" w:line="376" w:lineRule="auto"/>
      <w:outlineLvl w:val="3"/>
    </w:pPr>
    <w:rPr>
      <w:rFonts w:ascii="Cambria" w:hAnsi="Cambria" w:eastAsia="仿宋"/>
      <w:bCs/>
      <w:sz w:val="32"/>
      <w:szCs w:val="28"/>
    </w:rPr>
  </w:style>
  <w:style w:type="character" w:default="1" w:styleId="22">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 w:type="paragraph" w:styleId="5">
    <w:name w:val="No Spacing"/>
    <w:link w:val="27"/>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Body Text First Indent"/>
    <w:basedOn w:val="10"/>
    <w:qFormat/>
    <w:uiPriority w:val="0"/>
    <w:pPr>
      <w:spacing w:before="0" w:beforeAutospacing="0" w:after="120" w:afterAutospacing="0"/>
      <w:ind w:left="0" w:right="0" w:firstLine="420" w:firstLineChars="100"/>
      <w:jc w:val="left"/>
    </w:pPr>
    <w:rPr>
      <w:rFonts w:hint="default" w:ascii="Calibri" w:hAnsi="Calibri" w:eastAsia="宋体" w:cs="宋体"/>
      <w:kern w:val="0"/>
      <w:sz w:val="20"/>
      <w:szCs w:val="20"/>
      <w:lang w:val="en-US" w:eastAsia="zh-CN" w:bidi="ar"/>
    </w:rPr>
  </w:style>
  <w:style w:type="paragraph" w:styleId="10">
    <w:name w:val="Body Text"/>
    <w:basedOn w:val="1"/>
    <w:qFormat/>
    <w:uiPriority w:val="0"/>
    <w:pPr>
      <w:spacing w:before="0" w:beforeAutospacing="0" w:after="120" w:afterAutospacing="0"/>
      <w:ind w:left="0" w:right="0"/>
      <w:jc w:val="left"/>
    </w:pPr>
    <w:rPr>
      <w:rFonts w:hint="eastAsia" w:ascii="宋体" w:hAnsi="宋体" w:eastAsia="宋体" w:cs="宋体"/>
      <w:kern w:val="0"/>
      <w:sz w:val="24"/>
      <w:szCs w:val="24"/>
      <w:lang w:val="en-US" w:eastAsia="zh-CN" w:bidi="ar"/>
    </w:rPr>
  </w:style>
  <w:style w:type="paragraph" w:styleId="11">
    <w:name w:val="Document Map"/>
    <w:basedOn w:val="1"/>
    <w:qFormat/>
    <w:uiPriority w:val="0"/>
    <w:pPr>
      <w:shd w:val="clear" w:color="auto" w:fill="000080"/>
    </w:pPr>
  </w:style>
  <w:style w:type="paragraph" w:styleId="12">
    <w:name w:val="toc 5"/>
    <w:basedOn w:val="1"/>
    <w:next w:val="1"/>
    <w:qFormat/>
    <w:uiPriority w:val="0"/>
    <w:pPr>
      <w:ind w:left="840"/>
      <w:jc w:val="left"/>
    </w:pPr>
    <w:rPr>
      <w:sz w:val="20"/>
      <w:szCs w:val="20"/>
    </w:rPr>
  </w:style>
  <w:style w:type="paragraph" w:styleId="13">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4">
    <w:name w:val="toc 8"/>
    <w:basedOn w:val="1"/>
    <w:next w:val="1"/>
    <w:qFormat/>
    <w:uiPriority w:val="0"/>
    <w:pPr>
      <w:ind w:left="1470"/>
      <w:jc w:val="left"/>
    </w:pPr>
    <w:rPr>
      <w:sz w:val="20"/>
      <w:szCs w:val="20"/>
    </w:rPr>
  </w:style>
  <w:style w:type="paragraph" w:styleId="15">
    <w:name w:val="footer"/>
    <w:basedOn w:val="1"/>
    <w:link w:val="28"/>
    <w:qFormat/>
    <w:uiPriority w:val="0"/>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8">
    <w:name w:val="toc 4"/>
    <w:basedOn w:val="1"/>
    <w:next w:val="1"/>
    <w:qFormat/>
    <w:uiPriority w:val="0"/>
    <w:pPr>
      <w:ind w:left="630"/>
      <w:jc w:val="left"/>
    </w:pPr>
    <w:rPr>
      <w:sz w:val="20"/>
      <w:szCs w:val="20"/>
    </w:rPr>
  </w:style>
  <w:style w:type="paragraph" w:styleId="19">
    <w:name w:val="toc 6"/>
    <w:basedOn w:val="1"/>
    <w:next w:val="1"/>
    <w:qFormat/>
    <w:uiPriority w:val="0"/>
    <w:pPr>
      <w:ind w:left="1050"/>
      <w:jc w:val="left"/>
    </w:pPr>
    <w:rPr>
      <w:sz w:val="20"/>
      <w:szCs w:val="20"/>
    </w:rPr>
  </w:style>
  <w:style w:type="paragraph" w:styleId="20">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21">
    <w:name w:val="toc 9"/>
    <w:basedOn w:val="1"/>
    <w:next w:val="1"/>
    <w:qFormat/>
    <w:uiPriority w:val="0"/>
    <w:pPr>
      <w:ind w:left="1680"/>
      <w:jc w:val="left"/>
    </w:pPr>
    <w:rPr>
      <w:sz w:val="20"/>
      <w:szCs w:val="20"/>
    </w:rPr>
  </w:style>
  <w:style w:type="character" w:styleId="23">
    <w:name w:val="page number"/>
    <w:basedOn w:val="22"/>
    <w:qFormat/>
    <w:uiPriority w:val="0"/>
  </w:style>
  <w:style w:type="character" w:styleId="24">
    <w:name w:val="Hyperlink"/>
    <w:qFormat/>
    <w:uiPriority w:val="0"/>
    <w:rPr>
      <w:rFonts w:ascii="宋体" w:hAnsi="宋体" w:eastAsia="仿宋" w:cs="Times New Roman"/>
      <w:kern w:val="2"/>
      <w:sz w:val="32"/>
      <w:szCs w:val="32"/>
      <w:lang w:val="en-US" w:eastAsia="zh-CN" w:bidi="ar-SA"/>
    </w:rPr>
  </w:style>
  <w:style w:type="character" w:customStyle="1" w:styleId="26">
    <w:name w:val="标题 4 字符"/>
    <w:basedOn w:val="22"/>
    <w:link w:val="7"/>
    <w:qFormat/>
    <w:uiPriority w:val="0"/>
    <w:rPr>
      <w:rFonts w:ascii="Cambria" w:hAnsi="Cambria" w:eastAsia="仿宋"/>
      <w:bCs/>
      <w:kern w:val="2"/>
      <w:sz w:val="32"/>
      <w:szCs w:val="28"/>
    </w:rPr>
  </w:style>
  <w:style w:type="character" w:customStyle="1" w:styleId="27">
    <w:name w:val="无间隔 字符"/>
    <w:link w:val="5"/>
    <w:qFormat/>
    <w:locked/>
    <w:uiPriority w:val="0"/>
    <w:rPr>
      <w:rFonts w:eastAsia="仿宋_GB2312"/>
      <w:sz w:val="30"/>
      <w:szCs w:val="22"/>
      <w:lang w:bidi="ar-SA"/>
    </w:rPr>
  </w:style>
  <w:style w:type="character" w:customStyle="1" w:styleId="28">
    <w:name w:val="页脚 字符"/>
    <w:basedOn w:val="22"/>
    <w:link w:val="15"/>
    <w:qFormat/>
    <w:uiPriority w:val="0"/>
    <w:rPr>
      <w:kern w:val="2"/>
      <w:sz w:val="18"/>
      <w:szCs w:val="18"/>
    </w:rPr>
  </w:style>
  <w:style w:type="paragraph" w:styleId="29">
    <w:name w:val="List Paragraph"/>
    <w:basedOn w:val="1"/>
    <w:qFormat/>
    <w:uiPriority w:val="0"/>
    <w:pPr>
      <w:ind w:firstLine="420" w:firstLineChars="200"/>
    </w:pPr>
  </w:style>
  <w:style w:type="character" w:customStyle="1" w:styleId="30">
    <w:name w:val="标题 3 字符"/>
    <w:basedOn w:val="22"/>
    <w:link w:val="6"/>
    <w:qFormat/>
    <w:uiPriority w:val="0"/>
    <w:rPr>
      <w:rFonts w:eastAsia="仿宋"/>
      <w:bCs/>
      <w:kern w:val="2"/>
      <w:sz w:val="32"/>
      <w:szCs w:val="32"/>
    </w:rPr>
  </w:style>
  <w:style w:type="paragraph" w:customStyle="1" w:styleId="31">
    <w:name w:val="MsoNormal"/>
    <w:basedOn w:val="1"/>
    <w:qFormat/>
    <w:uiPriority w:val="0"/>
  </w:style>
  <w:style w:type="paragraph" w:customStyle="1" w:styleId="32">
    <w:name w:val="p"/>
    <w:basedOn w:val="1"/>
    <w:qFormat/>
    <w:uiPriority w:val="0"/>
  </w:style>
  <w:style w:type="character" w:customStyle="1" w:styleId="33">
    <w:name w:val="15"/>
    <w:basedOn w:val="22"/>
    <w:qFormat/>
    <w:uiPriority w:val="0"/>
  </w:style>
  <w:style w:type="character" w:customStyle="1" w:styleId="34">
    <w:name w:val="20"/>
    <w:basedOn w:val="22"/>
    <w:qFormat/>
    <w:uiPriority w:val="0"/>
    <w:rPr>
      <w:rFonts w:hint="default" w:ascii="Times New Roman" w:eastAsia="楷体_GB2312" w:cs="楷体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45</Pages>
  <Words>1682</Words>
  <Characters>2096</Characters>
  <Lines>1</Lines>
  <Paragraphs>1</Paragraphs>
  <TotalTime>0</TotalTime>
  <ScaleCrop>false</ScaleCrop>
  <LinksUpToDate>false</LinksUpToDate>
  <CharactersWithSpaces>2385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2025-09-16T05:15:03Z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eyJoZGlkIjoiN2I2YTczNGZjODllZTA2YjczNWZhMjhiYjQxZDg4MDAiLCJ1c2VySWQiOiIzODA0NDQzMDgifQ==</vt:lpwstr>
  </property>
</Properties>
</file>