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72"/>
          <w:szCs w:val="72"/>
          <w:highlight w:val="none"/>
        </w:rPr>
      </w:pPr>
      <w:r>
        <w:rPr>
          <w:rFonts w:hint="eastAsia" w:ascii="方正小标宋简体" w:eastAsia="方正小标宋简体"/>
          <w:b/>
          <w:bCs/>
          <w:sz w:val="72"/>
          <w:szCs w:val="72"/>
          <w:highlight w:val="none"/>
          <w:lang w:val="en-US" w:eastAsia="zh-CN"/>
        </w:rPr>
        <w:t>2024</w:t>
      </w:r>
      <w:r>
        <w:rPr>
          <w:rFonts w:hint="eastAsia" w:ascii="方正小标宋简体" w:eastAsia="方正小标宋简体"/>
          <w:b/>
          <w:bCs/>
          <w:sz w:val="72"/>
          <w:szCs w:val="72"/>
          <w:highlight w:val="none"/>
        </w:rPr>
        <w:t>年度</w:t>
      </w:r>
    </w:p>
    <w:p>
      <w:pPr>
        <w:widowControl/>
        <w:jc w:val="center"/>
        <w:rPr>
          <w:rFonts w:hint="eastAsia" w:ascii="方正小标宋简体" w:eastAsia="方正小标宋简体"/>
          <w:b/>
          <w:bCs/>
          <w:sz w:val="72"/>
          <w:szCs w:val="72"/>
          <w:highlight w:val="none"/>
        </w:rPr>
      </w:pPr>
      <w:r>
        <w:rPr>
          <w:rFonts w:hint="eastAsia" w:ascii="方正小标宋简体" w:eastAsia="方正小标宋简体"/>
          <w:b/>
          <w:bCs/>
          <w:sz w:val="72"/>
          <w:szCs w:val="72"/>
          <w:highlight w:val="none"/>
        </w:rPr>
        <w:t>厦门市蔡塘学校</w:t>
      </w:r>
    </w:p>
    <w:p>
      <w:pPr>
        <w:widowControl/>
        <w:jc w:val="center"/>
        <w:rPr>
          <w:rFonts w:hint="eastAsia" w:ascii="方正小标宋简体" w:eastAsia="方正小标宋简体"/>
          <w:b/>
          <w:bCs/>
          <w:sz w:val="72"/>
          <w:szCs w:val="72"/>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72"/>
          <w:szCs w:val="72"/>
          <w:highlight w:val="none"/>
          <w:lang w:val="en-US" w:eastAsia="zh-CN"/>
        </w:rPr>
        <w:t>单位</w:t>
      </w:r>
      <w:r>
        <w:rPr>
          <w:rFonts w:hint="eastAsia" w:ascii="方正小标宋简体" w:eastAsia="方正小标宋简体"/>
          <w:b/>
          <w:bCs/>
          <w:sz w:val="72"/>
          <w:szCs w:val="72"/>
          <w:highlight w:val="none"/>
        </w:rPr>
        <w:t>决算</w:t>
      </w:r>
    </w:p>
    <w:sdt>
      <w:sdtPr>
        <w:rPr>
          <w:rFonts w:hint="eastAsia" w:ascii="仿宋" w:hAnsi="仿宋" w:eastAsia="仿宋" w:cs="仿宋"/>
          <w:b/>
          <w:bCs/>
          <w:kern w:val="0"/>
          <w:sz w:val="44"/>
          <w:szCs w:val="44"/>
          <w:lang w:val="en-US" w:eastAsia="zh-CN"/>
        </w:rPr>
        <w:id w:val="147456983"/>
        <w15:color w:val="DBDBDB"/>
      </w:sdtPr>
      <w:sdtEndPr>
        <w:rPr>
          <w:rFonts w:hint="eastAsia" w:ascii="宋体" w:hAnsi="宋体" w:eastAsia="宋体" w:cs="Times New Roman"/>
          <w:b/>
          <w:bCs/>
          <w:kern w:val="2"/>
          <w:sz w:val="32"/>
          <w:szCs w:val="32"/>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44"/>
              <w:szCs w:val="44"/>
              <w:lang w:val="en-US" w:eastAsia="zh-CN"/>
            </w:rPr>
          </w:pPr>
        </w:p>
        <w:sdt>
          <w:sdtPr>
            <w:rPr>
              <w:rFonts w:ascii="宋体" w:hAnsi="宋体" w:eastAsia="宋体" w:cs="Times New Roman"/>
              <w:kern w:val="2"/>
              <w:sz w:val="44"/>
              <w:szCs w:val="44"/>
              <w:lang w:val="en-US" w:eastAsia="zh-CN" w:bidi="ar-SA"/>
            </w:rPr>
            <w:id w:val="147464910"/>
            <w15:color w:val="DBDBDB"/>
            <w:docPartObj>
              <w:docPartGallery w:val="Table of Contents"/>
              <w:docPartUnique/>
            </w:docPartObj>
          </w:sdtPr>
          <w:sdtEndPr>
            <w:rPr>
              <w:rFonts w:hint="eastAsia" w:ascii="仿宋" w:hAnsi="仿宋" w:eastAsia="仿宋" w:cs="仿宋"/>
              <w:b/>
              <w:bCs/>
              <w:kern w:val="0"/>
              <w:sz w:val="32"/>
              <w:szCs w:val="32"/>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44"/>
                  <w:szCs w:val="44"/>
                </w:rPr>
              </w:pPr>
              <w:r>
                <w:rPr>
                  <w:rFonts w:ascii="宋体" w:hAnsi="宋体" w:eastAsia="宋体"/>
                  <w:sz w:val="44"/>
                  <w:szCs w:val="44"/>
                </w:rPr>
                <w:t>目录</w:t>
              </w:r>
            </w:p>
            <w:p>
              <w:pPr>
                <w:spacing w:before="0" w:beforeLines="0" w:after="0" w:afterLines="0" w:line="240" w:lineRule="auto"/>
                <w:ind w:left="0" w:leftChars="0" w:right="0" w:rightChars="0" w:firstLine="0" w:firstLineChars="0"/>
                <w:jc w:val="center"/>
                <w:rPr>
                  <w:rFonts w:ascii="宋体" w:hAnsi="宋体" w:eastAsia="宋体"/>
                  <w:sz w:val="44"/>
                  <w:szCs w:val="44"/>
                </w:rPr>
              </w:pPr>
            </w:p>
            <w:p>
              <w:pPr>
                <w:pStyle w:val="31"/>
                <w:tabs>
                  <w:tab w:val="right" w:leader="dot" w:pos="10466"/>
                </w:tabs>
                <w:rPr>
                  <w:b/>
                  <w:sz w:val="32"/>
                  <w:szCs w:val="32"/>
                </w:rPr>
              </w:pPr>
              <w:r>
                <w:rPr>
                  <w:rFonts w:hint="eastAsia" w:ascii="仿宋" w:hAnsi="仿宋" w:eastAsia="仿宋" w:cs="仿宋"/>
                  <w:b/>
                  <w:bCs/>
                  <w:kern w:val="0"/>
                  <w:sz w:val="32"/>
                  <w:szCs w:val="32"/>
                  <w:lang w:val="en-US" w:eastAsia="zh-CN"/>
                </w:rPr>
                <w:fldChar w:fldCharType="begin"/>
              </w:r>
              <w:r>
                <w:rPr>
                  <w:rFonts w:hint="eastAsia" w:ascii="仿宋" w:hAnsi="仿宋" w:eastAsia="仿宋" w:cs="仿宋"/>
                  <w:b/>
                  <w:bCs/>
                  <w:kern w:val="0"/>
                  <w:sz w:val="32"/>
                  <w:szCs w:val="32"/>
                  <w:lang w:val="en-US" w:eastAsia="zh-CN"/>
                </w:rPr>
                <w:instrText xml:space="preserve">TOC \o "1-2" \h \u </w:instrText>
              </w:r>
              <w:r>
                <w:rPr>
                  <w:rFonts w:hint="eastAsia" w:ascii="仿宋" w:hAnsi="仿宋" w:eastAsia="仿宋" w:cs="仿宋"/>
                  <w:b/>
                  <w:bCs/>
                  <w:kern w:val="0"/>
                  <w:sz w:val="32"/>
                  <w:szCs w:val="32"/>
                  <w:lang w:val="en-US" w:eastAsia="zh-CN"/>
                </w:rPr>
                <w:fldChar w:fldCharType="separate"/>
              </w:r>
              <w:r>
                <w:rPr>
                  <w:rFonts w:hint="eastAsia" w:ascii="仿宋" w:hAnsi="仿宋" w:eastAsia="仿宋" w:cs="仿宋"/>
                  <w:b/>
                  <w:bCs/>
                  <w:kern w:val="0"/>
                  <w:sz w:val="32"/>
                  <w:szCs w:val="32"/>
                  <w:lang w:val="en-US" w:eastAsia="zh-CN"/>
                </w:rPr>
                <w:fldChar w:fldCharType="begin"/>
              </w:r>
              <w:r>
                <w:rPr>
                  <w:rFonts w:hint="eastAsia" w:ascii="仿宋" w:hAnsi="仿宋" w:eastAsia="仿宋" w:cs="仿宋"/>
                  <w:b/>
                  <w:bCs/>
                  <w:kern w:val="0"/>
                  <w:sz w:val="32"/>
                  <w:szCs w:val="32"/>
                  <w:lang w:val="en-US" w:eastAsia="zh-CN"/>
                </w:rPr>
                <w:instrText xml:space="preserve"> HYPERLINK \l _Toc11128 </w:instrText>
              </w:r>
              <w:r>
                <w:rPr>
                  <w:rFonts w:hint="eastAsia" w:ascii="仿宋" w:hAnsi="仿宋" w:eastAsia="仿宋" w:cs="仿宋"/>
                  <w:b/>
                  <w:bCs/>
                  <w:kern w:val="0"/>
                  <w:sz w:val="32"/>
                  <w:szCs w:val="32"/>
                  <w:lang w:val="en-US" w:eastAsia="zh-CN"/>
                </w:rPr>
                <w:fldChar w:fldCharType="separate"/>
              </w:r>
              <w:r>
                <w:rPr>
                  <w:rFonts w:ascii="黑体" w:hAnsi="黑体" w:eastAsia="黑体" w:cs="黑体"/>
                  <w:b/>
                  <w:spacing w:val="0"/>
                  <w:sz w:val="32"/>
                  <w:szCs w:val="32"/>
                </w:rPr>
                <w:t>第一部分</w:t>
              </w:r>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r>
                <w:rPr>
                  <w:b/>
                  <w:sz w:val="32"/>
                  <w:szCs w:val="32"/>
                </w:rPr>
                <w:tab/>
              </w:r>
              <w:r>
                <w:rPr>
                  <w:b/>
                  <w:sz w:val="32"/>
                  <w:szCs w:val="32"/>
                </w:rPr>
                <w:fldChar w:fldCharType="begin"/>
              </w:r>
              <w:r>
                <w:rPr>
                  <w:b/>
                  <w:sz w:val="32"/>
                  <w:szCs w:val="32"/>
                </w:rPr>
                <w:instrText xml:space="preserve"> PAGEREF _Toc11128 \h </w:instrText>
              </w:r>
              <w:r>
                <w:rPr>
                  <w:b/>
                  <w:sz w:val="32"/>
                  <w:szCs w:val="32"/>
                </w:rPr>
                <w:fldChar w:fldCharType="separate"/>
              </w:r>
              <w:r>
                <w:rPr>
                  <w:b/>
                  <w:sz w:val="32"/>
                  <w:szCs w:val="32"/>
                </w:rPr>
                <w:t>3</w:t>
              </w:r>
              <w:r>
                <w:rPr>
                  <w:b/>
                  <w:sz w:val="32"/>
                  <w:szCs w:val="32"/>
                </w:rPr>
                <w:fldChar w:fldCharType="end"/>
              </w:r>
              <w:r>
                <w:rPr>
                  <w:rFonts w:hint="eastAsia" w:ascii="仿宋" w:hAnsi="仿宋" w:eastAsia="仿宋" w:cs="仿宋"/>
                  <w:b/>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_Toc19132 </w:instrText>
              </w:r>
              <w:r>
                <w:rPr>
                  <w:rFonts w:hint="eastAsia" w:ascii="仿宋" w:hAnsi="仿宋" w:eastAsia="仿宋" w:cs="仿宋"/>
                  <w:bCs/>
                  <w:kern w:val="0"/>
                  <w:sz w:val="32"/>
                  <w:szCs w:val="32"/>
                  <w:lang w:val="en-US" w:eastAsia="zh-CN"/>
                </w:rPr>
                <w:fldChar w:fldCharType="separate"/>
              </w:r>
              <w:r>
                <w:rPr>
                  <w:rFonts w:ascii="Calibri" w:hAnsi="Calibri" w:eastAsia="Calibri" w:cs="Calibri"/>
                  <w:spacing w:val="0"/>
                  <w:sz w:val="32"/>
                  <w:szCs w:val="32"/>
                </w:rPr>
                <w:t> </w:t>
              </w:r>
              <w:r>
                <w:rPr>
                  <w:rFonts w:ascii="黑体" w:hAnsi="黑体" w:eastAsia="黑体" w:cs="黑体"/>
                  <w:spacing w:val="0"/>
                  <w:sz w:val="32"/>
                  <w:szCs w:val="32"/>
                </w:rPr>
                <w:t>一、单位主要职责</w:t>
              </w:r>
              <w:r>
                <w:rPr>
                  <w:sz w:val="32"/>
                  <w:szCs w:val="32"/>
                </w:rPr>
                <w:tab/>
              </w:r>
              <w:r>
                <w:rPr>
                  <w:sz w:val="32"/>
                  <w:szCs w:val="32"/>
                </w:rPr>
                <w:fldChar w:fldCharType="begin"/>
              </w:r>
              <w:r>
                <w:rPr>
                  <w:sz w:val="32"/>
                  <w:szCs w:val="32"/>
                </w:rPr>
                <w:instrText xml:space="preserve"> PAGEREF _Toc19132 \h </w:instrText>
              </w:r>
              <w:r>
                <w:rPr>
                  <w:sz w:val="32"/>
                  <w:szCs w:val="32"/>
                </w:rPr>
                <w:fldChar w:fldCharType="separate"/>
              </w:r>
              <w:r>
                <w:rPr>
                  <w:sz w:val="32"/>
                  <w:szCs w:val="32"/>
                </w:rPr>
                <w:t>4</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_Toc9655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二、单位基本情况</w:t>
              </w:r>
              <w:r>
                <w:rPr>
                  <w:sz w:val="32"/>
                  <w:szCs w:val="32"/>
                </w:rPr>
                <w:tab/>
              </w:r>
              <w:r>
                <w:rPr>
                  <w:sz w:val="32"/>
                  <w:szCs w:val="32"/>
                </w:rPr>
                <w:fldChar w:fldCharType="begin"/>
              </w:r>
              <w:r>
                <w:rPr>
                  <w:sz w:val="32"/>
                  <w:szCs w:val="32"/>
                </w:rPr>
                <w:instrText xml:space="preserve"> PAGEREF _Toc9655 \h </w:instrText>
              </w:r>
              <w:r>
                <w:rPr>
                  <w:sz w:val="32"/>
                  <w:szCs w:val="32"/>
                </w:rPr>
                <w:fldChar w:fldCharType="separate"/>
              </w:r>
              <w:r>
                <w:rPr>
                  <w:sz w:val="32"/>
                  <w:szCs w:val="32"/>
                </w:rPr>
                <w:t>4</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_Toc23392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三、单位主要工作总结</w:t>
              </w:r>
              <w:r>
                <w:rPr>
                  <w:sz w:val="32"/>
                  <w:szCs w:val="32"/>
                </w:rPr>
                <w:tab/>
              </w:r>
              <w:r>
                <w:rPr>
                  <w:sz w:val="32"/>
                  <w:szCs w:val="32"/>
                </w:rPr>
                <w:fldChar w:fldCharType="begin"/>
              </w:r>
              <w:r>
                <w:rPr>
                  <w:sz w:val="32"/>
                  <w:szCs w:val="32"/>
                </w:rPr>
                <w:instrText xml:space="preserve"> PAGEREF _Toc23392 \h </w:instrText>
              </w:r>
              <w:r>
                <w:rPr>
                  <w:sz w:val="32"/>
                  <w:szCs w:val="32"/>
                </w:rPr>
                <w:fldChar w:fldCharType="separate"/>
              </w:r>
              <w:r>
                <w:rPr>
                  <w:sz w:val="32"/>
                  <w:szCs w:val="32"/>
                </w:rPr>
                <w:t>4</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1"/>
                <w:tabs>
                  <w:tab w:val="right" w:leader="dot" w:pos="10466"/>
                </w:tabs>
                <w:rPr>
                  <w:b/>
                  <w:sz w:val="32"/>
                  <w:szCs w:val="32"/>
                </w:rPr>
              </w:pPr>
              <w:r>
                <w:rPr>
                  <w:rFonts w:hint="eastAsia" w:ascii="仿宋" w:hAnsi="仿宋" w:eastAsia="仿宋" w:cs="仿宋"/>
                  <w:b/>
                  <w:bCs/>
                  <w:kern w:val="0"/>
                  <w:sz w:val="32"/>
                  <w:szCs w:val="32"/>
                  <w:lang w:val="en-US" w:eastAsia="zh-CN"/>
                </w:rPr>
                <w:fldChar w:fldCharType="begin"/>
              </w:r>
              <w:r>
                <w:rPr>
                  <w:rFonts w:hint="eastAsia" w:ascii="仿宋" w:hAnsi="仿宋" w:eastAsia="仿宋" w:cs="仿宋"/>
                  <w:b/>
                  <w:bCs/>
                  <w:kern w:val="0"/>
                  <w:sz w:val="32"/>
                  <w:szCs w:val="32"/>
                  <w:lang w:val="en-US" w:eastAsia="zh-CN"/>
                </w:rPr>
                <w:instrText xml:space="preserve"> HYPERLINK \l _Toc21449 </w:instrText>
              </w:r>
              <w:r>
                <w:rPr>
                  <w:rFonts w:hint="eastAsia" w:ascii="仿宋" w:hAnsi="仿宋" w:eastAsia="仿宋" w:cs="仿宋"/>
                  <w:b/>
                  <w:bCs/>
                  <w:kern w:val="0"/>
                  <w:sz w:val="32"/>
                  <w:szCs w:val="32"/>
                  <w:lang w:val="en-US" w:eastAsia="zh-CN"/>
                </w:rPr>
                <w:fldChar w:fldCharType="separate"/>
              </w:r>
              <w:r>
                <w:rPr>
                  <w:rFonts w:hint="eastAsia" w:ascii="黑体" w:hAnsi="黑体" w:eastAsia="黑体" w:cs="黑体"/>
                  <w:b/>
                  <w:spacing w:val="0"/>
                  <w:sz w:val="32"/>
                  <w:szCs w:val="32"/>
                  <w:lang w:eastAsia="zh-CN"/>
                </w:rPr>
                <w:t>第二部分</w:t>
              </w:r>
              <w:r>
                <w:rPr>
                  <w:rFonts w:hint="eastAsia" w:ascii="黑体" w:hAnsi="黑体" w:eastAsia="黑体" w:cs="黑体"/>
                  <w:b/>
                  <w:spacing w:val="0"/>
                  <w:sz w:val="32"/>
                  <w:szCs w:val="32"/>
                  <w:lang w:val="en-US" w:eastAsia="zh-CN"/>
                </w:rPr>
                <w:t xml:space="preserve"> 2024年度决算表</w:t>
              </w:r>
              <w:r>
                <w:rPr>
                  <w:b/>
                  <w:sz w:val="32"/>
                  <w:szCs w:val="32"/>
                </w:rPr>
                <w:tab/>
              </w:r>
              <w:r>
                <w:rPr>
                  <w:b/>
                  <w:sz w:val="32"/>
                  <w:szCs w:val="32"/>
                </w:rPr>
                <w:fldChar w:fldCharType="begin"/>
              </w:r>
              <w:r>
                <w:rPr>
                  <w:b/>
                  <w:sz w:val="32"/>
                  <w:szCs w:val="32"/>
                </w:rPr>
                <w:instrText xml:space="preserve"> PAGEREF _Toc21449 \h </w:instrText>
              </w:r>
              <w:r>
                <w:rPr>
                  <w:b/>
                  <w:sz w:val="32"/>
                  <w:szCs w:val="32"/>
                </w:rPr>
                <w:fldChar w:fldCharType="separate"/>
              </w:r>
              <w:r>
                <w:rPr>
                  <w:b/>
                  <w:sz w:val="32"/>
                  <w:szCs w:val="32"/>
                </w:rPr>
                <w:t>6</w:t>
              </w:r>
              <w:r>
                <w:rPr>
                  <w:b/>
                  <w:sz w:val="32"/>
                  <w:szCs w:val="32"/>
                </w:rPr>
                <w:fldChar w:fldCharType="end"/>
              </w:r>
              <w:r>
                <w:rPr>
                  <w:rFonts w:hint="eastAsia" w:ascii="仿宋" w:hAnsi="仿宋" w:eastAsia="仿宋" w:cs="仿宋"/>
                  <w:b/>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_Toc5845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一、收入</w:t>
              </w:r>
              <w:r>
                <w:rPr>
                  <w:rFonts w:hint="eastAsia" w:ascii="黑体" w:hAnsi="黑体" w:eastAsia="黑体" w:cs="黑体"/>
                  <w:spacing w:val="0"/>
                  <w:sz w:val="32"/>
                  <w:szCs w:val="32"/>
                  <w:lang w:val="en-US" w:eastAsia="zh-CN"/>
                </w:rPr>
                <w:t>支出</w:t>
              </w:r>
              <w:r>
                <w:rPr>
                  <w:rFonts w:ascii="黑体" w:hAnsi="黑体" w:eastAsia="黑体" w:cs="黑体"/>
                  <w:spacing w:val="0"/>
                  <w:sz w:val="32"/>
                  <w:szCs w:val="32"/>
                </w:rPr>
                <w:t>决算表</w:t>
              </w:r>
              <w:r>
                <w:rPr>
                  <w:sz w:val="32"/>
                  <w:szCs w:val="32"/>
                </w:rPr>
                <w:tab/>
              </w:r>
              <w:r>
                <w:rPr>
                  <w:rFonts w:hint="eastAsia"/>
                  <w:sz w:val="32"/>
                  <w:szCs w:val="32"/>
                  <w:lang w:val="en-US" w:eastAsia="zh-CN"/>
                </w:rPr>
                <w:t>5</w:t>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_Toc5845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二、收入决算表</w:t>
              </w:r>
              <w:r>
                <w:rPr>
                  <w:sz w:val="32"/>
                  <w:szCs w:val="32"/>
                </w:rPr>
                <w:tab/>
              </w:r>
              <w:r>
                <w:rPr>
                  <w:sz w:val="32"/>
                  <w:szCs w:val="32"/>
                </w:rPr>
                <w:fldChar w:fldCharType="begin"/>
              </w:r>
              <w:r>
                <w:rPr>
                  <w:sz w:val="32"/>
                  <w:szCs w:val="32"/>
                </w:rPr>
                <w:instrText xml:space="preserve"> PAGEREF _Toc5845 \h </w:instrText>
              </w:r>
              <w:r>
                <w:rPr>
                  <w:sz w:val="32"/>
                  <w:szCs w:val="32"/>
                </w:rPr>
                <w:fldChar w:fldCharType="separate"/>
              </w:r>
              <w:r>
                <w:rPr>
                  <w:sz w:val="32"/>
                  <w:szCs w:val="32"/>
                </w:rPr>
                <w:t>8</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_Toc8079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三、支出决算表</w:t>
              </w:r>
              <w:r>
                <w:rPr>
                  <w:sz w:val="32"/>
                  <w:szCs w:val="32"/>
                </w:rPr>
                <w:tab/>
              </w:r>
              <w:r>
                <w:rPr>
                  <w:sz w:val="32"/>
                  <w:szCs w:val="32"/>
                </w:rPr>
                <w:fldChar w:fldCharType="begin"/>
              </w:r>
              <w:r>
                <w:rPr>
                  <w:sz w:val="32"/>
                  <w:szCs w:val="32"/>
                </w:rPr>
                <w:instrText xml:space="preserve"> PAGEREF _Toc8079 \h </w:instrText>
              </w:r>
              <w:r>
                <w:rPr>
                  <w:sz w:val="32"/>
                  <w:szCs w:val="32"/>
                </w:rPr>
                <w:fldChar w:fldCharType="separate"/>
              </w:r>
              <w:r>
                <w:rPr>
                  <w:sz w:val="32"/>
                  <w:szCs w:val="32"/>
                </w:rPr>
                <w:t>9</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_Toc19382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四、财政拨款收入支出决算总表</w:t>
              </w:r>
              <w:r>
                <w:rPr>
                  <w:sz w:val="32"/>
                  <w:szCs w:val="32"/>
                </w:rPr>
                <w:tab/>
              </w:r>
              <w:r>
                <w:rPr>
                  <w:sz w:val="32"/>
                  <w:szCs w:val="32"/>
                </w:rPr>
                <w:fldChar w:fldCharType="begin"/>
              </w:r>
              <w:r>
                <w:rPr>
                  <w:sz w:val="32"/>
                  <w:szCs w:val="32"/>
                </w:rPr>
                <w:instrText xml:space="preserve"> PAGEREF _Toc19382 \h </w:instrText>
              </w:r>
              <w:r>
                <w:rPr>
                  <w:sz w:val="32"/>
                  <w:szCs w:val="32"/>
                </w:rPr>
                <w:fldChar w:fldCharType="separate"/>
              </w:r>
              <w:r>
                <w:rPr>
                  <w:sz w:val="32"/>
                  <w:szCs w:val="32"/>
                </w:rPr>
                <w:t>10</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_Toc113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五、一般公共预算财政拨款支出决算表</w:t>
              </w:r>
              <w:r>
                <w:rPr>
                  <w:sz w:val="32"/>
                  <w:szCs w:val="32"/>
                </w:rPr>
                <w:tab/>
              </w:r>
              <w:r>
                <w:rPr>
                  <w:sz w:val="32"/>
                  <w:szCs w:val="32"/>
                </w:rPr>
                <w:fldChar w:fldCharType="begin"/>
              </w:r>
              <w:r>
                <w:rPr>
                  <w:sz w:val="32"/>
                  <w:szCs w:val="32"/>
                </w:rPr>
                <w:instrText xml:space="preserve"> PAGEREF _Toc113 \h </w:instrText>
              </w:r>
              <w:r>
                <w:rPr>
                  <w:sz w:val="32"/>
                  <w:szCs w:val="32"/>
                </w:rPr>
                <w:fldChar w:fldCharType="separate"/>
              </w:r>
              <w:r>
                <w:rPr>
                  <w:sz w:val="32"/>
                  <w:szCs w:val="32"/>
                </w:rPr>
                <w:t>11</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_Toc21023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六、一般公共预算财政拨款基本支出决算表</w:t>
              </w:r>
              <w:r>
                <w:rPr>
                  <w:sz w:val="32"/>
                  <w:szCs w:val="32"/>
                </w:rPr>
                <w:tab/>
              </w:r>
              <w:r>
                <w:rPr>
                  <w:sz w:val="32"/>
                  <w:szCs w:val="32"/>
                </w:rPr>
                <w:fldChar w:fldCharType="begin"/>
              </w:r>
              <w:r>
                <w:rPr>
                  <w:sz w:val="32"/>
                  <w:szCs w:val="32"/>
                </w:rPr>
                <w:instrText xml:space="preserve"> PAGEREF _Toc21023 \h </w:instrText>
              </w:r>
              <w:r>
                <w:rPr>
                  <w:sz w:val="32"/>
                  <w:szCs w:val="32"/>
                </w:rPr>
                <w:fldChar w:fldCharType="separate"/>
              </w:r>
              <w:r>
                <w:rPr>
                  <w:sz w:val="32"/>
                  <w:szCs w:val="32"/>
                </w:rPr>
                <w:t>12</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_Toc31526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七、一般公共预算财政拨款“三公”经费支出决算表</w:t>
              </w:r>
              <w:r>
                <w:rPr>
                  <w:sz w:val="32"/>
                  <w:szCs w:val="32"/>
                </w:rPr>
                <w:tab/>
              </w:r>
              <w:r>
                <w:rPr>
                  <w:sz w:val="32"/>
                  <w:szCs w:val="32"/>
                </w:rPr>
                <w:fldChar w:fldCharType="begin"/>
              </w:r>
              <w:r>
                <w:rPr>
                  <w:sz w:val="32"/>
                  <w:szCs w:val="32"/>
                </w:rPr>
                <w:instrText xml:space="preserve"> PAGEREF _Toc31526 \h </w:instrText>
              </w:r>
              <w:r>
                <w:rPr>
                  <w:sz w:val="32"/>
                  <w:szCs w:val="32"/>
                </w:rPr>
                <w:fldChar w:fldCharType="separate"/>
              </w:r>
              <w:r>
                <w:rPr>
                  <w:sz w:val="32"/>
                  <w:szCs w:val="32"/>
                </w:rPr>
                <w:t>13</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_Toc7374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八、政府性基金预算财政拨款收入支出决算表</w:t>
              </w:r>
              <w:r>
                <w:rPr>
                  <w:sz w:val="32"/>
                  <w:szCs w:val="32"/>
                </w:rPr>
                <w:tab/>
              </w:r>
              <w:r>
                <w:rPr>
                  <w:sz w:val="32"/>
                  <w:szCs w:val="32"/>
                </w:rPr>
                <w:fldChar w:fldCharType="begin"/>
              </w:r>
              <w:r>
                <w:rPr>
                  <w:sz w:val="32"/>
                  <w:szCs w:val="32"/>
                </w:rPr>
                <w:instrText xml:space="preserve"> PAGEREF _Toc7374 \h </w:instrText>
              </w:r>
              <w:r>
                <w:rPr>
                  <w:sz w:val="32"/>
                  <w:szCs w:val="32"/>
                </w:rPr>
                <w:fldChar w:fldCharType="separate"/>
              </w:r>
              <w:r>
                <w:rPr>
                  <w:sz w:val="32"/>
                  <w:szCs w:val="32"/>
                </w:rPr>
                <w:t>13</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_Toc15567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九、国有资本经营预算财政拨款支出决算表</w:t>
              </w:r>
              <w:r>
                <w:rPr>
                  <w:sz w:val="32"/>
                  <w:szCs w:val="32"/>
                </w:rPr>
                <w:tab/>
              </w:r>
              <w:r>
                <w:rPr>
                  <w:sz w:val="32"/>
                  <w:szCs w:val="32"/>
                </w:rPr>
                <w:fldChar w:fldCharType="begin"/>
              </w:r>
              <w:r>
                <w:rPr>
                  <w:sz w:val="32"/>
                  <w:szCs w:val="32"/>
                </w:rPr>
                <w:instrText xml:space="preserve"> PAGEREF _Toc15567 \h </w:instrText>
              </w:r>
              <w:r>
                <w:rPr>
                  <w:sz w:val="32"/>
                  <w:szCs w:val="32"/>
                </w:rPr>
                <w:fldChar w:fldCharType="separate"/>
              </w:r>
              <w:r>
                <w:rPr>
                  <w:sz w:val="32"/>
                  <w:szCs w:val="32"/>
                </w:rPr>
                <w:t>13</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1"/>
                <w:tabs>
                  <w:tab w:val="right" w:leader="dot" w:pos="10466"/>
                </w:tabs>
                <w:rPr>
                  <w:b/>
                  <w:sz w:val="32"/>
                  <w:szCs w:val="32"/>
                </w:rPr>
              </w:pPr>
              <w:r>
                <w:rPr>
                  <w:rFonts w:hint="eastAsia" w:ascii="仿宋" w:hAnsi="仿宋" w:eastAsia="仿宋" w:cs="仿宋"/>
                  <w:b/>
                  <w:bCs/>
                  <w:kern w:val="0"/>
                  <w:sz w:val="32"/>
                  <w:szCs w:val="32"/>
                  <w:lang w:val="en-US" w:eastAsia="zh-CN"/>
                </w:rPr>
                <w:fldChar w:fldCharType="begin"/>
              </w:r>
              <w:r>
                <w:rPr>
                  <w:rFonts w:hint="eastAsia" w:ascii="仿宋" w:hAnsi="仿宋" w:eastAsia="仿宋" w:cs="仿宋"/>
                  <w:b/>
                  <w:bCs/>
                  <w:kern w:val="0"/>
                  <w:sz w:val="32"/>
                  <w:szCs w:val="32"/>
                  <w:lang w:val="en-US" w:eastAsia="zh-CN"/>
                </w:rPr>
                <w:instrText xml:space="preserve"> HYPERLINK \l _Toc31824 </w:instrText>
              </w:r>
              <w:r>
                <w:rPr>
                  <w:rFonts w:hint="eastAsia" w:ascii="仿宋" w:hAnsi="仿宋" w:eastAsia="仿宋" w:cs="仿宋"/>
                  <w:b/>
                  <w:bCs/>
                  <w:kern w:val="0"/>
                  <w:sz w:val="32"/>
                  <w:szCs w:val="32"/>
                  <w:lang w:val="en-US" w:eastAsia="zh-CN"/>
                </w:rPr>
                <w:fldChar w:fldCharType="separate"/>
              </w:r>
              <w:r>
                <w:rPr>
                  <w:rFonts w:ascii="黑体" w:hAnsi="黑体" w:eastAsia="黑体" w:cs="黑体"/>
                  <w:b/>
                  <w:spacing w:val="0"/>
                  <w:sz w:val="32"/>
                  <w:szCs w:val="32"/>
                </w:rPr>
                <w:t>第三部分</w:t>
              </w:r>
              <w:r>
                <w:rPr>
                  <w:rFonts w:ascii="宋体" w:hAnsi="宋体" w:eastAsia="宋体" w:cs="宋体"/>
                  <w:b/>
                  <w:spacing w:val="0"/>
                  <w:sz w:val="32"/>
                  <w:szCs w:val="32"/>
                </w:rPr>
                <w:t> </w:t>
              </w:r>
              <w:r>
                <w:rPr>
                  <w:rFonts w:ascii="黑体" w:hAnsi="黑体" w:eastAsia="黑体" w:cs="黑体"/>
                  <w:b/>
                  <w:spacing w:val="0"/>
                  <w:sz w:val="32"/>
                  <w:szCs w:val="32"/>
                </w:rPr>
                <w:t>2024年度决算情况说明</w:t>
              </w:r>
              <w:r>
                <w:rPr>
                  <w:b/>
                  <w:sz w:val="32"/>
                  <w:szCs w:val="32"/>
                </w:rPr>
                <w:tab/>
              </w:r>
              <w:r>
                <w:rPr>
                  <w:b/>
                  <w:sz w:val="32"/>
                  <w:szCs w:val="32"/>
                </w:rPr>
                <w:fldChar w:fldCharType="begin"/>
              </w:r>
              <w:r>
                <w:rPr>
                  <w:b/>
                  <w:sz w:val="32"/>
                  <w:szCs w:val="32"/>
                </w:rPr>
                <w:instrText xml:space="preserve"> PAGEREF _Toc31824 \h </w:instrText>
              </w:r>
              <w:r>
                <w:rPr>
                  <w:b/>
                  <w:sz w:val="32"/>
                  <w:szCs w:val="32"/>
                </w:rPr>
                <w:fldChar w:fldCharType="separate"/>
              </w:r>
              <w:r>
                <w:rPr>
                  <w:b/>
                  <w:sz w:val="32"/>
                  <w:szCs w:val="32"/>
                </w:rPr>
                <w:t>15</w:t>
              </w:r>
              <w:r>
                <w:rPr>
                  <w:b/>
                  <w:sz w:val="32"/>
                  <w:szCs w:val="32"/>
                </w:rPr>
                <w:fldChar w:fldCharType="end"/>
              </w:r>
              <w:r>
                <w:rPr>
                  <w:rFonts w:hint="eastAsia" w:ascii="仿宋" w:hAnsi="仿宋" w:eastAsia="仿宋" w:cs="仿宋"/>
                  <w:b/>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_Toc5101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一、收入支出决算总体情况说明</w:t>
              </w:r>
              <w:r>
                <w:rPr>
                  <w:sz w:val="32"/>
                  <w:szCs w:val="32"/>
                </w:rPr>
                <w:tab/>
              </w:r>
              <w:r>
                <w:rPr>
                  <w:sz w:val="32"/>
                  <w:szCs w:val="32"/>
                </w:rPr>
                <w:fldChar w:fldCharType="begin"/>
              </w:r>
              <w:r>
                <w:rPr>
                  <w:sz w:val="32"/>
                  <w:szCs w:val="32"/>
                </w:rPr>
                <w:instrText xml:space="preserve"> PAGEREF _Toc5101 \h </w:instrText>
              </w:r>
              <w:r>
                <w:rPr>
                  <w:sz w:val="32"/>
                  <w:szCs w:val="32"/>
                </w:rPr>
                <w:fldChar w:fldCharType="separate"/>
              </w:r>
              <w:r>
                <w:rPr>
                  <w:sz w:val="32"/>
                  <w:szCs w:val="32"/>
                </w:rPr>
                <w:t>16</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_Toc27817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二、财政拨款收入支出决算总体情况说明</w:t>
              </w:r>
              <w:r>
                <w:rPr>
                  <w:sz w:val="32"/>
                  <w:szCs w:val="32"/>
                </w:rPr>
                <w:tab/>
              </w:r>
              <w:r>
                <w:rPr>
                  <w:sz w:val="32"/>
                  <w:szCs w:val="32"/>
                </w:rPr>
                <w:fldChar w:fldCharType="begin"/>
              </w:r>
              <w:r>
                <w:rPr>
                  <w:sz w:val="32"/>
                  <w:szCs w:val="32"/>
                </w:rPr>
                <w:instrText xml:space="preserve"> PAGEREF _Toc27817 \h </w:instrText>
              </w:r>
              <w:r>
                <w:rPr>
                  <w:sz w:val="32"/>
                  <w:szCs w:val="32"/>
                </w:rPr>
                <w:fldChar w:fldCharType="separate"/>
              </w:r>
              <w:r>
                <w:rPr>
                  <w:sz w:val="32"/>
                  <w:szCs w:val="32"/>
                </w:rPr>
                <w:t>17</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_Toc24050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三、一般公共预算拨款支出决算情况说明</w:t>
              </w:r>
              <w:r>
                <w:rPr>
                  <w:sz w:val="32"/>
                  <w:szCs w:val="32"/>
                </w:rPr>
                <w:tab/>
              </w:r>
              <w:r>
                <w:rPr>
                  <w:sz w:val="32"/>
                  <w:szCs w:val="32"/>
                </w:rPr>
                <w:fldChar w:fldCharType="begin"/>
              </w:r>
              <w:r>
                <w:rPr>
                  <w:sz w:val="32"/>
                  <w:szCs w:val="32"/>
                </w:rPr>
                <w:instrText xml:space="preserve"> PAGEREF _Toc24050 \h </w:instrText>
              </w:r>
              <w:r>
                <w:rPr>
                  <w:sz w:val="32"/>
                  <w:szCs w:val="32"/>
                </w:rPr>
                <w:fldChar w:fldCharType="separate"/>
              </w:r>
              <w:r>
                <w:rPr>
                  <w:sz w:val="32"/>
                  <w:szCs w:val="32"/>
                </w:rPr>
                <w:t>17</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_Toc18702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四、政府性基金预算财政拨款支出决算情况说明</w:t>
              </w:r>
              <w:r>
                <w:rPr>
                  <w:sz w:val="32"/>
                  <w:szCs w:val="32"/>
                </w:rPr>
                <w:tab/>
              </w:r>
              <w:r>
                <w:rPr>
                  <w:sz w:val="32"/>
                  <w:szCs w:val="32"/>
                </w:rPr>
                <w:fldChar w:fldCharType="begin"/>
              </w:r>
              <w:r>
                <w:rPr>
                  <w:sz w:val="32"/>
                  <w:szCs w:val="32"/>
                </w:rPr>
                <w:instrText xml:space="preserve"> PAGEREF _Toc18702 \h </w:instrText>
              </w:r>
              <w:r>
                <w:rPr>
                  <w:sz w:val="32"/>
                  <w:szCs w:val="32"/>
                </w:rPr>
                <w:fldChar w:fldCharType="separate"/>
              </w:r>
              <w:r>
                <w:rPr>
                  <w:sz w:val="32"/>
                  <w:szCs w:val="32"/>
                </w:rPr>
                <w:t>19</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_Toc30341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五、国有资本经营预算财政拨款支出决算情况说明</w:t>
              </w:r>
              <w:r>
                <w:rPr>
                  <w:sz w:val="32"/>
                  <w:szCs w:val="32"/>
                </w:rPr>
                <w:tab/>
              </w:r>
              <w:r>
                <w:rPr>
                  <w:sz w:val="32"/>
                  <w:szCs w:val="32"/>
                </w:rPr>
                <w:fldChar w:fldCharType="begin"/>
              </w:r>
              <w:r>
                <w:rPr>
                  <w:sz w:val="32"/>
                  <w:szCs w:val="32"/>
                </w:rPr>
                <w:instrText xml:space="preserve"> PAGEREF _Toc30341 \h </w:instrText>
              </w:r>
              <w:r>
                <w:rPr>
                  <w:sz w:val="32"/>
                  <w:szCs w:val="32"/>
                </w:rPr>
                <w:fldChar w:fldCharType="separate"/>
              </w:r>
              <w:r>
                <w:rPr>
                  <w:sz w:val="32"/>
                  <w:szCs w:val="32"/>
                </w:rPr>
                <w:t>19</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_Toc24240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六、一般公共预算财政拨款基本支出决算情况说明</w:t>
              </w:r>
              <w:r>
                <w:rPr>
                  <w:sz w:val="32"/>
                  <w:szCs w:val="32"/>
                </w:rPr>
                <w:tab/>
              </w:r>
              <w:r>
                <w:rPr>
                  <w:sz w:val="32"/>
                  <w:szCs w:val="32"/>
                </w:rPr>
                <w:fldChar w:fldCharType="begin"/>
              </w:r>
              <w:r>
                <w:rPr>
                  <w:sz w:val="32"/>
                  <w:szCs w:val="32"/>
                </w:rPr>
                <w:instrText xml:space="preserve"> PAGEREF _Toc24240 \h </w:instrText>
              </w:r>
              <w:r>
                <w:rPr>
                  <w:sz w:val="32"/>
                  <w:szCs w:val="32"/>
                </w:rPr>
                <w:fldChar w:fldCharType="separate"/>
              </w:r>
              <w:r>
                <w:rPr>
                  <w:sz w:val="32"/>
                  <w:szCs w:val="32"/>
                </w:rPr>
                <w:t>19</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_Toc23980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七、一般公共预算拨款“三公”经费支出决算情况说明</w:t>
              </w:r>
              <w:r>
                <w:rPr>
                  <w:sz w:val="32"/>
                  <w:szCs w:val="32"/>
                </w:rPr>
                <w:tab/>
              </w:r>
              <w:r>
                <w:rPr>
                  <w:sz w:val="32"/>
                  <w:szCs w:val="32"/>
                </w:rPr>
                <w:fldChar w:fldCharType="begin"/>
              </w:r>
              <w:r>
                <w:rPr>
                  <w:sz w:val="32"/>
                  <w:szCs w:val="32"/>
                </w:rPr>
                <w:instrText xml:space="preserve"> PAGEREF _Toc23980 \h </w:instrText>
              </w:r>
              <w:r>
                <w:rPr>
                  <w:sz w:val="32"/>
                  <w:szCs w:val="32"/>
                </w:rPr>
                <w:fldChar w:fldCharType="separate"/>
              </w:r>
              <w:r>
                <w:rPr>
                  <w:sz w:val="32"/>
                  <w:szCs w:val="32"/>
                </w:rPr>
                <w:t>20</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_Toc24239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八、预算绩效情况说明</w:t>
              </w:r>
              <w:r>
                <w:rPr>
                  <w:sz w:val="32"/>
                  <w:szCs w:val="32"/>
                </w:rPr>
                <w:tab/>
              </w:r>
              <w:r>
                <w:rPr>
                  <w:sz w:val="32"/>
                  <w:szCs w:val="32"/>
                </w:rPr>
                <w:fldChar w:fldCharType="begin"/>
              </w:r>
              <w:r>
                <w:rPr>
                  <w:sz w:val="32"/>
                  <w:szCs w:val="32"/>
                </w:rPr>
                <w:instrText xml:space="preserve"> PAGEREF _Toc24239 \h </w:instrText>
              </w:r>
              <w:r>
                <w:rPr>
                  <w:sz w:val="32"/>
                  <w:szCs w:val="32"/>
                </w:rPr>
                <w:fldChar w:fldCharType="separate"/>
              </w:r>
              <w:r>
                <w:rPr>
                  <w:sz w:val="32"/>
                  <w:szCs w:val="32"/>
                </w:rPr>
                <w:t>21</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2"/>
                <w:tabs>
                  <w:tab w:val="right" w:leader="dot" w:pos="10466"/>
                </w:tabs>
                <w:rPr>
                  <w:sz w:val="32"/>
                  <w:szCs w:val="32"/>
                </w:rPr>
              </w:pPr>
              <w:r>
                <w:rPr>
                  <w:rFonts w:hint="eastAsia" w:ascii="仿宋" w:hAnsi="仿宋" w:eastAsia="仿宋" w:cs="仿宋"/>
                  <w:bCs/>
                  <w:kern w:val="0"/>
                  <w:sz w:val="32"/>
                  <w:szCs w:val="32"/>
                  <w:lang w:val="en-US" w:eastAsia="zh-CN"/>
                </w:rPr>
                <w:fldChar w:fldCharType="begin"/>
              </w:r>
              <w:r>
                <w:rPr>
                  <w:rFonts w:hint="eastAsia" w:ascii="仿宋" w:hAnsi="仿宋" w:eastAsia="仿宋" w:cs="仿宋"/>
                  <w:bCs/>
                  <w:kern w:val="0"/>
                  <w:sz w:val="32"/>
                  <w:szCs w:val="32"/>
                  <w:lang w:val="en-US" w:eastAsia="zh-CN"/>
                </w:rPr>
                <w:instrText xml:space="preserve"> HYPERLINK \l _Toc13430 </w:instrText>
              </w:r>
              <w:r>
                <w:rPr>
                  <w:rFonts w:hint="eastAsia" w:ascii="仿宋" w:hAnsi="仿宋" w:eastAsia="仿宋" w:cs="仿宋"/>
                  <w:bCs/>
                  <w:kern w:val="0"/>
                  <w:sz w:val="32"/>
                  <w:szCs w:val="32"/>
                  <w:lang w:val="en-US" w:eastAsia="zh-CN"/>
                </w:rPr>
                <w:fldChar w:fldCharType="separate"/>
              </w:r>
              <w:r>
                <w:rPr>
                  <w:rFonts w:ascii="黑体" w:hAnsi="黑体" w:eastAsia="黑体" w:cs="黑体"/>
                  <w:spacing w:val="0"/>
                  <w:sz w:val="32"/>
                  <w:szCs w:val="32"/>
                </w:rPr>
                <w:t>九、其他重要事项说明</w:t>
              </w:r>
              <w:r>
                <w:rPr>
                  <w:sz w:val="32"/>
                  <w:szCs w:val="32"/>
                </w:rPr>
                <w:tab/>
              </w:r>
              <w:r>
                <w:rPr>
                  <w:sz w:val="32"/>
                  <w:szCs w:val="32"/>
                </w:rPr>
                <w:fldChar w:fldCharType="begin"/>
              </w:r>
              <w:r>
                <w:rPr>
                  <w:sz w:val="32"/>
                  <w:szCs w:val="32"/>
                </w:rPr>
                <w:instrText xml:space="preserve"> PAGEREF _Toc13430 \h </w:instrText>
              </w:r>
              <w:r>
                <w:rPr>
                  <w:sz w:val="32"/>
                  <w:szCs w:val="32"/>
                </w:rPr>
                <w:fldChar w:fldCharType="separate"/>
              </w:r>
              <w:r>
                <w:rPr>
                  <w:sz w:val="32"/>
                  <w:szCs w:val="32"/>
                </w:rPr>
                <w:t>21</w:t>
              </w:r>
              <w:r>
                <w:rPr>
                  <w:sz w:val="32"/>
                  <w:szCs w:val="32"/>
                </w:rPr>
                <w:fldChar w:fldCharType="end"/>
              </w:r>
              <w:r>
                <w:rPr>
                  <w:rFonts w:hint="eastAsia" w:ascii="仿宋" w:hAnsi="仿宋" w:eastAsia="仿宋" w:cs="仿宋"/>
                  <w:bCs/>
                  <w:kern w:val="0"/>
                  <w:sz w:val="32"/>
                  <w:szCs w:val="32"/>
                  <w:lang w:val="en-US" w:eastAsia="zh-CN"/>
                </w:rPr>
                <w:fldChar w:fldCharType="end"/>
              </w:r>
            </w:p>
            <w:p>
              <w:pPr>
                <w:pStyle w:val="31"/>
                <w:tabs>
                  <w:tab w:val="right" w:leader="dot" w:pos="10466"/>
                </w:tabs>
                <w:rPr>
                  <w:b/>
                  <w:sz w:val="32"/>
                  <w:szCs w:val="32"/>
                </w:rPr>
              </w:pPr>
              <w:r>
                <w:rPr>
                  <w:rFonts w:hint="eastAsia" w:ascii="仿宋" w:hAnsi="仿宋" w:eastAsia="仿宋" w:cs="仿宋"/>
                  <w:b/>
                  <w:bCs/>
                  <w:kern w:val="0"/>
                  <w:sz w:val="32"/>
                  <w:szCs w:val="32"/>
                  <w:lang w:val="en-US" w:eastAsia="zh-CN"/>
                </w:rPr>
                <w:fldChar w:fldCharType="begin"/>
              </w:r>
              <w:r>
                <w:rPr>
                  <w:rFonts w:hint="eastAsia" w:ascii="仿宋" w:hAnsi="仿宋" w:eastAsia="仿宋" w:cs="仿宋"/>
                  <w:b/>
                  <w:bCs/>
                  <w:kern w:val="0"/>
                  <w:sz w:val="32"/>
                  <w:szCs w:val="32"/>
                  <w:lang w:val="en-US" w:eastAsia="zh-CN"/>
                </w:rPr>
                <w:instrText xml:space="preserve"> HYPERLINK \l _Toc28828 </w:instrText>
              </w:r>
              <w:r>
                <w:rPr>
                  <w:rFonts w:hint="eastAsia" w:ascii="仿宋" w:hAnsi="仿宋" w:eastAsia="仿宋" w:cs="仿宋"/>
                  <w:b/>
                  <w:bCs/>
                  <w:kern w:val="0"/>
                  <w:sz w:val="32"/>
                  <w:szCs w:val="32"/>
                  <w:lang w:val="en-US" w:eastAsia="zh-CN"/>
                </w:rPr>
                <w:fldChar w:fldCharType="separate"/>
              </w:r>
              <w:r>
                <w:rPr>
                  <w:rFonts w:ascii="黑体" w:hAnsi="黑体" w:eastAsia="黑体" w:cs="黑体"/>
                  <w:b/>
                  <w:spacing w:val="0"/>
                  <w:sz w:val="32"/>
                  <w:szCs w:val="32"/>
                </w:rPr>
                <w:t>第四部分</w:t>
              </w:r>
              <w:r>
                <w:rPr>
                  <w:rFonts w:ascii="宋体" w:hAnsi="宋体" w:eastAsia="宋体" w:cs="宋体"/>
                  <w:b/>
                  <w:spacing w:val="0"/>
                  <w:sz w:val="32"/>
                  <w:szCs w:val="32"/>
                </w:rPr>
                <w:t> </w:t>
              </w:r>
              <w:r>
                <w:rPr>
                  <w:rFonts w:ascii="黑体" w:hAnsi="黑体" w:eastAsia="黑体" w:cs="黑体"/>
                  <w:b/>
                  <w:spacing w:val="0"/>
                  <w:sz w:val="32"/>
                  <w:szCs w:val="32"/>
                </w:rPr>
                <w:t>名词解释</w:t>
              </w:r>
              <w:r>
                <w:rPr>
                  <w:b/>
                  <w:sz w:val="32"/>
                  <w:szCs w:val="32"/>
                </w:rPr>
                <w:tab/>
              </w:r>
              <w:r>
                <w:rPr>
                  <w:b/>
                  <w:sz w:val="32"/>
                  <w:szCs w:val="32"/>
                </w:rPr>
                <w:fldChar w:fldCharType="begin"/>
              </w:r>
              <w:r>
                <w:rPr>
                  <w:b/>
                  <w:sz w:val="32"/>
                  <w:szCs w:val="32"/>
                </w:rPr>
                <w:instrText xml:space="preserve"> PAGEREF _Toc28828 \h </w:instrText>
              </w:r>
              <w:r>
                <w:rPr>
                  <w:b/>
                  <w:sz w:val="32"/>
                  <w:szCs w:val="32"/>
                </w:rPr>
                <w:fldChar w:fldCharType="separate"/>
              </w:r>
              <w:r>
                <w:rPr>
                  <w:b/>
                  <w:sz w:val="32"/>
                  <w:szCs w:val="32"/>
                </w:rPr>
                <w:t>23</w:t>
              </w:r>
              <w:r>
                <w:rPr>
                  <w:b/>
                  <w:sz w:val="32"/>
                  <w:szCs w:val="32"/>
                </w:rPr>
                <w:fldChar w:fldCharType="end"/>
              </w:r>
              <w:r>
                <w:rPr>
                  <w:rFonts w:hint="eastAsia" w:ascii="仿宋" w:hAnsi="仿宋" w:eastAsia="仿宋" w:cs="仿宋"/>
                  <w:b/>
                  <w:bCs/>
                  <w:kern w:val="0"/>
                  <w:sz w:val="32"/>
                  <w:szCs w:val="32"/>
                  <w:lang w:val="en-US" w:eastAsia="zh-CN"/>
                </w:rPr>
                <w:fldChar w:fldCharType="end"/>
              </w:r>
            </w:p>
            <w:p>
              <w:pPr>
                <w:pStyle w:val="31"/>
                <w:tabs>
                  <w:tab w:val="right" w:leader="dot" w:pos="10466"/>
                </w:tabs>
                <w:rPr>
                  <w:b/>
                  <w:sz w:val="32"/>
                  <w:szCs w:val="32"/>
                </w:rPr>
              </w:pPr>
              <w:r>
                <w:rPr>
                  <w:rFonts w:hint="eastAsia" w:ascii="仿宋" w:hAnsi="仿宋" w:eastAsia="仿宋" w:cs="仿宋"/>
                  <w:b/>
                  <w:bCs/>
                  <w:kern w:val="0"/>
                  <w:sz w:val="32"/>
                  <w:szCs w:val="32"/>
                  <w:lang w:val="en-US" w:eastAsia="zh-CN"/>
                </w:rPr>
                <w:fldChar w:fldCharType="begin"/>
              </w:r>
              <w:r>
                <w:rPr>
                  <w:rFonts w:hint="eastAsia" w:ascii="仿宋" w:hAnsi="仿宋" w:eastAsia="仿宋" w:cs="仿宋"/>
                  <w:b/>
                  <w:bCs/>
                  <w:kern w:val="0"/>
                  <w:sz w:val="32"/>
                  <w:szCs w:val="32"/>
                  <w:lang w:val="en-US" w:eastAsia="zh-CN"/>
                </w:rPr>
                <w:instrText xml:space="preserve"> HYPERLINK \l _Toc27623 </w:instrText>
              </w:r>
              <w:r>
                <w:rPr>
                  <w:rFonts w:hint="eastAsia" w:ascii="仿宋" w:hAnsi="仿宋" w:eastAsia="仿宋" w:cs="仿宋"/>
                  <w:b/>
                  <w:bCs/>
                  <w:kern w:val="0"/>
                  <w:sz w:val="32"/>
                  <w:szCs w:val="32"/>
                  <w:lang w:val="en-US" w:eastAsia="zh-CN"/>
                </w:rPr>
                <w:fldChar w:fldCharType="separate"/>
              </w:r>
              <w:r>
                <w:rPr>
                  <w:rFonts w:ascii="黑体" w:hAnsi="黑体" w:eastAsia="黑体" w:cs="黑体"/>
                  <w:b/>
                  <w:sz w:val="32"/>
                  <w:szCs w:val="32"/>
                </w:rPr>
                <w:t>第五部分</w:t>
              </w:r>
              <w:r>
                <w:rPr>
                  <w:rFonts w:ascii="Calibri" w:hAnsi="Calibri" w:eastAsia="Calibri" w:cs="Calibri"/>
                  <w:b/>
                  <w:sz w:val="32"/>
                  <w:szCs w:val="32"/>
                </w:rPr>
                <w:t> </w:t>
              </w:r>
              <w:r>
                <w:rPr>
                  <w:rFonts w:ascii="黑体" w:hAnsi="黑体" w:eastAsia="黑体" w:cs="黑体"/>
                  <w:b/>
                  <w:sz w:val="32"/>
                  <w:szCs w:val="32"/>
                </w:rPr>
                <w:t>附件</w:t>
              </w:r>
              <w:r>
                <w:rPr>
                  <w:b/>
                  <w:sz w:val="32"/>
                  <w:szCs w:val="32"/>
                </w:rPr>
                <w:tab/>
              </w:r>
              <w:r>
                <w:rPr>
                  <w:b/>
                  <w:sz w:val="32"/>
                  <w:szCs w:val="32"/>
                </w:rPr>
                <w:fldChar w:fldCharType="begin"/>
              </w:r>
              <w:r>
                <w:rPr>
                  <w:b/>
                  <w:sz w:val="32"/>
                  <w:szCs w:val="32"/>
                </w:rPr>
                <w:instrText xml:space="preserve"> PAGEREF _Toc27623 \h </w:instrText>
              </w:r>
              <w:r>
                <w:rPr>
                  <w:b/>
                  <w:sz w:val="32"/>
                  <w:szCs w:val="32"/>
                </w:rPr>
                <w:fldChar w:fldCharType="separate"/>
              </w:r>
              <w:r>
                <w:rPr>
                  <w:b/>
                  <w:sz w:val="32"/>
                  <w:szCs w:val="32"/>
                </w:rPr>
                <w:t>25</w:t>
              </w:r>
              <w:r>
                <w:rPr>
                  <w:b/>
                  <w:sz w:val="32"/>
                  <w:szCs w:val="32"/>
                </w:rPr>
                <w:fldChar w:fldCharType="end"/>
              </w:r>
              <w:r>
                <w:rPr>
                  <w:rFonts w:hint="eastAsia" w:ascii="仿宋" w:hAnsi="仿宋" w:eastAsia="仿宋" w:cs="仿宋"/>
                  <w:b/>
                  <w:bCs/>
                  <w:kern w:val="0"/>
                  <w:sz w:val="32"/>
                  <w:szCs w:val="32"/>
                  <w:lang w:val="en-US" w:eastAsia="zh-CN"/>
                </w:rPr>
                <w:fldChar w:fldCharType="end"/>
              </w:r>
            </w:p>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rPr>
                <w:fldChar w:fldCharType="end"/>
              </w:r>
            </w:p>
          </w:sdtContent>
        </w:sd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lang w:val="en-US" w:eastAsia="zh-CN" w:bidi="ar-SA"/>
            </w:rPr>
          </w:pPr>
        </w:p>
        <w:p>
          <w:pPr>
            <w:adjustRightInd w:val="0"/>
            <w:snapToGrid w:val="0"/>
            <w:rPr>
              <w:rFonts w:hint="eastAsia" w:ascii="宋体" w:hAnsi="宋体" w:eastAsia="宋体" w:cs="Times New Roman"/>
              <w:b/>
              <w:bCs/>
              <w:kern w:val="2"/>
              <w:sz w:val="32"/>
              <w:szCs w:val="32"/>
              <w:lang w:val="en-US" w:eastAsia="zh-CN" w:bidi="ar-SA"/>
            </w:rPr>
          </w:pPr>
          <w:bookmarkStart w:id="0" w:name="a000"/>
        </w:p>
      </w:sdtContent>
    </w:sdt>
    <w:p>
      <w:pPr>
        <w:widowControl/>
        <w:tabs>
          <w:tab w:val="left" w:pos="8400"/>
        </w:tabs>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bookmarkStart w:id="1" w:name="_Toc11128"/>
      <w:bookmarkStart w:id="2" w:name="_Toc22286"/>
      <w:bookmarkStart w:id="3" w:name="_Toc28162"/>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44"/>
          <w:szCs w:val="44"/>
        </w:rPr>
      </w:pPr>
    </w:p>
    <w:p>
      <w:pPr>
        <w:pStyle w:val="3"/>
        <w:keepNext w:val="0"/>
        <w:keepLines w:val="0"/>
        <w:spacing w:before="100" w:after="100" w:line="240" w:lineRule="auto"/>
        <w:ind w:left="0" w:right="0" w:firstLine="0" w:firstLineChars="0"/>
        <w:jc w:val="center"/>
        <w:outlineLvl w:val="0"/>
        <w:rPr>
          <w:rFonts w:hint="eastAsia" w:ascii="黑体" w:hAnsi="黑体" w:eastAsia="黑体" w:cs="黑体"/>
          <w:b/>
          <w:spacing w:val="0"/>
          <w:sz w:val="44"/>
          <w:szCs w:val="44"/>
          <w:lang w:val="en-US" w:eastAsia="zh-CN"/>
        </w:rPr>
      </w:pPr>
      <w:r>
        <w:rPr>
          <w:rFonts w:ascii="黑体" w:hAnsi="黑体" w:eastAsia="黑体" w:cs="黑体"/>
          <w:b/>
          <w:spacing w:val="0"/>
          <w:sz w:val="44"/>
          <w:szCs w:val="44"/>
        </w:rPr>
        <w:t>第一部分</w:t>
      </w:r>
      <w:r>
        <w:rPr>
          <w:rFonts w:hint="eastAsia" w:ascii="黑体" w:hAnsi="黑体" w:eastAsia="黑体" w:cs="黑体"/>
          <w:b/>
          <w:spacing w:val="0"/>
          <w:sz w:val="44"/>
          <w:szCs w:val="44"/>
          <w:lang w:val="en-US" w:eastAsia="zh-CN"/>
        </w:rPr>
        <w:t xml:space="preserve"> </w:t>
      </w:r>
    </w:p>
    <w:p>
      <w:pPr>
        <w:pStyle w:val="3"/>
        <w:keepNext w:val="0"/>
        <w:keepLines w:val="0"/>
        <w:spacing w:before="100" w:after="100" w:line="240" w:lineRule="auto"/>
        <w:ind w:left="0" w:right="0" w:firstLine="0" w:firstLineChars="0"/>
        <w:jc w:val="center"/>
        <w:outlineLvl w:val="0"/>
        <w:rPr>
          <w:rFonts w:ascii="Times New Roman" w:hAnsi="Times New Roman" w:eastAsia="Times New Roman" w:cs="Times New Roman"/>
          <w:b/>
          <w:bCs/>
          <w:kern w:val="0"/>
          <w:sz w:val="48"/>
          <w:szCs w:val="48"/>
        </w:rPr>
      </w:pPr>
      <w:r>
        <w:rPr>
          <w:rFonts w:ascii="黑体" w:hAnsi="黑体" w:eastAsia="黑体" w:cs="黑体"/>
          <w:b/>
          <w:spacing w:val="0"/>
          <w:sz w:val="44"/>
          <w:szCs w:val="44"/>
        </w:rPr>
        <w:t>单位概况</w:t>
      </w:r>
      <w:bookmarkEnd w:id="1"/>
      <w:bookmarkEnd w:id="2"/>
      <w:bookmarkEnd w:id="3"/>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widowControl/>
        <w:spacing w:before="240" w:after="240"/>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outlineLvl w:val="1"/>
        <w:rPr>
          <w:rFonts w:ascii="Times New Roman" w:hAnsi="Times New Roman" w:eastAsia="Times New Roman" w:cs="Times New Roman"/>
          <w:b/>
          <w:bCs/>
          <w:kern w:val="0"/>
          <w:sz w:val="28"/>
          <w:szCs w:val="28"/>
        </w:rPr>
      </w:pPr>
      <w:bookmarkStart w:id="4" w:name="_Toc19132"/>
      <w:bookmarkStart w:id="5" w:name="_Toc18447"/>
      <w:r>
        <w:rPr>
          <w:rFonts w:ascii="Calibri" w:hAnsi="Calibri" w:eastAsia="Calibri" w:cs="Calibri"/>
          <w:b/>
          <w:spacing w:val="0"/>
        </w:rPr>
        <w:t> </w:t>
      </w:r>
      <w:r>
        <w:rPr>
          <w:rFonts w:ascii="黑体" w:hAnsi="黑体" w:eastAsia="黑体" w:cs="黑体"/>
          <w:b/>
          <w:spacing w:val="0"/>
        </w:rPr>
        <w:t xml:space="preserve"> </w:t>
      </w:r>
      <w:r>
        <w:rPr>
          <w:rFonts w:ascii="Calibri" w:hAnsi="Calibri" w:eastAsia="Calibri" w:cs="Calibri"/>
          <w:b/>
          <w:spacing w:val="0"/>
        </w:rPr>
        <w:t> </w:t>
      </w:r>
      <w:r>
        <w:rPr>
          <w:rFonts w:ascii="黑体" w:hAnsi="黑体" w:eastAsia="黑体" w:cs="黑体"/>
          <w:b/>
          <w:spacing w:val="0"/>
        </w:rPr>
        <w:t xml:space="preserve"> </w:t>
      </w:r>
      <w:bookmarkStart w:id="6" w:name="_Toc256000002"/>
      <w:bookmarkStart w:id="7" w:name="_Toc256000064"/>
      <w:bookmarkStart w:id="8" w:name="_Toc256000033"/>
      <w:r>
        <w:rPr>
          <w:rFonts w:ascii="黑体" w:hAnsi="黑体" w:eastAsia="黑体" w:cs="黑体"/>
          <w:b/>
          <w:spacing w:val="0"/>
        </w:rPr>
        <w:t>一、单位主要职责</w:t>
      </w:r>
      <w:bookmarkEnd w:id="4"/>
      <w:bookmarkEnd w:id="5"/>
      <w:bookmarkEnd w:id="6"/>
      <w:bookmarkEnd w:id="7"/>
      <w:bookmarkEnd w:id="8"/>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厦门市蔡塘学校单位的主要职责是：</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（1）贯彻执行国家的教育方针、政策，在法律法规范围内管理好我校的教育工作、承担义务教育小学阶段、初中阶段的教育教学，促进基础教育发展。</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（2）实施发展规划，拟订年度工作计划、财务预算和学校规章制度。</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（3）组织教育教学、教科研活动，保证教育教学质量。</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 xml:space="preserve"> (4）坚持依法办学，遵守学校章程，维护学校利益。</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（5）合理配置学校“人、财、物、信息”资源，有效行使学校重大事项和重大改革措施的决策权。</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（6）及时向上级教育行政部门汇报学校工作。</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rPr>
        <w:t>（7）维护教职工利益，保障教职工合法权益。</w:t>
      </w:r>
    </w:p>
    <w:p>
      <w:pPr>
        <w:pStyle w:val="5"/>
        <w:keepNext w:val="0"/>
        <w:keepLines w:val="0"/>
        <w:spacing w:before="100" w:after="100" w:line="600" w:lineRule="atLeast"/>
        <w:ind w:left="0" w:right="0" w:firstLine="640" w:firstLineChars="0"/>
        <w:outlineLvl w:val="9"/>
        <w:rPr>
          <w:rFonts w:ascii="黑体" w:hAnsi="黑体" w:eastAsia="黑体" w:cs="黑体"/>
          <w:b/>
          <w:spacing w:val="0"/>
        </w:rPr>
      </w:pPr>
      <w:bookmarkStart w:id="9" w:name="_Toc256000003"/>
      <w:bookmarkStart w:id="10" w:name="_Toc256000065"/>
      <w:bookmarkStart w:id="11" w:name="_Toc256000034"/>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12" w:name="_Toc20005"/>
      <w:bookmarkStart w:id="13" w:name="_Toc9655"/>
      <w:bookmarkStart w:id="14" w:name="_Toc17682"/>
      <w:r>
        <w:rPr>
          <w:rFonts w:ascii="黑体" w:hAnsi="黑体" w:eastAsia="黑体" w:cs="黑体"/>
          <w:b/>
          <w:spacing w:val="0"/>
        </w:rPr>
        <w:t>二、单位基本情况</w:t>
      </w:r>
      <w:bookmarkEnd w:id="9"/>
      <w:bookmarkEnd w:id="10"/>
      <w:bookmarkEnd w:id="11"/>
      <w:bookmarkEnd w:id="12"/>
      <w:bookmarkEnd w:id="13"/>
      <w:bookmarkEnd w:id="14"/>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7</w:t>
      </w:r>
      <w:r>
        <w:rPr>
          <w:rFonts w:ascii="仿宋" w:hAnsi="仿宋" w:eastAsia="仿宋" w:cs="仿宋"/>
          <w:spacing w:val="0"/>
          <w:kern w:val="0"/>
          <w:sz w:val="32"/>
          <w:szCs w:val="32"/>
        </w:rPr>
        <w:t>个内设机构，其中：列入2024年决算编制范围的单位详细情况见下表:</w:t>
      </w:r>
    </w:p>
    <w:tbl>
      <w:tblPr>
        <w:tblStyle w:val="22"/>
        <w:tblW w:w="10510" w:type="dxa"/>
        <w:tblInd w:w="30" w:type="dxa"/>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
      <w:tblGrid>
        <w:gridCol w:w="3665"/>
        <w:gridCol w:w="6845"/>
      </w:tblGrid>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PrEx>
        <w:trPr>
          <w:tblHeader/>
        </w:trPr>
        <w:tc>
          <w:tcPr>
            <w:tcW w:w="3665" w:type="dxa"/>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32"/>
                <w:szCs w:val="32"/>
              </w:rPr>
            </w:pPr>
            <w:r>
              <w:rPr>
                <w:rFonts w:ascii="仿宋" w:hAnsi="仿宋" w:eastAsia="仿宋" w:cs="仿宋"/>
                <w:b/>
                <w:bCs/>
                <w:i w:val="0"/>
                <w:iCs w:val="0"/>
                <w:smallCaps w:val="0"/>
                <w:color w:val="000000"/>
                <w:spacing w:val="0"/>
                <w:kern w:val="0"/>
                <w:sz w:val="32"/>
                <w:szCs w:val="32"/>
              </w:rPr>
              <w:t>序号</w:t>
            </w:r>
          </w:p>
        </w:tc>
        <w:tc>
          <w:tcPr>
            <w:tcW w:w="6845" w:type="dxa"/>
            <w:tcMar>
              <w:top w:w="22" w:type="dxa"/>
              <w:left w:w="22" w:type="dxa"/>
              <w:bottom w:w="22" w:type="dxa"/>
              <w:right w:w="22" w:type="dxa"/>
            </w:tcMar>
            <w:vAlign w:val="center"/>
          </w:tcPr>
          <w:p>
            <w:pPr>
              <w:widowControl/>
              <w:ind w:firstLine="640"/>
              <w:jc w:val="center"/>
              <w:rPr>
                <w:rFonts w:ascii="仿宋" w:hAnsi="仿宋" w:eastAsia="仿宋" w:cs="仿宋"/>
                <w:b/>
                <w:bCs/>
                <w:i w:val="0"/>
                <w:iCs w:val="0"/>
                <w:smallCaps w:val="0"/>
                <w:color w:val="000000"/>
                <w:spacing w:val="0"/>
                <w:kern w:val="0"/>
                <w:sz w:val="32"/>
                <w:szCs w:val="32"/>
              </w:rPr>
            </w:pPr>
            <w:r>
              <w:rPr>
                <w:rFonts w:ascii="仿宋" w:hAnsi="仿宋" w:eastAsia="仿宋" w:cs="仿宋"/>
                <w:b/>
                <w:bCs/>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single" w:color="auto" w:sz="4" w:space="0"/>
            <w:insideV w:val="single" w:color="auto" w:sz="4" w:space="0"/>
          </w:tblBorders>
          <w:tblLayout w:type="fixed"/>
          <w:tblCellMar>
            <w:top w:w="15" w:type="dxa"/>
            <w:left w:w="15" w:type="dxa"/>
            <w:bottom w:w="15" w:type="dxa"/>
            <w:right w:w="15" w:type="dxa"/>
          </w:tblCellMar>
        </w:tblPrEx>
        <w:trPr>
          <w:tblHeader/>
        </w:trPr>
        <w:tc>
          <w:tcPr>
            <w:tcW w:w="3665" w:type="dxa"/>
            <w:shd w:val="clear" w:color="auto" w:fill="auto"/>
            <w:tcMar>
              <w:top w:w="22" w:type="dxa"/>
              <w:left w:w="22" w:type="dxa"/>
              <w:bottom w:w="22" w:type="dxa"/>
              <w:right w:w="22" w:type="dxa"/>
            </w:tcMar>
            <w:vAlign w:val="center"/>
          </w:tcPr>
          <w:p>
            <w:pPr>
              <w:widowControl/>
              <w:ind w:firstLine="640" w:firstLineChars="0"/>
              <w:jc w:val="center"/>
              <w:rPr>
                <w:rFonts w:hint="eastAsia" w:ascii="仿宋" w:hAnsi="仿宋" w:eastAsia="仿宋" w:cs="仿宋"/>
                <w:b w:val="0"/>
                <w:bCs w:val="0"/>
                <w:i w:val="0"/>
                <w:iCs w:val="0"/>
                <w:smallCaps w:val="0"/>
                <w:color w:val="000000"/>
                <w:spacing w:val="0"/>
                <w:kern w:val="0"/>
                <w:sz w:val="32"/>
                <w:szCs w:val="32"/>
                <w:lang w:val="en-US" w:eastAsia="zh-CN" w:bidi="ar-SA"/>
              </w:rPr>
            </w:pPr>
            <w:bookmarkStart w:id="15" w:name="_Toc256000004"/>
            <w:bookmarkStart w:id="16" w:name="_Toc256000066"/>
            <w:bookmarkStart w:id="17" w:name="_Toc256000035"/>
            <w:r>
              <w:rPr>
                <w:rFonts w:hint="eastAsia" w:ascii="仿宋" w:hAnsi="仿宋" w:eastAsia="仿宋" w:cs="仿宋"/>
                <w:b w:val="0"/>
                <w:bCs w:val="0"/>
                <w:i w:val="0"/>
                <w:iCs w:val="0"/>
                <w:smallCaps w:val="0"/>
                <w:color w:val="000000"/>
                <w:spacing w:val="0"/>
                <w:kern w:val="0"/>
                <w:sz w:val="32"/>
                <w:szCs w:val="32"/>
                <w:lang w:val="en-US" w:eastAsia="zh-CN"/>
              </w:rPr>
              <w:t>1</w:t>
            </w:r>
          </w:p>
        </w:tc>
        <w:tc>
          <w:tcPr>
            <w:tcW w:w="6845" w:type="dxa"/>
            <w:shd w:val="clear" w:color="auto" w:fill="auto"/>
            <w:tcMar>
              <w:top w:w="22" w:type="dxa"/>
              <w:left w:w="22" w:type="dxa"/>
              <w:bottom w:w="22" w:type="dxa"/>
              <w:right w:w="22" w:type="dxa"/>
            </w:tcMar>
            <w:vAlign w:val="center"/>
          </w:tcPr>
          <w:p>
            <w:pPr>
              <w:widowControl/>
              <w:ind w:firstLine="640" w:firstLineChars="0"/>
              <w:jc w:val="center"/>
              <w:rPr>
                <w:rFonts w:hint="default" w:ascii="仿宋" w:hAnsi="仿宋" w:eastAsia="仿宋" w:cs="仿宋"/>
                <w:b w:val="0"/>
                <w:bCs w:val="0"/>
                <w:i w:val="0"/>
                <w:iCs w:val="0"/>
                <w:smallCaps w:val="0"/>
                <w:color w:val="000000"/>
                <w:spacing w:val="0"/>
                <w:kern w:val="0"/>
                <w:sz w:val="32"/>
                <w:szCs w:val="32"/>
                <w:lang w:val="en-US" w:eastAsia="zh-CN" w:bidi="ar-SA"/>
              </w:rPr>
            </w:pPr>
            <w:r>
              <w:rPr>
                <w:rFonts w:hint="eastAsia" w:ascii="仿宋" w:hAnsi="仿宋" w:eastAsia="仿宋" w:cs="仿宋"/>
                <w:b w:val="0"/>
                <w:bCs w:val="0"/>
                <w:i w:val="0"/>
                <w:iCs w:val="0"/>
                <w:smallCaps w:val="0"/>
                <w:color w:val="000000"/>
                <w:spacing w:val="0"/>
                <w:kern w:val="0"/>
                <w:sz w:val="32"/>
                <w:szCs w:val="32"/>
                <w:lang w:val="en-US" w:eastAsia="zh-CN"/>
              </w:rPr>
              <w:t>厦门市蔡塘学校</w:t>
            </w:r>
          </w:p>
        </w:tc>
      </w:tr>
    </w:tbl>
    <w:p>
      <w:pPr>
        <w:pStyle w:val="5"/>
        <w:keepNext w:val="0"/>
        <w:keepLines w:val="0"/>
        <w:spacing w:before="100" w:after="100" w:line="600" w:lineRule="atLeast"/>
        <w:ind w:left="0" w:right="0" w:firstLine="640" w:firstLineChars="0"/>
        <w:outlineLvl w:val="9"/>
        <w:rPr>
          <w:rFonts w:ascii="黑体" w:hAnsi="黑体" w:eastAsia="黑体" w:cs="黑体"/>
          <w:b/>
          <w:spacing w:val="0"/>
        </w:rPr>
      </w:pPr>
    </w:p>
    <w:p>
      <w:pPr>
        <w:pStyle w:val="5"/>
        <w:keepNext w:val="0"/>
        <w:keepLines w:val="0"/>
        <w:spacing w:before="100" w:after="100" w:line="600" w:lineRule="atLeast"/>
        <w:ind w:right="0"/>
        <w:outlineLvl w:val="1"/>
        <w:rPr>
          <w:rFonts w:ascii="Times New Roman" w:hAnsi="Times New Roman" w:eastAsia="Times New Roman" w:cs="Times New Roman"/>
          <w:b/>
          <w:bCs/>
          <w:kern w:val="0"/>
          <w:sz w:val="28"/>
          <w:szCs w:val="28"/>
        </w:rPr>
      </w:pPr>
      <w:bookmarkStart w:id="18" w:name="_Toc23392"/>
      <w:bookmarkStart w:id="19" w:name="_Toc8877"/>
      <w:bookmarkStart w:id="20" w:name="_Toc13089"/>
      <w:r>
        <w:rPr>
          <w:rFonts w:ascii="黑体" w:hAnsi="黑体" w:eastAsia="黑体" w:cs="黑体"/>
          <w:b/>
          <w:spacing w:val="0"/>
        </w:rPr>
        <w:t>三、单位主要工作总结</w:t>
      </w:r>
      <w:bookmarkEnd w:id="15"/>
      <w:bookmarkEnd w:id="16"/>
      <w:bookmarkEnd w:id="17"/>
      <w:bookmarkEnd w:id="18"/>
      <w:bookmarkEnd w:id="19"/>
      <w:bookmarkEnd w:id="20"/>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2024年，厦门市蔡塘学校单位主要任务是：围绕上述任务，重点完成了以下工作：</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本年度，学校在教育教学方面取得了显著成果。中考成绩尤为亮眼，全市前100名中有3人，一双外录取率达57%，普通高中录取率80%，此外，在各类学科竞赛中，学生们也频频传来佳绩，充分展示了学校在教育教学方面的卓越实力。学校获评“福建省书香校园”“厦门市儿童友好学校”“厦门市先进基层党组织”“湖里区中医药文化教育试点校”“湖里区中小学科学教育实验校”。</w:t>
      </w:r>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学校共有3项省级、1项市级、16项校级课题顺利结题。同时，学校还开设了多节市级、区级和校级公开课，以及多次省级、市级和区级讲座，为教师的专业成长提供了广阔舞台。此外，教师们还积极参与各类比赛和论文撰写，取得了丰硕的成果，进一步提升了学校的整体教学质量。学校作品《奋斗吧少年》在2024教师风采艺术作品征集活动中荣获优胜作品。</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hint="eastAsia" w:ascii="仿宋" w:hAnsi="仿宋" w:eastAsia="仿宋" w:cs="仿宋"/>
          <w:spacing w:val="0"/>
          <w:kern w:val="0"/>
          <w:sz w:val="32"/>
          <w:szCs w:val="32"/>
        </w:rPr>
        <w:t>在学生发展方面，学校注重培养学生的综合素质和创新能力。通过组织丰富多彩的社团活动和比赛，学生们不仅拓宽了成长路径，还充分展示了自己的才华和风采。在各类体育和艺术比赛中，学生们更是频频获奖，为学校赢得了荣誉。学校少先队大队获评“福建省优秀少先队大队”，“一校一案”入选《中小学德育工作指南》典型案例。</w:t>
      </w:r>
    </w:p>
    <w:p>
      <w:pPr>
        <w:pStyle w:val="28"/>
        <w:widowControl/>
        <w:spacing w:before="100" w:after="100" w:line="600" w:lineRule="atLeast"/>
        <w:ind w:left="0" w:right="0" w:firstLine="640"/>
        <w:jc w:val="left"/>
        <w:rPr>
          <w:rFonts w:ascii="仿宋" w:hAnsi="仿宋" w:eastAsia="仿宋" w:cs="仿宋"/>
          <w:spacing w:val="0"/>
          <w:kern w:val="0"/>
          <w:sz w:val="32"/>
          <w:szCs w:val="32"/>
        </w:rPr>
      </w:pPr>
    </w:p>
    <w:p>
      <w:pPr>
        <w:sectPr>
          <w:footerReference r:id="rId4"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bookmarkStart w:id="21" w:name="_Toc21449"/>
      <w:bookmarkStart w:id="22" w:name="_Toc17067"/>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eastAsia="zh-CN"/>
        </w:rPr>
      </w:pPr>
    </w:p>
    <w:p>
      <w:pPr>
        <w:pStyle w:val="29"/>
        <w:widowControl/>
        <w:spacing w:before="100" w:after="100"/>
        <w:ind w:left="720" w:right="0" w:firstLine="0"/>
        <w:jc w:val="center"/>
        <w:outlineLvl w:val="0"/>
        <w:rPr>
          <w:rFonts w:hint="eastAsia" w:ascii="黑体" w:hAnsi="黑体" w:eastAsia="黑体" w:cs="黑体"/>
          <w:b/>
          <w:spacing w:val="0"/>
          <w:sz w:val="44"/>
          <w:szCs w:val="44"/>
          <w:lang w:val="en-US" w:eastAsia="zh-CN"/>
        </w:rPr>
      </w:pPr>
      <w:r>
        <w:rPr>
          <w:rFonts w:hint="eastAsia" w:ascii="黑体" w:hAnsi="黑体" w:eastAsia="黑体" w:cs="黑体"/>
          <w:b/>
          <w:spacing w:val="0"/>
          <w:sz w:val="44"/>
          <w:szCs w:val="44"/>
          <w:lang w:eastAsia="zh-CN"/>
        </w:rPr>
        <w:t>第二部分</w:t>
      </w:r>
      <w:r>
        <w:rPr>
          <w:rFonts w:hint="eastAsia" w:ascii="黑体" w:hAnsi="黑体" w:eastAsia="黑体" w:cs="黑体"/>
          <w:b/>
          <w:spacing w:val="0"/>
          <w:sz w:val="44"/>
          <w:szCs w:val="44"/>
          <w:lang w:val="en-US" w:eastAsia="zh-CN"/>
        </w:rPr>
        <w:t xml:space="preserve"> </w:t>
      </w:r>
    </w:p>
    <w:p>
      <w:pPr>
        <w:pStyle w:val="29"/>
        <w:widowControl/>
        <w:spacing w:before="100" w:after="100"/>
        <w:ind w:left="720" w:right="0" w:firstLine="0"/>
        <w:jc w:val="center"/>
        <w:outlineLvl w:val="0"/>
        <w:rPr>
          <w:rFonts w:hint="eastAsia" w:ascii="黑体" w:hAnsi="黑体" w:eastAsia="黑体" w:cs="黑体"/>
          <w:b/>
          <w:spacing w:val="0"/>
          <w:sz w:val="44"/>
          <w:szCs w:val="44"/>
          <w:lang w:val="en-US" w:eastAsia="zh-CN"/>
        </w:rPr>
      </w:pPr>
      <w:r>
        <w:rPr>
          <w:rFonts w:hint="eastAsia" w:ascii="黑体" w:hAnsi="黑体" w:eastAsia="黑体" w:cs="黑体"/>
          <w:b/>
          <w:spacing w:val="0"/>
          <w:sz w:val="44"/>
          <w:szCs w:val="44"/>
          <w:lang w:val="en-US" w:eastAsia="zh-CN"/>
        </w:rPr>
        <w:t>2024年度决算表</w:t>
      </w:r>
      <w:bookmarkEnd w:id="21"/>
      <w:bookmarkEnd w:id="22"/>
    </w:p>
    <w:p>
      <w:pPr>
        <w:rPr>
          <w:rFonts w:ascii="黑体" w:hAnsi="黑体" w:eastAsia="黑体" w:cs="黑体"/>
          <w:b/>
          <w:spacing w:val="0"/>
          <w:sz w:val="28"/>
          <w:szCs w:val="28"/>
        </w:rPr>
      </w:pPr>
      <w:r>
        <w:rPr>
          <w:rFonts w:ascii="黑体" w:hAnsi="黑体" w:eastAsia="黑体" w:cs="黑体"/>
          <w:b/>
          <w:spacing w:val="0"/>
          <w:sz w:val="28"/>
          <w:szCs w:val="28"/>
        </w:rPr>
        <w:br w:type="page"/>
      </w:r>
    </w:p>
    <w:p>
      <w:pPr>
        <w:pStyle w:val="29"/>
        <w:widowControl/>
        <w:spacing w:before="100" w:after="100"/>
        <w:ind w:right="0"/>
        <w:jc w:val="left"/>
        <w:rPr>
          <w:rFonts w:ascii="宋体" w:hAnsi="宋体" w:cs="宋体"/>
          <w:spacing w:val="0"/>
          <w:kern w:val="0"/>
          <w:sz w:val="32"/>
          <w:szCs w:val="32"/>
        </w:rPr>
      </w:pPr>
      <w:r>
        <w:rPr>
          <w:rFonts w:ascii="黑体" w:hAnsi="黑体" w:eastAsia="黑体" w:cs="黑体"/>
          <w:b/>
          <w:spacing w:val="0"/>
          <w:sz w:val="28"/>
          <w:szCs w:val="28"/>
        </w:rPr>
        <w:t>一、收入支出决算总表</w:t>
      </w:r>
      <w:r>
        <w:rPr>
          <w:rFonts w:ascii="宋体" w:hAnsi="宋体" w:cs="宋体"/>
          <w:spacing w:val="0"/>
          <w:kern w:val="0"/>
          <w:sz w:val="32"/>
          <w:szCs w:val="32"/>
        </w:rPr>
        <w:t> </w:t>
      </w:r>
    </w:p>
    <w:tbl>
      <w:tblPr>
        <w:tblStyle w:val="22"/>
        <w:tblpPr w:leftFromText="180" w:rightFromText="180" w:vertAnchor="text" w:horzAnchor="page" w:tblpX="1426" w:tblpY="386"/>
        <w:tblOverlap w:val="never"/>
        <w:tblW w:w="9066" w:type="dxa"/>
        <w:jc w:val="center"/>
        <w:tblInd w:w="0" w:type="dxa"/>
        <w:tblLayout w:type="fixed"/>
        <w:tblCellMar>
          <w:top w:w="15" w:type="dxa"/>
          <w:left w:w="15" w:type="dxa"/>
          <w:bottom w:w="15" w:type="dxa"/>
          <w:right w:w="15" w:type="dxa"/>
        </w:tblCellMar>
      </w:tblPr>
      <w:tblGrid>
        <w:gridCol w:w="2222"/>
        <w:gridCol w:w="703"/>
        <w:gridCol w:w="435"/>
        <w:gridCol w:w="813"/>
        <w:gridCol w:w="1426"/>
        <w:gridCol w:w="1469"/>
        <w:gridCol w:w="487"/>
        <w:gridCol w:w="68"/>
        <w:gridCol w:w="1443"/>
      </w:tblGrid>
      <w:tr>
        <w:tblPrEx>
          <w:tblLayout w:type="fixed"/>
          <w:tblCellMar>
            <w:top w:w="15" w:type="dxa"/>
            <w:left w:w="15" w:type="dxa"/>
            <w:bottom w:w="15" w:type="dxa"/>
            <w:right w:w="15" w:type="dxa"/>
          </w:tblCellMar>
        </w:tblPrEx>
        <w:trPr>
          <w:tblHeader/>
          <w:jc w:val="center"/>
        </w:trPr>
        <w:tc>
          <w:tcPr>
            <w:tcW w:w="9066" w:type="dxa"/>
            <w:gridSpan w:val="9"/>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收入支出决算总表</w:t>
            </w:r>
          </w:p>
        </w:tc>
      </w:tr>
      <w:tr>
        <w:tblPrEx>
          <w:tblLayout w:type="fixed"/>
          <w:tblCellMar>
            <w:top w:w="15" w:type="dxa"/>
            <w:left w:w="15" w:type="dxa"/>
            <w:bottom w:w="15" w:type="dxa"/>
            <w:right w:w="15" w:type="dxa"/>
          </w:tblCellMar>
        </w:tblPrEx>
        <w:trPr>
          <w:tblHeader/>
          <w:jc w:val="center"/>
        </w:trPr>
        <w:tc>
          <w:tcPr>
            <w:tcW w:w="222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51"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2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9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blHeader/>
          <w:jc w:val="center"/>
        </w:trPr>
        <w:tc>
          <w:tcPr>
            <w:tcW w:w="417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单位：厦门市蔡塘学校</w:t>
            </w:r>
          </w:p>
        </w:tc>
        <w:tc>
          <w:tcPr>
            <w:tcW w:w="142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95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jc w:val="center"/>
        </w:trPr>
        <w:tc>
          <w:tcPr>
            <w:tcW w:w="4173"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893" w:type="dxa"/>
            <w:gridSpan w:val="5"/>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8,495.67</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504.21</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194.98</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2" w:hRule="atLeast"/>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jc w:val="center"/>
        </w:trPr>
        <w:tc>
          <w:tcPr>
            <w:tcW w:w="292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81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c>
          <w:tcPr>
            <w:tcW w:w="289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555"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44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r>
      <w:tr>
        <w:tblPrEx>
          <w:tblLayout w:type="fixed"/>
          <w:tblCellMar>
            <w:top w:w="15" w:type="dxa"/>
            <w:left w:w="15" w:type="dxa"/>
            <w:bottom w:w="15" w:type="dxa"/>
            <w:right w:w="15" w:type="dxa"/>
          </w:tblCellMar>
        </w:tblPrEx>
        <w:trPr>
          <w:jc w:val="center"/>
        </w:trPr>
        <w:tc>
          <w:tcPr>
            <w:tcW w:w="9066" w:type="dxa"/>
            <w:gridSpan w:val="9"/>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本表反映部门本年度的总收支和年末结转结余情况。</w:t>
            </w:r>
          </w:p>
        </w:tc>
      </w:tr>
      <w:tr>
        <w:tblPrEx>
          <w:tblLayout w:type="fixed"/>
          <w:tblCellMar>
            <w:top w:w="15" w:type="dxa"/>
            <w:left w:w="15" w:type="dxa"/>
            <w:bottom w:w="15" w:type="dxa"/>
            <w:right w:w="15" w:type="dxa"/>
          </w:tblCellMar>
        </w:tblPrEx>
        <w:trPr>
          <w:jc w:val="center"/>
        </w:trPr>
        <w:tc>
          <w:tcPr>
            <w:tcW w:w="9066" w:type="dxa"/>
            <w:gridSpan w:val="9"/>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pStyle w:val="29"/>
        <w:widowControl/>
        <w:spacing w:before="100" w:after="100"/>
        <w:ind w:right="0"/>
        <w:jc w:val="left"/>
        <w:rPr>
          <w:rFonts w:ascii="宋体" w:hAnsi="宋体" w:cs="宋体"/>
          <w:spacing w:val="0"/>
          <w:kern w:val="0"/>
          <w:sz w:val="32"/>
          <w:szCs w:val="32"/>
        </w:rPr>
      </w:pPr>
    </w:p>
    <w:p>
      <w:pPr>
        <w:sectPr>
          <w:footerReference r:id="rId5" w:type="default"/>
          <w:pgSz w:w="11906" w:h="16383"/>
          <w:pgMar w:top="720" w:right="1440" w:bottom="720" w:left="144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tbl>
      <w:tblPr>
        <w:tblStyle w:val="22"/>
        <w:tblpPr w:leftFromText="180" w:rightFromText="180" w:vertAnchor="text" w:horzAnchor="page" w:tblpX="1594" w:tblpY="1220"/>
        <w:tblOverlap w:val="never"/>
        <w:tblW w:w="9066" w:type="dxa"/>
        <w:tblInd w:w="0" w:type="dxa"/>
        <w:tblLayout w:type="fixed"/>
        <w:tblCellMar>
          <w:top w:w="15" w:type="dxa"/>
          <w:left w:w="15" w:type="dxa"/>
          <w:bottom w:w="15" w:type="dxa"/>
          <w:right w:w="15" w:type="dxa"/>
        </w:tblCellMar>
      </w:tblPr>
      <w:tblGrid>
        <w:gridCol w:w="1007"/>
        <w:gridCol w:w="1007"/>
        <w:gridCol w:w="1007"/>
        <w:gridCol w:w="297"/>
        <w:gridCol w:w="930"/>
        <w:gridCol w:w="885"/>
        <w:gridCol w:w="435"/>
        <w:gridCol w:w="795"/>
        <w:gridCol w:w="688"/>
        <w:gridCol w:w="1008"/>
        <w:gridCol w:w="1007"/>
      </w:tblGrid>
      <w:tr>
        <w:tblPrEx>
          <w:tblLayout w:type="fixed"/>
          <w:tblCellMar>
            <w:top w:w="15" w:type="dxa"/>
            <w:left w:w="15" w:type="dxa"/>
            <w:bottom w:w="15" w:type="dxa"/>
            <w:right w:w="15" w:type="dxa"/>
          </w:tblCellMar>
        </w:tblPrEx>
        <w:trPr>
          <w:tblHeader/>
        </w:trPr>
        <w:tc>
          <w:tcPr>
            <w:tcW w:w="9066" w:type="dxa"/>
            <w:gridSpan w:val="11"/>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收入决算表</w:t>
            </w:r>
          </w:p>
        </w:tc>
      </w:tr>
      <w:tr>
        <w:tblPrEx>
          <w:tblLayout w:type="fixed"/>
          <w:tblCellMar>
            <w:top w:w="15" w:type="dxa"/>
            <w:left w:w="15" w:type="dxa"/>
            <w:bottom w:w="15" w:type="dxa"/>
            <w:right w:w="15" w:type="dxa"/>
          </w:tblCellMar>
        </w:tblPrEx>
        <w:trPr>
          <w:trHeight w:val="219" w:hRule="atLeast"/>
          <w:tblHeader/>
        </w:trPr>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112"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4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5133"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部门</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单位：厦门市蔡塘学校</w:t>
            </w:r>
          </w:p>
        </w:tc>
        <w:tc>
          <w:tcPr>
            <w:tcW w:w="123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6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01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331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88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4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7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6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blHeader/>
        </w:trPr>
        <w:tc>
          <w:tcPr>
            <w:tcW w:w="10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2311"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3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2311"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30"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88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43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9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68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331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c>
          <w:tcPr>
            <w:tcW w:w="3318"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9,887.17</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公共安全支出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其他公共安全支出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2049999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其他公共安全支出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8,495.67</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8,495.67</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教育管理事务</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3.37</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3.37</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2050199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其他教育管理事务支出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3.37</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3.37</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8,097.63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8,097.63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2,242.73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2,242.73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2050203</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初中教育</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4,061.6</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4,061.6</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1,793.29</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1,793.29</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391.68</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391.68</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391.68</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391.68</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2059999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504.21</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504.21</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504.21</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504.21</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41.53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41.53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301.42</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301.42</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161.26</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161.26</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194.98</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194.98</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194.98</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194.98</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129.05</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129.05</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65.94</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65.94</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城乡社区支出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21203</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城乡社区公共设施</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2120399</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其他城乡社区公共设施支出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493.93</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231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c>
          <w:tcPr>
            <w:tcW w:w="8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196.95</w:t>
            </w:r>
          </w:p>
        </w:tc>
        <w:tc>
          <w:tcPr>
            <w:tcW w:w="4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6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11"/>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注：本表反映部门本年度取得的各项收入情况。</w:t>
            </w:r>
          </w:p>
        </w:tc>
      </w:tr>
    </w:tbl>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720" w:right="0" w:hanging="720" w:firstLineChars="0"/>
        <w:outlineLvl w:val="1"/>
        <w:rPr>
          <w:rFonts w:ascii="Times New Roman" w:hAnsi="Times New Roman" w:eastAsia="Times New Roman" w:cs="Times New Roman"/>
          <w:b/>
          <w:bCs/>
          <w:kern w:val="0"/>
          <w:sz w:val="28"/>
          <w:szCs w:val="28"/>
        </w:rPr>
      </w:pPr>
      <w:bookmarkStart w:id="23" w:name="_Toc256000039"/>
      <w:bookmarkStart w:id="24" w:name="_Toc11266"/>
      <w:bookmarkStart w:id="25" w:name="_Toc32219"/>
      <w:bookmarkStart w:id="26" w:name="_Toc5845"/>
      <w:bookmarkStart w:id="27" w:name="_Toc256000070"/>
      <w:bookmarkStart w:id="28" w:name="_Toc256000008"/>
      <w:r>
        <w:rPr>
          <w:rFonts w:ascii="黑体" w:hAnsi="黑体" w:eastAsia="黑体" w:cs="黑体"/>
          <w:b/>
          <w:spacing w:val="0"/>
        </w:rPr>
        <w:t>二、收入决算表</w:t>
      </w:r>
      <w:bookmarkEnd w:id="23"/>
      <w:bookmarkEnd w:id="24"/>
      <w:bookmarkEnd w:id="25"/>
      <w:bookmarkEnd w:id="26"/>
      <w:bookmarkEnd w:id="27"/>
      <w:bookmarkEnd w:id="28"/>
    </w:p>
    <w:p>
      <w:pPr>
        <w:pStyle w:val="29"/>
        <w:widowControl/>
        <w:spacing w:before="100" w:after="100"/>
        <w:ind w:left="720" w:right="0" w:firstLine="0"/>
        <w:jc w:val="left"/>
        <w:rPr>
          <w:rFonts w:ascii="宋体" w:hAnsi="宋体" w:cs="宋体"/>
          <w:spacing w:val="0"/>
          <w:kern w:val="0"/>
          <w:sz w:val="32"/>
          <w:szCs w:val="32"/>
        </w:rPr>
      </w:pPr>
      <w:r>
        <w:rPr>
          <w:rFonts w:ascii="宋体" w:hAnsi="宋体" w:cs="宋体"/>
          <w:spacing w:val="0"/>
          <w:kern w:val="0"/>
          <w:sz w:val="32"/>
          <w:szCs w:val="32"/>
        </w:rPr>
        <w:t> </w:t>
      </w:r>
    </w:p>
    <w:p>
      <w:pPr>
        <w:pStyle w:val="29"/>
        <w:widowControl/>
        <w:spacing w:before="100" w:after="100"/>
        <w:ind w:left="720" w:right="0" w:firstLine="0"/>
        <w:jc w:val="left"/>
        <w:rPr>
          <w:rFonts w:ascii="宋体" w:hAnsi="宋体" w:cs="宋体"/>
          <w:spacing w:val="0"/>
          <w:kern w:val="0"/>
          <w:sz w:val="32"/>
          <w:szCs w:val="32"/>
        </w:rPr>
      </w:pPr>
    </w:p>
    <w:p>
      <w:pPr>
        <w:pStyle w:val="29"/>
        <w:widowControl/>
        <w:spacing w:before="100" w:after="100"/>
        <w:ind w:left="720" w:right="0" w:firstLine="0"/>
        <w:jc w:val="left"/>
        <w:rPr>
          <w:rFonts w:ascii="宋体" w:hAnsi="宋体" w:cs="宋体"/>
          <w:spacing w:val="0"/>
          <w:kern w:val="0"/>
          <w:sz w:val="32"/>
          <w:szCs w:val="32"/>
        </w:rPr>
      </w:pPr>
    </w:p>
    <w:p>
      <w:pPr>
        <w:pStyle w:val="5"/>
        <w:keepNext w:val="0"/>
        <w:keepLines w:val="0"/>
        <w:spacing w:before="100" w:after="100" w:line="240" w:lineRule="auto"/>
        <w:ind w:left="720" w:right="0" w:hanging="720" w:firstLineChars="0"/>
        <w:outlineLvl w:val="1"/>
        <w:rPr>
          <w:rFonts w:ascii="Times New Roman" w:hAnsi="Times New Roman" w:eastAsia="Times New Roman" w:cs="Times New Roman"/>
          <w:b/>
          <w:bCs/>
          <w:kern w:val="0"/>
          <w:sz w:val="28"/>
          <w:szCs w:val="28"/>
        </w:rPr>
      </w:pPr>
      <w:bookmarkStart w:id="29" w:name="_Toc2177"/>
      <w:bookmarkStart w:id="30" w:name="_Toc28108"/>
      <w:bookmarkStart w:id="31" w:name="_Toc256000009"/>
      <w:bookmarkStart w:id="32" w:name="_Toc256000040"/>
      <w:bookmarkStart w:id="33" w:name="_Toc256000071"/>
      <w:bookmarkStart w:id="34" w:name="_Toc8079"/>
      <w:r>
        <w:rPr>
          <w:rFonts w:ascii="黑体" w:hAnsi="黑体" w:eastAsia="黑体" w:cs="黑体"/>
          <w:b/>
          <w:spacing w:val="0"/>
        </w:rPr>
        <w:t>三、支出决算表</w:t>
      </w:r>
      <w:bookmarkEnd w:id="29"/>
      <w:bookmarkEnd w:id="30"/>
      <w:bookmarkEnd w:id="31"/>
      <w:bookmarkEnd w:id="32"/>
      <w:bookmarkEnd w:id="33"/>
      <w:bookmarkEnd w:id="34"/>
    </w:p>
    <w:p/>
    <w:tbl>
      <w:tblPr>
        <w:tblStyle w:val="22"/>
        <w:tblpPr w:leftFromText="180" w:rightFromText="180" w:vertAnchor="text" w:horzAnchor="page" w:tblpX="735" w:tblpY="-16"/>
        <w:tblOverlap w:val="never"/>
        <w:tblW w:w="10660" w:type="dxa"/>
        <w:tblInd w:w="0" w:type="dxa"/>
        <w:tblLayout w:type="fixed"/>
        <w:tblCellMar>
          <w:top w:w="15" w:type="dxa"/>
          <w:left w:w="15" w:type="dxa"/>
          <w:bottom w:w="15" w:type="dxa"/>
          <w:right w:w="15" w:type="dxa"/>
        </w:tblCellMar>
      </w:tblPr>
      <w:tblGrid>
        <w:gridCol w:w="1918"/>
        <w:gridCol w:w="3150"/>
        <w:gridCol w:w="1110"/>
        <w:gridCol w:w="1080"/>
        <w:gridCol w:w="1005"/>
        <w:gridCol w:w="735"/>
        <w:gridCol w:w="855"/>
        <w:gridCol w:w="807"/>
      </w:tblGrid>
      <w:tr>
        <w:tblPrEx>
          <w:tblLayout w:type="fixed"/>
          <w:tblCellMar>
            <w:top w:w="15" w:type="dxa"/>
            <w:left w:w="15" w:type="dxa"/>
            <w:bottom w:w="15" w:type="dxa"/>
            <w:right w:w="15" w:type="dxa"/>
          </w:tblCellMar>
        </w:tblPrEx>
        <w:trPr>
          <w:trHeight w:val="830" w:hRule="atLeast"/>
          <w:tblHeader/>
        </w:trPr>
        <w:tc>
          <w:tcPr>
            <w:tcW w:w="10660" w:type="dxa"/>
            <w:gridSpan w:val="8"/>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支出决算表</w:t>
            </w:r>
          </w:p>
        </w:tc>
      </w:tr>
      <w:tr>
        <w:tblPrEx>
          <w:tblLayout w:type="fixed"/>
          <w:tblCellMar>
            <w:top w:w="15" w:type="dxa"/>
            <w:left w:w="15" w:type="dxa"/>
            <w:bottom w:w="15" w:type="dxa"/>
            <w:right w:w="15" w:type="dxa"/>
          </w:tblCellMar>
        </w:tblPrEx>
        <w:trPr>
          <w:trHeight w:val="90" w:hRule="atLeast"/>
          <w:tblHeader/>
        </w:trPr>
        <w:tc>
          <w:tcPr>
            <w:tcW w:w="6178"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both"/>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部门/单位：厦门市蔡塘学校</w:t>
            </w:r>
          </w:p>
        </w:tc>
        <w:tc>
          <w:tcPr>
            <w:tcW w:w="108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73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66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298" w:hRule="atLeast"/>
          <w:tblHeader/>
        </w:trPr>
        <w:tc>
          <w:tcPr>
            <w:tcW w:w="50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111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本年支出合计</w:t>
            </w:r>
          </w:p>
        </w:tc>
        <w:tc>
          <w:tcPr>
            <w:tcW w:w="108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基本支出</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项目支出</w:t>
            </w:r>
          </w:p>
        </w:tc>
        <w:tc>
          <w:tcPr>
            <w:tcW w:w="7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上缴上级支出</w:t>
            </w:r>
          </w:p>
        </w:tc>
        <w:tc>
          <w:tcPr>
            <w:tcW w:w="8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经营支出</w:t>
            </w:r>
          </w:p>
        </w:tc>
        <w:tc>
          <w:tcPr>
            <w:tcW w:w="8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rHeight w:val="319" w:hRule="atLeast"/>
          <w:tblHeader/>
        </w:trPr>
        <w:tc>
          <w:tcPr>
            <w:tcW w:w="19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科目代码</w:t>
            </w:r>
          </w:p>
        </w:tc>
        <w:tc>
          <w:tcPr>
            <w:tcW w:w="315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111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08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7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trPr>
        <w:tc>
          <w:tcPr>
            <w:tcW w:w="19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315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1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08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7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07"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177" w:hRule="atLeast"/>
          <w:tblHeader/>
        </w:trPr>
        <w:tc>
          <w:tcPr>
            <w:tcW w:w="50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298" w:hRule="atLeast"/>
          <w:tblHeader/>
        </w:trPr>
        <w:tc>
          <w:tcPr>
            <w:tcW w:w="506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7,417.48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2,469.7</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62"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204</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公共安全支出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62"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20499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其他公共安全支出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4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2049999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其他公共安全支出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8,495.67</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6,521.33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1,974.34</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20501</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教育管理事务</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2050199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其他教育管理事务支出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7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普通教育</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8,097.63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6,521.33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1,576.3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3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2050202</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小学教育</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2,242.73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2,242.73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3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2050203</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初中教育</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4,061.6</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4,061.6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其他普通教育支出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1,793.29</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1,576.3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教育费附加安排的支出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51"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2050999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其他教育费附加安排的支出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4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7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2059999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社会保障和就业支出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行政事业单位养老支出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2080502</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事业单位离退休</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41.53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41.53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04"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2080505</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机关事业单位基本养老保险缴费支出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301.42</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301.42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70"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2080506</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机关事业单位职业年金缴费支出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161.26</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161.26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卫生健康支出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37"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行政事业单位医疗</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2101102</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事业单位医疗</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129.05</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129.05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85"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其他行政事业单位医疗支出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65.94</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65.94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82"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212</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城乡社区支出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21203</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城乡社区公共设施</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2120399</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其他城乡社区公共设施支出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221</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住房保障支出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22102</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住房改革支出</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8" w:hRule="atLeast"/>
          <w:tblHeader/>
        </w:trPr>
        <w:tc>
          <w:tcPr>
            <w:tcW w:w="19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2210203</w:t>
            </w:r>
          </w:p>
        </w:tc>
        <w:tc>
          <w:tcPr>
            <w:tcW w:w="31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购房补贴</w:t>
            </w:r>
          </w:p>
        </w:tc>
        <w:tc>
          <w:tcPr>
            <w:tcW w:w="11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0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386" w:hRule="atLeast"/>
          <w:tblHeader/>
        </w:trPr>
        <w:tc>
          <w:tcPr>
            <w:tcW w:w="10660" w:type="dxa"/>
            <w:gridSpan w:val="8"/>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注：本表反映部门本年度各项支出情况。</w:t>
            </w:r>
          </w:p>
        </w:tc>
      </w:tr>
    </w:tbl>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720" w:right="0" w:hanging="720" w:firstLineChars="0"/>
        <w:outlineLvl w:val="1"/>
        <w:rPr>
          <w:rFonts w:ascii="Times New Roman" w:hAnsi="Times New Roman" w:eastAsia="Times New Roman" w:cs="Times New Roman"/>
          <w:b/>
          <w:bCs/>
          <w:kern w:val="0"/>
          <w:sz w:val="28"/>
          <w:szCs w:val="28"/>
        </w:rPr>
      </w:pPr>
      <w:bookmarkStart w:id="35" w:name="_Toc256000041"/>
      <w:bookmarkStart w:id="36" w:name="_Toc27505"/>
      <w:bookmarkStart w:id="37" w:name="_Toc256000072"/>
      <w:bookmarkStart w:id="38" w:name="_Toc19382"/>
      <w:bookmarkStart w:id="39" w:name="_Toc256000010"/>
      <w:bookmarkStart w:id="40" w:name="_Toc7664"/>
      <w:r>
        <w:rPr>
          <w:rFonts w:ascii="黑体" w:hAnsi="黑体" w:eastAsia="黑体" w:cs="黑体"/>
          <w:b/>
          <w:spacing w:val="0"/>
        </w:rPr>
        <w:t>四、财政拨款收入支出决算总表</w:t>
      </w:r>
      <w:bookmarkEnd w:id="35"/>
      <w:bookmarkEnd w:id="36"/>
      <w:bookmarkEnd w:id="37"/>
      <w:bookmarkEnd w:id="38"/>
      <w:bookmarkEnd w:id="39"/>
      <w:bookmarkEnd w:id="40"/>
    </w:p>
    <w:p/>
    <w:tbl>
      <w:tblPr>
        <w:tblStyle w:val="22"/>
        <w:tblW w:w="10057" w:type="dxa"/>
        <w:tblInd w:w="20" w:type="dxa"/>
        <w:tblLayout w:type="fixed"/>
        <w:tblCellMar>
          <w:top w:w="15" w:type="dxa"/>
          <w:left w:w="15" w:type="dxa"/>
          <w:bottom w:w="15" w:type="dxa"/>
          <w:right w:w="15" w:type="dxa"/>
        </w:tblCellMar>
      </w:tblPr>
      <w:tblGrid>
        <w:gridCol w:w="2602"/>
        <w:gridCol w:w="480"/>
        <w:gridCol w:w="810"/>
        <w:gridCol w:w="2895"/>
        <w:gridCol w:w="405"/>
        <w:gridCol w:w="900"/>
        <w:gridCol w:w="780"/>
        <w:gridCol w:w="600"/>
        <w:gridCol w:w="585"/>
      </w:tblGrid>
      <w:tr>
        <w:tblPrEx>
          <w:tblLayout w:type="fixed"/>
          <w:tblCellMar>
            <w:top w:w="15" w:type="dxa"/>
            <w:left w:w="15" w:type="dxa"/>
            <w:bottom w:w="15" w:type="dxa"/>
            <w:right w:w="15" w:type="dxa"/>
          </w:tblCellMar>
        </w:tblPrEx>
        <w:trPr>
          <w:trHeight w:val="759" w:hRule="atLeast"/>
          <w:tblHeader/>
        </w:trPr>
        <w:tc>
          <w:tcPr>
            <w:tcW w:w="10057" w:type="dxa"/>
            <w:gridSpan w:val="9"/>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财政拨款收入支出决算总表</w:t>
            </w:r>
          </w:p>
        </w:tc>
      </w:tr>
      <w:tr>
        <w:tblPrEx>
          <w:tblLayout w:type="fixed"/>
          <w:tblCellMar>
            <w:top w:w="15" w:type="dxa"/>
            <w:left w:w="15" w:type="dxa"/>
            <w:bottom w:w="15" w:type="dxa"/>
            <w:right w:w="15" w:type="dxa"/>
          </w:tblCellMar>
        </w:tblPrEx>
        <w:trPr>
          <w:trHeight w:val="118" w:hRule="atLeast"/>
          <w:tblHeader/>
        </w:trPr>
        <w:tc>
          <w:tcPr>
            <w:tcW w:w="3892"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部门/单位：厦门市蔡塘学校</w:t>
            </w:r>
          </w:p>
        </w:tc>
        <w:tc>
          <w:tcPr>
            <w:tcW w:w="28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130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965" w:type="dxa"/>
            <w:gridSpan w:val="3"/>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90" w:hRule="atLeast"/>
        </w:trPr>
        <w:tc>
          <w:tcPr>
            <w:tcW w:w="389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收入</w:t>
            </w:r>
          </w:p>
        </w:tc>
        <w:tc>
          <w:tcPr>
            <w:tcW w:w="6165"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474"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项目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行次</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行次</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政府性基金预算财政拨款</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rPr>
          <w:trHeight w:val="18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一、一般公共预算财政拨款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一、一般公共服务支出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5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二、政府性基金预算财政拨款</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二、外交支出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34</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1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三、国有资本经营预算财政拨款</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三、国防支出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35</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1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四、公共安全支出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86"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五、教育支出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8,495.67</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8,495.67</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7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六、科学技术支出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38</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7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七、文化旅游体育与传媒支出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八、社会保障和就业支出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九、卫生健康支出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4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10</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十、节能环保支出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4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十一、城乡社区支出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43</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2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十二、农林水支出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44</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5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13</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十三、交通运输支出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45</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0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十四、资源勘探工业信息等支出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46</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十五、商业服务业等支出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5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十六、金融支出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48</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2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十七、援助其他地区支出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18</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十八、自然资源海洋气象等支出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十九、住房保障支出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51</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1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二十、粮油物资储备支出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7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二十一、国有资本经营预算支出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53</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二十二、灾害防治及应急管理支出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54</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2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23</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二十三、其他支出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55</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二十四、债务还本支出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56</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1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25</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二十五、债务付息支出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26</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二十六、抗疫特别国债安排的支出</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58</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本年收入合计</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27</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本年支出合计</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59</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年初财政拨款结转和结余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28</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年末财政拨款结转和结余 </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60</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72"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一、一般公共预算财政拨款</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29</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61</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57"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二、政府性基金预算财政拨款</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三、国有资本经营预算财政拨款</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63</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rPr>
        <w:tc>
          <w:tcPr>
            <w:tcW w:w="260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总计 </w:t>
            </w:r>
          </w:p>
        </w:tc>
        <w:tc>
          <w:tcPr>
            <w:tcW w:w="4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32</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28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总计 </w:t>
            </w:r>
          </w:p>
        </w:tc>
        <w:tc>
          <w:tcPr>
            <w:tcW w:w="4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64</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78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6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58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625" w:hRule="atLeast"/>
        </w:trPr>
        <w:tc>
          <w:tcPr>
            <w:tcW w:w="10057" w:type="dxa"/>
            <w:gridSpan w:val="9"/>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720" w:right="0" w:hanging="720" w:firstLineChars="0"/>
        <w:outlineLvl w:val="1"/>
        <w:rPr>
          <w:rFonts w:ascii="Times New Roman" w:hAnsi="Times New Roman" w:eastAsia="Times New Roman" w:cs="Times New Roman"/>
          <w:b/>
          <w:bCs/>
          <w:kern w:val="0"/>
          <w:sz w:val="28"/>
          <w:szCs w:val="28"/>
        </w:rPr>
      </w:pPr>
      <w:bookmarkStart w:id="41" w:name="_Toc256000011"/>
      <w:bookmarkStart w:id="42" w:name="_Toc113"/>
      <w:bookmarkStart w:id="43" w:name="_Toc8236"/>
      <w:bookmarkStart w:id="44" w:name="_Toc29608"/>
      <w:bookmarkStart w:id="45" w:name="_Toc256000042"/>
      <w:bookmarkStart w:id="46" w:name="_Toc256000073"/>
      <w:r>
        <w:rPr>
          <w:rFonts w:ascii="黑体" w:hAnsi="黑体" w:eastAsia="黑体" w:cs="黑体"/>
          <w:b/>
          <w:spacing w:val="0"/>
        </w:rPr>
        <w:t>五、一般公共预算财政拨款支出决算表</w:t>
      </w:r>
      <w:bookmarkEnd w:id="41"/>
      <w:bookmarkEnd w:id="42"/>
      <w:bookmarkEnd w:id="43"/>
      <w:bookmarkEnd w:id="44"/>
      <w:bookmarkEnd w:id="45"/>
      <w:bookmarkEnd w:id="46"/>
    </w:p>
    <w:p/>
    <w:tbl>
      <w:tblPr>
        <w:tblStyle w:val="22"/>
        <w:tblW w:w="9980" w:type="dxa"/>
        <w:tblInd w:w="20" w:type="dxa"/>
        <w:tblLayout w:type="fixed"/>
        <w:tblCellMar>
          <w:top w:w="15" w:type="dxa"/>
          <w:left w:w="15" w:type="dxa"/>
          <w:bottom w:w="15" w:type="dxa"/>
          <w:right w:w="15" w:type="dxa"/>
        </w:tblCellMar>
      </w:tblPr>
      <w:tblGrid>
        <w:gridCol w:w="1246"/>
        <w:gridCol w:w="1456"/>
        <w:gridCol w:w="240"/>
        <w:gridCol w:w="2945"/>
        <w:gridCol w:w="1179"/>
        <w:gridCol w:w="1455"/>
        <w:gridCol w:w="1459"/>
      </w:tblGrid>
      <w:tr>
        <w:tblPrEx>
          <w:tblLayout w:type="fixed"/>
          <w:tblCellMar>
            <w:top w:w="15" w:type="dxa"/>
            <w:left w:w="15" w:type="dxa"/>
            <w:bottom w:w="15" w:type="dxa"/>
            <w:right w:w="15" w:type="dxa"/>
          </w:tblCellMar>
        </w:tblPrEx>
        <w:trPr>
          <w:trHeight w:val="948" w:hRule="atLeast"/>
          <w:tblHeader/>
        </w:trPr>
        <w:tc>
          <w:tcPr>
            <w:tcW w:w="9980" w:type="dxa"/>
            <w:gridSpan w:val="7"/>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一般公共预算财政拨款支出决算表</w:t>
            </w:r>
          </w:p>
        </w:tc>
      </w:tr>
      <w:tr>
        <w:tblPrEx>
          <w:tblLayout w:type="fixed"/>
          <w:tblCellMar>
            <w:top w:w="15" w:type="dxa"/>
            <w:left w:w="15" w:type="dxa"/>
            <w:bottom w:w="15" w:type="dxa"/>
            <w:right w:w="15" w:type="dxa"/>
          </w:tblCellMar>
        </w:tblPrEx>
        <w:trPr>
          <w:trHeight w:val="294" w:hRule="atLeast"/>
          <w:tblHeader/>
        </w:trPr>
        <w:tc>
          <w:tcPr>
            <w:tcW w:w="124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9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17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706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hint="default" w:ascii="宋体" w:hAnsi="宋体" w:eastAsia="宋体" w:cs="宋体"/>
                <w:b w:val="0"/>
                <w:bCs w:val="0"/>
                <w:i w:val="0"/>
                <w:iCs w:val="0"/>
                <w:smallCaps w:val="0"/>
                <w:color w:val="000000"/>
                <w:kern w:val="0"/>
                <w:sz w:val="18"/>
                <w:szCs w:val="18"/>
                <w:lang w:val="en-US" w:eastAsia="zh-CN"/>
              </w:rPr>
            </w:pPr>
            <w:r>
              <w:rPr>
                <w:rFonts w:hint="eastAsia" w:ascii="宋体" w:hAnsi="宋体" w:eastAsia="宋体" w:cs="宋体"/>
                <w:b w:val="0"/>
                <w:bCs w:val="0"/>
                <w:i w:val="0"/>
                <w:iCs w:val="0"/>
                <w:smallCaps w:val="0"/>
                <w:color w:val="000000"/>
                <w:kern w:val="0"/>
                <w:sz w:val="18"/>
                <w:szCs w:val="18"/>
              </w:rPr>
              <w:t>部门/单位：厦门市蔡塘学校</w:t>
            </w:r>
            <w:r>
              <w:rPr>
                <w:rFonts w:hint="eastAsia" w:ascii="宋体" w:hAnsi="宋体" w:cs="宋体"/>
                <w:b w:val="0"/>
                <w:bCs w:val="0"/>
                <w:i w:val="0"/>
                <w:iCs w:val="0"/>
                <w:smallCaps w:val="0"/>
                <w:color w:val="000000"/>
                <w:kern w:val="0"/>
                <w:sz w:val="18"/>
                <w:szCs w:val="18"/>
                <w:lang w:val="en-US" w:eastAsia="zh-CN"/>
              </w:rPr>
              <w:t xml:space="preserve">                             </w:t>
            </w:r>
            <w:r>
              <w:rPr>
                <w:rFonts w:hint="eastAsia" w:ascii="宋体" w:hAnsi="宋体" w:eastAsia="宋体" w:cs="宋体"/>
                <w:b w:val="0"/>
                <w:bCs w:val="0"/>
                <w:i w:val="0"/>
                <w:iCs w:val="0"/>
                <w:smallCaps w:val="0"/>
                <w:color w:val="000000"/>
                <w:kern w:val="0"/>
                <w:sz w:val="18"/>
                <w:szCs w:val="18"/>
              </w:rPr>
              <w:t>2024年度</w:t>
            </w:r>
          </w:p>
        </w:tc>
        <w:tc>
          <w:tcPr>
            <w:tcW w:w="14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4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113" w:hRule="atLeast"/>
        </w:trPr>
        <w:tc>
          <w:tcPr>
            <w:tcW w:w="588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4093"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trPr>
        <w:tc>
          <w:tcPr>
            <w:tcW w:w="2942"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科目代码</w:t>
            </w:r>
          </w:p>
        </w:tc>
        <w:tc>
          <w:tcPr>
            <w:tcW w:w="294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117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小计</w:t>
            </w:r>
          </w:p>
        </w:tc>
        <w:tc>
          <w:tcPr>
            <w:tcW w:w="145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基本支出</w:t>
            </w:r>
          </w:p>
        </w:tc>
        <w:tc>
          <w:tcPr>
            <w:tcW w:w="14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trPr>
        <w:tc>
          <w:tcPr>
            <w:tcW w:w="294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294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7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45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4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158" w:hRule="atLeast"/>
          <w:tblHeader/>
        </w:trPr>
        <w:tc>
          <w:tcPr>
            <w:tcW w:w="2942"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294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294" w:hRule="atLeast"/>
        </w:trPr>
        <w:tc>
          <w:tcPr>
            <w:tcW w:w="5887"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9,887.17</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7,417.48</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2,469.7</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204</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公共安全支出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20499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其他公共安全支出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2049999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其他公共安全支出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1.42</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8,495.67</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6,521.33</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1,974.34</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20501</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教育管理事务</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2050199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其他教育管理事务支出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3.37</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普通教育</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8,097.63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6,521.33</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1,576.3</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2050202</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小学教育</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2,242.73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2,242.73</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2050203</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初中教育</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4,061.6</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4,061.6</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2050299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其他普通教育支出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1,793.29</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217</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1,576.3</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教育费附加安排的支出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r>
      <w:tr>
        <w:tblPrEx>
          <w:tblLayout w:type="fixed"/>
          <w:tblCellMar>
            <w:top w:w="15" w:type="dxa"/>
            <w:left w:w="15" w:type="dxa"/>
            <w:bottom w:w="15" w:type="dxa"/>
            <w:right w:w="15" w:type="dxa"/>
          </w:tblCellMar>
        </w:tblPrEx>
        <w:trPr>
          <w:trHeight w:val="90"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2050999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其他教育费附加安排的支出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391.68</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90"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2059999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其他教育支出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社会保障和就业支出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行政事业单位养老支出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504.21</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2080502</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事业单位离退休</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41.53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41.53</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2080505</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机关事业单位基本养老保险缴费支出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301.42</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301.42</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2080506</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机关事业单位职业年金缴费支出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161.26</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161.26</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卫生健康支出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行政事业单位医疗</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194.98</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2101102</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事业单位医疗</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129.05</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129.05</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13"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2101199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其他行政事业单位医疗支出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65.94</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65.94</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8"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212</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城乡社区支出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21203</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城乡社区公共设施</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r>
      <w:tr>
        <w:tblPrEx>
          <w:tblLayout w:type="fixed"/>
          <w:tblCellMar>
            <w:top w:w="15" w:type="dxa"/>
            <w:left w:w="15" w:type="dxa"/>
            <w:bottom w:w="15" w:type="dxa"/>
            <w:right w:w="15" w:type="dxa"/>
          </w:tblCellMar>
        </w:tblPrEx>
        <w:trPr>
          <w:trHeight w:val="90"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2120399</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其他城乡社区公共设施支出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493.93</w:t>
            </w:r>
          </w:p>
        </w:tc>
      </w:tr>
      <w:tr>
        <w:tblPrEx>
          <w:tblLayout w:type="fixed"/>
          <w:tblCellMar>
            <w:top w:w="15" w:type="dxa"/>
            <w:left w:w="15" w:type="dxa"/>
            <w:bottom w:w="15" w:type="dxa"/>
            <w:right w:w="15" w:type="dxa"/>
          </w:tblCellMar>
        </w:tblPrEx>
        <w:trPr>
          <w:trHeight w:val="294"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221</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住房保障支出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58"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22102</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住房改革支出</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33" w:hRule="atLeast"/>
        </w:trPr>
        <w:tc>
          <w:tcPr>
            <w:tcW w:w="2942"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2210203</w:t>
            </w:r>
          </w:p>
        </w:tc>
        <w:tc>
          <w:tcPr>
            <w:tcW w:w="29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购房补贴</w:t>
            </w:r>
          </w:p>
        </w:tc>
        <w:tc>
          <w:tcPr>
            <w:tcW w:w="117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4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196.95</w:t>
            </w:r>
          </w:p>
        </w:tc>
        <w:tc>
          <w:tcPr>
            <w:tcW w:w="14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18" w:hRule="atLeast"/>
        </w:trPr>
        <w:tc>
          <w:tcPr>
            <w:tcW w:w="9980" w:type="dxa"/>
            <w:gridSpan w:val="7"/>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注：本表反映部门本年度一般公共预算财政拨款支出情况。</w:t>
            </w:r>
          </w:p>
        </w:tc>
      </w:tr>
    </w:tbl>
    <w:p>
      <w:pPr>
        <w:widowControl/>
        <w:jc w:val="left"/>
        <w:rPr>
          <w:rFonts w:ascii="Times New Roman" w:hAnsi="Times New Roman" w:eastAsia="Times New Roman" w:cs="Times New Roman"/>
          <w:kern w:val="0"/>
          <w:sz w:val="24"/>
        </w:rPr>
      </w:pPr>
      <w:r>
        <w:rPr>
          <w:rFonts w:ascii="宋体" w:hAnsi="宋体" w:cs="宋体"/>
          <w:spacing w:val="0"/>
          <w:kern w:val="0"/>
          <w:sz w:val="24"/>
        </w:rPr>
        <w:t> </w:t>
      </w:r>
    </w:p>
    <w:p>
      <w:pPr>
        <w:pStyle w:val="5"/>
        <w:keepNext w:val="0"/>
        <w:keepLines w:val="0"/>
        <w:spacing w:before="100" w:after="100" w:line="240" w:lineRule="auto"/>
        <w:ind w:left="720" w:right="0" w:hanging="720" w:firstLineChars="0"/>
        <w:outlineLvl w:val="1"/>
        <w:rPr>
          <w:rFonts w:ascii="Times New Roman" w:hAnsi="Times New Roman" w:eastAsia="Times New Roman" w:cs="Times New Roman"/>
          <w:b/>
          <w:bCs/>
          <w:kern w:val="0"/>
          <w:sz w:val="28"/>
          <w:szCs w:val="28"/>
        </w:rPr>
      </w:pPr>
      <w:bookmarkStart w:id="47" w:name="_Toc256000012"/>
      <w:bookmarkStart w:id="48" w:name="_Toc256000074"/>
      <w:bookmarkStart w:id="49" w:name="_Toc18418"/>
      <w:bookmarkStart w:id="50" w:name="_Toc21023"/>
      <w:bookmarkStart w:id="51" w:name="_Toc23259"/>
      <w:bookmarkStart w:id="52" w:name="_Toc256000043"/>
      <w:r>
        <w:rPr>
          <w:rFonts w:ascii="黑体" w:hAnsi="黑体" w:eastAsia="黑体" w:cs="黑体"/>
          <w:b/>
          <w:spacing w:val="0"/>
        </w:rPr>
        <w:t>六、一般公共预算财政拨款基本支出决算表</w:t>
      </w:r>
      <w:bookmarkEnd w:id="47"/>
      <w:bookmarkEnd w:id="48"/>
      <w:bookmarkEnd w:id="49"/>
      <w:bookmarkEnd w:id="50"/>
      <w:bookmarkEnd w:id="51"/>
      <w:bookmarkEnd w:id="52"/>
    </w:p>
    <w:p/>
    <w:tbl>
      <w:tblPr>
        <w:tblStyle w:val="22"/>
        <w:tblW w:w="10327" w:type="dxa"/>
        <w:tblInd w:w="20" w:type="dxa"/>
        <w:tblLayout w:type="fixed"/>
        <w:tblCellMar>
          <w:top w:w="15" w:type="dxa"/>
          <w:left w:w="15" w:type="dxa"/>
          <w:bottom w:w="15" w:type="dxa"/>
          <w:right w:w="15" w:type="dxa"/>
        </w:tblCellMar>
      </w:tblPr>
      <w:tblGrid>
        <w:gridCol w:w="788"/>
        <w:gridCol w:w="2054"/>
        <w:gridCol w:w="810"/>
        <w:gridCol w:w="735"/>
        <w:gridCol w:w="1770"/>
        <w:gridCol w:w="750"/>
        <w:gridCol w:w="630"/>
        <w:gridCol w:w="2130"/>
        <w:gridCol w:w="660"/>
      </w:tblGrid>
      <w:tr>
        <w:tblPrEx>
          <w:tblLayout w:type="fixed"/>
          <w:tblCellMar>
            <w:top w:w="15" w:type="dxa"/>
            <w:left w:w="15" w:type="dxa"/>
            <w:bottom w:w="15" w:type="dxa"/>
            <w:right w:w="15" w:type="dxa"/>
          </w:tblCellMar>
        </w:tblPrEx>
        <w:trPr>
          <w:trHeight w:val="640" w:hRule="atLeast"/>
          <w:tblHeader/>
        </w:trPr>
        <w:tc>
          <w:tcPr>
            <w:tcW w:w="10327" w:type="dxa"/>
            <w:gridSpan w:val="9"/>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一般公共预算财政拨款基本支出决算表</w:t>
            </w:r>
          </w:p>
        </w:tc>
      </w:tr>
      <w:tr>
        <w:tblPrEx>
          <w:tblLayout w:type="fixed"/>
          <w:tblCellMar>
            <w:top w:w="15" w:type="dxa"/>
            <w:left w:w="15" w:type="dxa"/>
            <w:bottom w:w="15" w:type="dxa"/>
            <w:right w:w="15" w:type="dxa"/>
          </w:tblCellMar>
        </w:tblPrEx>
        <w:trPr>
          <w:trHeight w:val="175" w:hRule="atLeast"/>
          <w:tblHeader/>
        </w:trPr>
        <w:tc>
          <w:tcPr>
            <w:tcW w:w="4387"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部门/单位：厦门市蔡塘学校</w:t>
            </w:r>
          </w:p>
        </w:tc>
        <w:tc>
          <w:tcPr>
            <w:tcW w:w="177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75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79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金额单位：万元</w:t>
            </w:r>
          </w:p>
        </w:tc>
      </w:tr>
      <w:tr>
        <w:tblPrEx>
          <w:tblLayout w:type="fixed"/>
          <w:tblCellMar>
            <w:top w:w="15" w:type="dxa"/>
            <w:left w:w="15" w:type="dxa"/>
            <w:bottom w:w="15" w:type="dxa"/>
            <w:right w:w="15" w:type="dxa"/>
          </w:tblCellMar>
        </w:tblPrEx>
        <w:trPr>
          <w:trHeight w:val="312" w:hRule="atLeast"/>
          <w:tblHeader/>
        </w:trPr>
        <w:tc>
          <w:tcPr>
            <w:tcW w:w="78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经济分类科目编码</w:t>
            </w:r>
          </w:p>
        </w:tc>
        <w:tc>
          <w:tcPr>
            <w:tcW w:w="205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81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c>
          <w:tcPr>
            <w:tcW w:w="73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经济分类科目编码</w:t>
            </w:r>
          </w:p>
        </w:tc>
        <w:tc>
          <w:tcPr>
            <w:tcW w:w="177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75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c>
          <w:tcPr>
            <w:tcW w:w="6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经济分类科目编码</w:t>
            </w:r>
          </w:p>
        </w:tc>
        <w:tc>
          <w:tcPr>
            <w:tcW w:w="21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66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22" w:hRule="atLeast"/>
          <w:tblHeader/>
        </w:trPr>
        <w:tc>
          <w:tcPr>
            <w:tcW w:w="78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205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73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77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75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63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213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66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25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工资福利支出</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6,517.22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商品和服务支出</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656.09</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30703</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国内债务发行费用</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5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30101</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基本工资</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485.95</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30201</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办公费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249.67</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30704</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国外债务发行费用</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9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30102</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津贴补贴</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952.82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30202</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印刷费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资本性支出</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186.02</w:t>
            </w:r>
          </w:p>
        </w:tc>
      </w:tr>
      <w:tr>
        <w:tblPrEx>
          <w:tblLayout w:type="fixed"/>
          <w:tblCellMar>
            <w:top w:w="15" w:type="dxa"/>
            <w:left w:w="15" w:type="dxa"/>
            <w:bottom w:w="15" w:type="dxa"/>
            <w:right w:w="15" w:type="dxa"/>
          </w:tblCellMar>
        </w:tblPrEx>
        <w:trPr>
          <w:trHeight w:val="19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30103</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奖金</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1,358.3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30203</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咨询费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31001</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房屋建筑物购建</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42"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30106</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伙食补助费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30204</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手续费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31002</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办公设备购置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116.91</w:t>
            </w:r>
          </w:p>
        </w:tc>
      </w:tr>
      <w:tr>
        <w:tblPrEx>
          <w:tblLayout w:type="fixed"/>
          <w:tblCellMar>
            <w:top w:w="15" w:type="dxa"/>
            <w:left w:w="15" w:type="dxa"/>
            <w:bottom w:w="15" w:type="dxa"/>
            <w:right w:w="15" w:type="dxa"/>
          </w:tblCellMar>
        </w:tblPrEx>
        <w:trPr>
          <w:trHeight w:val="9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30107</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绩效工资</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276.82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30205</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水费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14.78</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31003</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专用设备购置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375"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30108</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机关事业单位基本养老保险缴费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301.42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30206</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电费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72.26</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31005</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基础设施建设</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30109</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职业年金缴费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161.26</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30207</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邮电费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6.75</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31006</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大型修缮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30110</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职工基本医疗保险缴费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129.05</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30208</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取暖费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31007</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信息网络及软件购置更新</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35"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30111</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公务员医疗补助缴费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30209</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物业管理费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31008</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物资储备</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6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30112</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其他社会保障缴费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97.35</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30211</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差旅费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2.98</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31009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土地补偿</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30113</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住房公积金</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329.17</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30212</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因公出国（境）费用</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31010</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安置补助</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27"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30114</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医疗费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30213</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维修（护）费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59.16</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31011</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地上附着物和青苗补偿</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30199</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其他工资福利支出</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2,425.07</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30214</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租赁费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31012</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拆迁补偿</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2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对个人和家庭的补助</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58.15</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30215</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会议费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31013</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公务用车购置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145"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30301</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离休费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30216</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培训费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38.61</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31019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其他交通工具购置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7"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30302</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退休费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30217</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公务接待费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31021</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文物和陈列品购置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30303</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退职（役）费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30218</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专用材料费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17.69</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31022</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无形资产购置</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24.45</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30304</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抚恤金</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30224</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被装购置费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31099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其他资本性支出</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44.66</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30305</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生活补助</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30225</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专用燃料费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对企业补助</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30306</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救济费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30226</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劳务费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58.06</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31201</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资本金注入</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30307</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医疗费补助</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30227</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委托业务费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31203</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政府投资基金股权投资</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30308</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助学金</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30228</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工会经费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77.81</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31204</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费用补贴</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30309</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奖励金</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16.62</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30229</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福利费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17.55</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31205</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利息补贴</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30310</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个人农业生产补贴</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30231</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公务用车运行维护费</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31206</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其他资本性补助</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05"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30311</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代缴社会保险费</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30239</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其他交通费用</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4.38</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31299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其他对企业补助</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296"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30399</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其他对个人和家庭的补助</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41.53</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30240</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税金及附加费用</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其他支出</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36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30299</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其他商品和服务支出</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36.4</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39907</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国家赔偿费用支出</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32"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债务利息及费用支出</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39908</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对民间非营利组织和群众性自治组织补贴</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30701</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国内债务付息</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39909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经常性赠与</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30702</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国外债务付息</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39910</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资本性赠与</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7" w:hRule="atLeast"/>
          <w:tblHeader/>
        </w:trPr>
        <w:tc>
          <w:tcPr>
            <w:tcW w:w="7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205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3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77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75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6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39999</w:t>
            </w:r>
          </w:p>
        </w:tc>
        <w:tc>
          <w:tcPr>
            <w:tcW w:w="2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其他支出</w:t>
            </w:r>
          </w:p>
        </w:tc>
        <w:tc>
          <w:tcPr>
            <w:tcW w:w="66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90" w:hRule="atLeast"/>
          <w:tblHeader/>
        </w:trPr>
        <w:tc>
          <w:tcPr>
            <w:tcW w:w="284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人员经费合计 </w:t>
            </w:r>
          </w:p>
        </w:tc>
        <w:tc>
          <w:tcPr>
            <w:tcW w:w="81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6,575.37</w:t>
            </w:r>
          </w:p>
        </w:tc>
        <w:tc>
          <w:tcPr>
            <w:tcW w:w="3885"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公用经费合计</w:t>
            </w:r>
          </w:p>
        </w:tc>
        <w:tc>
          <w:tcPr>
            <w:tcW w:w="279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842.11</w:t>
            </w:r>
          </w:p>
        </w:tc>
      </w:tr>
      <w:tr>
        <w:tblPrEx>
          <w:tblLayout w:type="fixed"/>
          <w:tblCellMar>
            <w:top w:w="15" w:type="dxa"/>
            <w:left w:w="15" w:type="dxa"/>
            <w:bottom w:w="15" w:type="dxa"/>
            <w:right w:w="15" w:type="dxa"/>
          </w:tblCellMar>
        </w:tblPrEx>
        <w:trPr>
          <w:trHeight w:val="420" w:hRule="atLeast"/>
          <w:tblHeader/>
        </w:trPr>
        <w:tc>
          <w:tcPr>
            <w:tcW w:w="10327" w:type="dxa"/>
            <w:gridSpan w:val="9"/>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注：本表反映部门本年度一般公共预算财政拨款基本支出明细情况。</w:t>
            </w:r>
          </w:p>
        </w:tc>
      </w:tr>
    </w:tbl>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720" w:right="0" w:hanging="720" w:firstLineChars="0"/>
        <w:outlineLvl w:val="1"/>
        <w:rPr>
          <w:rFonts w:ascii="Times New Roman" w:hAnsi="Times New Roman" w:eastAsia="Times New Roman" w:cs="Times New Roman"/>
          <w:b/>
          <w:bCs/>
          <w:kern w:val="0"/>
          <w:sz w:val="28"/>
          <w:szCs w:val="28"/>
        </w:rPr>
      </w:pPr>
      <w:bookmarkStart w:id="53" w:name="_Toc256000044"/>
      <w:bookmarkStart w:id="54" w:name="_Toc11499"/>
      <w:bookmarkStart w:id="55" w:name="_Toc256000075"/>
      <w:bookmarkStart w:id="56" w:name="_Toc256000013"/>
      <w:bookmarkStart w:id="57" w:name="_Toc20959"/>
      <w:bookmarkStart w:id="58" w:name="_Toc31526"/>
      <w:r>
        <w:rPr>
          <w:rFonts w:ascii="黑体" w:hAnsi="黑体" w:eastAsia="黑体" w:cs="黑体"/>
          <w:b/>
          <w:spacing w:val="0"/>
        </w:rPr>
        <w:t>七、一般公共预算财政拨款“三公”经费支出决算表</w:t>
      </w:r>
      <w:bookmarkEnd w:id="53"/>
      <w:bookmarkEnd w:id="54"/>
      <w:bookmarkEnd w:id="55"/>
      <w:bookmarkEnd w:id="56"/>
      <w:bookmarkEnd w:id="57"/>
      <w:bookmarkEnd w:id="58"/>
    </w:p>
    <w:p/>
    <w:tbl>
      <w:tblPr>
        <w:tblStyle w:val="22"/>
        <w:tblW w:w="9840" w:type="dxa"/>
        <w:tblInd w:w="20" w:type="dxa"/>
        <w:tblLayout w:type="fixed"/>
        <w:tblCellMar>
          <w:top w:w="15" w:type="dxa"/>
          <w:left w:w="15" w:type="dxa"/>
          <w:bottom w:w="15" w:type="dxa"/>
          <w:right w:w="15" w:type="dxa"/>
        </w:tblCellMar>
      </w:tblPr>
      <w:tblGrid>
        <w:gridCol w:w="818"/>
        <w:gridCol w:w="818"/>
        <w:gridCol w:w="818"/>
        <w:gridCol w:w="818"/>
        <w:gridCol w:w="995"/>
        <w:gridCol w:w="990"/>
        <w:gridCol w:w="471"/>
        <w:gridCol w:w="819"/>
        <w:gridCol w:w="819"/>
        <w:gridCol w:w="819"/>
        <w:gridCol w:w="1032"/>
        <w:gridCol w:w="623"/>
      </w:tblGrid>
      <w:tr>
        <w:tblPrEx>
          <w:tblLayout w:type="fixed"/>
          <w:tblCellMar>
            <w:top w:w="15" w:type="dxa"/>
            <w:left w:w="15" w:type="dxa"/>
            <w:bottom w:w="15" w:type="dxa"/>
            <w:right w:w="15" w:type="dxa"/>
          </w:tblCellMar>
        </w:tblPrEx>
        <w:trPr>
          <w:trHeight w:val="90" w:hRule="atLeast"/>
          <w:tblHeader/>
        </w:trPr>
        <w:tc>
          <w:tcPr>
            <w:tcW w:w="9840" w:type="dxa"/>
            <w:gridSpan w:val="12"/>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一般公共预算财政拨款“三公”经费支出决算</w:t>
            </w:r>
          </w:p>
        </w:tc>
      </w:tr>
      <w:tr>
        <w:tblPrEx>
          <w:tblLayout w:type="fixed"/>
          <w:tblCellMar>
            <w:top w:w="15" w:type="dxa"/>
            <w:left w:w="15" w:type="dxa"/>
            <w:bottom w:w="15" w:type="dxa"/>
            <w:right w:w="15" w:type="dxa"/>
          </w:tblCellMar>
        </w:tblPrEx>
        <w:trPr>
          <w:trHeight w:val="90" w:hRule="atLeast"/>
        </w:trPr>
        <w:tc>
          <w:tcPr>
            <w:tcW w:w="5257"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部门/单位：厦门市蔡塘学校</w:t>
            </w:r>
          </w:p>
        </w:tc>
        <w:tc>
          <w:tcPr>
            <w:tcW w:w="1290"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8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8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1655"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90" w:hRule="atLeast"/>
        </w:trPr>
        <w:tc>
          <w:tcPr>
            <w:tcW w:w="5257"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预算数</w:t>
            </w:r>
          </w:p>
        </w:tc>
        <w:tc>
          <w:tcPr>
            <w:tcW w:w="4583"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rHeight w:val="156" w:hRule="atLeast"/>
          <w:tblHeader/>
        </w:trPr>
        <w:tc>
          <w:tcPr>
            <w:tcW w:w="8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8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因公出国 （境）费</w:t>
            </w:r>
          </w:p>
        </w:tc>
        <w:tc>
          <w:tcPr>
            <w:tcW w:w="2631"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公务用车购置及运行维护费</w:t>
            </w:r>
          </w:p>
        </w:tc>
        <w:tc>
          <w:tcPr>
            <w:tcW w:w="99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公务接待费</w:t>
            </w:r>
          </w:p>
        </w:tc>
        <w:tc>
          <w:tcPr>
            <w:tcW w:w="47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8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因公出国 （境）费</w:t>
            </w:r>
          </w:p>
        </w:tc>
        <w:tc>
          <w:tcPr>
            <w:tcW w:w="267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公务用车购置及运行维护费</w:t>
            </w:r>
          </w:p>
        </w:tc>
        <w:tc>
          <w:tcPr>
            <w:tcW w:w="62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rHeight w:val="370" w:hRule="atLeast"/>
          <w:tblHeader/>
        </w:trPr>
        <w:tc>
          <w:tcPr>
            <w:tcW w:w="8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小计 </w:t>
            </w:r>
          </w:p>
        </w:tc>
        <w:tc>
          <w:tcPr>
            <w:tcW w:w="81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公务用车购置费</w:t>
            </w:r>
          </w:p>
        </w:tc>
        <w:tc>
          <w:tcPr>
            <w:tcW w:w="9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公务用车运行维护费</w:t>
            </w:r>
          </w:p>
        </w:tc>
        <w:tc>
          <w:tcPr>
            <w:tcW w:w="99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47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小计 </w:t>
            </w:r>
          </w:p>
        </w:tc>
        <w:tc>
          <w:tcPr>
            <w:tcW w:w="8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公务用车购置费</w:t>
            </w:r>
          </w:p>
        </w:tc>
        <w:tc>
          <w:tcPr>
            <w:tcW w:w="103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公务用车运行维护费</w:t>
            </w:r>
          </w:p>
        </w:tc>
        <w:tc>
          <w:tcPr>
            <w:tcW w:w="62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trPr>
        <w:tc>
          <w:tcPr>
            <w:tcW w:w="8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995"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990"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471"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81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032"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62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90" w:hRule="atLeast"/>
        </w:trPr>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w:t>
            </w:r>
          </w:p>
        </w:tc>
        <w:tc>
          <w:tcPr>
            <w:tcW w:w="4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7</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8</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9</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10</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11</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rPr>
          <w:trHeight w:val="90" w:hRule="atLeast"/>
        </w:trPr>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bookmarkStart w:id="151" w:name="_GoBack" w:colFirst="1" w:colLast="11"/>
            <w:r>
              <w:rPr>
                <w:rFonts w:hint="eastAsia" w:ascii="宋体" w:hAnsi="宋体" w:cs="宋体"/>
                <w:b w:val="0"/>
                <w:bCs w:val="0"/>
                <w:i w:val="0"/>
                <w:iCs w:val="0"/>
                <w:smallCaps w:val="0"/>
                <w:color w:val="000000"/>
                <w:kern w:val="0"/>
                <w:sz w:val="18"/>
                <w:szCs w:val="18"/>
                <w:lang w:val="en-US" w:eastAsia="zh-CN"/>
              </w:rPr>
              <w:t>0</w:t>
            </w:r>
            <w:r>
              <w:rPr>
                <w:rFonts w:hint="eastAsia" w:ascii="宋体" w:hAnsi="宋体" w:eastAsia="宋体" w:cs="宋体"/>
                <w:b w:val="0"/>
                <w:bCs w:val="0"/>
                <w:i w:val="0"/>
                <w:iCs w:val="0"/>
                <w:smallCaps w:val="0"/>
                <w:color w:val="000000"/>
                <w:kern w:val="0"/>
                <w:sz w:val="18"/>
                <w:szCs w:val="18"/>
              </w:rPr>
              <w:t> </w:t>
            </w:r>
          </w:p>
        </w:tc>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81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99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47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8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103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0</w:t>
            </w:r>
          </w:p>
        </w:tc>
      </w:tr>
      <w:bookmarkEnd w:id="151"/>
      <w:tr>
        <w:tblPrEx>
          <w:tblLayout w:type="fixed"/>
          <w:tblCellMar>
            <w:top w:w="15" w:type="dxa"/>
            <w:left w:w="15" w:type="dxa"/>
            <w:bottom w:w="15" w:type="dxa"/>
            <w:right w:w="15" w:type="dxa"/>
          </w:tblCellMar>
        </w:tblPrEx>
        <w:trPr>
          <w:trHeight w:val="954" w:hRule="atLeast"/>
        </w:trPr>
        <w:tc>
          <w:tcPr>
            <w:tcW w:w="9840" w:type="dxa"/>
            <w:gridSpan w:val="12"/>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widowControl/>
        <w:jc w:val="left"/>
        <w:rPr>
          <w:rFonts w:ascii="Times New Roman" w:hAnsi="Times New Roman" w:eastAsia="Times New Roman" w:cs="Times New Roman"/>
          <w:kern w:val="0"/>
          <w:sz w:val="24"/>
        </w:rPr>
      </w:pPr>
      <w:r>
        <w:rPr>
          <w:rFonts w:ascii="Times New Roman" w:hAnsi="Times New Roman" w:eastAsia="Times New Roman" w:cs="Times New Roman"/>
          <w:kern w:val="0"/>
          <w:sz w:val="24"/>
        </w:rPr>
        <w:t> </w:t>
      </w:r>
      <w:r>
        <w:rPr>
          <w:rFonts w:hint="eastAsia" w:cs="Times New Roman"/>
          <w:kern w:val="0"/>
          <w:sz w:val="24"/>
          <w:lang w:val="en-US" w:eastAsia="zh-CN"/>
        </w:rPr>
        <w:t xml:space="preserve">         </w:t>
      </w:r>
      <w:r>
        <w:rPr>
          <w:rFonts w:hint="eastAsia" w:ascii="仿宋" w:hAnsi="仿宋" w:eastAsia="仿宋" w:cs="仿宋"/>
          <w:spacing w:val="0"/>
          <w:kern w:val="0"/>
          <w:sz w:val="32"/>
          <w:szCs w:val="32"/>
        </w:rPr>
        <w:t>本单位2024年度没有使用</w:t>
      </w:r>
      <w:r>
        <w:rPr>
          <w:rFonts w:ascii="仿宋" w:hAnsi="仿宋" w:eastAsia="仿宋" w:cs="仿宋"/>
          <w:spacing w:val="0"/>
          <w:kern w:val="0"/>
          <w:sz w:val="32"/>
          <w:szCs w:val="32"/>
        </w:rPr>
        <w:t>一般公共预算财政拨款“三公”经费</w:t>
      </w:r>
      <w:r>
        <w:rPr>
          <w:rFonts w:hint="eastAsia" w:ascii="仿宋" w:hAnsi="仿宋" w:eastAsia="仿宋" w:cs="仿宋"/>
          <w:spacing w:val="0"/>
          <w:kern w:val="0"/>
          <w:sz w:val="32"/>
          <w:szCs w:val="32"/>
        </w:rPr>
        <w:t>安排的支出。</w:t>
      </w:r>
    </w:p>
    <w:p>
      <w:pPr>
        <w:pStyle w:val="5"/>
        <w:keepNext w:val="0"/>
        <w:keepLines w:val="0"/>
        <w:spacing w:before="100" w:after="100" w:line="240" w:lineRule="auto"/>
        <w:ind w:left="0" w:right="0" w:firstLine="0" w:firstLineChars="0"/>
        <w:outlineLvl w:val="1"/>
        <w:rPr>
          <w:rFonts w:ascii="Times New Roman" w:hAnsi="Times New Roman" w:eastAsia="Times New Roman" w:cs="Times New Roman"/>
          <w:b/>
          <w:bCs/>
          <w:kern w:val="0"/>
          <w:sz w:val="28"/>
          <w:szCs w:val="28"/>
        </w:rPr>
      </w:pPr>
      <w:bookmarkStart w:id="59" w:name="_Toc18996"/>
      <w:bookmarkStart w:id="60" w:name="_Toc256000076"/>
      <w:bookmarkStart w:id="61" w:name="_Toc7374"/>
      <w:bookmarkStart w:id="62" w:name="_Toc256000014"/>
      <w:bookmarkStart w:id="63" w:name="_Toc19021"/>
      <w:bookmarkStart w:id="64" w:name="_Toc256000045"/>
      <w:r>
        <w:rPr>
          <w:rFonts w:ascii="黑体" w:hAnsi="黑体" w:eastAsia="黑体" w:cs="黑体"/>
          <w:b/>
          <w:spacing w:val="0"/>
        </w:rPr>
        <w:t>八、政府性基金预算财政拨款收入支出决算表</w:t>
      </w:r>
      <w:bookmarkEnd w:id="59"/>
      <w:bookmarkEnd w:id="60"/>
      <w:bookmarkEnd w:id="61"/>
      <w:bookmarkEnd w:id="62"/>
      <w:bookmarkEnd w:id="63"/>
      <w:bookmarkEnd w:id="64"/>
    </w:p>
    <w:p/>
    <w:tbl>
      <w:tblPr>
        <w:tblStyle w:val="22"/>
        <w:tblW w:w="9280" w:type="dxa"/>
        <w:tblInd w:w="20" w:type="dxa"/>
        <w:tblLayout w:type="fixed"/>
        <w:tblCellMar>
          <w:top w:w="15" w:type="dxa"/>
          <w:left w:w="15" w:type="dxa"/>
          <w:bottom w:w="15" w:type="dxa"/>
          <w:right w:w="15" w:type="dxa"/>
        </w:tblCellMar>
      </w:tblPr>
      <w:tblGrid>
        <w:gridCol w:w="1158"/>
        <w:gridCol w:w="1159"/>
        <w:gridCol w:w="1159"/>
        <w:gridCol w:w="1159"/>
        <w:gridCol w:w="1159"/>
        <w:gridCol w:w="1159"/>
        <w:gridCol w:w="1159"/>
        <w:gridCol w:w="1168"/>
      </w:tblGrid>
      <w:tr>
        <w:tblPrEx>
          <w:tblLayout w:type="fixed"/>
          <w:tblCellMar>
            <w:top w:w="15" w:type="dxa"/>
            <w:left w:w="15" w:type="dxa"/>
            <w:bottom w:w="15" w:type="dxa"/>
            <w:right w:w="15" w:type="dxa"/>
          </w:tblCellMar>
        </w:tblPrEx>
        <w:trPr>
          <w:trHeight w:val="803" w:hRule="atLeast"/>
          <w:tblHeader/>
        </w:trPr>
        <w:tc>
          <w:tcPr>
            <w:tcW w:w="9280" w:type="dxa"/>
            <w:gridSpan w:val="8"/>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政府性基金预算财政拨款收入支出决算表</w:t>
            </w:r>
          </w:p>
        </w:tc>
      </w:tr>
      <w:tr>
        <w:tblPrEx>
          <w:tblLayout w:type="fixed"/>
          <w:tblCellMar>
            <w:top w:w="15" w:type="dxa"/>
            <w:left w:w="15" w:type="dxa"/>
            <w:bottom w:w="15" w:type="dxa"/>
            <w:right w:w="15" w:type="dxa"/>
          </w:tblCellMar>
        </w:tblPrEx>
        <w:trPr>
          <w:trHeight w:val="90" w:hRule="atLeast"/>
        </w:trPr>
        <w:tc>
          <w:tcPr>
            <w:tcW w:w="463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部门/单位：厦门市蔡塘学校</w:t>
            </w:r>
          </w:p>
        </w:tc>
        <w:tc>
          <w:tcPr>
            <w:tcW w:w="11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115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p>
        </w:tc>
        <w:tc>
          <w:tcPr>
            <w:tcW w:w="2327"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cs="宋体"/>
                <w:b w:val="0"/>
                <w:bCs w:val="0"/>
                <w:i w:val="0"/>
                <w:iCs w:val="0"/>
                <w:smallCaps w:val="0"/>
                <w:color w:val="000000"/>
                <w:kern w:val="0"/>
                <w:sz w:val="18"/>
                <w:szCs w:val="18"/>
                <w:lang w:val="en-US" w:eastAsia="zh-CN"/>
              </w:rPr>
              <w:t xml:space="preserve">   </w:t>
            </w: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124" w:hRule="atLeast"/>
          <w:tblHeader/>
        </w:trPr>
        <w:tc>
          <w:tcPr>
            <w:tcW w:w="23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11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年初结转和结余 </w:t>
            </w:r>
          </w:p>
        </w:tc>
        <w:tc>
          <w:tcPr>
            <w:tcW w:w="11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本年收入</w:t>
            </w:r>
          </w:p>
        </w:tc>
        <w:tc>
          <w:tcPr>
            <w:tcW w:w="3477"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w:t>
            </w:r>
          </w:p>
        </w:tc>
        <w:tc>
          <w:tcPr>
            <w:tcW w:w="116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rHeight w:val="368" w:hRule="atLeast"/>
          <w:tblHeader/>
        </w:trPr>
        <w:tc>
          <w:tcPr>
            <w:tcW w:w="115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支出功能分类科目编码</w:t>
            </w:r>
          </w:p>
        </w:tc>
        <w:tc>
          <w:tcPr>
            <w:tcW w:w="11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小计</w:t>
            </w:r>
          </w:p>
        </w:tc>
        <w:tc>
          <w:tcPr>
            <w:tcW w:w="11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xml:space="preserve">基本支出 </w:t>
            </w:r>
          </w:p>
        </w:tc>
        <w:tc>
          <w:tcPr>
            <w:tcW w:w="115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项目支出</w:t>
            </w: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trPr>
        <w:tc>
          <w:tcPr>
            <w:tcW w:w="115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59"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168"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90" w:hRule="atLeast"/>
        </w:trPr>
        <w:tc>
          <w:tcPr>
            <w:tcW w:w="23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4</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5</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90" w:hRule="atLeast"/>
        </w:trPr>
        <w:tc>
          <w:tcPr>
            <w:tcW w:w="2317"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15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16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518" w:hRule="atLeast"/>
        </w:trPr>
        <w:tc>
          <w:tcPr>
            <w:tcW w:w="9280" w:type="dxa"/>
            <w:gridSpan w:val="8"/>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注：本表反映部门本年度政府性基金预算财政拨款收入、支出及结转和结余情况。</w:t>
            </w:r>
          </w:p>
        </w:tc>
      </w:tr>
    </w:tbl>
    <w:p>
      <w:pPr>
        <w:widowControl/>
        <w:ind w:firstLine="540" w:firstLineChars="200"/>
        <w:jc w:val="left"/>
        <w:rPr>
          <w:rFonts w:ascii="黑体" w:hAnsi="黑体" w:eastAsia="黑体" w:cs="黑体"/>
          <w:b/>
          <w:spacing w:val="0"/>
        </w:rPr>
      </w:pPr>
      <w:r>
        <w:rPr>
          <w:rFonts w:ascii="Times New Roman" w:hAnsi="Times New Roman" w:eastAsia="Times New Roman" w:cs="Times New Roman"/>
          <w:spacing w:val="0"/>
          <w:kern w:val="0"/>
          <w:sz w:val="27"/>
          <w:szCs w:val="27"/>
        </w:rPr>
        <w:t> </w:t>
      </w:r>
      <w:r>
        <w:rPr>
          <w:rFonts w:ascii="仿宋" w:hAnsi="仿宋" w:eastAsia="仿宋" w:cs="仿宋"/>
          <w:spacing w:val="0"/>
          <w:kern w:val="0"/>
          <w:sz w:val="32"/>
          <w:szCs w:val="32"/>
        </w:rPr>
        <w:t>本单位2024年度没有使用政府性基金预算拨款安排的支出。</w:t>
      </w:r>
    </w:p>
    <w:p>
      <w:pPr>
        <w:widowControl/>
        <w:jc w:val="left"/>
        <w:rPr>
          <w:rFonts w:ascii="Times New Roman" w:hAnsi="Times New Roman" w:eastAsia="Times New Roman" w:cs="Times New Roman"/>
          <w:kern w:val="0"/>
          <w:sz w:val="24"/>
        </w:rPr>
      </w:pPr>
    </w:p>
    <w:p>
      <w:pPr>
        <w:pStyle w:val="5"/>
        <w:keepNext w:val="0"/>
        <w:keepLines w:val="0"/>
        <w:spacing w:before="100" w:after="100" w:line="240" w:lineRule="auto"/>
        <w:ind w:left="0" w:right="0" w:firstLine="0" w:firstLineChars="0"/>
        <w:outlineLvl w:val="1"/>
        <w:rPr>
          <w:rFonts w:ascii="Times New Roman" w:hAnsi="Times New Roman" w:eastAsia="Times New Roman" w:cs="Times New Roman"/>
          <w:b/>
          <w:bCs/>
          <w:kern w:val="0"/>
          <w:sz w:val="28"/>
          <w:szCs w:val="28"/>
        </w:rPr>
      </w:pPr>
      <w:bookmarkStart w:id="65" w:name="_Toc4239"/>
      <w:bookmarkStart w:id="66" w:name="_Toc256000077"/>
      <w:bookmarkStart w:id="67" w:name="_Toc256000046"/>
      <w:bookmarkStart w:id="68" w:name="_Toc15567"/>
      <w:bookmarkStart w:id="69" w:name="_Toc256000015"/>
      <w:bookmarkStart w:id="70" w:name="_Toc30879"/>
      <w:r>
        <w:rPr>
          <w:rFonts w:ascii="黑体" w:hAnsi="黑体" w:eastAsia="黑体" w:cs="黑体"/>
          <w:b/>
          <w:spacing w:val="0"/>
        </w:rPr>
        <w:t>九、国有资本经营预算财政拨款支出决算表</w:t>
      </w:r>
      <w:bookmarkEnd w:id="65"/>
      <w:bookmarkEnd w:id="66"/>
      <w:bookmarkEnd w:id="67"/>
      <w:bookmarkEnd w:id="68"/>
      <w:bookmarkEnd w:id="69"/>
      <w:bookmarkEnd w:id="70"/>
    </w:p>
    <w:p/>
    <w:tbl>
      <w:tblPr>
        <w:tblStyle w:val="22"/>
        <w:tblW w:w="9320" w:type="dxa"/>
        <w:tblInd w:w="20" w:type="dxa"/>
        <w:tblLayout w:type="fixed"/>
        <w:tblCellMar>
          <w:top w:w="15" w:type="dxa"/>
          <w:left w:w="15" w:type="dxa"/>
          <w:bottom w:w="15" w:type="dxa"/>
          <w:right w:w="15" w:type="dxa"/>
        </w:tblCellMar>
      </w:tblPr>
      <w:tblGrid>
        <w:gridCol w:w="1863"/>
        <w:gridCol w:w="1863"/>
        <w:gridCol w:w="1864"/>
        <w:gridCol w:w="1864"/>
        <w:gridCol w:w="1866"/>
      </w:tblGrid>
      <w:tr>
        <w:tblPrEx>
          <w:tblLayout w:type="fixed"/>
          <w:tblCellMar>
            <w:top w:w="15" w:type="dxa"/>
            <w:left w:w="15" w:type="dxa"/>
            <w:bottom w:w="15" w:type="dxa"/>
            <w:right w:w="15" w:type="dxa"/>
          </w:tblCellMar>
        </w:tblPrEx>
        <w:trPr>
          <w:trHeight w:val="725" w:hRule="atLeast"/>
          <w:tblHeader/>
        </w:trPr>
        <w:tc>
          <w:tcPr>
            <w:tcW w:w="9320" w:type="dxa"/>
            <w:gridSpan w:val="5"/>
            <w:tcMar>
              <w:top w:w="20" w:type="dxa"/>
              <w:left w:w="20" w:type="dxa"/>
              <w:bottom w:w="20" w:type="dxa"/>
              <w:right w:w="20" w:type="dxa"/>
            </w:tcMar>
            <w:vAlign w:val="center"/>
          </w:tcPr>
          <w:p>
            <w:pPr>
              <w:widowControl/>
              <w:spacing w:line="900" w:lineRule="atLeast"/>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国有资本经营预算财政拨款支出决算表</w:t>
            </w:r>
          </w:p>
        </w:tc>
      </w:tr>
      <w:tr>
        <w:tblPrEx>
          <w:tblLayout w:type="fixed"/>
          <w:tblCellMar>
            <w:top w:w="15" w:type="dxa"/>
            <w:left w:w="15" w:type="dxa"/>
            <w:bottom w:w="15" w:type="dxa"/>
            <w:right w:w="15" w:type="dxa"/>
          </w:tblCellMar>
        </w:tblPrEx>
        <w:trPr>
          <w:trHeight w:val="104" w:hRule="atLeast"/>
        </w:trPr>
        <w:tc>
          <w:tcPr>
            <w:tcW w:w="3726"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部门/单位：厦门市蔡塘学校</w:t>
            </w:r>
          </w:p>
        </w:tc>
        <w:tc>
          <w:tcPr>
            <w:tcW w:w="1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2024年度</w:t>
            </w:r>
          </w:p>
        </w:tc>
        <w:tc>
          <w:tcPr>
            <w:tcW w:w="186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8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90" w:hRule="atLeast"/>
        </w:trPr>
        <w:tc>
          <w:tcPr>
            <w:tcW w:w="37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w:t>
            </w:r>
          </w:p>
        </w:tc>
        <w:tc>
          <w:tcPr>
            <w:tcW w:w="559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57" w:hRule="atLeast"/>
          <w:tblHeader/>
        </w:trPr>
        <w:tc>
          <w:tcPr>
            <w:tcW w:w="18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科目代码</w:t>
            </w:r>
          </w:p>
        </w:tc>
        <w:tc>
          <w:tcPr>
            <w:tcW w:w="18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科目名称</w:t>
            </w:r>
          </w:p>
        </w:tc>
        <w:tc>
          <w:tcPr>
            <w:tcW w:w="1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86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基本支出</w:t>
            </w:r>
          </w:p>
        </w:tc>
        <w:tc>
          <w:tcPr>
            <w:tcW w:w="18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48" w:hRule="atLeast"/>
          <w:tblHeader/>
        </w:trPr>
        <w:tc>
          <w:tcPr>
            <w:tcW w:w="186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trPr>
        <w:tc>
          <w:tcPr>
            <w:tcW w:w="186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3"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4"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c>
          <w:tcPr>
            <w:tcW w:w="1866" w:type="dxa"/>
            <w:vMerge w:val="continue"/>
            <w:tcBorders>
              <w:top w:val="single" w:color="000000" w:sz="6" w:space="0"/>
              <w:left w:val="single" w:color="000000" w:sz="6" w:space="0"/>
              <w:bottom w:val="single" w:color="000000" w:sz="6" w:space="0"/>
              <w:right w:val="single" w:color="000000" w:sz="6" w:space="0"/>
            </w:tcBorders>
            <w:vAlign w:val="center"/>
          </w:tcPr>
          <w:p>
            <w:pPr>
              <w:rPr>
                <w:rFonts w:hint="eastAsia" w:ascii="宋体" w:hAnsi="宋体" w:eastAsia="宋体" w:cs="宋体"/>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90" w:hRule="atLeast"/>
        </w:trPr>
        <w:tc>
          <w:tcPr>
            <w:tcW w:w="37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栏次</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1</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2</w:t>
            </w:r>
          </w:p>
        </w:tc>
        <w:tc>
          <w:tcPr>
            <w:tcW w:w="18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90" w:hRule="atLeast"/>
        </w:trPr>
        <w:tc>
          <w:tcPr>
            <w:tcW w:w="3726"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合计</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86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c>
          <w:tcPr>
            <w:tcW w:w="18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470" w:hRule="atLeast"/>
        </w:trPr>
        <w:tc>
          <w:tcPr>
            <w:tcW w:w="9320" w:type="dxa"/>
            <w:gridSpan w:val="5"/>
            <w:tcMar>
              <w:top w:w="20" w:type="dxa"/>
              <w:left w:w="20" w:type="dxa"/>
              <w:bottom w:w="20" w:type="dxa"/>
              <w:right w:w="20" w:type="dxa"/>
            </w:tcMar>
            <w:vAlign w:val="center"/>
          </w:tcPr>
          <w:p>
            <w:pPr>
              <w:widowControl/>
              <w:spacing w:line="375" w:lineRule="atLeast"/>
              <w:jc w:val="left"/>
              <w:rPr>
                <w:rFonts w:hint="eastAsia" w:ascii="宋体" w:hAnsi="宋体" w:eastAsia="宋体" w:cs="宋体"/>
                <w:b w:val="0"/>
                <w:bCs w:val="0"/>
                <w:i w:val="0"/>
                <w:iCs w:val="0"/>
                <w:smallCaps w:val="0"/>
                <w:color w:val="000000"/>
                <w:kern w:val="0"/>
                <w:sz w:val="18"/>
                <w:szCs w:val="18"/>
              </w:rPr>
            </w:pPr>
            <w:r>
              <w:rPr>
                <w:rFonts w:hint="eastAsia" w:ascii="宋体" w:hAnsi="宋体" w:eastAsia="宋体" w:cs="宋体"/>
                <w:b w:val="0"/>
                <w:bCs w:val="0"/>
                <w:i w:val="0"/>
                <w:iCs w:val="0"/>
                <w:smallCaps w:val="0"/>
                <w:color w:val="000000"/>
                <w:kern w:val="0"/>
                <w:sz w:val="18"/>
                <w:szCs w:val="18"/>
              </w:rPr>
              <w:t>注：本表反映部门本年度国有资本经营预算财政拨款支出情况。</w:t>
            </w:r>
          </w:p>
        </w:tc>
      </w:tr>
    </w:tbl>
    <w:p>
      <w:pPr>
        <w:ind w:firstLine="640" w:firstLineChars="200"/>
        <w:sectPr>
          <w:footerReference r:id="rId6" w:type="default"/>
          <w:pgSz w:w="11906" w:h="16383"/>
          <w:pgMar w:top="720" w:right="1440" w:bottom="720" w:left="1440" w:header="720" w:footer="720" w:gutter="0"/>
          <w:cols w:space="720" w:num="1"/>
        </w:sectPr>
      </w:pPr>
      <w:r>
        <w:rPr>
          <w:rFonts w:ascii="仿宋" w:hAnsi="仿宋" w:eastAsia="仿宋" w:cs="仿宋"/>
          <w:spacing w:val="0"/>
          <w:kern w:val="0"/>
          <w:sz w:val="32"/>
          <w:szCs w:val="32"/>
        </w:rPr>
        <w:t>本单位2024年度没有使用国有资本经营预算财政拨款安排的支出。</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horizontal layout</w:t>
      </w:r>
    </w:p>
    <w:p>
      <w:pPr>
        <w:widowControl/>
        <w:jc w:val="center"/>
        <w:outlineLvl w:val="0"/>
        <w:rPr>
          <w:rFonts w:ascii="黑体" w:hAnsi="黑体" w:eastAsia="黑体" w:cs="黑体"/>
          <w:b/>
          <w:spacing w:val="0"/>
          <w:sz w:val="56"/>
          <w:szCs w:val="56"/>
        </w:rPr>
      </w:pPr>
      <w:bookmarkStart w:id="71" w:name="_Toc256000047"/>
      <w:bookmarkStart w:id="72" w:name="_Toc256000078"/>
      <w:bookmarkStart w:id="73" w:name="_Toc256000016"/>
      <w:bookmarkStart w:id="74" w:name="_Toc6294"/>
      <w:bookmarkStart w:id="75" w:name="_Toc31824"/>
    </w:p>
    <w:p>
      <w:pPr>
        <w:widowControl/>
        <w:jc w:val="center"/>
        <w:outlineLvl w:val="0"/>
        <w:rPr>
          <w:rFonts w:ascii="黑体" w:hAnsi="黑体" w:eastAsia="黑体" w:cs="黑体"/>
          <w:b/>
          <w:spacing w:val="0"/>
          <w:sz w:val="56"/>
          <w:szCs w:val="56"/>
        </w:rPr>
      </w:pPr>
    </w:p>
    <w:p>
      <w:pPr>
        <w:widowControl/>
        <w:jc w:val="center"/>
        <w:outlineLvl w:val="0"/>
        <w:rPr>
          <w:rFonts w:ascii="黑体" w:hAnsi="黑体" w:eastAsia="黑体" w:cs="黑体"/>
          <w:b/>
          <w:spacing w:val="0"/>
          <w:sz w:val="56"/>
          <w:szCs w:val="56"/>
        </w:rPr>
      </w:pPr>
    </w:p>
    <w:p>
      <w:pPr>
        <w:widowControl/>
        <w:jc w:val="center"/>
        <w:outlineLvl w:val="0"/>
        <w:rPr>
          <w:rFonts w:ascii="黑体" w:hAnsi="黑体" w:eastAsia="黑体" w:cs="黑体"/>
          <w:b/>
          <w:spacing w:val="0"/>
          <w:sz w:val="56"/>
          <w:szCs w:val="56"/>
        </w:rPr>
      </w:pPr>
    </w:p>
    <w:p>
      <w:pPr>
        <w:widowControl/>
        <w:jc w:val="center"/>
        <w:outlineLvl w:val="0"/>
        <w:rPr>
          <w:rFonts w:ascii="黑体" w:hAnsi="黑体" w:eastAsia="黑体" w:cs="黑体"/>
          <w:b/>
          <w:spacing w:val="0"/>
          <w:sz w:val="56"/>
          <w:szCs w:val="56"/>
        </w:rPr>
      </w:pPr>
    </w:p>
    <w:p>
      <w:pPr>
        <w:widowControl/>
        <w:jc w:val="center"/>
        <w:outlineLvl w:val="0"/>
        <w:rPr>
          <w:rFonts w:ascii="黑体" w:hAnsi="黑体" w:eastAsia="黑体" w:cs="黑体"/>
          <w:b/>
          <w:spacing w:val="0"/>
          <w:sz w:val="56"/>
          <w:szCs w:val="56"/>
        </w:rPr>
      </w:pPr>
    </w:p>
    <w:p>
      <w:pPr>
        <w:widowControl/>
        <w:jc w:val="center"/>
        <w:outlineLvl w:val="0"/>
        <w:rPr>
          <w:rFonts w:ascii="黑体" w:hAnsi="黑体" w:eastAsia="黑体" w:cs="黑体"/>
          <w:b/>
          <w:spacing w:val="0"/>
          <w:sz w:val="56"/>
          <w:szCs w:val="56"/>
        </w:rPr>
      </w:pPr>
    </w:p>
    <w:p>
      <w:pPr>
        <w:widowControl/>
        <w:jc w:val="center"/>
        <w:outlineLvl w:val="0"/>
        <w:rPr>
          <w:rFonts w:ascii="宋体" w:hAnsi="宋体" w:eastAsia="宋体" w:cs="宋体"/>
          <w:b/>
          <w:spacing w:val="0"/>
          <w:sz w:val="56"/>
          <w:szCs w:val="56"/>
        </w:rPr>
      </w:pPr>
      <w:r>
        <w:rPr>
          <w:rFonts w:ascii="黑体" w:hAnsi="黑体" w:eastAsia="黑体" w:cs="黑体"/>
          <w:b/>
          <w:spacing w:val="0"/>
          <w:sz w:val="56"/>
          <w:szCs w:val="56"/>
        </w:rPr>
        <w:t>第三部分</w:t>
      </w:r>
      <w:bookmarkEnd w:id="71"/>
      <w:bookmarkEnd w:id="72"/>
      <w:bookmarkEnd w:id="73"/>
      <w:r>
        <w:rPr>
          <w:rFonts w:ascii="宋体" w:hAnsi="宋体" w:eastAsia="宋体" w:cs="宋体"/>
          <w:b/>
          <w:spacing w:val="0"/>
          <w:sz w:val="56"/>
          <w:szCs w:val="56"/>
        </w:rPr>
        <w:t> </w:t>
      </w:r>
      <w:bookmarkStart w:id="76" w:name="_Toc256000079"/>
      <w:bookmarkStart w:id="77" w:name="_Toc256000048"/>
      <w:bookmarkStart w:id="78" w:name="_Toc256000017"/>
    </w:p>
    <w:p>
      <w:pPr>
        <w:widowControl/>
        <w:jc w:val="center"/>
        <w:outlineLvl w:val="0"/>
        <w:rPr>
          <w:rFonts w:ascii="黑体" w:hAnsi="黑体" w:eastAsia="黑体" w:cs="黑体"/>
          <w:b/>
          <w:spacing w:val="0"/>
        </w:rPr>
      </w:pPr>
      <w:r>
        <w:rPr>
          <w:rFonts w:ascii="黑体" w:hAnsi="黑体" w:eastAsia="黑体" w:cs="黑体"/>
          <w:b/>
          <w:spacing w:val="0"/>
          <w:sz w:val="56"/>
          <w:szCs w:val="56"/>
        </w:rPr>
        <w:t>2024年度决算情况说明</w:t>
      </w:r>
      <w:bookmarkEnd w:id="74"/>
      <w:bookmarkEnd w:id="75"/>
      <w:bookmarkEnd w:id="76"/>
      <w:bookmarkEnd w:id="77"/>
      <w:bookmarkEnd w:id="78"/>
      <w:bookmarkStart w:id="79" w:name="_Toc256000018"/>
      <w:bookmarkStart w:id="80" w:name="_Toc256000080"/>
      <w:bookmarkStart w:id="81" w:name="_Toc256000049"/>
    </w:p>
    <w:p>
      <w:pPr>
        <w:rPr>
          <w:rFonts w:ascii="黑体" w:hAnsi="黑体" w:eastAsia="黑体" w:cs="黑体"/>
          <w:b/>
          <w:spacing w:val="0"/>
        </w:rPr>
      </w:pPr>
      <w:bookmarkStart w:id="82" w:name="_Toc5101"/>
      <w:bookmarkStart w:id="83" w:name="_Toc29642"/>
      <w:bookmarkStart w:id="84" w:name="_Toc22648"/>
      <w:r>
        <w:rPr>
          <w:rFonts w:ascii="黑体" w:hAnsi="黑体" w:eastAsia="黑体" w:cs="黑体"/>
          <w:b/>
          <w:spacing w:val="0"/>
        </w:rPr>
        <w:br w:type="page"/>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r>
        <w:rPr>
          <w:rFonts w:ascii="黑体" w:hAnsi="黑体" w:eastAsia="黑体" w:cs="黑体"/>
          <w:b/>
          <w:spacing w:val="0"/>
        </w:rPr>
        <w:t>一、收入支出决算总体情况说明</w:t>
      </w:r>
      <w:bookmarkEnd w:id="79"/>
      <w:bookmarkEnd w:id="80"/>
      <w:bookmarkEnd w:id="81"/>
      <w:bookmarkEnd w:id="82"/>
      <w:bookmarkEnd w:id="83"/>
      <w:bookmarkEnd w:id="84"/>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（一）收入支出决算总体情况说明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2024年度本单位收入总计9887.17万元，支出总计9887.17万元，与上年决算数相比，各增加1936.86万元，各增长24.36%。主要是</w:t>
      </w:r>
      <w:r>
        <w:rPr>
          <w:rFonts w:hint="eastAsia" w:ascii="仿宋" w:hAnsi="仿宋" w:eastAsia="仿宋" w:cs="仿宋"/>
          <w:spacing w:val="0"/>
          <w:kern w:val="0"/>
          <w:sz w:val="32"/>
          <w:szCs w:val="32"/>
        </w:rPr>
        <w:t>本年度墩上学校（厦门市湖里创新实验学校）开办经费挂在我校，开办费增加</w:t>
      </w:r>
      <w:r>
        <w:rPr>
          <w:rFonts w:hint="eastAsia" w:ascii="仿宋" w:hAnsi="仿宋" w:eastAsia="仿宋" w:cs="仿宋"/>
          <w:spacing w:val="0"/>
          <w:kern w:val="0"/>
          <w:sz w:val="32"/>
          <w:szCs w:val="32"/>
          <w:lang w:eastAsia="zh-CN"/>
        </w:rPr>
        <w:t>。</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（二）收入决算情况说明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2024年度收入9887.17万元，比上年决算数</w:t>
      </w:r>
      <w:r>
        <w:rPr>
          <w:rFonts w:ascii="仿宋" w:hAnsi="仿宋" w:eastAsia="仿宋" w:cs="仿宋"/>
          <w:kern w:val="0"/>
          <w:sz w:val="32"/>
          <w:szCs w:val="32"/>
        </w:rPr>
        <w:t>增加</w:t>
      </w:r>
      <w:r>
        <w:rPr>
          <w:rFonts w:ascii="仿宋" w:hAnsi="仿宋" w:eastAsia="仿宋" w:cs="仿宋"/>
          <w:spacing w:val="0"/>
          <w:kern w:val="0"/>
          <w:sz w:val="32"/>
          <w:szCs w:val="32"/>
        </w:rPr>
        <w:t>1936.86万元，</w:t>
      </w:r>
      <w:r>
        <w:rPr>
          <w:rFonts w:ascii="仿宋" w:hAnsi="仿宋" w:eastAsia="仿宋" w:cs="仿宋"/>
          <w:kern w:val="0"/>
          <w:sz w:val="32"/>
          <w:szCs w:val="32"/>
        </w:rPr>
        <w:t>增长</w:t>
      </w:r>
      <w:r>
        <w:rPr>
          <w:rFonts w:ascii="仿宋" w:hAnsi="仿宋" w:eastAsia="仿宋" w:cs="仿宋"/>
          <w:spacing w:val="0"/>
          <w:kern w:val="0"/>
          <w:sz w:val="32"/>
          <w:szCs w:val="32"/>
        </w:rPr>
        <w:t>24.36%，具体情况如下：</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1.一般公共预算财政拨款收入9887.17万元。</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2.政府性基金预算财政拨款收入0万元。</w:t>
      </w:r>
    </w:p>
    <w:p>
      <w:pPr>
        <w:pStyle w:val="28"/>
        <w:widowControl/>
        <w:spacing w:before="100" w:after="100" w:line="600" w:lineRule="atLeast"/>
        <w:ind w:left="160" w:right="0" w:firstLine="480"/>
        <w:jc w:val="left"/>
        <w:rPr>
          <w:rFonts w:ascii="Times New Roman" w:hAnsi="Times New Roman" w:eastAsia="Times New Roman" w:cs="Times New Roman"/>
          <w:kern w:val="0"/>
          <w:sz w:val="24"/>
        </w:rPr>
      </w:pPr>
      <w:r>
        <w:rPr>
          <w:rFonts w:ascii="仿宋" w:hAnsi="仿宋" w:eastAsia="仿宋" w:cs="仿宋"/>
          <w:spacing w:val="0"/>
          <w:kern w:val="0"/>
          <w:sz w:val="32"/>
          <w:szCs w:val="32"/>
        </w:rPr>
        <w:t>3.国有资本经营预算财政拨款收入0万元。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4.上级补助收入0万元。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5.事业收入0万元。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6.经营收入0万元。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7.附属单位上缴收入0万元。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8.其他收入0万元。</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楷体_GB2312" w:hAnsi="楷体_GB2312" w:eastAsia="楷体_GB2312" w:cs="楷体_GB2312"/>
          <w:spacing w:val="0"/>
          <w:kern w:val="0"/>
          <w:sz w:val="32"/>
          <w:szCs w:val="32"/>
        </w:rPr>
        <w:t>（三）支出决算情况说明</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2024年度支出9887.17万元，比上年决算数增加1936.86万元，增长24.36%，具体情况如下：</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1.基本支出7417.48万元。其中，人员支出6575.37万元，公用支出842.11万元。</w:t>
      </w:r>
    </w:p>
    <w:p>
      <w:pPr>
        <w:pStyle w:val="28"/>
        <w:widowControl/>
        <w:spacing w:before="240" w:after="240"/>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2.项目支出2469.70万元。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3.上缴上级支出0万元。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4.经营支出0万元。</w:t>
      </w:r>
    </w:p>
    <w:p>
      <w:pPr>
        <w:pStyle w:val="28"/>
        <w:widowControl/>
        <w:spacing w:before="100" w:after="100" w:line="600" w:lineRule="atLeast"/>
        <w:ind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5.对附属单位补助支出0万元。</w:t>
      </w:r>
    </w:p>
    <w:p>
      <w:pPr>
        <w:pStyle w:val="5"/>
        <w:keepNext w:val="0"/>
        <w:keepLines w:val="0"/>
        <w:spacing w:before="100" w:after="100" w:line="240" w:lineRule="auto"/>
        <w:ind w:left="0" w:right="0" w:firstLine="480" w:firstLineChars="0"/>
        <w:outlineLvl w:val="1"/>
        <w:rPr>
          <w:rFonts w:ascii="Times New Roman" w:hAnsi="Times New Roman" w:eastAsia="Times New Roman" w:cs="Times New Roman"/>
          <w:b/>
          <w:bCs/>
          <w:kern w:val="0"/>
          <w:sz w:val="28"/>
          <w:szCs w:val="28"/>
        </w:rPr>
      </w:pPr>
      <w:bookmarkStart w:id="85" w:name="_Toc256000050"/>
      <w:bookmarkStart w:id="86" w:name="_Toc15685"/>
      <w:bookmarkStart w:id="87" w:name="_Toc15818"/>
      <w:bookmarkStart w:id="88" w:name="_Toc27817"/>
      <w:bookmarkStart w:id="89" w:name="_Toc256000019"/>
      <w:bookmarkStart w:id="90" w:name="_Toc256000081"/>
      <w:r>
        <w:rPr>
          <w:rFonts w:ascii="黑体" w:hAnsi="黑体" w:eastAsia="黑体" w:cs="黑体"/>
          <w:b/>
          <w:spacing w:val="0"/>
        </w:rPr>
        <w:t>二、财政拨款收入支出决算总体情况说明</w:t>
      </w:r>
      <w:bookmarkEnd w:id="85"/>
      <w:bookmarkEnd w:id="86"/>
      <w:bookmarkEnd w:id="87"/>
      <w:bookmarkEnd w:id="88"/>
      <w:bookmarkEnd w:id="89"/>
      <w:bookmarkEnd w:id="90"/>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2024年度财政拨款收入总计9887.17万元，支出总计9887.17万元，与上年决算数相比，各增加1936.86万元，增长24.36%，主要是</w:t>
      </w:r>
      <w:r>
        <w:rPr>
          <w:rFonts w:hint="eastAsia" w:ascii="仿宋" w:hAnsi="仿宋" w:eastAsia="仿宋" w:cs="仿宋"/>
          <w:spacing w:val="0"/>
          <w:kern w:val="0"/>
          <w:sz w:val="32"/>
          <w:szCs w:val="32"/>
        </w:rPr>
        <w:t>本年度墩上学校（厦门市湖里创新实验学校）开办经费挂在我校，开办费增加</w:t>
      </w:r>
      <w:r>
        <w:rPr>
          <w:rFonts w:hint="eastAsia" w:ascii="仿宋" w:hAnsi="仿宋" w:eastAsia="仿宋" w:cs="仿宋"/>
          <w:spacing w:val="0"/>
          <w:kern w:val="0"/>
          <w:sz w:val="32"/>
          <w:szCs w:val="32"/>
          <w:lang w:eastAsia="zh-CN"/>
        </w:rPr>
        <w:t>。</w:t>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91" w:name="_Toc27823"/>
      <w:bookmarkStart w:id="92" w:name="_Toc256000020"/>
      <w:bookmarkStart w:id="93" w:name="_Toc28864"/>
      <w:bookmarkStart w:id="94" w:name="_Toc24050"/>
      <w:bookmarkStart w:id="95" w:name="_Toc256000082"/>
      <w:bookmarkStart w:id="96" w:name="_Toc256000051"/>
      <w:r>
        <w:rPr>
          <w:rFonts w:ascii="黑体" w:hAnsi="黑体" w:eastAsia="黑体" w:cs="黑体"/>
          <w:b/>
          <w:spacing w:val="0"/>
        </w:rPr>
        <w:t>三、一般公共预算拨款支出决算情况说明</w:t>
      </w:r>
      <w:bookmarkEnd w:id="91"/>
      <w:bookmarkEnd w:id="92"/>
      <w:bookmarkEnd w:id="93"/>
      <w:bookmarkEnd w:id="94"/>
      <w:bookmarkEnd w:id="95"/>
      <w:bookmarkEnd w:id="96"/>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2024年一般公共预算支出9887.17万元，比上年决算数增加1936.86万元，增长24.36%，具体情况如下(按</w:t>
      </w:r>
      <w:r>
        <w:rPr>
          <w:rStyle w:val="30"/>
          <w:rFonts w:ascii="仿宋" w:hAnsi="仿宋" w:eastAsia="仿宋" w:cs="仿宋"/>
          <w:spacing w:val="0"/>
          <w:kern w:val="0"/>
          <w:sz w:val="32"/>
          <w:szCs w:val="32"/>
        </w:rPr>
        <w:t>项级科目</w:t>
      </w:r>
      <w:r>
        <w:rPr>
          <w:rFonts w:ascii="仿宋" w:hAnsi="仿宋" w:eastAsia="仿宋" w:cs="仿宋"/>
          <w:spacing w:val="0"/>
          <w:kern w:val="0"/>
          <w:sz w:val="32"/>
          <w:szCs w:val="32"/>
        </w:rPr>
        <w:t>分类统计)：</w:t>
      </w:r>
    </w:p>
    <w:p>
      <w:pPr>
        <w:pStyle w:val="28"/>
        <w:widowControl/>
        <w:spacing w:before="100" w:after="100" w:line="600" w:lineRule="atLeast"/>
        <w:ind w:left="0" w:right="0" w:firstLine="0"/>
        <w:jc w:val="left"/>
        <w:rPr>
          <w:rFonts w:ascii="仿宋" w:hAnsi="仿宋" w:eastAsia="仿宋" w:cs="仿宋"/>
          <w:spacing w:val="0"/>
          <w:kern w:val="0"/>
          <w:sz w:val="32"/>
          <w:szCs w:val="32"/>
        </w:rPr>
      </w:pPr>
      <w:r>
        <w:rPr>
          <w:rFonts w:ascii="仿宋" w:hAnsi="仿宋" w:eastAsia="仿宋" w:cs="仿宋"/>
          <w:spacing w:val="0"/>
          <w:kern w:val="0"/>
          <w:sz w:val="32"/>
          <w:szCs w:val="32"/>
        </w:rPr>
        <w:t>（一）2049999 其他公共安全支出1.42万元，较上年决算数增加1.42万元，增长100%。主要原因是</w:t>
      </w:r>
      <w:r>
        <w:rPr>
          <w:rFonts w:hint="eastAsia" w:ascii="仿宋" w:hAnsi="仿宋" w:eastAsia="仿宋" w:cs="仿宋"/>
          <w:spacing w:val="0"/>
          <w:kern w:val="0"/>
          <w:sz w:val="32"/>
          <w:szCs w:val="32"/>
        </w:rPr>
        <w:t>学生交通安全提升行动计划</w:t>
      </w:r>
      <w:r>
        <w:rPr>
          <w:rFonts w:hint="eastAsia" w:ascii="仿宋" w:hAnsi="仿宋" w:eastAsia="仿宋" w:cs="仿宋"/>
          <w:spacing w:val="0"/>
          <w:kern w:val="0"/>
          <w:sz w:val="32"/>
          <w:szCs w:val="32"/>
          <w:lang w:val="en-US" w:eastAsia="zh-CN"/>
        </w:rPr>
        <w:t>专项经费下达支出。</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（二）2050199 其他教育管理事务支出3.37万元，较上年决算数增加2.15万元，增长175.86%。主要原因是</w:t>
      </w:r>
      <w:r>
        <w:rPr>
          <w:rFonts w:hint="eastAsia" w:ascii="仿宋" w:hAnsi="仿宋" w:eastAsia="仿宋" w:cs="仿宋"/>
          <w:spacing w:val="0"/>
          <w:kern w:val="0"/>
          <w:sz w:val="32"/>
          <w:szCs w:val="32"/>
        </w:rPr>
        <w:t>市级名师名校长工作室经费</w:t>
      </w:r>
      <w:r>
        <w:rPr>
          <w:rFonts w:hint="eastAsia" w:ascii="仿宋" w:hAnsi="仿宋" w:eastAsia="仿宋" w:cs="仿宋"/>
          <w:spacing w:val="0"/>
          <w:kern w:val="0"/>
          <w:sz w:val="32"/>
          <w:szCs w:val="32"/>
          <w:lang w:val="en-US" w:eastAsia="zh-CN"/>
        </w:rPr>
        <w:t>包含2023年度结转1.78万元，费用增加。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（三）2050202 小学教育2,242.73万元，较上年决算数减少9.06万元，下降0.40%。主要原因是</w:t>
      </w:r>
      <w:r>
        <w:rPr>
          <w:rFonts w:hint="eastAsia" w:ascii="仿宋" w:hAnsi="仿宋" w:eastAsia="仿宋" w:cs="仿宋"/>
          <w:spacing w:val="0"/>
          <w:kern w:val="0"/>
          <w:sz w:val="32"/>
          <w:szCs w:val="32"/>
          <w:lang w:val="en-US" w:eastAsia="zh-CN"/>
        </w:rPr>
        <w:t>小学教育学生数减少。</w:t>
      </w:r>
      <w:r>
        <w:rPr>
          <w:rFonts w:ascii="仿宋" w:hAnsi="仿宋" w:eastAsia="仿宋" w:cs="仿宋"/>
          <w:spacing w:val="0"/>
          <w:kern w:val="0"/>
          <w:sz w:val="32"/>
          <w:szCs w:val="32"/>
        </w:rPr>
        <w:br w:type="textWrapping"/>
      </w:r>
    </w:p>
    <w:p>
      <w:pPr>
        <w:pStyle w:val="28"/>
        <w:widowControl/>
        <w:spacing w:before="100" w:after="100" w:line="600" w:lineRule="atLeast"/>
        <w:ind w:left="0" w:right="0" w:firstLine="0"/>
        <w:jc w:val="left"/>
        <w:rPr>
          <w:rFonts w:ascii="Times New Roman" w:hAnsi="Times New Roman" w:eastAsia="Times New Roman" w:cs="Times New Roman"/>
          <w:kern w:val="0"/>
          <w:sz w:val="24"/>
        </w:rPr>
      </w:pPr>
      <w:r>
        <w:rPr>
          <w:rFonts w:ascii="仿宋" w:hAnsi="仿宋" w:eastAsia="仿宋" w:cs="仿宋"/>
          <w:spacing w:val="0"/>
          <w:kern w:val="0"/>
          <w:sz w:val="32"/>
          <w:szCs w:val="32"/>
        </w:rPr>
        <w:t>（四）2050203 初中教育4,061.60万元，较上年决算数增加112.43万元，增长2.85%。主要原因是</w:t>
      </w:r>
      <w:r>
        <w:rPr>
          <w:rFonts w:hint="eastAsia" w:ascii="仿宋" w:hAnsi="仿宋" w:eastAsia="仿宋" w:cs="仿宋"/>
          <w:spacing w:val="0"/>
          <w:kern w:val="0"/>
          <w:sz w:val="32"/>
          <w:szCs w:val="32"/>
          <w:lang w:val="en-US" w:eastAsia="zh-CN"/>
        </w:rPr>
        <w:t>初中教育学生数增加。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（五）2050299 其他普通教育支出1,793.29万元，较上年决算数增加1,192.14万元，增长198.31%。主要原因是</w:t>
      </w:r>
      <w:r>
        <w:rPr>
          <w:rFonts w:hint="eastAsia" w:ascii="仿宋" w:hAnsi="仿宋" w:eastAsia="仿宋" w:cs="仿宋"/>
          <w:spacing w:val="0"/>
          <w:kern w:val="0"/>
          <w:sz w:val="32"/>
          <w:szCs w:val="32"/>
        </w:rPr>
        <w:t>本年度墩上学校（厦门市湖里创新实验学校）开办经费挂在我校，开办费增加</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（六）2050999 其他教育费附加安排的支出391.68万元，较上年决算数减少60.62万元，下降13.40%。主要原因</w:t>
      </w:r>
      <w:r>
        <w:rPr>
          <w:rFonts w:hint="eastAsia" w:ascii="仿宋" w:hAnsi="仿宋" w:eastAsia="仿宋" w:cs="仿宋"/>
          <w:spacing w:val="0"/>
          <w:kern w:val="0"/>
          <w:sz w:val="32"/>
          <w:szCs w:val="32"/>
        </w:rPr>
        <w:t>教育费附加分配</w:t>
      </w:r>
      <w:r>
        <w:rPr>
          <w:rFonts w:hint="eastAsia" w:ascii="仿宋" w:hAnsi="仿宋" w:eastAsia="仿宋" w:cs="仿宋"/>
          <w:spacing w:val="0"/>
          <w:kern w:val="0"/>
          <w:sz w:val="32"/>
          <w:szCs w:val="32"/>
          <w:lang w:val="en-US" w:eastAsia="zh-CN"/>
        </w:rPr>
        <w:t>专项经费减少，本年度暑期修缮项目减少。</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（七）2059999 其他教育支出3.00万元，较上年决算数增加2.12万元，增长240.91%。主要原因是</w:t>
      </w:r>
      <w:r>
        <w:rPr>
          <w:rFonts w:hint="eastAsia" w:ascii="仿宋" w:hAnsi="仿宋" w:eastAsia="仿宋" w:cs="仿宋"/>
          <w:spacing w:val="0"/>
          <w:kern w:val="0"/>
          <w:sz w:val="32"/>
          <w:szCs w:val="32"/>
        </w:rPr>
        <w:t>夏令营活动经费</w:t>
      </w:r>
      <w:r>
        <w:rPr>
          <w:rFonts w:hint="eastAsia" w:ascii="仿宋" w:hAnsi="仿宋" w:eastAsia="仿宋" w:cs="仿宋"/>
          <w:spacing w:val="0"/>
          <w:kern w:val="0"/>
          <w:sz w:val="32"/>
          <w:szCs w:val="32"/>
          <w:lang w:val="en-US" w:eastAsia="zh-CN"/>
        </w:rPr>
        <w:t>增加。</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（八）2080502 事业单位离退休41.53万元，较上年决算数增加8.87万元，增长27.1</w:t>
      </w:r>
      <w:r>
        <w:rPr>
          <w:rFonts w:hint="eastAsia" w:ascii="仿宋" w:hAnsi="仿宋" w:eastAsia="仿宋" w:cs="仿宋"/>
          <w:spacing w:val="0"/>
          <w:kern w:val="0"/>
          <w:sz w:val="32"/>
          <w:szCs w:val="32"/>
          <w:lang w:val="en-US" w:eastAsia="zh-CN"/>
        </w:rPr>
        <w:t>6</w:t>
      </w:r>
      <w:r>
        <w:rPr>
          <w:rFonts w:ascii="仿宋" w:hAnsi="仿宋" w:eastAsia="仿宋" w:cs="仿宋"/>
          <w:spacing w:val="0"/>
          <w:kern w:val="0"/>
          <w:sz w:val="32"/>
          <w:szCs w:val="32"/>
        </w:rPr>
        <w:t>%。主要原因是</w:t>
      </w:r>
      <w:r>
        <w:rPr>
          <w:rFonts w:hint="eastAsia" w:ascii="仿宋" w:hAnsi="仿宋" w:eastAsia="仿宋" w:cs="仿宋"/>
          <w:spacing w:val="0"/>
          <w:kern w:val="0"/>
          <w:sz w:val="32"/>
          <w:szCs w:val="32"/>
          <w:lang w:val="en-US" w:eastAsia="zh-CN"/>
        </w:rPr>
        <w:t>本年度新增退休教师。</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（九）2080505 机关事业单位基本养老保险缴费支出301.42万元，较上年决算数减少2.25万元，下降0.74%。主要原因是</w:t>
      </w:r>
      <w:r>
        <w:rPr>
          <w:rFonts w:hint="eastAsia" w:ascii="仿宋" w:hAnsi="仿宋" w:eastAsia="仿宋" w:cs="仿宋"/>
          <w:spacing w:val="0"/>
          <w:kern w:val="0"/>
          <w:sz w:val="32"/>
          <w:szCs w:val="32"/>
          <w:lang w:val="en-US" w:eastAsia="zh-CN"/>
        </w:rPr>
        <w:t>本年度新增退休教师。</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（十）2080506 机关事业单位职业年金缴费支出161.26万元，较上年决算数增加0.23万元，增长0.14%。主要原因是</w:t>
      </w:r>
      <w:r>
        <w:rPr>
          <w:rFonts w:hint="eastAsia" w:ascii="仿宋" w:hAnsi="仿宋" w:eastAsia="仿宋" w:cs="仿宋"/>
          <w:spacing w:val="0"/>
          <w:kern w:val="0"/>
          <w:sz w:val="32"/>
          <w:szCs w:val="32"/>
          <w:lang w:val="en-US" w:eastAsia="zh-CN"/>
        </w:rPr>
        <w:t>本年度新增退休教师。</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（十一）2101102 事业单位医疗129.05万元，较上年决算数减少0.96万元，下降0.74%。主要原因是</w:t>
      </w:r>
      <w:r>
        <w:rPr>
          <w:rFonts w:hint="eastAsia" w:ascii="仿宋" w:hAnsi="仿宋" w:eastAsia="仿宋" w:cs="仿宋"/>
          <w:spacing w:val="0"/>
          <w:kern w:val="0"/>
          <w:sz w:val="32"/>
          <w:szCs w:val="32"/>
          <w:lang w:val="en-US" w:eastAsia="zh-CN"/>
        </w:rPr>
        <w:t>本年度新增退休教师。</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（十二）2101199 其他行政事业单位医疗支出65.94万元，较上年决算数减少0.49万元，下降0.74%。主要原因是</w:t>
      </w:r>
      <w:r>
        <w:rPr>
          <w:rFonts w:hint="eastAsia" w:ascii="仿宋" w:hAnsi="仿宋" w:eastAsia="仿宋" w:cs="仿宋"/>
          <w:spacing w:val="0"/>
          <w:kern w:val="0"/>
          <w:sz w:val="32"/>
          <w:szCs w:val="32"/>
          <w:lang w:val="en-US" w:eastAsia="zh-CN"/>
        </w:rPr>
        <w:t>本年度新增退休教师。</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（十三）2120399 其他城乡社区公共设施支出493.93万元，较上年决算数增加493.93万元，增长100%。主要原因是</w:t>
      </w:r>
      <w:r>
        <w:rPr>
          <w:rFonts w:hint="eastAsia" w:ascii="仿宋" w:hAnsi="仿宋" w:eastAsia="仿宋" w:cs="仿宋"/>
          <w:spacing w:val="0"/>
          <w:kern w:val="0"/>
          <w:sz w:val="32"/>
          <w:szCs w:val="32"/>
        </w:rPr>
        <w:t>本年度墩上学校（厦门市湖里创新实验学校）开办经费挂在我校，开办费增加</w:t>
      </w:r>
      <w:r>
        <w:rPr>
          <w:rFonts w:hint="eastAsia" w:ascii="仿宋" w:hAnsi="仿宋" w:eastAsia="仿宋" w:cs="仿宋"/>
          <w:spacing w:val="0"/>
          <w:kern w:val="0"/>
          <w:sz w:val="32"/>
          <w:szCs w:val="32"/>
          <w:lang w:eastAsia="zh-CN"/>
        </w:rPr>
        <w:t>。</w:t>
      </w:r>
      <w:r>
        <w:rPr>
          <w:rFonts w:ascii="仿宋" w:hAnsi="仿宋" w:eastAsia="仿宋" w:cs="仿宋"/>
          <w:spacing w:val="0"/>
          <w:kern w:val="0"/>
          <w:sz w:val="32"/>
          <w:szCs w:val="32"/>
        </w:rPr>
        <w:br w:type="textWrapping"/>
      </w:r>
      <w:r>
        <w:rPr>
          <w:rFonts w:ascii="仿宋" w:hAnsi="仿宋" w:eastAsia="仿宋" w:cs="仿宋"/>
          <w:spacing w:val="0"/>
          <w:kern w:val="0"/>
          <w:sz w:val="32"/>
          <w:szCs w:val="32"/>
        </w:rPr>
        <w:t>（十四）2210203 购房补贴196.95万元，较上年决算数增加196.95万元，增长100%。主要原因是</w:t>
      </w:r>
      <w:r>
        <w:rPr>
          <w:rFonts w:hint="eastAsia" w:ascii="仿宋" w:hAnsi="仿宋" w:eastAsia="仿宋" w:cs="仿宋"/>
          <w:spacing w:val="0"/>
          <w:kern w:val="0"/>
          <w:sz w:val="32"/>
          <w:szCs w:val="32"/>
          <w:lang w:val="en-US" w:eastAsia="zh-CN"/>
        </w:rPr>
        <w:t>购房补贴教师数增加。</w:t>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97" w:name="_Toc761"/>
      <w:bookmarkStart w:id="98" w:name="_Toc256000052"/>
      <w:bookmarkStart w:id="99" w:name="_Toc18702"/>
      <w:bookmarkStart w:id="100" w:name="_Toc15138"/>
      <w:bookmarkStart w:id="101" w:name="_Toc256000021"/>
      <w:bookmarkStart w:id="102" w:name="_Toc256000083"/>
      <w:r>
        <w:rPr>
          <w:rFonts w:ascii="黑体" w:hAnsi="黑体" w:eastAsia="黑体" w:cs="黑体"/>
          <w:b/>
          <w:spacing w:val="0"/>
        </w:rPr>
        <w:t>四、政府性基金预算财政拨款支出决算情况说明</w:t>
      </w:r>
      <w:bookmarkEnd w:id="97"/>
      <w:bookmarkEnd w:id="98"/>
      <w:bookmarkEnd w:id="99"/>
      <w:bookmarkEnd w:id="100"/>
      <w:bookmarkEnd w:id="101"/>
      <w:bookmarkEnd w:id="102"/>
    </w:p>
    <w:p>
      <w:pPr>
        <w:pStyle w:val="28"/>
        <w:widowControl/>
        <w:spacing w:before="100" w:after="100" w:line="600" w:lineRule="atLeast"/>
        <w:ind w:left="0" w:right="0" w:firstLine="704"/>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2024年度政府性基金支出0万元，比上年决算数增加0万元，增长0%。</w:t>
      </w:r>
    </w:p>
    <w:p>
      <w:pPr>
        <w:pStyle w:val="28"/>
        <w:widowControl/>
        <w:spacing w:before="100" w:after="100" w:line="600" w:lineRule="atLeast"/>
        <w:ind w:left="0" w:right="0" w:firstLine="704"/>
        <w:jc w:val="left"/>
        <w:rPr>
          <w:rFonts w:hint="eastAsia" w:ascii="Times New Roman" w:hAnsi="Times New Roman" w:eastAsia="仿宋" w:cs="Times New Roman"/>
          <w:kern w:val="0"/>
          <w:sz w:val="24"/>
          <w:lang w:eastAsia="zh-CN"/>
        </w:rPr>
      </w:pPr>
      <w:r>
        <w:rPr>
          <w:rFonts w:hint="eastAsia" w:ascii="仿宋" w:hAnsi="仿宋" w:eastAsia="仿宋" w:cs="仿宋"/>
          <w:spacing w:val="0"/>
          <w:kern w:val="0"/>
          <w:sz w:val="32"/>
          <w:szCs w:val="32"/>
        </w:rPr>
        <w:t>本单位2024年度没有使用政府性基金预算拨款安排的支出</w:t>
      </w:r>
      <w:r>
        <w:rPr>
          <w:rFonts w:hint="eastAsia" w:ascii="仿宋" w:hAnsi="仿宋" w:eastAsia="仿宋" w:cs="仿宋"/>
          <w:spacing w:val="0"/>
          <w:kern w:val="0"/>
          <w:sz w:val="32"/>
          <w:szCs w:val="32"/>
          <w:lang w:eastAsia="zh-CN"/>
        </w:rPr>
        <w:t>。</w:t>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103" w:name="_Toc256000053"/>
      <w:bookmarkStart w:id="104" w:name="_Toc256000022"/>
      <w:bookmarkStart w:id="105" w:name="_Toc256000084"/>
      <w:bookmarkStart w:id="106" w:name="_Toc28927"/>
      <w:bookmarkStart w:id="107" w:name="_Toc5974"/>
      <w:bookmarkStart w:id="108" w:name="_Toc30341"/>
      <w:r>
        <w:rPr>
          <w:rFonts w:ascii="黑体" w:hAnsi="黑体" w:eastAsia="黑体" w:cs="黑体"/>
          <w:b/>
          <w:spacing w:val="0"/>
        </w:rPr>
        <w:t>五、国有资本经营预算财政拨款支出决算情况说明</w:t>
      </w:r>
      <w:bookmarkEnd w:id="103"/>
      <w:bookmarkEnd w:id="104"/>
      <w:bookmarkEnd w:id="105"/>
      <w:bookmarkEnd w:id="106"/>
      <w:bookmarkEnd w:id="107"/>
      <w:bookmarkEnd w:id="108"/>
    </w:p>
    <w:p>
      <w:pPr>
        <w:pStyle w:val="28"/>
        <w:widowControl/>
        <w:spacing w:before="100" w:after="100" w:line="600" w:lineRule="atLeast"/>
        <w:ind w:left="0" w:right="0" w:firstLine="640"/>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2024年度国有资本经营预算支出0万元，比上年决算数增加0万元，增长0%。</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rPr>
        <w:t>本单位2024年度没有使用国有资本经营预算财政拨款安排的支出</w:t>
      </w:r>
      <w:r>
        <w:rPr>
          <w:rFonts w:hint="eastAsia" w:ascii="仿宋" w:hAnsi="仿宋" w:eastAsia="仿宋" w:cs="仿宋"/>
          <w:spacing w:val="0"/>
          <w:kern w:val="0"/>
          <w:sz w:val="32"/>
          <w:szCs w:val="32"/>
          <w:lang w:eastAsia="zh-CN"/>
        </w:rPr>
        <w:t>。</w:t>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109" w:name="_Toc256000085"/>
      <w:bookmarkStart w:id="110" w:name="_Toc24903"/>
      <w:bookmarkStart w:id="111" w:name="_Toc256000054"/>
      <w:bookmarkStart w:id="112" w:name="_Toc256000023"/>
      <w:bookmarkStart w:id="113" w:name="_Toc24240"/>
      <w:bookmarkStart w:id="114" w:name="_Toc30928"/>
      <w:r>
        <w:rPr>
          <w:rFonts w:ascii="黑体" w:hAnsi="黑体" w:eastAsia="黑体" w:cs="黑体"/>
          <w:b/>
          <w:spacing w:val="0"/>
        </w:rPr>
        <w:t>六、一般公共预算财政拨款基本支出决算情况说明</w:t>
      </w:r>
      <w:bookmarkEnd w:id="109"/>
      <w:bookmarkEnd w:id="110"/>
      <w:bookmarkEnd w:id="111"/>
      <w:bookmarkEnd w:id="112"/>
      <w:bookmarkEnd w:id="113"/>
      <w:bookmarkEnd w:id="114"/>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2024年度一般公共预算财政拨款基本支出7417.48万元，其中：</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一）人员经费6575.37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widowControl/>
        <w:spacing w:before="100" w:after="100" w:line="600" w:lineRule="atLeast"/>
        <w:ind w:left="0" w:right="0" w:firstLine="640"/>
        <w:jc w:val="left"/>
        <w:rPr>
          <w:rFonts w:ascii="仿宋" w:hAnsi="仿宋" w:eastAsia="仿宋" w:cs="仿宋"/>
          <w:spacing w:val="0"/>
          <w:kern w:val="0"/>
          <w:sz w:val="32"/>
          <w:szCs w:val="32"/>
        </w:rPr>
      </w:pPr>
      <w:r>
        <w:rPr>
          <w:rFonts w:ascii="仿宋" w:hAnsi="仿宋" w:eastAsia="仿宋" w:cs="仿宋"/>
          <w:spacing w:val="0"/>
          <w:kern w:val="0"/>
          <w:sz w:val="32"/>
          <w:szCs w:val="32"/>
        </w:rPr>
        <w:t>（二）公用经费842.11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spacing w:before="100" w:after="100" w:line="600" w:lineRule="atLeast"/>
        <w:ind w:left="0" w:right="0" w:firstLine="640" w:firstLineChars="0"/>
        <w:outlineLvl w:val="9"/>
        <w:rPr>
          <w:rFonts w:ascii="黑体" w:hAnsi="黑体" w:eastAsia="黑体" w:cs="黑体"/>
          <w:b/>
          <w:spacing w:val="0"/>
        </w:rPr>
      </w:pPr>
      <w:bookmarkStart w:id="115" w:name="_Toc2108"/>
      <w:bookmarkStart w:id="116" w:name="_Toc256000024"/>
      <w:bookmarkStart w:id="117" w:name="_Toc256000055"/>
      <w:bookmarkStart w:id="118" w:name="_Toc256000086"/>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119" w:name="_Toc23980"/>
      <w:bookmarkStart w:id="120" w:name="_Toc27621"/>
      <w:r>
        <w:rPr>
          <w:rFonts w:ascii="黑体" w:hAnsi="黑体" w:eastAsia="黑体" w:cs="黑体"/>
          <w:b/>
          <w:spacing w:val="0"/>
        </w:rPr>
        <w:t>七、一般公共预算拨款“三公”经费支出决算情况说明</w:t>
      </w:r>
      <w:bookmarkEnd w:id="115"/>
      <w:bookmarkEnd w:id="116"/>
      <w:bookmarkEnd w:id="117"/>
      <w:bookmarkEnd w:id="118"/>
      <w:bookmarkEnd w:id="119"/>
      <w:bookmarkEnd w:id="120"/>
    </w:p>
    <w:p>
      <w:pPr>
        <w:pStyle w:val="28"/>
        <w:widowControl/>
        <w:spacing w:before="100" w:after="100" w:line="600" w:lineRule="atLeast"/>
        <w:ind w:left="0" w:right="0" w:firstLine="645"/>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2024年度一般公共预算拨款“三公”经费支出0万元，完成全年预算的 0%；较上年增加0万元，增长0%，与上年决算持平。主要原因是本单位2024年度无“三公”经费支出。具体情况如下：</w:t>
      </w:r>
    </w:p>
    <w:p>
      <w:pPr>
        <w:pStyle w:val="28"/>
        <w:widowControl/>
        <w:spacing w:before="100" w:after="100" w:line="600" w:lineRule="atLeast"/>
        <w:ind w:left="0" w:right="0" w:firstLine="645"/>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（一）因公出国（境）费支出0万元，完成全年预算的 0%；较上年增加0万元，增长0%，与上年决算持平。全年安排本单位组织的出国团组0 个，参加其他单位出国团组个；全年因公出国（境）累计0人次。主要是本单位无安排因公出国（境）费用支出。</w:t>
      </w:r>
    </w:p>
    <w:p>
      <w:pPr>
        <w:pStyle w:val="28"/>
        <w:widowControl/>
        <w:spacing w:before="100" w:after="100" w:line="600" w:lineRule="atLeast"/>
        <w:ind w:left="0" w:right="0" w:firstLine="645"/>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（二）公务用车购置及运行费支出0万元，完成全年预算的0%；较上年增加0万元，增长0%，与上年决算持平。</w:t>
      </w:r>
      <w:r>
        <w:rPr>
          <w:rFonts w:hint="eastAsia" w:ascii="仿宋" w:hAnsi="仿宋" w:eastAsia="仿宋" w:cs="仿宋"/>
          <w:color w:val="000000" w:themeColor="text1"/>
          <w:kern w:val="0"/>
          <w:sz w:val="32"/>
          <w:szCs w:val="32"/>
          <w:highlight w:val="none"/>
          <w:shd w:val="clear" w:color="auto" w:fill="FFFFFF"/>
          <w14:textFill>
            <w14:solidFill>
              <w14:schemeClr w14:val="tx1"/>
            </w14:solidFill>
          </w14:textFill>
        </w:rPr>
        <w:t>主要是</w:t>
      </w:r>
      <w:r>
        <w:rPr>
          <w:rFonts w:hint="eastAsia" w:ascii="仿宋" w:hAnsi="仿宋" w:eastAsia="仿宋" w:cs="仿宋"/>
          <w:color w:val="000000" w:themeColor="text1"/>
          <w:kern w:val="0"/>
          <w:sz w:val="31"/>
          <w:szCs w:val="31"/>
          <w:highlight w:val="none"/>
          <w:lang w:val="en-US" w:eastAsia="zh-CN" w:bidi="ar"/>
          <w14:textFill>
            <w14:solidFill>
              <w14:schemeClr w14:val="tx1"/>
            </w14:solidFill>
          </w14:textFill>
        </w:rPr>
        <w:t>本单位没有购置</w:t>
      </w:r>
      <w:r>
        <w:rPr>
          <w:rFonts w:hint="default" w:ascii="仿宋" w:hAnsi="仿宋" w:eastAsia="仿宋" w:cs="仿宋"/>
          <w:color w:val="000000" w:themeColor="text1"/>
          <w:kern w:val="0"/>
          <w:sz w:val="31"/>
          <w:szCs w:val="31"/>
          <w:highlight w:val="none"/>
          <w:lang w:val="en-US" w:eastAsia="zh-CN" w:bidi="ar"/>
          <w14:textFill>
            <w14:solidFill>
              <w14:schemeClr w14:val="tx1"/>
            </w14:solidFill>
          </w14:textFill>
        </w:rPr>
        <w:t>公务用车及运行费支出。</w:t>
      </w:r>
      <w:r>
        <w:rPr>
          <w:rFonts w:hint="eastAsia" w:ascii="仿宋" w:hAnsi="仿宋" w:eastAsia="仿宋" w:cs="仿宋"/>
          <w:spacing w:val="0"/>
          <w:kern w:val="0"/>
          <w:sz w:val="32"/>
          <w:szCs w:val="32"/>
        </w:rPr>
        <w:t>其中：</w:t>
      </w:r>
    </w:p>
    <w:p>
      <w:pPr>
        <w:pStyle w:val="28"/>
        <w:widowControl/>
        <w:spacing w:before="100" w:after="100" w:line="600" w:lineRule="atLeast"/>
        <w:ind w:left="0" w:right="0" w:firstLine="645"/>
        <w:jc w:val="left"/>
        <w:rPr>
          <w:rFonts w:hint="eastAsia" w:ascii="仿宋" w:hAnsi="仿宋" w:eastAsia="仿宋" w:cs="仿宋"/>
          <w:spacing w:val="0"/>
          <w:kern w:val="0"/>
          <w:sz w:val="32"/>
          <w:szCs w:val="32"/>
          <w:lang w:val="en-US" w:eastAsia="zh-CN"/>
        </w:rPr>
      </w:pPr>
      <w:r>
        <w:rPr>
          <w:rFonts w:hint="eastAsia" w:ascii="仿宋" w:hAnsi="仿宋" w:eastAsia="仿宋" w:cs="仿宋"/>
          <w:spacing w:val="0"/>
          <w:kern w:val="0"/>
          <w:sz w:val="32"/>
          <w:szCs w:val="32"/>
        </w:rPr>
        <w:t>公务用车购置费支出0万元，完成全年预算的0%；较上年增加0万元，增长0%，与上年决算持平。2024年公务用车购置0辆，主要是本单位无公务车辆费用支出</w:t>
      </w:r>
      <w:r>
        <w:rPr>
          <w:rFonts w:hint="eastAsia" w:ascii="仿宋" w:hAnsi="仿宋" w:eastAsia="仿宋" w:cs="仿宋"/>
          <w:spacing w:val="0"/>
          <w:kern w:val="0"/>
          <w:sz w:val="32"/>
          <w:szCs w:val="32"/>
          <w:lang w:val="en-US" w:eastAsia="zh-CN"/>
        </w:rPr>
        <w:t>。</w:t>
      </w:r>
    </w:p>
    <w:p>
      <w:pPr>
        <w:pStyle w:val="28"/>
        <w:widowControl/>
        <w:spacing w:before="100" w:after="100" w:line="600" w:lineRule="atLeast"/>
        <w:ind w:left="0" w:right="0" w:firstLine="645"/>
        <w:jc w:val="left"/>
        <w:rPr>
          <w:rFonts w:hint="eastAsia" w:ascii="仿宋" w:hAnsi="仿宋" w:eastAsia="仿宋" w:cs="仿宋"/>
          <w:spacing w:val="0"/>
          <w:kern w:val="0"/>
          <w:sz w:val="32"/>
          <w:szCs w:val="32"/>
        </w:rPr>
      </w:pPr>
      <w:r>
        <w:rPr>
          <w:rFonts w:hint="eastAsia" w:ascii="仿宋" w:hAnsi="仿宋" w:eastAsia="仿宋" w:cs="仿宋"/>
          <w:spacing w:val="0"/>
          <w:kern w:val="0"/>
          <w:sz w:val="32"/>
          <w:szCs w:val="32"/>
        </w:rPr>
        <w:t>公务用车运行费支出0万元，完成全年预算的0%；较上年增加0万元，增长0%，与上年决算持平。主要是本单位无公务车辆</w:t>
      </w:r>
      <w:r>
        <w:rPr>
          <w:rFonts w:hint="eastAsia" w:ascii="仿宋" w:hAnsi="仿宋" w:eastAsia="仿宋" w:cs="仿宋"/>
          <w:spacing w:val="0"/>
          <w:kern w:val="0"/>
          <w:sz w:val="32"/>
          <w:szCs w:val="32"/>
          <w:lang w:eastAsia="zh-CN"/>
        </w:rPr>
        <w:t>运行</w:t>
      </w:r>
      <w:r>
        <w:rPr>
          <w:rFonts w:hint="eastAsia" w:ascii="仿宋" w:hAnsi="仿宋" w:eastAsia="仿宋" w:cs="仿宋"/>
          <w:spacing w:val="0"/>
          <w:kern w:val="0"/>
          <w:sz w:val="32"/>
          <w:szCs w:val="32"/>
        </w:rPr>
        <w:t>费用支出。截至2024年12月31日，本单位公务用车保有量为0 辆。</w:t>
      </w:r>
    </w:p>
    <w:p>
      <w:pPr>
        <w:pStyle w:val="28"/>
        <w:widowControl/>
        <w:spacing w:before="100" w:after="100" w:line="600" w:lineRule="atLeast"/>
        <w:ind w:left="0" w:right="0" w:firstLine="640"/>
        <w:jc w:val="left"/>
        <w:rPr>
          <w:rFonts w:hint="eastAsia" w:ascii="Times New Roman" w:hAnsi="Times New Roman" w:eastAsia="仿宋" w:cs="Times New Roman"/>
          <w:kern w:val="0"/>
          <w:sz w:val="24"/>
          <w:lang w:eastAsia="zh-CN"/>
        </w:rPr>
      </w:pPr>
      <w:r>
        <w:rPr>
          <w:rFonts w:hint="eastAsia" w:ascii="仿宋" w:hAnsi="仿宋" w:eastAsia="仿宋" w:cs="仿宋"/>
          <w:spacing w:val="0"/>
          <w:kern w:val="0"/>
          <w:sz w:val="32"/>
          <w:szCs w:val="32"/>
          <w:lang w:eastAsia="zh-CN"/>
        </w:rPr>
        <w:t>（</w:t>
      </w:r>
      <w:r>
        <w:rPr>
          <w:rFonts w:hint="eastAsia" w:ascii="仿宋" w:hAnsi="仿宋" w:eastAsia="仿宋" w:cs="仿宋"/>
          <w:spacing w:val="0"/>
          <w:kern w:val="0"/>
          <w:sz w:val="32"/>
          <w:szCs w:val="32"/>
          <w:lang w:val="en-US" w:eastAsia="zh-CN"/>
        </w:rPr>
        <w:t>三）</w:t>
      </w:r>
      <w:r>
        <w:rPr>
          <w:rFonts w:hint="eastAsia" w:ascii="仿宋" w:hAnsi="仿宋" w:eastAsia="仿宋" w:cs="仿宋"/>
          <w:spacing w:val="0"/>
          <w:kern w:val="0"/>
          <w:sz w:val="32"/>
          <w:szCs w:val="32"/>
        </w:rPr>
        <w:t>公务接待费支出0万元，完成全年预算的 0%；较上年增加0万元，增长0%，与上年决算持平，主要是本单位无公务接待费用支出。累计接待0批次、0人次。主要是本单位无公务接待费用支出</w:t>
      </w:r>
      <w:r>
        <w:rPr>
          <w:rFonts w:hint="eastAsia" w:ascii="仿宋" w:hAnsi="仿宋" w:eastAsia="仿宋" w:cs="仿宋"/>
          <w:spacing w:val="0"/>
          <w:kern w:val="0"/>
          <w:sz w:val="32"/>
          <w:szCs w:val="32"/>
          <w:lang w:eastAsia="zh-CN"/>
        </w:rPr>
        <w:t>。</w:t>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121" w:name="_Toc25524"/>
      <w:bookmarkStart w:id="122" w:name="_Toc256000056"/>
      <w:bookmarkStart w:id="123" w:name="_Toc256000087"/>
      <w:bookmarkStart w:id="124" w:name="_Toc256000025"/>
      <w:bookmarkStart w:id="125" w:name="_Toc12923"/>
      <w:bookmarkStart w:id="126" w:name="_Toc24239"/>
      <w:r>
        <w:rPr>
          <w:rFonts w:ascii="黑体" w:hAnsi="黑体" w:eastAsia="黑体" w:cs="黑体"/>
          <w:b/>
          <w:spacing w:val="0"/>
        </w:rPr>
        <w:t>八、预算绩效情况说明</w:t>
      </w:r>
      <w:bookmarkEnd w:id="121"/>
      <w:bookmarkEnd w:id="122"/>
      <w:bookmarkEnd w:id="123"/>
      <w:bookmarkEnd w:id="124"/>
      <w:bookmarkEnd w:id="125"/>
      <w:bookmarkEnd w:id="126"/>
    </w:p>
    <w:p>
      <w:pPr>
        <w:pStyle w:val="28"/>
        <w:widowControl/>
        <w:spacing w:before="100" w:after="100" w:line="600" w:lineRule="atLeast"/>
        <w:ind w:left="0" w:right="0" w:firstLine="640"/>
        <w:jc w:val="both"/>
        <w:rPr>
          <w:rFonts w:ascii="Times New Roman" w:hAnsi="Times New Roman" w:eastAsia="Times New Roman" w:cs="Times New Roman"/>
          <w:kern w:val="0"/>
          <w:sz w:val="24"/>
        </w:rPr>
      </w:pPr>
      <w:r>
        <w:rPr>
          <w:rFonts w:hint="eastAsia" w:ascii="仿宋" w:hAnsi="仿宋" w:eastAsia="仿宋" w:cs="仿宋"/>
          <w:spacing w:val="0"/>
          <w:kern w:val="0"/>
          <w:sz w:val="32"/>
          <w:szCs w:val="32"/>
        </w:rPr>
        <w:t>根据预算绩效管理要求，本单位组织对2024年度</w:t>
      </w:r>
      <w:r>
        <w:rPr>
          <w:rFonts w:hint="eastAsia" w:ascii="仿宋" w:hAnsi="仿宋" w:eastAsia="仿宋" w:cs="仿宋"/>
          <w:spacing w:val="0"/>
          <w:kern w:val="0"/>
          <w:sz w:val="32"/>
          <w:szCs w:val="32"/>
          <w:lang w:val="en-US" w:eastAsia="zh-CN"/>
        </w:rPr>
        <w:t>1</w:t>
      </w:r>
      <w:r>
        <w:rPr>
          <w:rFonts w:hint="eastAsia" w:ascii="仿宋" w:hAnsi="仿宋" w:eastAsia="仿宋" w:cs="仿宋"/>
          <w:spacing w:val="0"/>
          <w:kern w:val="0"/>
          <w:sz w:val="32"/>
          <w:szCs w:val="32"/>
        </w:rPr>
        <w:t>个项目实施单位自评，具体为义务教育困难学生营养餐补助项目，涉及财政拨款资金共计8.76万元。</w:t>
      </w:r>
      <w:r>
        <w:rPr>
          <w:rFonts w:ascii="仿宋" w:hAnsi="仿宋" w:eastAsia="仿宋" w:cs="仿宋"/>
          <w:spacing w:val="0"/>
          <w:kern w:val="0"/>
          <w:sz w:val="32"/>
          <w:szCs w:val="32"/>
        </w:rPr>
        <w:t>（《项目支出绩效自评表》详见附件）</w:t>
      </w:r>
    </w:p>
    <w:p>
      <w:pPr>
        <w:pStyle w:val="5"/>
        <w:keepNext w:val="0"/>
        <w:keepLines w:val="0"/>
        <w:spacing w:before="100" w:after="100" w:line="600" w:lineRule="atLeast"/>
        <w:ind w:left="0" w:right="0" w:firstLine="640" w:firstLineChars="0"/>
        <w:outlineLvl w:val="1"/>
        <w:rPr>
          <w:rFonts w:ascii="Times New Roman" w:hAnsi="Times New Roman" w:eastAsia="Times New Roman" w:cs="Times New Roman"/>
          <w:b/>
          <w:bCs/>
          <w:kern w:val="0"/>
          <w:sz w:val="28"/>
          <w:szCs w:val="28"/>
        </w:rPr>
      </w:pPr>
      <w:bookmarkStart w:id="127" w:name="_Toc234"/>
      <w:bookmarkStart w:id="128" w:name="_Toc256000026"/>
      <w:bookmarkStart w:id="129" w:name="_Toc256000088"/>
      <w:bookmarkStart w:id="130" w:name="_Toc1075"/>
      <w:bookmarkStart w:id="131" w:name="_Toc256000057"/>
      <w:bookmarkStart w:id="132" w:name="_Toc13430"/>
      <w:r>
        <w:rPr>
          <w:rFonts w:ascii="黑体" w:hAnsi="黑体" w:eastAsia="黑体" w:cs="黑体"/>
          <w:b/>
          <w:spacing w:val="0"/>
        </w:rPr>
        <w:t>九、其他重要事项说明</w:t>
      </w:r>
      <w:bookmarkEnd w:id="127"/>
      <w:bookmarkEnd w:id="128"/>
      <w:bookmarkEnd w:id="129"/>
      <w:bookmarkEnd w:id="130"/>
      <w:bookmarkEnd w:id="131"/>
      <w:bookmarkEnd w:id="132"/>
    </w:p>
    <w:p>
      <w:pPr>
        <w:pStyle w:val="28"/>
        <w:widowControl/>
        <w:spacing w:before="100" w:after="100" w:line="600" w:lineRule="atLeast"/>
        <w:ind w:left="0" w:right="0" w:firstLine="643"/>
        <w:jc w:val="left"/>
        <w:rPr>
          <w:rFonts w:ascii="Times New Roman" w:hAnsi="Times New Roman" w:eastAsia="Times New Roman" w:cs="Times New Roman"/>
          <w:kern w:val="0"/>
          <w:sz w:val="24"/>
        </w:rPr>
      </w:pPr>
      <w:r>
        <w:rPr>
          <w:rFonts w:ascii="楷体" w:hAnsi="楷体" w:eastAsia="楷体" w:cs="楷体"/>
          <w:spacing w:val="0"/>
          <w:kern w:val="0"/>
          <w:sz w:val="32"/>
          <w:szCs w:val="32"/>
        </w:rPr>
        <w:t>（一）机关运行经费</w:t>
      </w:r>
      <w:r>
        <w:rPr>
          <w:rFonts w:ascii="宋体" w:hAnsi="宋体" w:cs="宋体"/>
          <w:spacing w:val="0"/>
          <w:kern w:val="0"/>
          <w:sz w:val="32"/>
          <w:szCs w:val="32"/>
        </w:rPr>
        <w:t> </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ascii="仿宋" w:hAnsi="仿宋" w:eastAsia="仿宋" w:cs="仿宋"/>
          <w:spacing w:val="0"/>
          <w:kern w:val="0"/>
          <w:sz w:val="32"/>
          <w:szCs w:val="32"/>
        </w:rPr>
        <w:t>2024年度机关运行经费支出0万元，比上年决算数增加0万元，增长0%，主要原因是</w:t>
      </w:r>
      <w:r>
        <w:rPr>
          <w:rFonts w:hint="eastAsia" w:ascii="仿宋" w:hAnsi="仿宋" w:eastAsia="仿宋" w:cs="仿宋"/>
          <w:spacing w:val="0"/>
          <w:kern w:val="0"/>
          <w:sz w:val="32"/>
          <w:szCs w:val="32"/>
        </w:rPr>
        <w:t>本单位为事业单位没有机关运行经费</w:t>
      </w:r>
      <w:r>
        <w:rPr>
          <w:rFonts w:ascii="仿宋" w:hAnsi="仿宋" w:eastAsia="仿宋" w:cs="仿宋"/>
          <w:spacing w:val="0"/>
          <w:kern w:val="0"/>
          <w:sz w:val="32"/>
          <w:szCs w:val="32"/>
        </w:rPr>
        <w:t>。</w:t>
      </w:r>
    </w:p>
    <w:p>
      <w:pPr>
        <w:pStyle w:val="28"/>
        <w:widowControl/>
        <w:spacing w:before="100" w:after="100" w:line="600" w:lineRule="atLeast"/>
        <w:ind w:left="0" w:right="0" w:firstLine="643"/>
        <w:jc w:val="left"/>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（二）政府采购情况</w:t>
      </w:r>
    </w:p>
    <w:p>
      <w:pPr>
        <w:pStyle w:val="28"/>
        <w:widowControl/>
        <w:spacing w:before="100" w:after="100" w:line="600" w:lineRule="atLeast"/>
        <w:ind w:left="0" w:right="0" w:firstLine="640"/>
        <w:jc w:val="left"/>
        <w:rPr>
          <w:rFonts w:ascii="Times New Roman" w:hAnsi="Times New Roman" w:eastAsia="Times New Roman" w:cs="Times New Roman"/>
          <w:kern w:val="0"/>
          <w:sz w:val="24"/>
        </w:rPr>
      </w:pPr>
      <w:r>
        <w:rPr>
          <w:rFonts w:hint="eastAsia" w:ascii="仿宋" w:hAnsi="仿宋" w:eastAsia="仿宋" w:cs="仿宋"/>
          <w:spacing w:val="0"/>
          <w:kern w:val="0"/>
          <w:sz w:val="32"/>
          <w:szCs w:val="32"/>
        </w:rPr>
        <w:t>本单位2024年度政府采购支出总额2571.36万元，其中：政府采购货物支出2571.36万元、政府采购工程支出0万元、政府采购服务支出0万元。授予中小企业合同金额1073.12万元，占政府采购支出总额的41.73%，其中：授予小微企业合同金额1073.12万元，占授予中小企业合同金额的100.00%；货物采购授予中小企业合同金额0.00万元，占货物支出金额的0.00%，工程采购授予中小企业合同金额0.00万元，占工程支出金额的0.00%，服务采购授予中小企业合同金额0.00万元，占服务支出金额的0.00%。</w:t>
      </w:r>
    </w:p>
    <w:p>
      <w:pPr>
        <w:pStyle w:val="28"/>
        <w:widowControl/>
        <w:spacing w:before="100" w:after="100" w:line="600" w:lineRule="atLeast"/>
        <w:ind w:left="0" w:right="0" w:firstLine="707"/>
        <w:jc w:val="left"/>
        <w:rPr>
          <w:rFonts w:ascii="Times New Roman" w:hAnsi="Times New Roman" w:eastAsia="Times New Roman" w:cs="Times New Roman"/>
          <w:kern w:val="0"/>
          <w:sz w:val="24"/>
        </w:rPr>
      </w:pPr>
      <w:r>
        <w:rPr>
          <w:rStyle w:val="30"/>
          <w:rFonts w:ascii="楷体" w:hAnsi="楷体" w:eastAsia="楷体" w:cs="楷体"/>
          <w:b/>
          <w:bCs/>
          <w:spacing w:val="0"/>
          <w:kern w:val="0"/>
          <w:sz w:val="32"/>
          <w:szCs w:val="32"/>
        </w:rPr>
        <w:t>（三）国有资产占用使用情况</w:t>
      </w:r>
      <w:r>
        <w:rPr>
          <w:rFonts w:ascii="宋体" w:hAnsi="宋体" w:cs="宋体"/>
          <w:spacing w:val="0"/>
          <w:kern w:val="0"/>
          <w:sz w:val="32"/>
          <w:szCs w:val="32"/>
        </w:rPr>
        <w:t> </w:t>
      </w:r>
    </w:p>
    <w:p>
      <w:pPr>
        <w:pStyle w:val="28"/>
        <w:widowControl/>
        <w:spacing w:before="100" w:after="100" w:line="600" w:lineRule="atLeast"/>
        <w:ind w:left="0" w:right="0" w:firstLine="704"/>
        <w:jc w:val="left"/>
        <w:rPr>
          <w:rFonts w:ascii="Times New Roman" w:hAnsi="Times New Roman" w:eastAsia="Times New Roman" w:cs="Times New Roman"/>
          <w:kern w:val="0"/>
          <w:sz w:val="24"/>
        </w:rPr>
      </w:pPr>
      <w:r>
        <w:rPr>
          <w:rFonts w:ascii="仿宋" w:hAnsi="仿宋" w:eastAsia="仿宋" w:cs="仿宋"/>
          <w:spacing w:val="0"/>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32"/>
          <w:szCs w:val="32"/>
        </w:rPr>
        <w:t>  </w:t>
      </w:r>
      <w:r>
        <w:rPr>
          <w:rFonts w:ascii="宋体" w:hAnsi="宋体" w:cs="宋体"/>
          <w:spacing w:val="0"/>
          <w:kern w:val="0"/>
          <w:sz w:val="56"/>
          <w:szCs w:val="56"/>
        </w:rPr>
        <w:t xml:space="preserve"> </w:t>
      </w:r>
    </w:p>
    <w:p>
      <w:pPr>
        <w:sectPr>
          <w:footerReference r:id="rId7"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56"/>
          <w:szCs w:val="56"/>
        </w:rPr>
      </w:pPr>
      <w:bookmarkStart w:id="133" w:name="_Toc256000058"/>
      <w:bookmarkStart w:id="134" w:name="_Toc256000089"/>
      <w:bookmarkStart w:id="135" w:name="_Toc256000027"/>
      <w:bookmarkStart w:id="136" w:name="_Toc24112"/>
      <w:bookmarkStart w:id="137" w:name="_Toc27129"/>
      <w:bookmarkStart w:id="138" w:name="_Toc28828"/>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56"/>
          <w:szCs w:val="56"/>
        </w:rPr>
      </w:pPr>
    </w:p>
    <w:p>
      <w:pPr>
        <w:pStyle w:val="3"/>
        <w:keepNext w:val="0"/>
        <w:keepLines w:val="0"/>
        <w:spacing w:before="100" w:after="100" w:line="240" w:lineRule="auto"/>
        <w:ind w:left="0" w:right="0" w:firstLine="0" w:firstLineChars="0"/>
        <w:jc w:val="center"/>
        <w:outlineLvl w:val="0"/>
        <w:rPr>
          <w:rFonts w:ascii="黑体" w:hAnsi="黑体" w:eastAsia="黑体" w:cs="黑体"/>
          <w:b/>
          <w:spacing w:val="0"/>
          <w:sz w:val="56"/>
          <w:szCs w:val="56"/>
        </w:rPr>
      </w:pPr>
    </w:p>
    <w:p>
      <w:pPr>
        <w:pStyle w:val="3"/>
        <w:keepNext w:val="0"/>
        <w:keepLines w:val="0"/>
        <w:spacing w:before="100" w:after="100" w:line="240" w:lineRule="auto"/>
        <w:ind w:left="0" w:right="0" w:firstLine="3935" w:firstLineChars="700"/>
        <w:jc w:val="left"/>
        <w:outlineLvl w:val="0"/>
        <w:rPr>
          <w:rFonts w:ascii="宋体" w:hAnsi="宋体" w:eastAsia="宋体" w:cs="宋体"/>
          <w:b/>
          <w:spacing w:val="0"/>
          <w:sz w:val="56"/>
          <w:szCs w:val="56"/>
        </w:rPr>
      </w:pPr>
      <w:r>
        <w:rPr>
          <w:rFonts w:ascii="黑体" w:hAnsi="黑体" w:eastAsia="黑体" w:cs="黑体"/>
          <w:b/>
          <w:spacing w:val="0"/>
          <w:sz w:val="56"/>
          <w:szCs w:val="56"/>
        </w:rPr>
        <w:t>第四部分</w:t>
      </w:r>
      <w:bookmarkEnd w:id="133"/>
      <w:bookmarkEnd w:id="134"/>
      <w:bookmarkEnd w:id="135"/>
      <w:bookmarkStart w:id="139" w:name="_Toc256000059"/>
      <w:bookmarkStart w:id="140" w:name="_Toc256000028"/>
      <w:bookmarkStart w:id="141" w:name="_Toc256000090"/>
    </w:p>
    <w:p>
      <w:pPr>
        <w:pStyle w:val="3"/>
        <w:keepNext w:val="0"/>
        <w:keepLines w:val="0"/>
        <w:spacing w:before="100" w:after="100" w:line="240" w:lineRule="auto"/>
        <w:ind w:left="0" w:right="0" w:firstLine="3935" w:firstLineChars="700"/>
        <w:jc w:val="left"/>
        <w:outlineLvl w:val="0"/>
        <w:rPr>
          <w:rFonts w:ascii="黑体" w:hAnsi="黑体" w:eastAsia="黑体" w:cs="黑体"/>
          <w:b/>
          <w:spacing w:val="0"/>
          <w:sz w:val="56"/>
          <w:szCs w:val="56"/>
        </w:rPr>
      </w:pPr>
      <w:r>
        <w:rPr>
          <w:rFonts w:ascii="黑体" w:hAnsi="黑体" w:eastAsia="黑体" w:cs="黑体"/>
          <w:b/>
          <w:spacing w:val="0"/>
          <w:sz w:val="56"/>
          <w:szCs w:val="56"/>
        </w:rPr>
        <w:t>名词解释</w:t>
      </w:r>
      <w:bookmarkEnd w:id="136"/>
      <w:bookmarkEnd w:id="137"/>
      <w:bookmarkEnd w:id="138"/>
      <w:bookmarkEnd w:id="139"/>
      <w:bookmarkEnd w:id="140"/>
      <w:bookmarkEnd w:id="141"/>
    </w:p>
    <w:p>
      <w:pPr>
        <w:rPr>
          <w:rFonts w:ascii="黑体" w:hAnsi="黑体" w:eastAsia="黑体" w:cs="黑体"/>
          <w:b/>
          <w:spacing w:val="0"/>
          <w:sz w:val="56"/>
          <w:szCs w:val="56"/>
        </w:rPr>
      </w:pPr>
      <w:r>
        <w:rPr>
          <w:rFonts w:ascii="黑体" w:hAnsi="黑体" w:eastAsia="黑体" w:cs="黑体"/>
          <w:b/>
          <w:spacing w:val="0"/>
          <w:sz w:val="56"/>
          <w:szCs w:val="56"/>
        </w:rPr>
        <w:br w:type="page"/>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一、财政拨款收入：</w:t>
      </w:r>
      <w:r>
        <w:rPr>
          <w:rFonts w:ascii="仿宋" w:hAnsi="仿宋" w:eastAsia="仿宋" w:cs="仿宋"/>
          <w:spacing w:val="0"/>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二、事业收入：</w:t>
      </w:r>
      <w:r>
        <w:rPr>
          <w:rFonts w:ascii="仿宋" w:hAnsi="仿宋" w:eastAsia="仿宋" w:cs="仿宋"/>
          <w:spacing w:val="0"/>
          <w:kern w:val="0"/>
          <w:sz w:val="32"/>
          <w:szCs w:val="32"/>
        </w:rPr>
        <w:t>指事业单位开展专业业务活动及辅助活动所取得的收入。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三、经营收入：</w:t>
      </w:r>
      <w:r>
        <w:rPr>
          <w:rFonts w:ascii="仿宋" w:hAnsi="仿宋" w:eastAsia="仿宋" w:cs="仿宋"/>
          <w:spacing w:val="0"/>
          <w:kern w:val="0"/>
          <w:sz w:val="32"/>
          <w:szCs w:val="32"/>
        </w:rPr>
        <w:t>指事业单位在专业业务活动及其辅助活动之外开展非独立核算经营活动取得的收入。</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四、其他收入：</w:t>
      </w:r>
      <w:r>
        <w:rPr>
          <w:rFonts w:ascii="仿宋" w:hAnsi="仿宋" w:eastAsia="仿宋" w:cs="仿宋"/>
          <w:spacing w:val="0"/>
          <w:kern w:val="0"/>
          <w:sz w:val="32"/>
          <w:szCs w:val="32"/>
        </w:rPr>
        <w:t>指除上述“财政拨款收入”“事业收入”</w:t>
      </w:r>
      <w:r>
        <w:rPr>
          <w:rFonts w:ascii="宋体" w:hAnsi="宋体" w:cs="宋体"/>
          <w:spacing w:val="0"/>
          <w:kern w:val="0"/>
          <w:szCs w:val="21"/>
        </w:rPr>
        <w:t> </w:t>
      </w:r>
      <w:r>
        <w:rPr>
          <w:rFonts w:ascii="仿宋" w:hAnsi="仿宋" w:eastAsia="仿宋" w:cs="仿宋"/>
          <w:spacing w:val="0"/>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五、使用非财政拨款结余：</w:t>
      </w:r>
      <w:r>
        <w:rPr>
          <w:rFonts w:ascii="仿宋" w:hAnsi="仿宋" w:eastAsia="仿宋" w:cs="仿宋"/>
          <w:spacing w:val="0"/>
          <w:kern w:val="0"/>
          <w:sz w:val="32"/>
          <w:szCs w:val="32"/>
        </w:rPr>
        <w:t>指事业单位使用以前年度积累的非财政拨款结余弥补当年收支差额的金额。</w:t>
      </w:r>
    </w:p>
    <w:p>
      <w:pPr>
        <w:pStyle w:val="28"/>
        <w:widowControl/>
        <w:spacing w:before="100" w:after="100" w:line="600" w:lineRule="atLeast"/>
        <w:ind w:left="0" w:right="0" w:firstLine="71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六、年初结转和结余：</w:t>
      </w:r>
      <w:r>
        <w:rPr>
          <w:rFonts w:ascii="仿宋" w:hAnsi="仿宋" w:eastAsia="仿宋" w:cs="仿宋"/>
          <w:spacing w:val="0"/>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七、结余分配：</w:t>
      </w:r>
      <w:r>
        <w:rPr>
          <w:rFonts w:ascii="仿宋" w:hAnsi="仿宋" w:eastAsia="仿宋" w:cs="仿宋"/>
          <w:spacing w:val="0"/>
          <w:kern w:val="0"/>
          <w:sz w:val="32"/>
          <w:szCs w:val="32"/>
        </w:rPr>
        <w:t>指事业单位按照会计制度规定缴纳的所得税、提取的专用结余以及转入非财政拨款结余的金额等。</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八、年末结转和结余：</w:t>
      </w:r>
      <w:r>
        <w:rPr>
          <w:rFonts w:ascii="仿宋" w:hAnsi="仿宋" w:eastAsia="仿宋" w:cs="仿宋"/>
          <w:spacing w:val="0"/>
          <w:kern w:val="0"/>
          <w:sz w:val="32"/>
          <w:szCs w:val="32"/>
        </w:rPr>
        <w:t>指单位按有关规定结转到下年或以后年度继续使用的资金，或项目已完成等产生的结余资金。</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九、基本支出：</w:t>
      </w:r>
      <w:r>
        <w:rPr>
          <w:rFonts w:ascii="仿宋" w:hAnsi="仿宋" w:eastAsia="仿宋" w:cs="仿宋"/>
          <w:spacing w:val="0"/>
          <w:kern w:val="0"/>
          <w:sz w:val="32"/>
          <w:szCs w:val="32"/>
        </w:rPr>
        <w:t>指为保障机构正常运转、完成日常工作任务而发生的人员支出和公用支出。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十、项目支出：</w:t>
      </w:r>
      <w:r>
        <w:rPr>
          <w:rFonts w:ascii="仿宋" w:hAnsi="仿宋" w:eastAsia="仿宋" w:cs="仿宋"/>
          <w:spacing w:val="0"/>
          <w:kern w:val="0"/>
          <w:sz w:val="32"/>
          <w:szCs w:val="32"/>
        </w:rPr>
        <w:t>指在基本支出之外为完成特定行政任务和事业发展目标所发生的支出。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十一、经营支出：</w:t>
      </w:r>
      <w:r>
        <w:rPr>
          <w:rFonts w:ascii="仿宋" w:hAnsi="仿宋" w:eastAsia="仿宋" w:cs="仿宋"/>
          <w:spacing w:val="0"/>
          <w:kern w:val="0"/>
          <w:sz w:val="32"/>
          <w:szCs w:val="32"/>
        </w:rPr>
        <w:t>指事业单位在专业业务活动及其辅助活动之外开展非独立核算经营活动发生的支出。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十二、“三公”经费：</w:t>
      </w:r>
      <w:r>
        <w:rPr>
          <w:rFonts w:ascii="仿宋" w:hAnsi="仿宋" w:eastAsia="仿宋" w:cs="仿宋"/>
          <w:spacing w:val="0"/>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left="0" w:right="0" w:firstLine="640"/>
        <w:jc w:val="left"/>
        <w:rPr>
          <w:rFonts w:ascii="Times New Roman" w:hAnsi="Times New Roman" w:eastAsia="Times New Roman" w:cs="Times New Roman"/>
          <w:kern w:val="0"/>
          <w:sz w:val="24"/>
        </w:rPr>
      </w:pPr>
      <w:r>
        <w:rPr>
          <w:rStyle w:val="30"/>
          <w:rFonts w:ascii="仿宋" w:hAnsi="仿宋" w:eastAsia="仿宋" w:cs="仿宋"/>
          <w:b/>
          <w:bCs/>
          <w:spacing w:val="0"/>
          <w:kern w:val="0"/>
          <w:sz w:val="32"/>
          <w:szCs w:val="32"/>
        </w:rPr>
        <w:t>十三、机关运行经费：</w:t>
      </w:r>
      <w:r>
        <w:rPr>
          <w:rFonts w:ascii="仿宋" w:hAnsi="仿宋" w:eastAsia="仿宋" w:cs="仿宋"/>
          <w:spacing w:val="0"/>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widowControl/>
        <w:spacing w:before="240" w:after="240"/>
        <w:jc w:val="left"/>
        <w:rPr>
          <w:rFonts w:ascii="Times New Roman" w:hAnsi="Times New Roman" w:eastAsia="Times New Roman" w:cs="Times New Roman"/>
          <w:kern w:val="0"/>
          <w:sz w:val="24"/>
        </w:rPr>
      </w:pPr>
    </w:p>
    <w:p>
      <w:pPr>
        <w:sectPr>
          <w:footerReference r:id="rId8" w:type="default"/>
          <w:pgSz w:w="11906" w:h="16838"/>
          <w:pgMar w:top="1440" w:right="720" w:bottom="1440" w:left="720" w:header="720" w:footer="720" w:gutter="0"/>
          <w:cols w:space="720" w:num="1"/>
        </w:sectPr>
      </w:pPr>
    </w:p>
    <w:p>
      <w:pPr>
        <w:widowControl/>
        <w:spacing w:before="240" w:after="240"/>
        <w:jc w:val="left"/>
        <w:rPr>
          <w:rFonts w:ascii="Times New Roman" w:hAnsi="Times New Roman" w:eastAsia="Times New Roman" w:cs="Times New Roman"/>
          <w:vanish/>
          <w:kern w:val="0"/>
          <w:sz w:val="24"/>
        </w:rPr>
      </w:pPr>
      <w:r>
        <w:rPr>
          <w:rFonts w:ascii="Times New Roman" w:hAnsi="Times New Roman" w:eastAsia="Times New Roman" w:cs="Times New Roman"/>
          <w:vanish/>
          <w:kern w:val="0"/>
          <w:sz w:val="24"/>
        </w:rPr>
        <w:t>word page break</w:t>
      </w:r>
    </w:p>
    <w:p>
      <w:pPr>
        <w:pStyle w:val="3"/>
        <w:keepNext w:val="0"/>
        <w:keepLines w:val="0"/>
        <w:spacing w:before="299" w:after="299" w:line="240" w:lineRule="auto"/>
        <w:ind w:firstLine="0" w:firstLineChars="0"/>
        <w:jc w:val="center"/>
        <w:outlineLvl w:val="0"/>
        <w:rPr>
          <w:rFonts w:ascii="黑体" w:hAnsi="黑体" w:eastAsia="黑体" w:cs="黑体"/>
          <w:b/>
          <w:sz w:val="56"/>
          <w:szCs w:val="56"/>
        </w:rPr>
      </w:pPr>
      <w:bookmarkStart w:id="142" w:name="_Toc256000029"/>
      <w:bookmarkStart w:id="143" w:name="_Toc256000091"/>
      <w:bookmarkStart w:id="144" w:name="_Toc256000060"/>
      <w:bookmarkStart w:id="145" w:name="_Toc16621"/>
      <w:bookmarkStart w:id="146" w:name="_Toc27623"/>
      <w:bookmarkStart w:id="147" w:name="_Toc24891"/>
    </w:p>
    <w:p>
      <w:pPr>
        <w:pStyle w:val="3"/>
        <w:keepNext w:val="0"/>
        <w:keepLines w:val="0"/>
        <w:spacing w:before="299" w:after="299" w:line="240" w:lineRule="auto"/>
        <w:ind w:firstLine="0" w:firstLineChars="0"/>
        <w:jc w:val="center"/>
        <w:outlineLvl w:val="0"/>
        <w:rPr>
          <w:rFonts w:ascii="黑体" w:hAnsi="黑体" w:eastAsia="黑体" w:cs="黑体"/>
          <w:b/>
          <w:sz w:val="56"/>
          <w:szCs w:val="56"/>
        </w:rPr>
      </w:pPr>
    </w:p>
    <w:p>
      <w:pPr>
        <w:pStyle w:val="3"/>
        <w:keepNext w:val="0"/>
        <w:keepLines w:val="0"/>
        <w:spacing w:before="299" w:after="299" w:line="240" w:lineRule="auto"/>
        <w:ind w:firstLine="0" w:firstLineChars="0"/>
        <w:jc w:val="center"/>
        <w:outlineLvl w:val="0"/>
        <w:rPr>
          <w:rFonts w:ascii="黑体" w:hAnsi="黑体" w:eastAsia="黑体" w:cs="黑体"/>
          <w:b/>
          <w:sz w:val="56"/>
          <w:szCs w:val="56"/>
        </w:rPr>
      </w:pPr>
    </w:p>
    <w:p>
      <w:pPr>
        <w:pStyle w:val="3"/>
        <w:keepNext w:val="0"/>
        <w:keepLines w:val="0"/>
        <w:spacing w:before="299" w:after="299" w:line="240" w:lineRule="auto"/>
        <w:ind w:firstLine="0" w:firstLineChars="0"/>
        <w:jc w:val="center"/>
        <w:outlineLvl w:val="0"/>
        <w:rPr>
          <w:rFonts w:ascii="黑体" w:hAnsi="黑体" w:eastAsia="黑体" w:cs="黑体"/>
          <w:b/>
          <w:sz w:val="56"/>
          <w:szCs w:val="56"/>
        </w:rPr>
      </w:pPr>
    </w:p>
    <w:p>
      <w:pPr>
        <w:pStyle w:val="3"/>
        <w:keepNext w:val="0"/>
        <w:keepLines w:val="0"/>
        <w:spacing w:before="299" w:after="299" w:line="240" w:lineRule="auto"/>
        <w:ind w:firstLine="0" w:firstLineChars="0"/>
        <w:jc w:val="center"/>
        <w:outlineLvl w:val="0"/>
        <w:rPr>
          <w:rFonts w:ascii="Calibri" w:hAnsi="Calibri" w:eastAsia="Calibri" w:cs="Calibri"/>
          <w:b/>
          <w:sz w:val="56"/>
          <w:szCs w:val="56"/>
        </w:rPr>
      </w:pPr>
      <w:r>
        <w:rPr>
          <w:rFonts w:ascii="黑体" w:hAnsi="黑体" w:eastAsia="黑体" w:cs="黑体"/>
          <w:b/>
          <w:sz w:val="56"/>
          <w:szCs w:val="56"/>
        </w:rPr>
        <w:t>第五部分</w:t>
      </w:r>
      <w:bookmarkEnd w:id="142"/>
      <w:bookmarkEnd w:id="143"/>
      <w:bookmarkEnd w:id="144"/>
      <w:r>
        <w:rPr>
          <w:rFonts w:ascii="Calibri" w:hAnsi="Calibri" w:eastAsia="Calibri" w:cs="Calibri"/>
          <w:b/>
          <w:sz w:val="56"/>
          <w:szCs w:val="56"/>
        </w:rPr>
        <w:t> </w:t>
      </w:r>
      <w:bookmarkStart w:id="148" w:name="_Toc256000030"/>
      <w:bookmarkStart w:id="149" w:name="_Toc256000061"/>
      <w:bookmarkStart w:id="150" w:name="_Toc256000092"/>
    </w:p>
    <w:p>
      <w:pPr>
        <w:pStyle w:val="3"/>
        <w:keepNext w:val="0"/>
        <w:keepLines w:val="0"/>
        <w:spacing w:before="299" w:after="299" w:line="240" w:lineRule="auto"/>
        <w:ind w:firstLine="0" w:firstLineChars="0"/>
        <w:jc w:val="center"/>
        <w:outlineLvl w:val="0"/>
        <w:rPr>
          <w:rFonts w:ascii="黑体" w:hAnsi="黑体" w:eastAsia="黑体" w:cs="黑体"/>
          <w:b/>
          <w:sz w:val="56"/>
          <w:szCs w:val="56"/>
        </w:rPr>
      </w:pPr>
      <w:r>
        <w:rPr>
          <w:rFonts w:ascii="黑体" w:hAnsi="黑体" w:eastAsia="黑体" w:cs="黑体"/>
          <w:b/>
          <w:sz w:val="56"/>
          <w:szCs w:val="56"/>
        </w:rPr>
        <w:t>附件</w:t>
      </w:r>
      <w:bookmarkEnd w:id="145"/>
      <w:bookmarkEnd w:id="146"/>
      <w:bookmarkEnd w:id="147"/>
      <w:bookmarkEnd w:id="148"/>
      <w:bookmarkEnd w:id="149"/>
      <w:bookmarkEnd w:id="150"/>
    </w:p>
    <w:p>
      <w:pPr>
        <w:rPr>
          <w:rFonts w:ascii="黑体" w:hAnsi="黑体" w:eastAsia="黑体" w:cs="黑体"/>
          <w:b/>
          <w:sz w:val="56"/>
          <w:szCs w:val="56"/>
        </w:rPr>
      </w:pPr>
      <w:r>
        <w:rPr>
          <w:rFonts w:ascii="黑体" w:hAnsi="黑体" w:eastAsia="黑体" w:cs="黑体"/>
          <w:b/>
          <w:sz w:val="56"/>
          <w:szCs w:val="56"/>
        </w:rPr>
        <w:br w:type="page"/>
      </w:r>
    </w:p>
    <w:p>
      <w:pPr>
        <w:pStyle w:val="4"/>
      </w:pPr>
    </w:p>
    <w:bookmarkEnd w:id="0"/>
    <w:tbl>
      <w:tblPr>
        <w:tblStyle w:val="22"/>
        <w:tblW w:w="991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0"/>
        <w:gridCol w:w="574"/>
        <w:gridCol w:w="2085"/>
        <w:gridCol w:w="1590"/>
        <w:gridCol w:w="675"/>
        <w:gridCol w:w="602"/>
        <w:gridCol w:w="1115"/>
        <w:gridCol w:w="985"/>
        <w:gridCol w:w="622"/>
        <w:gridCol w:w="600"/>
        <w:gridCol w:w="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71" w:hRule="atLeast"/>
        </w:trPr>
        <w:tc>
          <w:tcPr>
            <w:tcW w:w="9911"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3" w:hRule="atLeast"/>
        </w:trPr>
        <w:tc>
          <w:tcPr>
            <w:tcW w:w="9911" w:type="dxa"/>
            <w:gridSpan w:val="11"/>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5" w:hRule="atLeast"/>
        </w:trPr>
        <w:tc>
          <w:tcPr>
            <w:tcW w:w="3079" w:type="dxa"/>
            <w:gridSpan w:val="3"/>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预算单位： 厦门市蔡塘学校</w:t>
            </w:r>
          </w:p>
        </w:tc>
        <w:tc>
          <w:tcPr>
            <w:tcW w:w="1590"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675"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602" w:type="dxa"/>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15"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985"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622" w:type="dxa"/>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000000"/>
                <w:sz w:val="18"/>
                <w:szCs w:val="18"/>
                <w:u w:val="none"/>
              </w:rPr>
            </w:pPr>
          </w:p>
        </w:tc>
        <w:tc>
          <w:tcPr>
            <w:tcW w:w="1243" w:type="dxa"/>
            <w:gridSpan w:val="2"/>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26" w:hRule="atLeast"/>
        </w:trPr>
        <w:tc>
          <w:tcPr>
            <w:tcW w:w="994" w:type="dxa"/>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952" w:type="dxa"/>
            <w:gridSpan w:val="4"/>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义务教育阶段家庭经济困难学生营养餐补助</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自评年度</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2024年1月1日-2024年12月31日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87" w:hRule="atLeast"/>
        </w:trPr>
        <w:tc>
          <w:tcPr>
            <w:tcW w:w="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495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湖里区教育局</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85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厦门市蔡塘学校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8" w:hRule="atLeast"/>
        </w:trPr>
        <w:tc>
          <w:tcPr>
            <w:tcW w:w="9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年度预算执行情况</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已调整数</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调整后预算数</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2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8.76</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8.76</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6.5094</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74.31%</w:t>
            </w:r>
          </w:p>
        </w:tc>
        <w:tc>
          <w:tcPr>
            <w:tcW w:w="622"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8.76</w:t>
            </w: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8.76</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6.5094</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74.31%</w:t>
            </w:r>
          </w:p>
        </w:tc>
        <w:tc>
          <w:tcPr>
            <w:tcW w:w="622"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上年结转资金</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9" w:hRule="atLeast"/>
        </w:trPr>
        <w:tc>
          <w:tcPr>
            <w:tcW w:w="9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22"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4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总体</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目标</w:t>
            </w:r>
          </w:p>
        </w:tc>
        <w:tc>
          <w:tcPr>
            <w:tcW w:w="5526"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39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51" w:hRule="atLeast"/>
        </w:trPr>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526"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396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27" w:hRule="atLeast"/>
        </w:trPr>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526"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6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78" w:hRule="atLeast"/>
        </w:trPr>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18"/>
                <w:szCs w:val="18"/>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指标类型</w:t>
            </w:r>
          </w:p>
        </w:tc>
        <w:tc>
          <w:tcPr>
            <w:tcW w:w="6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绩效目标值</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完成比例</w:t>
            </w:r>
          </w:p>
        </w:tc>
        <w:tc>
          <w:tcPr>
            <w:tcW w:w="62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设置分值</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存在问题及原因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35" w:hRule="atLeast"/>
        </w:trPr>
        <w:tc>
          <w:tcPr>
            <w:tcW w:w="4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绩</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效</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标</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完</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成</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情</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况</w:t>
            </w:r>
          </w:p>
        </w:tc>
        <w:tc>
          <w:tcPr>
            <w:tcW w:w="57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产出指标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审核义务教育阶段阶段受助学生</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定量</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83.56%</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全年营养餐补助人数</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定量</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78.08%</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营养餐发放标准</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定量</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6/餐</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6/餐</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义务教育困难生资助资金下拨及时率</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定量</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37" w:hRule="atLeast"/>
        </w:trPr>
        <w:tc>
          <w:tcPr>
            <w:tcW w:w="4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满意度</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服务对象满意度指标</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受资助对象满意度</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定量</w:t>
            </w:r>
          </w:p>
        </w:tc>
        <w:tc>
          <w:tcPr>
            <w:tcW w:w="6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43" w:hRule="atLeast"/>
        </w:trPr>
        <w:tc>
          <w:tcPr>
            <w:tcW w:w="8046"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92</w:t>
            </w:r>
          </w:p>
        </w:tc>
        <w:tc>
          <w:tcPr>
            <w:tcW w:w="6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51" w:hRule="atLeast"/>
        </w:trPr>
        <w:tc>
          <w:tcPr>
            <w:tcW w:w="991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填表说明：1.年度总体目标和绩效指标中的“具体指标”“年度指标值”按照部门预算批复的绩效目标填写，必须有量化指标。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tbl>
    <w:p>
      <w:pPr>
        <w:keepNext w:val="0"/>
        <w:keepLines w:val="0"/>
        <w:pageBreakBefore w:val="0"/>
        <w:widowControl w:val="0"/>
        <w:tabs>
          <w:tab w:val="left" w:pos="8415"/>
        </w:tabs>
        <w:kinsoku/>
        <w:wordWrap/>
        <w:overflowPunct/>
        <w:topLinePunct w:val="0"/>
        <w:autoSpaceDE/>
        <w:autoSpaceDN/>
        <w:bidi w:val="0"/>
        <w:adjustRightInd/>
        <w:snapToGrid/>
        <w:textAlignment w:val="auto"/>
        <w:rPr>
          <w:rFonts w:hint="eastAsia" w:eastAsia="宋体"/>
          <w:lang w:eastAsia="zh-CN"/>
        </w:rPr>
      </w:pPr>
    </w:p>
    <w:sectPr>
      <w:footerReference r:id="rId9"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 w:name="Cambria">
    <w:panose1 w:val="02040503050406030204"/>
    <w:charset w:val="00"/>
    <w:family w:val="modern"/>
    <w:pitch w:val="default"/>
    <w:sig w:usb0="E00002FF" w:usb1="400004FF" w:usb2="00000000" w:usb3="00000000" w:csb0="2000019F" w:csb1="00000000"/>
  </w:font>
  <w:font w:name="仿宋_GB2312">
    <w:altName w:val="仿宋"/>
    <w:panose1 w:val="00000000000000000000"/>
    <w:charset w:val="86"/>
    <w:family w:val="swiss"/>
    <w:pitch w:val="default"/>
    <w:sig w:usb0="00000000" w:usb1="00000000" w:usb2="00000010" w:usb3="00000000" w:csb0="00040000" w:csb1="00000000"/>
  </w:font>
  <w:font w:name="方正小标宋简体">
    <w:altName w:val="黑体"/>
    <w:panose1 w:val="02010600010101010101"/>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7</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11</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31</w:t>
    </w:r>
    <w:r>
      <w:rPr>
        <w:rFonts w:ascii="宋体" w:hAnsi="宋体" w:eastAsia="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40</w:t>
    </w:r>
    <w:r>
      <w:rPr>
        <w:rFonts w:ascii="宋体" w:hAnsi="宋体" w:eastAsia="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45</w:t>
    </w:r>
    <w:r>
      <w:rPr>
        <w:rFonts w:ascii="宋体" w:hAnsi="宋体" w:eastAsia="宋体" w:cs="宋体"/>
        <w:sz w:val="1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945D8"/>
    <w:rsid w:val="0C0B3AB8"/>
    <w:rsid w:val="19E05849"/>
    <w:rsid w:val="263420D5"/>
    <w:rsid w:val="28C91BA1"/>
    <w:rsid w:val="2CDB0FC8"/>
    <w:rsid w:val="35135F4E"/>
    <w:rsid w:val="366B25C2"/>
    <w:rsid w:val="3776777C"/>
    <w:rsid w:val="3AC22BB0"/>
    <w:rsid w:val="3C273F69"/>
    <w:rsid w:val="429C4D72"/>
    <w:rsid w:val="49614582"/>
    <w:rsid w:val="4FEA358C"/>
    <w:rsid w:val="53413633"/>
    <w:rsid w:val="5FE26E17"/>
    <w:rsid w:val="604162CA"/>
    <w:rsid w:val="71737FB5"/>
    <w:rsid w:val="776A4796"/>
    <w:rsid w:val="7982357C"/>
    <w:rsid w:val="7AE51035"/>
    <w:rsid w:val="7F186FFE"/>
    <w:rsid w:val="7FF22A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7"/>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3"/>
    <w:qFormat/>
    <w:uiPriority w:val="0"/>
    <w:pPr>
      <w:keepNext/>
      <w:keepLines/>
      <w:spacing w:before="280" w:after="290" w:line="376" w:lineRule="auto"/>
      <w:outlineLvl w:val="3"/>
    </w:pPr>
    <w:rPr>
      <w:rFonts w:ascii="Cambria" w:hAnsi="Cambria" w:eastAsia="仿宋"/>
      <w:bCs/>
      <w:sz w:val="32"/>
      <w:szCs w:val="28"/>
    </w:rPr>
  </w:style>
  <w:style w:type="character" w:default="1" w:styleId="19">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customStyle="1" w:styleId="4">
    <w:name w:val="No Spacing"/>
    <w:link w:val="24"/>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18">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qFormat/>
    <w:uiPriority w:val="0"/>
    <w:rPr>
      <w:rFonts w:ascii="宋体" w:hAnsi="宋体" w:eastAsia="仿宋" w:cs="Times New Roman"/>
      <w:kern w:val="2"/>
      <w:sz w:val="32"/>
      <w:szCs w:val="32"/>
      <w:lang w:val="en-US" w:eastAsia="zh-CN" w:bidi="ar-SA"/>
    </w:rPr>
  </w:style>
  <w:style w:type="character" w:customStyle="1" w:styleId="23">
    <w:name w:val="标题 4 字符"/>
    <w:basedOn w:val="19"/>
    <w:link w:val="6"/>
    <w:qFormat/>
    <w:uiPriority w:val="0"/>
    <w:rPr>
      <w:rFonts w:ascii="Cambria" w:hAnsi="Cambria" w:eastAsia="仿宋"/>
      <w:bCs/>
      <w:kern w:val="2"/>
      <w:sz w:val="32"/>
      <w:szCs w:val="28"/>
    </w:rPr>
  </w:style>
  <w:style w:type="character" w:customStyle="1" w:styleId="24">
    <w:name w:val="无间隔 字符"/>
    <w:link w:val="4"/>
    <w:qFormat/>
    <w:locked/>
    <w:uiPriority w:val="0"/>
    <w:rPr>
      <w:rFonts w:eastAsia="仿宋_GB2312"/>
      <w:sz w:val="30"/>
      <w:szCs w:val="22"/>
      <w:lang w:bidi="ar-SA"/>
    </w:rPr>
  </w:style>
  <w:style w:type="character" w:customStyle="1" w:styleId="25">
    <w:name w:val="页脚 字符"/>
    <w:basedOn w:val="19"/>
    <w:link w:val="12"/>
    <w:qFormat/>
    <w:uiPriority w:val="0"/>
    <w:rPr>
      <w:kern w:val="2"/>
      <w:sz w:val="18"/>
      <w:szCs w:val="18"/>
    </w:rPr>
  </w:style>
  <w:style w:type="paragraph" w:customStyle="1" w:styleId="26">
    <w:name w:val="List Paragraph"/>
    <w:basedOn w:val="1"/>
    <w:qFormat/>
    <w:uiPriority w:val="0"/>
    <w:pPr>
      <w:ind w:firstLine="420" w:firstLineChars="200"/>
    </w:pPr>
  </w:style>
  <w:style w:type="character" w:customStyle="1" w:styleId="27">
    <w:name w:val="标题 3 字符"/>
    <w:basedOn w:val="19"/>
    <w:link w:val="5"/>
    <w:qFormat/>
    <w:uiPriority w:val="0"/>
    <w:rPr>
      <w:rFonts w:eastAsia="仿宋"/>
      <w:bCs/>
      <w:kern w:val="2"/>
      <w:sz w:val="32"/>
      <w:szCs w:val="32"/>
    </w:r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15"/>
    <w:basedOn w:val="19"/>
    <w:qFormat/>
    <w:uiPriority w:val="0"/>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25</Pages>
  <Words>9883</Words>
  <Characters>12719</Characters>
  <Lines>1</Lines>
  <Paragraphs>1</Paragraphs>
  <TotalTime>0</TotalTime>
  <ScaleCrop>false</ScaleCrop>
  <LinksUpToDate>false</LinksUpToDate>
  <CharactersWithSpaces>13750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2025-07-03T04:13:00Z</cp:lastPrinted>
  <dcterms:modified xsi:type="dcterms:W3CDTF">2025-09-16T04:49:51Z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910250D8E0024409A624D5CCE4DC7563_13</vt:lpwstr>
  </property>
  <property fmtid="{D5CDD505-2E9C-101B-9397-08002B2CF9AE}" pid="3" name="KSOProductBuildVer">
    <vt:lpwstr>2052-11.8.2.8053</vt:lpwstr>
  </property>
  <property fmtid="{D5CDD505-2E9C-101B-9397-08002B2CF9AE}" pid="4" name="KSOTemplateDocerSaveRecord">
    <vt:lpwstr>eyJoZGlkIjoiNmNmZDk5Y2VjYWJhYzcwOWRkNjZmNTJhZjI1MTI4MDgiLCJ1c2VySWQiOiI1NDEzNjg2NzcifQ==</vt:lpwstr>
  </property>
</Properties>
</file>