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keepNext w:val="0"/>
        <w:keepLines w:val="0"/>
        <w:widowControl/>
        <w:suppressLineNumbers w:val="0"/>
        <w:shd w:val="clear" w:fill="FFFFFF"/>
        <w:spacing w:before="240" w:beforeAutospacing="0" w:after="240" w:afterAutospacing="0"/>
        <w:ind w:left="0" w:right="0"/>
        <w:jc w:val="center"/>
        <w:rPr>
          <w:rFonts w:hint="eastAsia" w:ascii="黑体" w:hAnsi="宋体" w:eastAsia="黑体" w:cs="黑体"/>
          <w:kern w:val="0"/>
          <w:sz w:val="44"/>
          <w:szCs w:val="44"/>
          <w:shd w:val="clear" w:fill="FFFFFF"/>
          <w:lang w:val="en-US" w:eastAsia="zh-CN" w:bidi="ar"/>
        </w:rPr>
      </w:pPr>
    </w:p>
    <w:p>
      <w:pPr>
        <w:keepNext w:val="0"/>
        <w:keepLines w:val="0"/>
        <w:widowControl/>
        <w:suppressLineNumbers w:val="0"/>
        <w:shd w:val="clear" w:fill="FFFFFF"/>
        <w:spacing w:before="240" w:beforeAutospacing="0" w:after="240" w:afterAutospacing="0"/>
        <w:ind w:left="0" w:right="0"/>
        <w:jc w:val="center"/>
        <w:rPr>
          <w:rFonts w:hint="eastAsia" w:ascii="黑体" w:hAnsi="宋体" w:eastAsia="黑体" w:cs="黑体"/>
          <w:kern w:val="0"/>
          <w:sz w:val="44"/>
          <w:szCs w:val="44"/>
          <w:shd w:val="clear" w:fill="FFFFFF"/>
          <w:lang w:bidi="ar"/>
        </w:rPr>
      </w:pPr>
      <w:r>
        <w:rPr>
          <w:rFonts w:hint="eastAsia" w:ascii="黑体" w:hAnsi="宋体" w:eastAsia="黑体" w:cs="黑体"/>
          <w:kern w:val="0"/>
          <w:sz w:val="44"/>
          <w:szCs w:val="44"/>
          <w:shd w:val="clear" w:fill="FFFFFF"/>
          <w:lang w:val="en-US" w:eastAsia="zh-CN" w:bidi="ar"/>
        </w:rPr>
        <w:t>2024</w:t>
      </w:r>
      <w:r>
        <w:rPr>
          <w:rFonts w:hint="eastAsia" w:ascii="黑体" w:hAnsi="宋体" w:eastAsia="黑体" w:cs="黑体"/>
          <w:kern w:val="0"/>
          <w:sz w:val="44"/>
          <w:szCs w:val="44"/>
          <w:shd w:val="clear" w:fill="FFFFFF"/>
          <w:lang w:bidi="ar"/>
        </w:rPr>
        <w:t>年度</w:t>
      </w:r>
    </w:p>
    <w:p>
      <w:pPr>
        <w:keepNext w:val="0"/>
        <w:keepLines w:val="0"/>
        <w:widowControl/>
        <w:suppressLineNumbers w:val="0"/>
        <w:shd w:val="clear" w:fill="FFFFFF"/>
        <w:spacing w:before="240" w:beforeAutospacing="0" w:after="240" w:afterAutospacing="0"/>
        <w:ind w:left="0" w:right="0"/>
        <w:jc w:val="center"/>
        <w:rPr>
          <w:rFonts w:hint="eastAsia" w:ascii="黑体" w:hAnsi="宋体" w:eastAsia="黑体" w:cs="黑体"/>
          <w:kern w:val="0"/>
          <w:sz w:val="44"/>
          <w:szCs w:val="44"/>
          <w:shd w:val="clear" w:fill="FFFFFF"/>
          <w:lang w:val="en-US" w:eastAsia="zh-CN" w:bidi="ar"/>
        </w:rPr>
        <w:sectPr>
          <w:footerReference r:id="rId3" w:type="default"/>
          <w:pgSz w:w="11906" w:h="16838"/>
          <w:pgMar w:top="1440" w:right="1800" w:bottom="1440" w:left="1800"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黑体" w:hAnsi="宋体" w:eastAsia="黑体" w:cs="黑体"/>
          <w:kern w:val="0"/>
          <w:sz w:val="44"/>
          <w:szCs w:val="44"/>
          <w:shd w:val="clear" w:fill="FFFFFF"/>
          <w:lang w:bidi="ar"/>
        </w:rPr>
        <w:t>厦门市金安小学</w:t>
      </w:r>
      <w:r>
        <w:rPr>
          <w:rFonts w:hint="eastAsia" w:ascii="黑体" w:hAnsi="宋体" w:eastAsia="黑体" w:cs="黑体"/>
          <w:kern w:val="0"/>
          <w:sz w:val="44"/>
          <w:szCs w:val="44"/>
          <w:shd w:val="clear" w:fill="FFFFFF"/>
          <w:lang w:val="en-US" w:eastAsia="zh-CN" w:bidi="ar"/>
        </w:rPr>
        <w:t>单位</w:t>
      </w:r>
      <w:r>
        <w:rPr>
          <w:rFonts w:hint="eastAsia" w:ascii="黑体" w:hAnsi="宋体" w:eastAsia="黑体" w:cs="黑体"/>
          <w:kern w:val="0"/>
          <w:sz w:val="44"/>
          <w:szCs w:val="44"/>
          <w:shd w:val="clear" w:fill="FFFFFF"/>
          <w:lang w:bidi="ar"/>
        </w:rPr>
        <w:t>决</w:t>
      </w:r>
      <w:r>
        <w:rPr>
          <w:rFonts w:hint="eastAsia" w:ascii="黑体" w:hAnsi="宋体" w:eastAsia="黑体" w:cs="黑体"/>
          <w:kern w:val="0"/>
          <w:sz w:val="44"/>
          <w:szCs w:val="44"/>
          <w:shd w:val="clear" w:fill="FFFFFF"/>
          <w:lang w:eastAsia="zh-CN" w:bidi="ar"/>
        </w:rPr>
        <w:t>算</w:t>
      </w:r>
    </w:p>
    <w:p>
      <w:pPr>
        <w:keepNext w:val="0"/>
        <w:keepLines w:val="0"/>
        <w:widowControl/>
        <w:suppressLineNumbers w:val="0"/>
        <w:shd w:val="clear" w:fill="FFFFFF"/>
        <w:spacing w:before="240" w:beforeAutospacing="0" w:after="240" w:afterAutospacing="0"/>
        <w:ind w:left="0" w:right="0"/>
        <w:jc w:val="center"/>
        <w:rPr>
          <w:rFonts w:hint="eastAsia" w:ascii="仿宋" w:hAnsi="仿宋" w:eastAsia="仿宋" w:cs="仿宋"/>
          <w:b/>
          <w:bCs/>
          <w:kern w:val="0"/>
          <w:sz w:val="36"/>
          <w:szCs w:val="36"/>
          <w:shd w:val="clear" w:fill="FFFFFF"/>
          <w:lang w:bidi="ar"/>
        </w:rPr>
      </w:pPr>
      <w:r>
        <w:rPr>
          <w:rFonts w:hint="eastAsia" w:ascii="仿宋" w:hAnsi="仿宋" w:eastAsia="仿宋" w:cs="仿宋"/>
          <w:b/>
          <w:bCs/>
          <w:kern w:val="0"/>
          <w:sz w:val="36"/>
          <w:szCs w:val="36"/>
          <w:shd w:val="clear" w:fill="FFFFFF"/>
          <w:lang w:bidi="ar"/>
        </w:rPr>
        <w:t>目  录</w:t>
      </w:r>
    </w:p>
    <w:p>
      <w:pPr>
        <w:pStyle w:val="32"/>
        <w:widowControl/>
        <w:spacing w:before="240" w:after="240"/>
        <w:jc w:val="center"/>
        <w:rPr>
          <w:rFonts w:ascii="Times New Roman" w:hAnsi="Times New Roman" w:eastAsia="Times New Roman" w:cs="Times New Roman"/>
          <w:kern w:val="0"/>
          <w:sz w:val="24"/>
          <w:szCs w:val="24"/>
        </w:rPr>
      </w:pP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eastAsia" w:ascii="宋体" w:hAnsi="宋体" w:eastAsia="宋体" w:cs="宋体"/>
          <w:kern w:val="0"/>
          <w:sz w:val="28"/>
          <w:szCs w:val="28"/>
          <w:lang w:val="en-US" w:eastAsia="zh-CN"/>
        </w:rPr>
      </w:pPr>
      <w:r>
        <w:rPr>
          <w:rFonts w:hint="eastAsia" w:ascii="宋体" w:hAnsi="宋体" w:eastAsia="宋体" w:cs="宋体"/>
          <w:b/>
          <w:bCs/>
          <w:kern w:val="0"/>
          <w:sz w:val="28"/>
          <w:szCs w:val="28"/>
        </w:rPr>
        <w:t>第一部分 </w:t>
      </w:r>
      <w:r>
        <w:rPr>
          <w:rFonts w:hint="eastAsia" w:ascii="宋体" w:hAnsi="宋体" w:cs="宋体"/>
          <w:b/>
          <w:bCs/>
          <w:kern w:val="0"/>
          <w:sz w:val="28"/>
          <w:szCs w:val="28"/>
          <w:lang w:eastAsia="zh-CN"/>
        </w:rPr>
        <w:t>单位</w:t>
      </w:r>
      <w:r>
        <w:rPr>
          <w:rFonts w:hint="eastAsia" w:ascii="宋体" w:hAnsi="宋体" w:eastAsia="宋体" w:cs="宋体"/>
          <w:b/>
          <w:bCs/>
          <w:kern w:val="0"/>
          <w:sz w:val="28"/>
          <w:szCs w:val="28"/>
        </w:rPr>
        <w:t>概况………………………………………………………</w:t>
      </w:r>
      <w:r>
        <w:rPr>
          <w:rFonts w:hint="eastAsia" w:ascii="宋体" w:hAnsi="宋体" w:eastAsia="宋体" w:cs="宋体"/>
          <w:b/>
          <w:bCs/>
          <w:kern w:val="0"/>
          <w:sz w:val="28"/>
          <w:szCs w:val="28"/>
          <w:lang w:val="en-US" w:eastAsia="zh-CN"/>
        </w:rPr>
        <w:t>4</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一、</w:t>
      </w:r>
      <w:r>
        <w:rPr>
          <w:rFonts w:hint="eastAsia" w:ascii="宋体" w:hAnsi="宋体" w:cs="宋体"/>
          <w:kern w:val="0"/>
          <w:sz w:val="28"/>
          <w:szCs w:val="28"/>
          <w:lang w:eastAsia="zh-CN"/>
        </w:rPr>
        <w:t>单位</w:t>
      </w:r>
      <w:r>
        <w:rPr>
          <w:rFonts w:hint="eastAsia" w:ascii="宋体" w:hAnsi="宋体" w:eastAsia="宋体" w:cs="宋体"/>
          <w:kern w:val="0"/>
          <w:sz w:val="28"/>
          <w:szCs w:val="28"/>
        </w:rPr>
        <w:t>主要职责…………………………………………………………</w:t>
      </w:r>
      <w:r>
        <w:rPr>
          <w:rFonts w:hint="eastAsia" w:ascii="宋体" w:hAnsi="宋体" w:eastAsia="宋体" w:cs="宋体"/>
          <w:kern w:val="0"/>
          <w:sz w:val="28"/>
          <w:szCs w:val="28"/>
          <w:lang w:val="en-US" w:eastAsia="zh-CN"/>
        </w:rPr>
        <w:t>4</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二、</w:t>
      </w:r>
      <w:r>
        <w:rPr>
          <w:rFonts w:hint="eastAsia" w:ascii="宋体" w:hAnsi="宋体" w:cs="宋体"/>
          <w:kern w:val="0"/>
          <w:sz w:val="28"/>
          <w:szCs w:val="28"/>
          <w:lang w:eastAsia="zh-CN"/>
        </w:rPr>
        <w:t>单位</w:t>
      </w:r>
      <w:r>
        <w:rPr>
          <w:rFonts w:hint="eastAsia" w:ascii="宋体" w:hAnsi="宋体" w:eastAsia="宋体" w:cs="宋体"/>
          <w:kern w:val="0"/>
          <w:sz w:val="28"/>
          <w:szCs w:val="28"/>
        </w:rPr>
        <w:t>决算单位基本情况………………………………………………</w:t>
      </w:r>
      <w:r>
        <w:rPr>
          <w:rFonts w:hint="eastAsia" w:ascii="宋体" w:hAnsi="宋体" w:eastAsia="宋体" w:cs="宋体"/>
          <w:kern w:val="0"/>
          <w:sz w:val="28"/>
          <w:szCs w:val="28"/>
          <w:lang w:val="en-US" w:eastAsia="zh-CN"/>
        </w:rPr>
        <w:t>4</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三、</w:t>
      </w:r>
      <w:r>
        <w:rPr>
          <w:rFonts w:hint="eastAsia" w:ascii="宋体" w:hAnsi="宋体" w:cs="宋体"/>
          <w:kern w:val="0"/>
          <w:sz w:val="28"/>
          <w:szCs w:val="28"/>
          <w:lang w:eastAsia="zh-CN"/>
        </w:rPr>
        <w:t>单位</w:t>
      </w:r>
      <w:r>
        <w:rPr>
          <w:rFonts w:hint="eastAsia" w:ascii="宋体" w:hAnsi="宋体" w:eastAsia="宋体" w:cs="宋体"/>
          <w:kern w:val="0"/>
          <w:sz w:val="28"/>
          <w:szCs w:val="28"/>
        </w:rPr>
        <w:t>主要工作总结……………………………………………………</w:t>
      </w:r>
      <w:r>
        <w:rPr>
          <w:rFonts w:hint="eastAsia" w:ascii="宋体" w:hAnsi="宋体" w:eastAsia="宋体" w:cs="宋体"/>
          <w:kern w:val="0"/>
          <w:sz w:val="28"/>
          <w:szCs w:val="28"/>
          <w:lang w:val="en-US" w:eastAsia="zh-CN"/>
        </w:rPr>
        <w:t>5</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rPr>
        <w:t>第二部分 </w:t>
      </w:r>
      <w:r>
        <w:rPr>
          <w:rFonts w:hint="eastAsia" w:ascii="宋体" w:hAnsi="宋体" w:cs="宋体"/>
          <w:b/>
          <w:bCs/>
          <w:kern w:val="0"/>
          <w:sz w:val="28"/>
          <w:szCs w:val="28"/>
          <w:lang w:eastAsia="zh-CN"/>
        </w:rPr>
        <w:t>2024年</w:t>
      </w:r>
      <w:r>
        <w:rPr>
          <w:rFonts w:hint="eastAsia" w:ascii="宋体" w:hAnsi="宋体" w:eastAsia="宋体" w:cs="宋体"/>
          <w:b/>
          <w:bCs/>
          <w:kern w:val="0"/>
          <w:sz w:val="28"/>
          <w:szCs w:val="28"/>
        </w:rPr>
        <w:t>度</w:t>
      </w:r>
      <w:r>
        <w:rPr>
          <w:rFonts w:hint="eastAsia" w:ascii="宋体" w:hAnsi="宋体" w:cs="宋体"/>
          <w:b/>
          <w:bCs/>
          <w:kern w:val="0"/>
          <w:sz w:val="28"/>
          <w:szCs w:val="28"/>
          <w:lang w:eastAsia="zh-CN"/>
        </w:rPr>
        <w:t>单位</w:t>
      </w:r>
      <w:r>
        <w:rPr>
          <w:rFonts w:hint="eastAsia" w:ascii="宋体" w:hAnsi="宋体" w:eastAsia="宋体" w:cs="宋体"/>
          <w:b/>
          <w:bCs/>
          <w:kern w:val="0"/>
          <w:sz w:val="28"/>
          <w:szCs w:val="28"/>
        </w:rPr>
        <w:t>决算表…………………………………………</w:t>
      </w:r>
      <w:r>
        <w:rPr>
          <w:rFonts w:hint="eastAsia" w:ascii="宋体" w:hAnsi="宋体" w:eastAsia="宋体" w:cs="宋体"/>
          <w:b/>
          <w:bCs/>
          <w:kern w:val="0"/>
          <w:sz w:val="28"/>
          <w:szCs w:val="28"/>
          <w:lang w:val="en-US" w:eastAsia="zh-CN"/>
        </w:rPr>
        <w:t>8</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一、收入支出决算总表……………………………………………………</w:t>
      </w:r>
      <w:r>
        <w:rPr>
          <w:rFonts w:hint="eastAsia" w:ascii="宋体" w:hAnsi="宋体" w:eastAsia="宋体" w:cs="宋体"/>
          <w:kern w:val="0"/>
          <w:sz w:val="28"/>
          <w:szCs w:val="28"/>
          <w:lang w:val="en-US" w:eastAsia="zh-CN"/>
        </w:rPr>
        <w:t>8</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二、收入决算表……………………………………………………………</w:t>
      </w:r>
      <w:r>
        <w:rPr>
          <w:rFonts w:hint="eastAsia" w:ascii="宋体" w:hAnsi="宋体" w:eastAsia="宋体" w:cs="宋体"/>
          <w:kern w:val="0"/>
          <w:sz w:val="28"/>
          <w:szCs w:val="28"/>
          <w:lang w:val="en-US" w:eastAsia="zh-CN"/>
        </w:rPr>
        <w:t>9</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kern w:val="0"/>
          <w:sz w:val="28"/>
          <w:szCs w:val="28"/>
          <w:lang w:val="en-US" w:eastAsia="zh-CN"/>
        </w:rPr>
      </w:pPr>
      <w:r>
        <w:rPr>
          <w:rFonts w:hint="eastAsia" w:ascii="宋体" w:hAnsi="宋体" w:eastAsia="宋体" w:cs="宋体"/>
          <w:kern w:val="0"/>
          <w:sz w:val="28"/>
          <w:szCs w:val="28"/>
        </w:rPr>
        <w:t>三、支出决算表……………………………………………………………</w:t>
      </w:r>
      <w:r>
        <w:rPr>
          <w:rFonts w:hint="eastAsia" w:ascii="宋体" w:hAnsi="宋体" w:eastAsia="宋体" w:cs="宋体"/>
          <w:kern w:val="0"/>
          <w:sz w:val="28"/>
          <w:szCs w:val="28"/>
          <w:lang w:val="en-US" w:eastAsia="zh-CN"/>
        </w:rPr>
        <w:t>10</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kern w:val="0"/>
          <w:sz w:val="28"/>
          <w:szCs w:val="28"/>
          <w:lang w:val="en-US" w:eastAsia="zh-CN"/>
        </w:rPr>
      </w:pPr>
      <w:r>
        <w:rPr>
          <w:rFonts w:hint="eastAsia" w:ascii="宋体" w:hAnsi="宋体" w:eastAsia="宋体" w:cs="宋体"/>
          <w:kern w:val="0"/>
          <w:sz w:val="28"/>
          <w:szCs w:val="28"/>
        </w:rPr>
        <w:t>四、财政拨款收入支出决算总表…………………………………………</w:t>
      </w:r>
      <w:r>
        <w:rPr>
          <w:rFonts w:hint="eastAsia" w:ascii="宋体" w:hAnsi="宋体" w:eastAsia="宋体" w:cs="宋体"/>
          <w:kern w:val="0"/>
          <w:sz w:val="28"/>
          <w:szCs w:val="28"/>
          <w:lang w:val="en-US" w:eastAsia="zh-CN"/>
        </w:rPr>
        <w:t>12</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kern w:val="0"/>
          <w:sz w:val="28"/>
          <w:szCs w:val="28"/>
          <w:lang w:val="en-US" w:eastAsia="zh-CN"/>
        </w:rPr>
      </w:pPr>
      <w:r>
        <w:rPr>
          <w:rFonts w:hint="eastAsia" w:ascii="宋体" w:hAnsi="宋体" w:eastAsia="宋体" w:cs="宋体"/>
          <w:kern w:val="0"/>
          <w:sz w:val="28"/>
          <w:szCs w:val="28"/>
        </w:rPr>
        <w:t>五、一般公共预算财政拨款支出决算表…………………………………</w:t>
      </w:r>
      <w:r>
        <w:rPr>
          <w:rFonts w:hint="eastAsia" w:ascii="宋体" w:hAnsi="宋体" w:eastAsia="宋体" w:cs="宋体"/>
          <w:kern w:val="0"/>
          <w:sz w:val="28"/>
          <w:szCs w:val="28"/>
          <w:lang w:val="en-US" w:eastAsia="zh-CN"/>
        </w:rPr>
        <w:t>14</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kern w:val="0"/>
          <w:sz w:val="28"/>
          <w:szCs w:val="28"/>
          <w:lang w:val="en-US" w:eastAsia="zh-CN"/>
        </w:rPr>
      </w:pPr>
      <w:r>
        <w:rPr>
          <w:rFonts w:hint="eastAsia" w:ascii="宋体" w:hAnsi="宋体" w:eastAsia="宋体" w:cs="宋体"/>
          <w:kern w:val="0"/>
          <w:sz w:val="28"/>
          <w:szCs w:val="28"/>
        </w:rPr>
        <w:t>六、一般公共预算财政拨款基本支出决算表……………………………</w:t>
      </w:r>
      <w:r>
        <w:rPr>
          <w:rFonts w:hint="eastAsia" w:ascii="宋体" w:hAnsi="宋体" w:eastAsia="宋体" w:cs="宋体"/>
          <w:kern w:val="0"/>
          <w:sz w:val="28"/>
          <w:szCs w:val="28"/>
          <w:lang w:val="en-US" w:eastAsia="zh-CN"/>
        </w:rPr>
        <w:t>15</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kern w:val="0"/>
          <w:sz w:val="28"/>
          <w:szCs w:val="28"/>
          <w:lang w:val="en-US" w:eastAsia="zh-CN"/>
        </w:rPr>
      </w:pPr>
      <w:r>
        <w:rPr>
          <w:rFonts w:hint="eastAsia" w:ascii="宋体" w:hAnsi="宋体" w:eastAsia="宋体" w:cs="宋体"/>
          <w:kern w:val="0"/>
          <w:sz w:val="28"/>
          <w:szCs w:val="28"/>
        </w:rPr>
        <w:t>七、一般公共预算财政拨款“三公”经费支出决算表…………………</w:t>
      </w:r>
      <w:r>
        <w:rPr>
          <w:rFonts w:hint="eastAsia" w:ascii="宋体" w:hAnsi="宋体" w:eastAsia="宋体" w:cs="宋体"/>
          <w:kern w:val="0"/>
          <w:sz w:val="28"/>
          <w:szCs w:val="28"/>
          <w:lang w:val="en-US" w:eastAsia="zh-CN"/>
        </w:rPr>
        <w:t>17</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kern w:val="0"/>
          <w:sz w:val="28"/>
          <w:szCs w:val="28"/>
          <w:lang w:val="en-US" w:eastAsia="zh-CN"/>
        </w:rPr>
      </w:pPr>
      <w:r>
        <w:rPr>
          <w:rFonts w:hint="eastAsia" w:ascii="宋体" w:hAnsi="宋体" w:eastAsia="宋体" w:cs="宋体"/>
          <w:kern w:val="0"/>
          <w:sz w:val="28"/>
          <w:szCs w:val="28"/>
        </w:rPr>
        <w:t>八、政府性基金预算财政拨款收入支出决算表…………………………</w:t>
      </w:r>
      <w:r>
        <w:rPr>
          <w:rFonts w:hint="eastAsia" w:ascii="宋体" w:hAnsi="宋体" w:eastAsia="宋体" w:cs="宋体"/>
          <w:kern w:val="0"/>
          <w:sz w:val="28"/>
          <w:szCs w:val="28"/>
          <w:lang w:val="en-US" w:eastAsia="zh-CN"/>
        </w:rPr>
        <w:t>18</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kern w:val="0"/>
          <w:sz w:val="28"/>
          <w:szCs w:val="28"/>
          <w:lang w:val="en-US" w:eastAsia="zh-CN"/>
        </w:rPr>
      </w:pPr>
      <w:r>
        <w:rPr>
          <w:rFonts w:hint="eastAsia" w:ascii="宋体" w:hAnsi="宋体" w:eastAsia="宋体" w:cs="宋体"/>
          <w:kern w:val="0"/>
          <w:sz w:val="28"/>
          <w:szCs w:val="28"/>
        </w:rPr>
        <w:t>九、国有资本经营预算财政拨款支出决算表……………………………</w:t>
      </w:r>
      <w:r>
        <w:rPr>
          <w:rFonts w:hint="eastAsia" w:ascii="宋体" w:hAnsi="宋体" w:eastAsia="宋体" w:cs="宋体"/>
          <w:kern w:val="0"/>
          <w:sz w:val="28"/>
          <w:szCs w:val="28"/>
          <w:lang w:val="en-US" w:eastAsia="zh-CN"/>
        </w:rPr>
        <w:t>18</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rPr>
        <w:t>第三部分 </w:t>
      </w:r>
      <w:r>
        <w:rPr>
          <w:rFonts w:hint="eastAsia" w:ascii="宋体" w:hAnsi="宋体" w:cs="宋体"/>
          <w:b/>
          <w:bCs/>
          <w:kern w:val="0"/>
          <w:sz w:val="28"/>
          <w:szCs w:val="28"/>
          <w:lang w:eastAsia="zh-CN"/>
        </w:rPr>
        <w:t>2024年</w:t>
      </w:r>
      <w:r>
        <w:rPr>
          <w:rFonts w:hint="eastAsia" w:ascii="宋体" w:hAnsi="宋体" w:eastAsia="宋体" w:cs="宋体"/>
          <w:b/>
          <w:bCs/>
          <w:kern w:val="0"/>
          <w:sz w:val="28"/>
          <w:szCs w:val="28"/>
        </w:rPr>
        <w:t>度</w:t>
      </w:r>
      <w:r>
        <w:rPr>
          <w:rFonts w:hint="eastAsia" w:ascii="宋体" w:hAnsi="宋体" w:cs="宋体"/>
          <w:b/>
          <w:bCs/>
          <w:kern w:val="0"/>
          <w:sz w:val="28"/>
          <w:szCs w:val="28"/>
          <w:lang w:eastAsia="zh-CN"/>
        </w:rPr>
        <w:t>单位</w:t>
      </w:r>
      <w:r>
        <w:rPr>
          <w:rFonts w:hint="eastAsia" w:ascii="宋体" w:hAnsi="宋体" w:eastAsia="宋体" w:cs="宋体"/>
          <w:b/>
          <w:bCs/>
          <w:kern w:val="0"/>
          <w:sz w:val="28"/>
          <w:szCs w:val="28"/>
        </w:rPr>
        <w:t>决算情况说明………………………………</w:t>
      </w:r>
      <w:r>
        <w:rPr>
          <w:rFonts w:hint="eastAsia" w:ascii="宋体" w:hAnsi="宋体" w:cs="宋体"/>
          <w:b/>
          <w:bCs/>
          <w:kern w:val="0"/>
          <w:sz w:val="28"/>
          <w:szCs w:val="28"/>
          <w:lang w:val="en-US" w:eastAsia="zh-CN"/>
        </w:rPr>
        <w:t>19</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kern w:val="0"/>
          <w:sz w:val="28"/>
          <w:szCs w:val="28"/>
          <w:lang w:val="en-US" w:eastAsia="zh-CN"/>
        </w:rPr>
      </w:pPr>
      <w:r>
        <w:rPr>
          <w:rFonts w:hint="eastAsia" w:ascii="宋体" w:hAnsi="宋体" w:eastAsia="宋体" w:cs="宋体"/>
          <w:kern w:val="0"/>
          <w:sz w:val="28"/>
          <w:szCs w:val="28"/>
        </w:rPr>
        <w:t>一、收入支出决算总体情况说明………………………………………</w:t>
      </w:r>
      <w:r>
        <w:rPr>
          <w:rFonts w:hint="eastAsia" w:ascii="宋体" w:hAnsi="宋体" w:cs="宋体"/>
          <w:kern w:val="0"/>
          <w:sz w:val="28"/>
          <w:szCs w:val="28"/>
          <w:lang w:val="en-US" w:eastAsia="zh-CN"/>
        </w:rPr>
        <w:t>19</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kern w:val="0"/>
          <w:sz w:val="28"/>
          <w:szCs w:val="28"/>
          <w:lang w:val="en-US" w:eastAsia="zh-CN"/>
        </w:rPr>
      </w:pPr>
      <w:r>
        <w:rPr>
          <w:rFonts w:hint="eastAsia" w:ascii="宋体" w:hAnsi="宋体" w:eastAsia="宋体" w:cs="宋体"/>
          <w:kern w:val="0"/>
          <w:sz w:val="28"/>
          <w:szCs w:val="28"/>
        </w:rPr>
        <w:t>二、财政拨款收入支出决算总体情况说明……………………………</w:t>
      </w:r>
      <w:r>
        <w:rPr>
          <w:rFonts w:hint="eastAsia" w:ascii="宋体" w:hAnsi="宋体" w:cs="宋体"/>
          <w:kern w:val="0"/>
          <w:sz w:val="28"/>
          <w:szCs w:val="28"/>
          <w:lang w:val="en-US" w:eastAsia="zh-CN"/>
        </w:rPr>
        <w:t>20</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kern w:val="0"/>
          <w:sz w:val="28"/>
          <w:szCs w:val="28"/>
          <w:lang w:val="en-US" w:eastAsia="zh-CN"/>
        </w:rPr>
      </w:pPr>
      <w:r>
        <w:rPr>
          <w:rFonts w:hint="eastAsia" w:ascii="宋体" w:hAnsi="宋体" w:eastAsia="宋体" w:cs="宋体"/>
          <w:kern w:val="0"/>
          <w:sz w:val="28"/>
          <w:szCs w:val="28"/>
        </w:rPr>
        <w:t>三、一般公共预算财政拨款支出决算情况说明………………………</w:t>
      </w:r>
      <w:r>
        <w:rPr>
          <w:rFonts w:hint="eastAsia" w:ascii="宋体" w:hAnsi="宋体" w:cs="宋体"/>
          <w:kern w:val="0"/>
          <w:sz w:val="28"/>
          <w:szCs w:val="28"/>
          <w:lang w:val="en-US" w:eastAsia="zh-CN"/>
        </w:rPr>
        <w:t>20</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kern w:val="0"/>
          <w:sz w:val="28"/>
          <w:szCs w:val="28"/>
          <w:lang w:val="en-US" w:eastAsia="zh-CN"/>
        </w:rPr>
      </w:pPr>
      <w:r>
        <w:rPr>
          <w:rFonts w:hint="eastAsia" w:ascii="宋体" w:hAnsi="宋体" w:eastAsia="宋体" w:cs="宋体"/>
          <w:kern w:val="0"/>
          <w:sz w:val="28"/>
          <w:szCs w:val="28"/>
        </w:rPr>
        <w:t>四、政府性基金预算财政拨款支出决算情况说明……………………</w:t>
      </w:r>
      <w:r>
        <w:rPr>
          <w:rFonts w:hint="eastAsia" w:ascii="宋体" w:hAnsi="宋体" w:eastAsia="宋体" w:cs="宋体"/>
          <w:kern w:val="0"/>
          <w:sz w:val="28"/>
          <w:szCs w:val="28"/>
          <w:lang w:val="en-US" w:eastAsia="zh-CN"/>
        </w:rPr>
        <w:t>2</w:t>
      </w:r>
      <w:r>
        <w:rPr>
          <w:rFonts w:hint="eastAsia" w:ascii="宋体" w:hAnsi="宋体" w:cs="宋体"/>
          <w:kern w:val="0"/>
          <w:sz w:val="28"/>
          <w:szCs w:val="28"/>
          <w:lang w:val="en-US" w:eastAsia="zh-CN"/>
        </w:rPr>
        <w:t>2</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kern w:val="0"/>
          <w:sz w:val="28"/>
          <w:szCs w:val="28"/>
          <w:lang w:val="en-US" w:eastAsia="zh-CN"/>
        </w:rPr>
      </w:pPr>
      <w:r>
        <w:rPr>
          <w:rFonts w:hint="eastAsia" w:ascii="宋体" w:hAnsi="宋体" w:eastAsia="宋体" w:cs="宋体"/>
          <w:kern w:val="0"/>
          <w:sz w:val="28"/>
          <w:szCs w:val="28"/>
        </w:rPr>
        <w:t>五、国有资本经营预算财政拨款支出决算情况说明…………………</w:t>
      </w:r>
      <w:r>
        <w:rPr>
          <w:rFonts w:hint="eastAsia" w:ascii="宋体" w:hAnsi="宋体" w:eastAsia="宋体" w:cs="宋体"/>
          <w:kern w:val="0"/>
          <w:sz w:val="28"/>
          <w:szCs w:val="28"/>
          <w:lang w:val="en-US" w:eastAsia="zh-CN"/>
        </w:rPr>
        <w:t>2</w:t>
      </w:r>
      <w:r>
        <w:rPr>
          <w:rFonts w:hint="eastAsia" w:ascii="宋体" w:hAnsi="宋体" w:cs="宋体"/>
          <w:kern w:val="0"/>
          <w:sz w:val="28"/>
          <w:szCs w:val="28"/>
          <w:lang w:val="en-US" w:eastAsia="zh-CN"/>
        </w:rPr>
        <w:t>2</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kern w:val="0"/>
          <w:sz w:val="28"/>
          <w:szCs w:val="28"/>
          <w:lang w:val="en-US" w:eastAsia="zh-CN"/>
        </w:rPr>
      </w:pPr>
      <w:r>
        <w:rPr>
          <w:rFonts w:hint="eastAsia" w:ascii="宋体" w:hAnsi="宋体" w:eastAsia="宋体" w:cs="宋体"/>
          <w:kern w:val="0"/>
          <w:sz w:val="28"/>
          <w:szCs w:val="28"/>
        </w:rPr>
        <w:t>六、一般公共预算财政拨款基本支出决算情况说明…………………</w:t>
      </w:r>
      <w:r>
        <w:rPr>
          <w:rFonts w:hint="eastAsia" w:ascii="宋体" w:hAnsi="宋体" w:eastAsia="宋体" w:cs="宋体"/>
          <w:kern w:val="0"/>
          <w:sz w:val="28"/>
          <w:szCs w:val="28"/>
          <w:lang w:val="en-US" w:eastAsia="zh-CN"/>
        </w:rPr>
        <w:t>2</w:t>
      </w:r>
      <w:r>
        <w:rPr>
          <w:rFonts w:hint="eastAsia" w:ascii="宋体" w:hAnsi="宋体" w:cs="宋体"/>
          <w:kern w:val="0"/>
          <w:sz w:val="28"/>
          <w:szCs w:val="28"/>
          <w:lang w:val="en-US" w:eastAsia="zh-CN"/>
        </w:rPr>
        <w:t>2</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kern w:val="0"/>
          <w:sz w:val="28"/>
          <w:szCs w:val="28"/>
          <w:lang w:val="en-US" w:eastAsia="zh-CN"/>
        </w:rPr>
      </w:pPr>
      <w:r>
        <w:rPr>
          <w:rFonts w:hint="eastAsia" w:ascii="宋体" w:hAnsi="宋体" w:eastAsia="宋体" w:cs="宋体"/>
          <w:kern w:val="0"/>
          <w:sz w:val="28"/>
          <w:szCs w:val="28"/>
        </w:rPr>
        <w:t>七、一般公共预算财政拨款“三公”经费支出决算情况说明………</w:t>
      </w:r>
      <w:r>
        <w:rPr>
          <w:rFonts w:hint="eastAsia" w:ascii="宋体" w:hAnsi="宋体" w:eastAsia="宋体" w:cs="宋体"/>
          <w:kern w:val="0"/>
          <w:sz w:val="28"/>
          <w:szCs w:val="28"/>
          <w:lang w:val="en-US" w:eastAsia="zh-CN"/>
        </w:rPr>
        <w:t>2</w:t>
      </w:r>
      <w:r>
        <w:rPr>
          <w:rFonts w:hint="eastAsia" w:ascii="宋体" w:hAnsi="宋体" w:cs="宋体"/>
          <w:kern w:val="0"/>
          <w:sz w:val="28"/>
          <w:szCs w:val="28"/>
          <w:lang w:val="en-US" w:eastAsia="zh-CN"/>
        </w:rPr>
        <w:t>3</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kern w:val="0"/>
          <w:sz w:val="28"/>
          <w:szCs w:val="28"/>
          <w:lang w:val="en-US" w:eastAsia="zh-CN"/>
        </w:rPr>
      </w:pPr>
      <w:r>
        <w:rPr>
          <w:rFonts w:hint="eastAsia" w:ascii="宋体" w:hAnsi="宋体" w:eastAsia="宋体" w:cs="宋体"/>
          <w:kern w:val="0"/>
          <w:sz w:val="28"/>
          <w:szCs w:val="28"/>
        </w:rPr>
        <w:t>八、预算绩效情况说明…………………………………………………</w:t>
      </w:r>
      <w:r>
        <w:rPr>
          <w:rFonts w:hint="eastAsia" w:ascii="宋体" w:hAnsi="宋体" w:eastAsia="宋体" w:cs="宋体"/>
          <w:kern w:val="0"/>
          <w:sz w:val="28"/>
          <w:szCs w:val="28"/>
          <w:lang w:val="en-US" w:eastAsia="zh-CN"/>
        </w:rPr>
        <w:t>2</w:t>
      </w:r>
      <w:r>
        <w:rPr>
          <w:rFonts w:hint="eastAsia" w:ascii="宋体" w:hAnsi="宋体" w:cs="宋体"/>
          <w:kern w:val="0"/>
          <w:sz w:val="28"/>
          <w:szCs w:val="28"/>
          <w:lang w:val="en-US" w:eastAsia="zh-CN"/>
        </w:rPr>
        <w:t>4</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kern w:val="0"/>
          <w:sz w:val="28"/>
          <w:szCs w:val="28"/>
          <w:lang w:val="en-US" w:eastAsia="zh-CN"/>
        </w:rPr>
      </w:pPr>
      <w:r>
        <w:rPr>
          <w:rFonts w:hint="eastAsia" w:ascii="宋体" w:hAnsi="宋体" w:eastAsia="宋体" w:cs="宋体"/>
          <w:kern w:val="0"/>
          <w:sz w:val="28"/>
          <w:szCs w:val="28"/>
        </w:rPr>
        <w:t>九、其他重要事项情况说明……………………………………………</w:t>
      </w:r>
      <w:r>
        <w:rPr>
          <w:rFonts w:hint="eastAsia" w:ascii="宋体" w:hAnsi="宋体" w:eastAsia="宋体" w:cs="宋体"/>
          <w:kern w:val="0"/>
          <w:sz w:val="28"/>
          <w:szCs w:val="28"/>
          <w:lang w:val="en-US" w:eastAsia="zh-CN"/>
        </w:rPr>
        <w:t>2</w:t>
      </w:r>
      <w:r>
        <w:rPr>
          <w:rFonts w:hint="eastAsia" w:ascii="宋体" w:hAnsi="宋体" w:cs="宋体"/>
          <w:kern w:val="0"/>
          <w:sz w:val="28"/>
          <w:szCs w:val="28"/>
          <w:lang w:val="en-US" w:eastAsia="zh-CN"/>
        </w:rPr>
        <w:t>4</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rPr>
        <w:t>第四部分 名词解释……………………………………………………</w:t>
      </w:r>
      <w:r>
        <w:rPr>
          <w:rFonts w:hint="eastAsia" w:ascii="宋体" w:hAnsi="宋体" w:eastAsia="宋体" w:cs="宋体"/>
          <w:b/>
          <w:bCs/>
          <w:kern w:val="0"/>
          <w:sz w:val="28"/>
          <w:szCs w:val="28"/>
          <w:lang w:val="en-US" w:eastAsia="zh-CN"/>
        </w:rPr>
        <w:t>2</w:t>
      </w:r>
      <w:r>
        <w:rPr>
          <w:rFonts w:hint="eastAsia" w:ascii="宋体" w:hAnsi="宋体" w:cs="宋体"/>
          <w:b/>
          <w:bCs/>
          <w:kern w:val="0"/>
          <w:sz w:val="28"/>
          <w:szCs w:val="28"/>
          <w:lang w:val="en-US" w:eastAsia="zh-CN"/>
        </w:rPr>
        <w:t>6</w:t>
      </w:r>
    </w:p>
    <w:p>
      <w:pPr>
        <w:pStyle w:val="29"/>
        <w:keepNext w:val="0"/>
        <w:keepLines w:val="0"/>
        <w:pageBreakBefore w:val="0"/>
        <w:widowControl/>
        <w:kinsoku/>
        <w:wordWrap/>
        <w:overflowPunct/>
        <w:topLinePunct w:val="0"/>
        <w:autoSpaceDE/>
        <w:autoSpaceDN/>
        <w:bidi w:val="0"/>
        <w:adjustRightInd/>
        <w:snapToGrid/>
        <w:spacing w:before="240" w:after="240" w:line="360" w:lineRule="auto"/>
        <w:jc w:val="center"/>
        <w:textAlignment w:val="auto"/>
        <w:rPr>
          <w:rFonts w:hint="default" w:ascii="仿宋" w:hAnsi="仿宋" w:eastAsia="宋体" w:cs="仿宋"/>
          <w:b w:val="0"/>
          <w:bCs/>
          <w:kern w:val="2"/>
          <w:sz w:val="32"/>
          <w:szCs w:val="32"/>
          <w:lang w:val="en-US" w:eastAsia="zh-CN" w:bidi="ar-SA"/>
        </w:rPr>
        <w:sectPr>
          <w:footerReference r:id="rId4" w:type="default"/>
          <w:pgSz w:w="11906" w:h="16838"/>
          <w:pgMar w:top="1440" w:right="1083" w:bottom="1440" w:left="1083" w:header="0" w:footer="720" w:gutter="0"/>
          <w:cols w:space="0" w:num="1"/>
          <w:rtlGutter w:val="0"/>
          <w:docGrid w:type="lines" w:linePitch="317" w:charSpace="0"/>
        </w:sectPr>
      </w:pPr>
      <w:r>
        <w:rPr>
          <w:rFonts w:hint="eastAsia" w:ascii="宋体" w:hAnsi="宋体" w:eastAsia="宋体" w:cs="宋体"/>
          <w:b/>
          <w:bCs/>
          <w:kern w:val="0"/>
          <w:sz w:val="28"/>
          <w:szCs w:val="28"/>
        </w:rPr>
        <w:t>第五部分 附件…………………………………………………………</w:t>
      </w:r>
      <w:r>
        <w:rPr>
          <w:rFonts w:hint="eastAsia" w:ascii="宋体" w:hAnsi="宋体" w:eastAsia="宋体" w:cs="宋体"/>
          <w:b/>
          <w:bCs/>
          <w:kern w:val="0"/>
          <w:sz w:val="28"/>
          <w:szCs w:val="28"/>
          <w:lang w:val="en-US" w:eastAsia="zh-CN"/>
        </w:rPr>
        <w:t>2</w:t>
      </w:r>
      <w:r>
        <w:rPr>
          <w:rFonts w:hint="eastAsia" w:ascii="宋体" w:hAnsi="宋体" w:cs="宋体"/>
          <w:b/>
          <w:bCs/>
          <w:kern w:val="0"/>
          <w:sz w:val="28"/>
          <w:szCs w:val="28"/>
          <w:lang w:val="en-US" w:eastAsia="zh-CN"/>
        </w:rPr>
        <w:t>8</w:t>
      </w:r>
    </w:p>
    <w:p>
      <w:pPr>
        <w:pStyle w:val="29"/>
        <w:widowControl/>
        <w:spacing w:before="100" w:after="100"/>
        <w:ind w:left="0" w:right="0" w:firstLine="0"/>
        <w:jc w:val="center"/>
        <w:rPr>
          <w:rFonts w:hint="eastAsia" w:ascii="黑体" w:hAnsi="宋体" w:eastAsia="黑体" w:cs="黑体"/>
          <w:kern w:val="0"/>
          <w:sz w:val="36"/>
          <w:szCs w:val="36"/>
          <w:shd w:val="clear" w:fill="FFFFFF"/>
          <w:lang w:bidi="ar"/>
        </w:rPr>
      </w:pPr>
      <w:bookmarkStart w:id="0" w:name="_Toc256000000"/>
      <w:bookmarkStart w:id="1" w:name="_Toc256000093"/>
      <w:bookmarkStart w:id="2" w:name="_Toc256000062"/>
      <w:bookmarkStart w:id="3" w:name="_Toc256000031"/>
      <w:bookmarkStart w:id="4" w:name="a000"/>
      <w:r>
        <w:rPr>
          <w:rFonts w:hint="eastAsia" w:ascii="黑体" w:hAnsi="宋体" w:eastAsia="黑体" w:cs="黑体"/>
          <w:kern w:val="0"/>
          <w:sz w:val="36"/>
          <w:szCs w:val="36"/>
          <w:shd w:val="clear" w:fill="FFFFFF"/>
          <w:lang w:bidi="ar"/>
        </w:rPr>
        <w:t>第一部分</w:t>
      </w:r>
      <w:bookmarkEnd w:id="0"/>
      <w:bookmarkEnd w:id="1"/>
      <w:bookmarkEnd w:id="2"/>
      <w:bookmarkEnd w:id="3"/>
      <w:bookmarkStart w:id="5" w:name="_Toc256000094"/>
      <w:bookmarkStart w:id="6" w:name="_Toc256000032"/>
      <w:bookmarkStart w:id="7" w:name="_Toc256000001"/>
      <w:bookmarkStart w:id="8" w:name="_Toc256000063"/>
      <w:r>
        <w:rPr>
          <w:rFonts w:hint="eastAsia" w:ascii="黑体" w:hAnsi="宋体" w:eastAsia="黑体" w:cs="黑体"/>
          <w:kern w:val="0"/>
          <w:sz w:val="36"/>
          <w:szCs w:val="36"/>
          <w:shd w:val="clear" w:fill="FFFFFF"/>
          <w:lang w:val="en-US" w:eastAsia="zh-CN" w:bidi="ar"/>
        </w:rPr>
        <w:t xml:space="preserve">  </w:t>
      </w:r>
      <w:r>
        <w:rPr>
          <w:rFonts w:hint="eastAsia" w:ascii="黑体" w:hAnsi="宋体" w:eastAsia="黑体" w:cs="黑体"/>
          <w:kern w:val="0"/>
          <w:sz w:val="36"/>
          <w:szCs w:val="36"/>
          <w:shd w:val="clear" w:fill="FFFFFF"/>
          <w:lang w:eastAsia="zh-CN" w:bidi="ar"/>
        </w:rPr>
        <w:t>单位</w:t>
      </w:r>
      <w:r>
        <w:rPr>
          <w:rFonts w:hint="eastAsia" w:ascii="黑体" w:hAnsi="宋体" w:eastAsia="黑体" w:cs="黑体"/>
          <w:kern w:val="0"/>
          <w:sz w:val="36"/>
          <w:szCs w:val="36"/>
          <w:shd w:val="clear" w:fill="FFFFFF"/>
          <w:lang w:bidi="ar"/>
        </w:rPr>
        <w:t>概况</w:t>
      </w:r>
      <w:bookmarkEnd w:id="5"/>
      <w:bookmarkEnd w:id="6"/>
      <w:bookmarkEnd w:id="7"/>
      <w:bookmarkEnd w:id="8"/>
    </w:p>
    <w:p>
      <w:pPr>
        <w:pStyle w:val="5"/>
        <w:keepNext w:val="0"/>
        <w:keepLines w:val="0"/>
        <w:spacing w:before="100" w:after="100" w:line="240" w:lineRule="auto"/>
        <w:ind w:left="0" w:right="0" w:firstLine="0" w:firstLineChars="0"/>
        <w:rPr>
          <w:rFonts w:ascii="黑体" w:hAnsi="黑体" w:eastAsia="黑体" w:cs="黑体"/>
          <w:b/>
          <w:spacing w:val="0"/>
        </w:rPr>
      </w:pPr>
      <w:bookmarkStart w:id="9" w:name="_Toc256000033"/>
      <w:bookmarkStart w:id="10" w:name="_Toc256000002"/>
      <w:bookmarkStart w:id="11" w:name="_Toc256000064"/>
      <w:bookmarkStart w:id="12" w:name="_Toc256000095"/>
    </w:p>
    <w:bookmarkEnd w:id="9"/>
    <w:bookmarkEnd w:id="10"/>
    <w:bookmarkEnd w:id="11"/>
    <w:bookmarkEnd w:id="12"/>
    <w:p>
      <w:pPr>
        <w:keepNext w:val="0"/>
        <w:keepLines w:val="0"/>
        <w:widowControl/>
        <w:suppressLineNumbers w:val="0"/>
        <w:shd w:val="clear" w:fill="FFFFFF"/>
        <w:spacing w:before="240" w:beforeAutospacing="0" w:after="240" w:afterAutospacing="0" w:line="600" w:lineRule="atLeast"/>
        <w:ind w:left="0" w:right="0" w:firstLine="640"/>
        <w:rPr>
          <w:rFonts w:hint="eastAsia" w:ascii="宋体" w:hAnsi="宋体" w:eastAsia="宋体" w:cs="宋体"/>
          <w:kern w:val="0"/>
          <w:sz w:val="24"/>
          <w:szCs w:val="24"/>
          <w:shd w:val="clear" w:fill="FFFFFF"/>
        </w:rPr>
      </w:pPr>
      <w:bookmarkStart w:id="13" w:name="_Toc256000036"/>
      <w:bookmarkStart w:id="14" w:name="_Toc256000098"/>
      <w:bookmarkStart w:id="15" w:name="_Toc256000005"/>
      <w:bookmarkStart w:id="16" w:name="_Toc256000067"/>
      <w:r>
        <w:rPr>
          <w:rFonts w:hint="eastAsia" w:ascii="黑体" w:hAnsi="宋体" w:eastAsia="黑体" w:cs="黑体"/>
          <w:kern w:val="0"/>
          <w:sz w:val="32"/>
          <w:szCs w:val="32"/>
          <w:shd w:val="clear" w:fill="FFFFFF"/>
        </w:rPr>
        <w:t>一、</w:t>
      </w:r>
      <w:r>
        <w:rPr>
          <w:rFonts w:hint="eastAsia" w:ascii="黑体" w:hAnsi="宋体" w:eastAsia="黑体" w:cs="黑体"/>
          <w:kern w:val="0"/>
          <w:sz w:val="32"/>
          <w:szCs w:val="32"/>
          <w:shd w:val="clear" w:fill="FFFFFF"/>
          <w:lang w:eastAsia="zh-CN"/>
        </w:rPr>
        <w:t>单位</w:t>
      </w:r>
      <w:r>
        <w:rPr>
          <w:rFonts w:hint="eastAsia" w:ascii="黑体" w:hAnsi="宋体" w:eastAsia="黑体" w:cs="黑体"/>
          <w:kern w:val="0"/>
          <w:sz w:val="32"/>
          <w:szCs w:val="32"/>
          <w:shd w:val="clear" w:fill="FFFFFF"/>
        </w:rPr>
        <w:t>主要职责</w:t>
      </w:r>
    </w:p>
    <w:p>
      <w:pPr>
        <w:keepNext w:val="0"/>
        <w:keepLines w:val="0"/>
        <w:widowControl/>
        <w:suppressLineNumbers w:val="0"/>
        <w:adjustRightInd w:val="0"/>
        <w:snapToGrid w:val="0"/>
        <w:spacing w:line="560" w:lineRule="exact"/>
        <w:ind w:left="0" w:firstLine="640" w:firstLineChars="200"/>
        <w:jc w:val="both"/>
        <w:rPr>
          <w:rFonts w:hint="default" w:ascii="仿宋_GB2312" w:hAnsi="仿宋" w:eastAsia="仿宋_GB2312" w:cs="仿宋_GB2312"/>
          <w:color w:val="000000"/>
          <w:kern w:val="0"/>
          <w:sz w:val="32"/>
          <w:szCs w:val="32"/>
        </w:rPr>
      </w:pPr>
      <w:r>
        <w:rPr>
          <w:rFonts w:hint="default" w:ascii="仿宋_GB2312" w:hAnsi="仿宋" w:eastAsia="仿宋_GB2312" w:cs="仿宋_GB2312"/>
          <w:color w:val="000000"/>
          <w:kern w:val="0"/>
          <w:sz w:val="32"/>
          <w:szCs w:val="32"/>
        </w:rPr>
        <w:t>厦门市金安小学的主要职责是：</w:t>
      </w:r>
    </w:p>
    <w:p>
      <w:pPr>
        <w:keepNext w:val="0"/>
        <w:keepLines w:val="0"/>
        <w:widowControl/>
        <w:suppressLineNumbers w:val="0"/>
        <w:adjustRightInd w:val="0"/>
        <w:snapToGrid w:val="0"/>
        <w:spacing w:line="560" w:lineRule="exact"/>
        <w:ind w:left="0" w:firstLine="640" w:firstLineChars="200"/>
        <w:jc w:val="both"/>
        <w:rPr>
          <w:rFonts w:hint="default" w:ascii="仿宋_GB2312" w:hAnsi="仿宋" w:eastAsia="仿宋_GB2312" w:cs="仿宋_GB2312"/>
          <w:color w:val="000000"/>
          <w:kern w:val="0"/>
          <w:sz w:val="32"/>
          <w:szCs w:val="32"/>
        </w:rPr>
      </w:pPr>
      <w:r>
        <w:rPr>
          <w:rFonts w:hint="default" w:ascii="仿宋_GB2312" w:hAnsi="仿宋" w:eastAsia="仿宋_GB2312" w:cs="仿宋_GB2312"/>
          <w:color w:val="000000"/>
          <w:kern w:val="0"/>
          <w:sz w:val="32"/>
          <w:szCs w:val="32"/>
        </w:rPr>
        <w:t>（一）遵守法律法规，贯彻国家的教育方针，执行国家教育教学标准，保证教育教学质量。</w:t>
      </w:r>
    </w:p>
    <w:p>
      <w:pPr>
        <w:keepNext w:val="0"/>
        <w:keepLines w:val="0"/>
        <w:widowControl/>
        <w:suppressLineNumbers w:val="0"/>
        <w:adjustRightInd w:val="0"/>
        <w:snapToGrid w:val="0"/>
        <w:spacing w:line="560" w:lineRule="exact"/>
        <w:ind w:left="0" w:firstLine="640" w:firstLineChars="200"/>
        <w:jc w:val="both"/>
        <w:rPr>
          <w:rFonts w:hint="default" w:ascii="仿宋_GB2312" w:hAnsi="仿宋" w:eastAsia="仿宋_GB2312" w:cs="仿宋_GB2312"/>
          <w:color w:val="000000"/>
          <w:kern w:val="0"/>
          <w:sz w:val="32"/>
          <w:szCs w:val="32"/>
        </w:rPr>
      </w:pPr>
      <w:r>
        <w:rPr>
          <w:rFonts w:hint="default" w:ascii="仿宋_GB2312" w:hAnsi="仿宋" w:eastAsia="仿宋_GB2312" w:cs="仿宋_GB2312"/>
          <w:color w:val="000000"/>
          <w:kern w:val="0"/>
          <w:sz w:val="32"/>
          <w:szCs w:val="32"/>
        </w:rPr>
        <w:t>（二）维护受教育者、教师及其他职工的合法权益，以适当方式为受教育者及其监护人了解受教育者的学业成绩及其他有关情况提供便利。</w:t>
      </w:r>
    </w:p>
    <w:p>
      <w:pPr>
        <w:keepNext w:val="0"/>
        <w:keepLines w:val="0"/>
        <w:widowControl/>
        <w:suppressLineNumbers w:val="0"/>
        <w:adjustRightInd w:val="0"/>
        <w:snapToGrid w:val="0"/>
        <w:spacing w:line="560" w:lineRule="exact"/>
        <w:ind w:left="0" w:firstLine="640" w:firstLineChars="200"/>
        <w:jc w:val="both"/>
        <w:rPr>
          <w:rFonts w:hint="default" w:ascii="仿宋_GB2312" w:hAnsi="仿宋" w:eastAsia="仿宋_GB2312" w:cs="仿宋_GB2312"/>
          <w:color w:val="000000"/>
          <w:kern w:val="0"/>
          <w:sz w:val="32"/>
          <w:szCs w:val="32"/>
        </w:rPr>
      </w:pPr>
      <w:r>
        <w:rPr>
          <w:rFonts w:hint="default" w:ascii="仿宋_GB2312" w:hAnsi="仿宋" w:eastAsia="仿宋_GB2312" w:cs="仿宋_GB2312"/>
          <w:color w:val="000000"/>
          <w:kern w:val="0"/>
          <w:sz w:val="32"/>
          <w:szCs w:val="32"/>
        </w:rPr>
        <w:t>（三）遵照国家有关规定收取费用并公开收费项目，依法接受监督按照章程自主管理；</w:t>
      </w:r>
    </w:p>
    <w:p>
      <w:pPr>
        <w:keepNext w:val="0"/>
        <w:keepLines w:val="0"/>
        <w:widowControl/>
        <w:suppressLineNumbers w:val="0"/>
        <w:adjustRightInd w:val="0"/>
        <w:snapToGrid w:val="0"/>
        <w:spacing w:line="560" w:lineRule="exact"/>
        <w:ind w:left="0" w:firstLine="640" w:firstLineChars="200"/>
        <w:jc w:val="both"/>
        <w:rPr>
          <w:rFonts w:hint="default" w:ascii="仿宋_GB2312" w:hAnsi="仿宋" w:eastAsia="仿宋_GB2312" w:cs="仿宋_GB2312"/>
          <w:color w:val="000000"/>
          <w:kern w:val="0"/>
          <w:sz w:val="32"/>
          <w:szCs w:val="32"/>
        </w:rPr>
      </w:pPr>
      <w:r>
        <w:rPr>
          <w:rFonts w:hint="default" w:ascii="仿宋_GB2312" w:hAnsi="仿宋" w:eastAsia="仿宋_GB2312" w:cs="仿宋_GB2312"/>
          <w:color w:val="000000"/>
          <w:kern w:val="0"/>
          <w:sz w:val="32"/>
          <w:szCs w:val="32"/>
        </w:rPr>
        <w:t>（四）组织实施教育教学活动；聘任教师及管理、使用本单位的设施和经费。</w:t>
      </w:r>
    </w:p>
    <w:p>
      <w:pPr>
        <w:keepNext w:val="0"/>
        <w:keepLines w:val="0"/>
        <w:widowControl/>
        <w:suppressLineNumbers w:val="0"/>
        <w:adjustRightInd w:val="0"/>
        <w:snapToGrid w:val="0"/>
        <w:spacing w:line="560" w:lineRule="exact"/>
        <w:ind w:left="0" w:firstLine="640" w:firstLineChars="200"/>
        <w:jc w:val="both"/>
        <w:rPr>
          <w:rFonts w:hint="default" w:ascii="仿宋_GB2312" w:hAnsi="仿宋" w:eastAsia="仿宋_GB2312" w:cs="仿宋_GB2312"/>
          <w:color w:val="000000"/>
          <w:kern w:val="0"/>
          <w:sz w:val="32"/>
          <w:szCs w:val="32"/>
        </w:rPr>
      </w:pPr>
      <w:r>
        <w:rPr>
          <w:rFonts w:hint="default" w:ascii="仿宋_GB2312" w:hAnsi="仿宋" w:eastAsia="仿宋_GB2312" w:cs="仿宋_GB2312"/>
          <w:color w:val="000000"/>
          <w:kern w:val="0"/>
          <w:sz w:val="32"/>
          <w:szCs w:val="32"/>
        </w:rPr>
        <w:t>（五）拒绝任何组织和个人对教育教学活动的非法干涉。</w:t>
      </w:r>
    </w:p>
    <w:p>
      <w:pPr>
        <w:keepNext w:val="0"/>
        <w:keepLines w:val="0"/>
        <w:widowControl/>
        <w:suppressLineNumbers w:val="0"/>
        <w:shd w:val="clear" w:fill="FFFFFF"/>
        <w:spacing w:before="240" w:beforeAutospacing="0" w:after="240" w:afterAutospacing="0" w:line="600" w:lineRule="atLeast"/>
        <w:ind w:left="0" w:right="0" w:firstLine="640"/>
        <w:rPr>
          <w:rFonts w:hint="eastAsia" w:ascii="宋体" w:hAnsi="宋体" w:eastAsia="宋体" w:cs="宋体"/>
          <w:kern w:val="0"/>
          <w:sz w:val="24"/>
          <w:szCs w:val="24"/>
          <w:shd w:val="clear" w:fill="FFFFFF"/>
        </w:rPr>
      </w:pPr>
      <w:r>
        <w:rPr>
          <w:rFonts w:hint="eastAsia" w:ascii="黑体" w:hAnsi="宋体" w:eastAsia="黑体" w:cs="黑体"/>
          <w:kern w:val="0"/>
          <w:sz w:val="32"/>
          <w:szCs w:val="32"/>
          <w:shd w:val="clear" w:fill="FFFFFF"/>
        </w:rPr>
        <w:t>二、</w:t>
      </w:r>
      <w:r>
        <w:rPr>
          <w:rFonts w:hint="eastAsia" w:ascii="黑体" w:hAnsi="宋体" w:eastAsia="黑体" w:cs="黑体"/>
          <w:kern w:val="0"/>
          <w:sz w:val="32"/>
          <w:szCs w:val="32"/>
          <w:shd w:val="clear" w:fill="FFFFFF"/>
          <w:lang w:eastAsia="zh-CN"/>
        </w:rPr>
        <w:t>单位</w:t>
      </w:r>
      <w:r>
        <w:rPr>
          <w:rFonts w:hint="eastAsia" w:ascii="黑体" w:hAnsi="宋体" w:eastAsia="黑体" w:cs="黑体"/>
          <w:kern w:val="0"/>
          <w:sz w:val="32"/>
          <w:szCs w:val="32"/>
          <w:shd w:val="clear" w:fill="FFFFFF"/>
        </w:rPr>
        <w:t>决算单位基本情况</w:t>
      </w:r>
    </w:p>
    <w:p>
      <w:pPr>
        <w:keepNext w:val="0"/>
        <w:keepLines w:val="0"/>
        <w:widowControl/>
        <w:suppressLineNumbers w:val="0"/>
        <w:shd w:val="clear" w:fill="FFFFFF"/>
        <w:spacing w:before="240" w:beforeAutospacing="0" w:after="240" w:afterAutospacing="0" w:line="600" w:lineRule="atLeast"/>
        <w:ind w:left="0" w:right="0" w:firstLine="640"/>
        <w:jc w:val="both"/>
        <w:rPr>
          <w:rFonts w:hint="eastAsia" w:ascii="宋体" w:hAnsi="宋体" w:eastAsia="宋体" w:cs="宋体"/>
          <w:kern w:val="0"/>
          <w:sz w:val="24"/>
          <w:szCs w:val="24"/>
          <w:shd w:val="clear" w:fill="FFFFFF"/>
        </w:rPr>
      </w:pPr>
      <w:r>
        <w:rPr>
          <w:rFonts w:ascii="仿宋" w:hAnsi="仿宋" w:eastAsia="仿宋" w:cs="仿宋"/>
          <w:color w:val="auto"/>
          <w:spacing w:val="0"/>
          <w:kern w:val="0"/>
          <w:sz w:val="32"/>
          <w:szCs w:val="32"/>
        </w:rPr>
        <w:t>从决算单位构成看，本单位包括</w:t>
      </w:r>
      <w:r>
        <w:rPr>
          <w:rFonts w:hint="eastAsia" w:ascii="仿宋" w:hAnsi="仿宋" w:eastAsia="仿宋" w:cs="仿宋"/>
          <w:color w:val="auto"/>
          <w:spacing w:val="0"/>
          <w:kern w:val="0"/>
          <w:sz w:val="32"/>
          <w:szCs w:val="32"/>
          <w:lang w:val="en-US" w:eastAsia="zh-CN"/>
        </w:rPr>
        <w:t>6</w:t>
      </w:r>
      <w:r>
        <w:rPr>
          <w:rFonts w:ascii="仿宋" w:hAnsi="仿宋" w:eastAsia="仿宋" w:cs="仿宋"/>
          <w:color w:val="auto"/>
          <w:spacing w:val="0"/>
          <w:kern w:val="0"/>
          <w:sz w:val="32"/>
          <w:szCs w:val="32"/>
        </w:rPr>
        <w:t>个内设机构，其中：列入2024年决算编制范围的单位详细情况见下表</w:t>
      </w:r>
      <w:r>
        <w:rPr>
          <w:rFonts w:hint="eastAsia" w:ascii="仿宋" w:hAnsi="仿宋" w:eastAsia="仿宋" w:cs="仿宋"/>
          <w:kern w:val="0"/>
          <w:sz w:val="32"/>
          <w:szCs w:val="32"/>
          <w:shd w:val="clear" w:fill="FFFFFF"/>
        </w:rPr>
        <w:t>:</w:t>
      </w:r>
    </w:p>
    <w:tbl>
      <w:tblPr>
        <w:tblStyle w:val="23"/>
        <w:tblW w:w="74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2711"/>
        <w:gridCol w:w="4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664" w:hRule="atLeast"/>
          <w:jc w:val="center"/>
        </w:trPr>
        <w:tc>
          <w:tcPr>
            <w:tcW w:w="27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fill="FFFFFF"/>
              <w:spacing w:before="0" w:beforeAutospacing="1" w:after="0" w:afterAutospacing="1" w:line="600" w:lineRule="atLeast"/>
              <w:ind w:left="0" w:right="0"/>
              <w:jc w:val="center"/>
              <w:rPr>
                <w:rFonts w:hint="eastAsia" w:ascii="宋体" w:hAnsi="宋体" w:eastAsia="宋体" w:cs="宋体"/>
                <w:kern w:val="0"/>
                <w:sz w:val="24"/>
                <w:szCs w:val="24"/>
                <w:shd w:val="clear" w:fill="FFFFFF"/>
                <w:lang w:eastAsia="zh-CN"/>
              </w:rPr>
            </w:pPr>
            <w:r>
              <w:rPr>
                <w:rFonts w:hint="eastAsia" w:ascii="仿宋" w:hAnsi="仿宋" w:eastAsia="仿宋" w:cs="仿宋"/>
                <w:kern w:val="0"/>
                <w:sz w:val="32"/>
                <w:szCs w:val="32"/>
                <w:shd w:val="clear" w:fill="FFFFFF"/>
                <w:lang w:eastAsia="zh-CN"/>
              </w:rPr>
              <w:t>序号</w:t>
            </w:r>
          </w:p>
        </w:tc>
        <w:tc>
          <w:tcPr>
            <w:tcW w:w="471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hd w:val="clear" w:fill="FFFFFF"/>
              <w:spacing w:before="0" w:beforeAutospacing="1" w:after="0" w:afterAutospacing="1" w:line="600" w:lineRule="atLeast"/>
              <w:ind w:left="0" w:right="0"/>
              <w:jc w:val="center"/>
              <w:rPr>
                <w:rFonts w:hint="eastAsia" w:ascii="宋体" w:hAnsi="宋体" w:eastAsia="宋体" w:cs="宋体"/>
                <w:kern w:val="0"/>
                <w:sz w:val="24"/>
                <w:szCs w:val="24"/>
                <w:shd w:val="clear" w:fill="FFFFFF"/>
                <w:lang w:eastAsia="zh-CN"/>
              </w:rPr>
            </w:pPr>
            <w:r>
              <w:rPr>
                <w:rFonts w:hint="eastAsia" w:ascii="宋体" w:hAnsi="宋体" w:cs="宋体"/>
                <w:kern w:val="0"/>
                <w:sz w:val="24"/>
                <w:szCs w:val="24"/>
                <w:shd w:val="clear" w:fill="FFFFFF"/>
                <w:lang w:eastAsia="zh-CN"/>
              </w:rPr>
              <w:t>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71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hd w:val="clear" w:fill="FFFFFF"/>
              <w:spacing w:before="0" w:beforeAutospacing="1" w:after="0" w:afterAutospacing="1" w:line="600" w:lineRule="atLeast"/>
              <w:ind w:left="0" w:right="0"/>
              <w:jc w:val="center"/>
              <w:rPr>
                <w:rFonts w:hint="eastAsia" w:ascii="宋体" w:hAnsi="宋体" w:eastAsia="仿宋" w:cs="宋体"/>
                <w:b w:val="0"/>
                <w:bCs w:val="0"/>
                <w:kern w:val="0"/>
                <w:sz w:val="24"/>
                <w:szCs w:val="24"/>
                <w:shd w:val="clear" w:fill="FFFFFF"/>
                <w:lang w:eastAsia="zh-CN"/>
              </w:rPr>
            </w:pPr>
            <w:r>
              <w:rPr>
                <w:rFonts w:hint="eastAsia" w:ascii="仿宋" w:hAnsi="仿宋" w:eastAsia="仿宋" w:cs="仿宋"/>
                <w:kern w:val="0"/>
                <w:sz w:val="32"/>
                <w:szCs w:val="32"/>
                <w:shd w:val="clear" w:fill="FFFFFF"/>
                <w:lang w:val="en-US" w:eastAsia="zh-CN"/>
              </w:rPr>
              <w:t>1</w:t>
            </w:r>
          </w:p>
        </w:tc>
        <w:tc>
          <w:tcPr>
            <w:tcW w:w="471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numPr>
                <w:ilvl w:val="0"/>
                <w:numId w:val="0"/>
              </w:numPr>
              <w:suppressLineNumbers w:val="0"/>
              <w:shd w:val="clear" w:fill="FFFFFF"/>
              <w:spacing w:before="240" w:beforeAutospacing="0" w:after="240" w:afterAutospacing="0" w:line="600" w:lineRule="atLeast"/>
              <w:ind w:leftChars="0" w:right="0" w:rightChars="0"/>
              <w:jc w:val="center"/>
              <w:rPr>
                <w:rFonts w:hint="default" w:ascii="仿宋" w:hAnsi="仿宋" w:eastAsia="仿宋" w:cs="仿宋"/>
                <w:kern w:val="0"/>
                <w:sz w:val="32"/>
                <w:szCs w:val="32"/>
                <w:shd w:val="clear" w:fill="FFFFFF"/>
                <w:lang w:val="en-US" w:eastAsia="zh-CN"/>
              </w:rPr>
            </w:pPr>
            <w:r>
              <w:rPr>
                <w:rFonts w:hint="eastAsia" w:ascii="仿宋" w:hAnsi="仿宋" w:eastAsia="仿宋" w:cs="仿宋"/>
                <w:kern w:val="0"/>
                <w:sz w:val="32"/>
                <w:szCs w:val="32"/>
                <w:shd w:val="clear" w:fill="FFFFFF"/>
                <w:lang w:val="en-US" w:eastAsia="zh-CN"/>
              </w:rPr>
              <w:t>厦门市金安小学</w:t>
            </w:r>
          </w:p>
        </w:tc>
      </w:tr>
    </w:tbl>
    <w:p>
      <w:pPr>
        <w:keepNext w:val="0"/>
        <w:keepLines w:val="0"/>
        <w:widowControl/>
        <w:suppressLineNumbers w:val="0"/>
        <w:shd w:val="clear" w:fill="FFFFFF"/>
        <w:spacing w:before="240" w:beforeAutospacing="0" w:after="240" w:afterAutospacing="0" w:line="600" w:lineRule="atLeast"/>
        <w:ind w:left="0" w:right="0" w:firstLine="640"/>
        <w:rPr>
          <w:rFonts w:hint="eastAsia" w:ascii="宋体" w:hAnsi="宋体" w:eastAsia="宋体" w:cs="宋体"/>
          <w:kern w:val="0"/>
          <w:sz w:val="24"/>
          <w:szCs w:val="24"/>
          <w:shd w:val="clear" w:fill="FFFFFF"/>
        </w:rPr>
      </w:pPr>
      <w:r>
        <w:rPr>
          <w:rFonts w:hint="eastAsia" w:ascii="黑体" w:hAnsi="宋体" w:eastAsia="黑体" w:cs="黑体"/>
          <w:kern w:val="0"/>
          <w:sz w:val="32"/>
          <w:szCs w:val="32"/>
          <w:shd w:val="clear" w:fill="FFFFFF"/>
        </w:rPr>
        <w:t>三、</w:t>
      </w:r>
      <w:r>
        <w:rPr>
          <w:rFonts w:hint="eastAsia" w:ascii="黑体" w:hAnsi="宋体" w:eastAsia="黑体" w:cs="黑体"/>
          <w:kern w:val="0"/>
          <w:sz w:val="32"/>
          <w:szCs w:val="32"/>
          <w:shd w:val="clear" w:fill="FFFFFF"/>
          <w:lang w:eastAsia="zh-CN"/>
        </w:rPr>
        <w:t>单位</w:t>
      </w:r>
      <w:r>
        <w:rPr>
          <w:rFonts w:hint="eastAsia" w:ascii="黑体" w:hAnsi="宋体" w:eastAsia="黑体" w:cs="黑体"/>
          <w:kern w:val="0"/>
          <w:sz w:val="32"/>
          <w:szCs w:val="32"/>
          <w:shd w:val="clear" w:fill="FFFFFF"/>
        </w:rPr>
        <w:t>主要工作总结</w:t>
      </w:r>
    </w:p>
    <w:p>
      <w:pPr>
        <w:keepNext w:val="0"/>
        <w:keepLines w:val="0"/>
        <w:widowControl/>
        <w:suppressLineNumbers w:val="0"/>
        <w:autoSpaceDE w:val="0"/>
        <w:autoSpaceDN/>
        <w:spacing w:before="240" w:beforeAutospacing="0" w:after="240" w:afterAutospacing="0" w:line="560" w:lineRule="atLeast"/>
        <w:ind w:left="0" w:right="0" w:firstLine="640" w:firstLineChars="200"/>
        <w:jc w:val="both"/>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在新时代教育改革的澎湃浪潮中，厦门金安小学坚守教育初心，勇担育人使命，以党的二十大</w:t>
      </w:r>
      <w:bookmarkStart w:id="65" w:name="_GoBack"/>
      <w:bookmarkEnd w:id="65"/>
      <w:r>
        <w:rPr>
          <w:rFonts w:hint="eastAsia" w:ascii="仿宋" w:hAnsi="仿宋" w:eastAsia="仿宋" w:cs="仿宋"/>
          <w:kern w:val="0"/>
          <w:sz w:val="32"/>
          <w:szCs w:val="32"/>
          <w:lang w:val="en-US" w:eastAsia="zh-CN" w:bidi="ar"/>
        </w:rPr>
        <w:t>精神为指引，深度融合 “双减” 政策与区域教育发展规划，全方位推进教育教学创新实践，致力于为学生成长筑牢根基、为学校发展注入活力、为教育事业添砖加瓦。</w:t>
      </w:r>
    </w:p>
    <w:p>
      <w:pPr>
        <w:keepNext w:val="0"/>
        <w:keepLines w:val="0"/>
        <w:widowControl/>
        <w:suppressLineNumbers w:val="0"/>
        <w:autoSpaceDE w:val="0"/>
        <w:autoSpaceDN/>
        <w:spacing w:before="240" w:beforeAutospacing="0" w:after="240" w:afterAutospacing="0" w:line="560" w:lineRule="atLeast"/>
        <w:ind w:left="0" w:right="0" w:firstLine="640" w:firstLineChars="200"/>
        <w:jc w:val="both"/>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（一）高擎教育火炬，指引发展新航向</w:t>
      </w:r>
    </w:p>
    <w:p>
      <w:pPr>
        <w:keepNext w:val="0"/>
        <w:keepLines w:val="0"/>
        <w:widowControl/>
        <w:suppressLineNumbers w:val="0"/>
        <w:autoSpaceDE w:val="0"/>
        <w:autoSpaceDN/>
        <w:spacing w:before="240" w:beforeAutospacing="0" w:after="240" w:afterAutospacing="0" w:line="560" w:lineRule="atLeast"/>
        <w:ind w:left="0" w:right="0" w:firstLine="640" w:firstLineChars="200"/>
        <w:jc w:val="both"/>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学校紧紧围绕党的二十大关于“以人民为中心发展教育，加快建设高质量教育体系”的战略部署，将“学为中心” 的教学改革理念深度融入办学实践。积极践行湖里区 “十四五”教育发展规划，扎实推进“五项管理”工作，精心营造生命成长的教育生态。这一核心理念贯穿于学校工作的各个环节，从课程设计到教学实施，从德育培养到后勤保障，引领学校在教育现代化的征程中稳步前行，确保每一项工作都紧密围绕提升教育质量、促进学生全面发展的目标展开，为学校的长远发展勾勒出清晰的蓝图。</w:t>
      </w:r>
    </w:p>
    <w:p>
      <w:pPr>
        <w:keepNext w:val="0"/>
        <w:keepLines w:val="0"/>
        <w:widowControl/>
        <w:suppressLineNumbers w:val="0"/>
        <w:autoSpaceDE w:val="0"/>
        <w:autoSpaceDN/>
        <w:spacing w:before="240" w:beforeAutospacing="0" w:after="240" w:afterAutospacing="0" w:line="560" w:lineRule="atLeast"/>
        <w:ind w:left="0" w:right="0" w:firstLine="640" w:firstLineChars="200"/>
        <w:jc w:val="both"/>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（二）点燃创新引擎，驱动教育进阶</w:t>
      </w:r>
    </w:p>
    <w:p>
      <w:pPr>
        <w:keepNext w:val="0"/>
        <w:keepLines w:val="0"/>
        <w:widowControl/>
        <w:suppressLineNumbers w:val="0"/>
        <w:autoSpaceDE w:val="0"/>
        <w:autoSpaceDN/>
        <w:spacing w:before="240" w:beforeAutospacing="0" w:after="240" w:afterAutospacing="0" w:line="560" w:lineRule="atLeast"/>
        <w:ind w:left="0" w:right="0" w:firstLine="640" w:firstLineChars="200"/>
        <w:jc w:val="both"/>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依托教改重点课题《学习场视域下的 “六真课堂” 行动研究》，学校全力推动课程体系和教学模式的深度变革。四真课程体系在基础课程、校本课程、班本课程、荣誉课程的各个层级扎实落地，通过整合校内外优质资源，形成了紧密协作的课程变革共同体。各学科积极探索创新，语文的 “问题导学 +” 模式激发学生深度思考与自主学习能力；数学的 “问题交互 4 + 4” 模式促进学生思维碰撞与合作探究。</w:t>
      </w:r>
    </w:p>
    <w:p>
      <w:pPr>
        <w:keepNext w:val="0"/>
        <w:keepLines w:val="0"/>
        <w:widowControl/>
        <w:suppressLineNumbers w:val="0"/>
        <w:autoSpaceDE w:val="0"/>
        <w:autoSpaceDN/>
        <w:spacing w:before="240" w:beforeAutospacing="0" w:after="240" w:afterAutospacing="0" w:line="560" w:lineRule="atLeast"/>
        <w:ind w:left="0" w:right="0" w:firstLine="640" w:firstLineChars="200"/>
        <w:jc w:val="both"/>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（三）精塑灵魂工程，点亮成长灯塔</w:t>
      </w:r>
    </w:p>
    <w:p>
      <w:pPr>
        <w:keepNext w:val="0"/>
        <w:keepLines w:val="0"/>
        <w:widowControl/>
        <w:suppressLineNumbers w:val="0"/>
        <w:autoSpaceDE w:val="0"/>
        <w:autoSpaceDN/>
        <w:spacing w:before="240" w:beforeAutospacing="0" w:after="240" w:afterAutospacing="0" w:line="560" w:lineRule="atLeast"/>
        <w:ind w:left="0" w:right="0" w:firstLine="640" w:firstLineChars="200"/>
        <w:jc w:val="both"/>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秉持 “守正创新，育德于行” 的核心理念，学校在德育工作方面持续深耕。“124” 班主任名师工作室机制成效显著，德育常规教育扎实推进，行为规范教育与《中小学生守则》《中小学生日常行为规范》紧密结合，通过日常强化训练和督导队员的监督反馈，学生的自我约束和自我管理能力显著提高，实现了常规管理的精细化。主题教育活动丰富多彩，在 “中秋节”“国庆节”“元旦” 等节日期间，开展 “爱国、爱党、爱人民” 系列主题活动，如 “知育少年” 宣讲团的国庆系统特辑微视频制作与发布，通过少先队员的视角讲述红色故事，弘扬民族精神，增强了学生的爱国情感和民族自豪感，使德育工作更加深入人心。</w:t>
      </w:r>
    </w:p>
    <w:p>
      <w:pPr>
        <w:keepNext w:val="0"/>
        <w:keepLines w:val="0"/>
        <w:widowControl/>
        <w:suppressLineNumbers w:val="0"/>
        <w:autoSpaceDE w:val="0"/>
        <w:autoSpaceDN/>
        <w:spacing w:before="240" w:beforeAutospacing="0" w:after="240" w:afterAutospacing="0" w:line="560" w:lineRule="atLeast"/>
        <w:ind w:left="0" w:right="0" w:firstLine="640" w:firstLineChars="200"/>
        <w:jc w:val="both"/>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（四）编织协同网络，汇聚教育合力</w:t>
      </w:r>
    </w:p>
    <w:p>
      <w:pPr>
        <w:keepNext w:val="0"/>
        <w:keepLines w:val="0"/>
        <w:widowControl/>
        <w:suppressLineNumbers w:val="0"/>
        <w:autoSpaceDE w:val="0"/>
        <w:autoSpaceDN/>
        <w:spacing w:before="240" w:beforeAutospacing="0" w:after="240" w:afterAutospacing="0" w:line="560" w:lineRule="atLeast"/>
        <w:ind w:left="0" w:right="0" w:firstLine="640" w:firstLineChars="200"/>
        <w:jc w:val="both"/>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家校共治研究中心积极响应国家政策，以提升家长教育能力为核心目标，全力促进儿童成长环境的优化，促进家校之间的有效沟通与合作。在资源整合方面，学校联合社会优质资源创建了 “金安终身教育家长素质提升项目” 课程品牌，如邀请知名绘本专家、情绪管理课程专业老师梁芳老师开设的父母情绪管理系统课程，受到家长的广泛好评。</w:t>
      </w:r>
    </w:p>
    <w:p>
      <w:pPr>
        <w:keepNext w:val="0"/>
        <w:keepLines w:val="0"/>
        <w:widowControl/>
        <w:suppressLineNumbers w:val="0"/>
        <w:autoSpaceDE w:val="0"/>
        <w:autoSpaceDN/>
        <w:spacing w:before="240" w:beforeAutospacing="0" w:after="240" w:afterAutospacing="0" w:line="560" w:lineRule="atLeast"/>
        <w:ind w:left="0" w:right="0" w:firstLine="640" w:firstLineChars="200"/>
        <w:jc w:val="both"/>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（五）夯实发展根基，守护校园安宁</w:t>
      </w:r>
    </w:p>
    <w:p>
      <w:pPr>
        <w:keepNext w:val="0"/>
        <w:keepLines w:val="0"/>
        <w:widowControl/>
        <w:suppressLineNumbers w:val="0"/>
        <w:autoSpaceDE w:val="0"/>
        <w:autoSpaceDN/>
        <w:spacing w:before="240" w:beforeAutospacing="0" w:after="240" w:afterAutospacing="0" w:line="560" w:lineRule="atLeast"/>
        <w:ind w:left="0" w:right="0" w:firstLine="640" w:firstLineChars="200"/>
        <w:jc w:val="both"/>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总务处秉持精细化、品质化、服务化的宗旨，为学校教育教学工作提供了坚实的后勤保障。保卫科坚决贯彻上级安全指示精神，以 “加强防护力量联动，织密金安全防护网” 为目标，构建了全方位的校园安全防护体系。在安全教育方面，将安全常识融入日常教学，开学安全第一课、校长讲安全、公众号推送、班队课以及学生安全员培训等，形成了全方位、多层次的安全教育网络，有效提升了师生的安全意识。</w:t>
      </w:r>
    </w:p>
    <w:bookmarkEnd w:id="13"/>
    <w:bookmarkEnd w:id="14"/>
    <w:bookmarkEnd w:id="15"/>
    <w:bookmarkEnd w:id="16"/>
    <w:p>
      <w:pPr>
        <w:sectPr>
          <w:footerReference r:id="rId5" w:type="default"/>
          <w:pgSz w:w="11906" w:h="16838"/>
          <w:pgMar w:top="1440" w:right="1800" w:bottom="1440" w:left="1800" w:header="720" w:footer="720" w:gutter="0"/>
          <w:cols w:space="720" w:num="1"/>
        </w:sectPr>
      </w:pPr>
    </w:p>
    <w:p>
      <w:pPr>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240" w:lineRule="auto"/>
        <w:ind w:left="0" w:right="0"/>
        <w:jc w:val="center"/>
        <w:textAlignment w:val="auto"/>
        <w:rPr>
          <w:rFonts w:hint="eastAsia" w:ascii="黑体" w:hAnsi="宋体" w:eastAsia="黑体" w:cs="黑体"/>
          <w:kern w:val="0"/>
          <w:sz w:val="36"/>
          <w:szCs w:val="36"/>
          <w:shd w:val="clear" w:fill="FFFFFF"/>
          <w:lang w:bidi="ar"/>
        </w:rPr>
      </w:pPr>
      <w:r>
        <w:rPr>
          <w:rFonts w:hint="eastAsia" w:ascii="黑体" w:hAnsi="宋体" w:eastAsia="黑体" w:cs="黑体"/>
          <w:kern w:val="0"/>
          <w:sz w:val="36"/>
          <w:szCs w:val="36"/>
          <w:shd w:val="clear" w:fill="FFFFFF"/>
          <w:lang w:bidi="ar"/>
        </w:rPr>
        <w:t>第二部分 </w:t>
      </w:r>
      <w:r>
        <w:rPr>
          <w:rFonts w:hint="eastAsia" w:ascii="黑体" w:hAnsi="宋体" w:eastAsia="黑体" w:cs="黑体"/>
          <w:kern w:val="0"/>
          <w:sz w:val="36"/>
          <w:szCs w:val="36"/>
          <w:shd w:val="clear" w:fill="FFFFFF"/>
          <w:lang w:val="en-US" w:eastAsia="zh-CN" w:bidi="ar"/>
        </w:rPr>
        <w:t>2</w:t>
      </w:r>
      <w:r>
        <w:rPr>
          <w:rFonts w:hint="eastAsia" w:ascii="黑体" w:hAnsi="宋体" w:eastAsia="黑体" w:cs="黑体"/>
          <w:kern w:val="0"/>
          <w:sz w:val="36"/>
          <w:szCs w:val="36"/>
          <w:shd w:val="clear" w:fill="FFFFFF"/>
          <w:lang w:bidi="ar"/>
        </w:rPr>
        <w:t>024年</w:t>
      </w:r>
      <w:r>
        <w:rPr>
          <w:rFonts w:hint="eastAsia" w:ascii="黑体" w:hAnsi="宋体" w:eastAsia="黑体" w:cs="黑体"/>
          <w:kern w:val="0"/>
          <w:sz w:val="36"/>
          <w:szCs w:val="36"/>
          <w:shd w:val="clear" w:fill="FFFFFF"/>
          <w:lang w:eastAsia="zh-CN" w:bidi="ar"/>
        </w:rPr>
        <w:t>单位</w:t>
      </w:r>
      <w:r>
        <w:rPr>
          <w:rFonts w:hint="eastAsia" w:ascii="黑体" w:hAnsi="宋体" w:eastAsia="黑体" w:cs="黑体"/>
          <w:kern w:val="0"/>
          <w:sz w:val="36"/>
          <w:szCs w:val="36"/>
          <w:shd w:val="clear" w:fill="FFFFFF"/>
          <w:lang w:bidi="ar"/>
        </w:rPr>
        <w:t>决算表</w:t>
      </w:r>
    </w:p>
    <w:p>
      <w:pPr>
        <w:pStyle w:val="2"/>
        <w:rPr>
          <w:rFonts w:hint="eastAsia" w:ascii="黑体" w:hAnsi="黑体" w:eastAsia="黑体" w:cs="黑体"/>
          <w:sz w:val="32"/>
          <w:szCs w:val="32"/>
          <w:lang w:eastAsia="zh-CN"/>
        </w:rPr>
      </w:pPr>
      <w:r>
        <w:rPr>
          <w:rFonts w:hint="eastAsia" w:ascii="黑体" w:hAnsi="黑体" w:eastAsia="黑体" w:cs="黑体"/>
          <w:sz w:val="32"/>
          <w:szCs w:val="32"/>
          <w:lang w:eastAsia="zh-CN"/>
        </w:rPr>
        <w:t>一、收入支出决算总表</w:t>
      </w:r>
    </w:p>
    <w:tbl>
      <w:tblPr>
        <w:tblStyle w:val="23"/>
        <w:tblpPr w:leftFromText="180" w:rightFromText="180" w:vertAnchor="text" w:horzAnchor="page" w:tblpX="1308" w:tblpY="631"/>
        <w:tblOverlap w:val="never"/>
        <w:tblW w:w="9066" w:type="dxa"/>
        <w:tblInd w:w="0" w:type="dxa"/>
        <w:tblLayout w:type="fixed"/>
        <w:tblCellMar>
          <w:top w:w="15" w:type="dxa"/>
          <w:left w:w="15" w:type="dxa"/>
          <w:bottom w:w="15" w:type="dxa"/>
          <w:right w:w="15" w:type="dxa"/>
        </w:tblCellMar>
      </w:tblPr>
      <w:tblGrid>
        <w:gridCol w:w="3246"/>
        <w:gridCol w:w="461"/>
        <w:gridCol w:w="924"/>
        <w:gridCol w:w="3049"/>
        <w:gridCol w:w="461"/>
        <w:gridCol w:w="925"/>
      </w:tblGrid>
      <w:tr>
        <w:tblPrEx>
          <w:tblLayout w:type="fixed"/>
          <w:tblCellMar>
            <w:top w:w="15" w:type="dxa"/>
            <w:left w:w="15" w:type="dxa"/>
            <w:bottom w:w="15" w:type="dxa"/>
            <w:right w:w="15" w:type="dxa"/>
          </w:tblCellMar>
        </w:tblPrEx>
        <w:trPr>
          <w:trHeight w:val="674" w:hRule="atLeast"/>
          <w:tblHeader/>
        </w:trPr>
        <w:tc>
          <w:tcPr>
            <w:tcW w:w="9066" w:type="dxa"/>
            <w:gridSpan w:val="6"/>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收入支出决算总表</w:t>
            </w:r>
          </w:p>
        </w:tc>
      </w:tr>
      <w:tr>
        <w:tblPrEx>
          <w:tblLayout w:type="fixed"/>
          <w:tblCellMar>
            <w:top w:w="15" w:type="dxa"/>
            <w:left w:w="15" w:type="dxa"/>
            <w:bottom w:w="15" w:type="dxa"/>
            <w:right w:w="15" w:type="dxa"/>
          </w:tblCellMar>
        </w:tblPrEx>
        <w:trPr>
          <w:trHeight w:val="659" w:hRule="atLeast"/>
          <w:tblHeader/>
        </w:trPr>
        <w:tc>
          <w:tcPr>
            <w:tcW w:w="9066" w:type="dxa"/>
            <w:gridSpan w:val="6"/>
            <w:tcBorders>
              <w:top w:val="single" w:color="D0D7E5" w:sz="6" w:space="0"/>
              <w:left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/单位：厦门市金安小学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2024年度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金额单位：万元</w:t>
            </w:r>
            <w:r>
              <w:rPr>
                <w:rFonts w:hint="eastAsia" w:ascii="宋体" w:hAnsi="宋体" w:eastAsia="宋体" w:cs="宋体"/>
                <w:color w:val="000000"/>
                <w:kern w:val="0"/>
                <w:sz w:val="22"/>
                <w:szCs w:val="22"/>
                <w:shd w:val="clear" w:fill="FFFFFF"/>
                <w:lang w:val="en-US" w:eastAsia="zh-CN" w:bidi="ar"/>
              </w:rPr>
              <w:t xml:space="preserve">                                               </w:t>
            </w:r>
          </w:p>
        </w:tc>
      </w:tr>
      <w:tr>
        <w:tblPrEx>
          <w:tblLayout w:type="fixed"/>
          <w:tblCellMar>
            <w:top w:w="15" w:type="dxa"/>
            <w:left w:w="15" w:type="dxa"/>
            <w:bottom w:w="15" w:type="dxa"/>
            <w:right w:w="15" w:type="dxa"/>
          </w:tblCellMar>
        </w:tblPrEx>
        <w:tc>
          <w:tcPr>
            <w:tcW w:w="4631"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收入</w:t>
            </w:r>
          </w:p>
        </w:tc>
        <w:tc>
          <w:tcPr>
            <w:tcW w:w="4435"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支出</w:t>
            </w: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行次</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行次</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一、一般公共预算财政拨款收入</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3,452.32</w:t>
            </w: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一、一般公共服务支出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32</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二、政府性基金预算财政拨款收入</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4.52</w:t>
            </w: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二、外交支出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33</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三、国有资本经营预算财政拨款收入</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三、国防支出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四、上级补助收入</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四、公共安全支出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35</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五、事业收入</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五、教育支出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3,124.75</w:t>
            </w: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六、经营收入</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六、科学技术支出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37</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七、附属单位上缴收入</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七、文化旅游体育与传媒支出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38</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八、其他收入</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八、社会保障和就业支出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235.89</w:t>
            </w: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九、卫生健康支出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91.69</w:t>
            </w: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十、节能环保支出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十一、城乡社区支出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42</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十二、农林水支出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43</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十三、交通运输支出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44</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十四、资源勘探工业信息等支出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十五、商业服务业等支出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46</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十六、金融支出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十七、援助其他地区支出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48</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十八、自然资源海洋气象等支出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49</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十九、住房保障支出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50</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二十、粮油物资储备支出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51</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二十一、国有资本经营预算支出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二十二、灾害防治及应急管理支出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53</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二十三、其他支出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54</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4.52</w:t>
            </w: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二十四、债务还本支出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55</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二十五、债务付息支出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56</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二十六、抗疫特别国债安排的支出</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57</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本年收入合计</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3,456.84</w:t>
            </w: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本年支出合计</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58</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3,456.84</w:t>
            </w: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使用非财政拨款结余（含专用结余）</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结余分配</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59</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年初结转和结余</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年末结转和结余</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60</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61</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总计</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3,456.84</w:t>
            </w:r>
          </w:p>
        </w:tc>
        <w:tc>
          <w:tcPr>
            <w:tcW w:w="30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总计</w:t>
            </w:r>
          </w:p>
        </w:tc>
        <w:tc>
          <w:tcPr>
            <w:tcW w:w="4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62</w:t>
            </w:r>
          </w:p>
        </w:tc>
        <w:tc>
          <w:tcPr>
            <w:tcW w:w="9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3,456.84</w:t>
            </w:r>
          </w:p>
        </w:tc>
      </w:tr>
      <w:tr>
        <w:tblPrEx>
          <w:tblLayout w:type="fixed"/>
          <w:tblCellMar>
            <w:top w:w="15" w:type="dxa"/>
            <w:left w:w="15" w:type="dxa"/>
            <w:bottom w:w="15" w:type="dxa"/>
            <w:right w:w="15" w:type="dxa"/>
          </w:tblCellMar>
        </w:tblPrEx>
        <w:tc>
          <w:tcPr>
            <w:tcW w:w="9066" w:type="dxa"/>
            <w:gridSpan w:val="6"/>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注：1.本表反映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本年度的总收支和年末结转结余情况。</w:t>
            </w:r>
          </w:p>
        </w:tc>
      </w:tr>
      <w:tr>
        <w:tblPrEx>
          <w:tblLayout w:type="fixed"/>
          <w:tblCellMar>
            <w:top w:w="15" w:type="dxa"/>
            <w:left w:w="15" w:type="dxa"/>
            <w:bottom w:w="15" w:type="dxa"/>
            <w:right w:w="15" w:type="dxa"/>
          </w:tblCellMar>
        </w:tblPrEx>
        <w:tc>
          <w:tcPr>
            <w:tcW w:w="9066" w:type="dxa"/>
            <w:gridSpan w:val="6"/>
            <w:noWrap w:val="0"/>
            <w:tcMar>
              <w:top w:w="20" w:type="dxa"/>
              <w:left w:w="485"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2.本套报表金额单位转换时可能存在尾数误差。</w:t>
            </w:r>
          </w:p>
        </w:tc>
      </w:tr>
    </w:tbl>
    <w:p>
      <w:pPr>
        <w:pStyle w:val="29"/>
        <w:widowControl/>
        <w:spacing w:before="240" w:after="240"/>
        <w:jc w:val="left"/>
        <w:rPr>
          <w:rFonts w:hint="eastAsia" w:ascii="黑体" w:hAnsi="宋体" w:eastAsia="黑体" w:cs="黑体"/>
          <w:kern w:val="0"/>
          <w:sz w:val="32"/>
          <w:szCs w:val="32"/>
          <w:shd w:val="clear" w:fill="FFFFFF"/>
          <w:lang w:bidi="ar"/>
        </w:rPr>
      </w:pPr>
    </w:p>
    <w:p>
      <w:pPr>
        <w:pStyle w:val="29"/>
        <w:widowControl/>
        <w:spacing w:before="240" w:after="240"/>
        <w:jc w:val="left"/>
        <w:rPr>
          <w:rFonts w:hint="eastAsia" w:ascii="黑体" w:hAnsi="宋体" w:eastAsia="黑体" w:cs="黑体"/>
          <w:kern w:val="0"/>
          <w:sz w:val="32"/>
          <w:szCs w:val="32"/>
          <w:shd w:val="clear" w:fill="FFFFFF"/>
          <w:lang w:bidi="ar"/>
        </w:rPr>
      </w:pPr>
    </w:p>
    <w:p>
      <w:pPr>
        <w:keepNext w:val="0"/>
        <w:keepLines w:val="0"/>
        <w:widowControl/>
        <w:suppressLineNumbers w:val="0"/>
        <w:shd w:val="clear" w:fill="FFFFFF"/>
        <w:spacing w:before="0" w:beforeAutospacing="1" w:after="0" w:afterAutospacing="1"/>
        <w:ind w:left="0" w:right="0"/>
        <w:jc w:val="left"/>
        <w:rPr>
          <w:rFonts w:hint="eastAsia" w:ascii="黑体" w:hAnsi="黑体" w:eastAsia="黑体" w:cs="黑体"/>
          <w:sz w:val="32"/>
          <w:szCs w:val="32"/>
          <w:lang w:eastAsia="zh-CN"/>
        </w:rPr>
      </w:pPr>
      <w:bookmarkStart w:id="17" w:name="_Toc256000008"/>
      <w:bookmarkStart w:id="18" w:name="_Toc256000039"/>
      <w:bookmarkStart w:id="19" w:name="_Toc256000101"/>
      <w:bookmarkStart w:id="20" w:name="_Toc256000070"/>
      <w:r>
        <w:rPr>
          <w:rFonts w:hint="eastAsia" w:ascii="黑体" w:hAnsi="黑体" w:eastAsia="黑体" w:cs="黑体"/>
          <w:sz w:val="32"/>
          <w:szCs w:val="32"/>
          <w:lang w:eastAsia="zh-CN"/>
        </w:rPr>
        <w:t>二、收入决算表</w:t>
      </w:r>
      <w:bookmarkEnd w:id="17"/>
      <w:bookmarkEnd w:id="18"/>
      <w:bookmarkEnd w:id="19"/>
      <w:bookmarkEnd w:id="20"/>
    </w:p>
    <w:tbl>
      <w:tblPr>
        <w:tblStyle w:val="23"/>
        <w:tblpPr w:leftFromText="180" w:rightFromText="180" w:vertAnchor="text" w:horzAnchor="page" w:tblpX="1374" w:tblpY="428"/>
        <w:tblOverlap w:val="never"/>
        <w:tblW w:w="9316" w:type="dxa"/>
        <w:tblInd w:w="0" w:type="dxa"/>
        <w:tblLayout w:type="fixed"/>
        <w:tblCellMar>
          <w:top w:w="15" w:type="dxa"/>
          <w:left w:w="15" w:type="dxa"/>
          <w:bottom w:w="15" w:type="dxa"/>
          <w:right w:w="15" w:type="dxa"/>
        </w:tblCellMar>
      </w:tblPr>
      <w:tblGrid>
        <w:gridCol w:w="814"/>
        <w:gridCol w:w="2294"/>
        <w:gridCol w:w="924"/>
        <w:gridCol w:w="924"/>
        <w:gridCol w:w="837"/>
        <w:gridCol w:w="551"/>
        <w:gridCol w:w="554"/>
        <w:gridCol w:w="1136"/>
        <w:gridCol w:w="1282"/>
      </w:tblGrid>
      <w:tr>
        <w:tblPrEx>
          <w:tblLayout w:type="fixed"/>
          <w:tblCellMar>
            <w:top w:w="15" w:type="dxa"/>
            <w:left w:w="15" w:type="dxa"/>
            <w:bottom w:w="15" w:type="dxa"/>
            <w:right w:w="15" w:type="dxa"/>
          </w:tblCellMar>
        </w:tblPrEx>
        <w:trPr>
          <w:tblHeader/>
        </w:trPr>
        <w:tc>
          <w:tcPr>
            <w:tcW w:w="9316" w:type="dxa"/>
            <w:gridSpan w:val="9"/>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hint="eastAsia" w:ascii="宋体" w:hAnsi="宋体" w:eastAsia="宋体" w:cs="宋体"/>
                <w:color w:val="000000"/>
                <w:kern w:val="0"/>
                <w:sz w:val="22"/>
                <w:szCs w:val="22"/>
                <w:shd w:val="clear" w:fill="FFFFFF"/>
                <w:lang w:bidi="ar"/>
              </w:rPr>
            </w:pPr>
            <w:r>
              <w:rPr>
                <w:rFonts w:hint="eastAsia" w:ascii="黑体" w:hAnsi="宋体" w:eastAsia="黑体" w:cs="黑体"/>
                <w:color w:val="000000"/>
                <w:kern w:val="0"/>
                <w:sz w:val="36"/>
                <w:szCs w:val="36"/>
                <w:shd w:val="clear" w:fill="FFFFFF"/>
                <w:lang w:bidi="ar"/>
              </w:rPr>
              <w:t>收入决算表</w:t>
            </w:r>
          </w:p>
        </w:tc>
      </w:tr>
      <w:tr>
        <w:tblPrEx>
          <w:tblLayout w:type="fixed"/>
          <w:tblCellMar>
            <w:top w:w="15" w:type="dxa"/>
            <w:left w:w="15" w:type="dxa"/>
            <w:bottom w:w="15" w:type="dxa"/>
            <w:right w:w="15" w:type="dxa"/>
          </w:tblCellMar>
        </w:tblPrEx>
        <w:tc>
          <w:tcPr>
            <w:tcW w:w="9316" w:type="dxa"/>
            <w:gridSpan w:val="9"/>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/单位：厦门市金安小学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2024年度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rPr>
          <w:tblHeader/>
        </w:trPr>
        <w:tc>
          <w:tcPr>
            <w:tcW w:w="31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92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本年收入合计</w:t>
            </w:r>
          </w:p>
        </w:tc>
        <w:tc>
          <w:tcPr>
            <w:tcW w:w="92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财政拨款收入</w:t>
            </w:r>
          </w:p>
        </w:tc>
        <w:tc>
          <w:tcPr>
            <w:tcW w:w="83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上级补助收入</w:t>
            </w:r>
          </w:p>
        </w:tc>
        <w:tc>
          <w:tcPr>
            <w:tcW w:w="55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事业收入</w:t>
            </w:r>
          </w:p>
        </w:tc>
        <w:tc>
          <w:tcPr>
            <w:tcW w:w="55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经营收入</w:t>
            </w:r>
          </w:p>
        </w:tc>
        <w:tc>
          <w:tcPr>
            <w:tcW w:w="113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附属单位上缴收入</w:t>
            </w:r>
          </w:p>
        </w:tc>
        <w:tc>
          <w:tcPr>
            <w:tcW w:w="128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其他收入</w:t>
            </w:r>
          </w:p>
        </w:tc>
      </w:tr>
      <w:tr>
        <w:tblPrEx>
          <w:tblLayout w:type="fixed"/>
          <w:tblCellMar>
            <w:top w:w="15" w:type="dxa"/>
            <w:left w:w="15" w:type="dxa"/>
            <w:bottom w:w="15" w:type="dxa"/>
            <w:right w:w="15" w:type="dxa"/>
          </w:tblCellMar>
        </w:tblPrEx>
        <w:trPr>
          <w:tblHeader/>
        </w:trPr>
        <w:tc>
          <w:tcPr>
            <w:tcW w:w="81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科目代码</w:t>
            </w:r>
          </w:p>
        </w:tc>
        <w:tc>
          <w:tcPr>
            <w:tcW w:w="229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9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3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81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29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3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1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w:t>
            </w:r>
          </w:p>
        </w:tc>
      </w:tr>
      <w:tr>
        <w:tblPrEx>
          <w:tblLayout w:type="fixed"/>
          <w:tblCellMar>
            <w:top w:w="15" w:type="dxa"/>
            <w:left w:w="15" w:type="dxa"/>
            <w:bottom w:w="15" w:type="dxa"/>
            <w:right w:w="15" w:type="dxa"/>
          </w:tblCellMar>
        </w:tblPrEx>
        <w:tc>
          <w:tcPr>
            <w:tcW w:w="31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3,456.84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3,456.84</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3,124.75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3,124.75</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普通教育</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2,708.91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2,708.91</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2050202</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小学教育</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2,490.39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2,490.39</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2050299</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其他普通教育支出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218.52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218.52</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教育费附加安排的支出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414.84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414.84</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2050999</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其他教育费附加安排的支出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414.84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414.84</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20599</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2059999</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社会保障和就业支出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235.89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235.89</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行政事业单位养老支出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235.89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235.89</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2080502</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事业单位离退休</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14.04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14.04</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2080505</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机关事业单位基本养老保险缴费支出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141.74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141.74</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2080506</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机关事业单位职业年金缴费支出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80.11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80.11</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卫生健康支出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91.69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91.69</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行政事业单位医疗</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91.69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91.69</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2101102</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事业单位医疗</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60.68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60.68</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2101199</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其他行政事业单位医疗支出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4.52</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22960</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彩票公益金安排的支出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4.52</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2296003</w:t>
            </w:r>
          </w:p>
        </w:tc>
        <w:tc>
          <w:tcPr>
            <w:tcW w:w="2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用于体育事业的彩票公益金支出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4.52</w:t>
            </w:r>
          </w:p>
        </w:tc>
        <w:tc>
          <w:tcPr>
            <w:tcW w:w="8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5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931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注：本表反映</w:t>
            </w:r>
            <w:r>
              <w:rPr>
                <w:rFonts w:hint="eastAsia" w:ascii="宋体" w:hAnsi="宋体" w:cs="宋体"/>
                <w:b w:val="0"/>
                <w:bCs w:val="0"/>
                <w:i w:val="0"/>
                <w:iCs w:val="0"/>
                <w:smallCaps w:val="0"/>
                <w:color w:val="000000"/>
                <w:kern w:val="0"/>
                <w:sz w:val="26"/>
                <w:szCs w:val="26"/>
                <w:lang w:eastAsia="zh-CN"/>
              </w:rPr>
              <w:t>单位</w:t>
            </w:r>
            <w:r>
              <w:rPr>
                <w:rFonts w:ascii="宋体" w:hAnsi="宋体" w:eastAsia="宋体" w:cs="宋体"/>
                <w:b w:val="0"/>
                <w:bCs w:val="0"/>
                <w:i w:val="0"/>
                <w:iCs w:val="0"/>
                <w:smallCaps w:val="0"/>
                <w:color w:val="000000"/>
                <w:kern w:val="0"/>
                <w:sz w:val="26"/>
                <w:szCs w:val="26"/>
              </w:rPr>
              <w:t>本年度取得的各项收入情况。</w:t>
            </w:r>
          </w:p>
        </w:tc>
      </w:tr>
    </w:tbl>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p>
    <w:p>
      <w:pPr>
        <w:pStyle w:val="2"/>
        <w:rPr>
          <w:rFonts w:hint="eastAsia"/>
        </w:rPr>
      </w:pPr>
    </w:p>
    <w:p>
      <w:pPr>
        <w:pStyle w:val="2"/>
        <w:rPr>
          <w:rFonts w:hint="eastAsia" w:ascii="宋体" w:hAnsi="宋体" w:eastAsia="宋体" w:cs="宋体"/>
          <w:color w:val="000000"/>
          <w:kern w:val="0"/>
          <w:sz w:val="22"/>
          <w:szCs w:val="22"/>
          <w:shd w:val="clear" w:fill="FFFFFF"/>
          <w:lang w:bidi="ar"/>
        </w:rPr>
      </w:pPr>
    </w:p>
    <w:p>
      <w:pPr>
        <w:keepNext w:val="0"/>
        <w:keepLines w:val="0"/>
        <w:widowControl/>
        <w:numPr>
          <w:ilvl w:val="0"/>
          <w:numId w:val="1"/>
        </w:numPr>
        <w:suppressLineNumbers w:val="0"/>
        <w:shd w:val="clear" w:fill="FFFFFF"/>
        <w:spacing w:before="0" w:beforeAutospacing="1" w:after="0" w:afterAutospacing="1"/>
        <w:ind w:left="0" w:right="0"/>
        <w:jc w:val="left"/>
        <w:rPr>
          <w:rFonts w:hint="eastAsia" w:ascii="黑体" w:hAnsi="黑体" w:eastAsia="黑体" w:cs="黑体"/>
          <w:sz w:val="32"/>
          <w:szCs w:val="32"/>
          <w:lang w:eastAsia="zh-CN"/>
        </w:rPr>
      </w:pPr>
      <w:r>
        <w:rPr>
          <w:rFonts w:hint="eastAsia" w:ascii="黑体" w:hAnsi="黑体" w:eastAsia="黑体" w:cs="黑体"/>
          <w:sz w:val="32"/>
          <w:szCs w:val="32"/>
          <w:lang w:eastAsia="zh-CN"/>
        </w:rPr>
        <w:t>支出决算表</w:t>
      </w:r>
    </w:p>
    <w:p>
      <w:pPr>
        <w:pStyle w:val="2"/>
        <w:widowControl w:val="0"/>
        <w:numPr>
          <w:ilvl w:val="0"/>
          <w:numId w:val="0"/>
        </w:numPr>
        <w:spacing w:before="0" w:beforeAutospacing="0" w:after="0" w:afterAutospacing="0"/>
        <w:ind w:right="0" w:rightChars="0"/>
        <w:jc w:val="left"/>
        <w:rPr>
          <w:rFonts w:hint="eastAsia"/>
          <w:lang w:eastAsia="zh-CN"/>
        </w:rPr>
      </w:pPr>
    </w:p>
    <w:tbl>
      <w:tblPr>
        <w:tblStyle w:val="23"/>
        <w:tblpPr w:leftFromText="180" w:rightFromText="180" w:vertAnchor="text" w:horzAnchor="page" w:tblpXSpec="center" w:tblpY="103"/>
        <w:tblOverlap w:val="never"/>
        <w:tblW w:w="9481" w:type="dxa"/>
        <w:jc w:val="center"/>
        <w:tblInd w:w="0" w:type="dxa"/>
        <w:tblLayout w:type="fixed"/>
        <w:tblCellMar>
          <w:top w:w="15" w:type="dxa"/>
          <w:left w:w="15" w:type="dxa"/>
          <w:bottom w:w="15" w:type="dxa"/>
          <w:right w:w="15" w:type="dxa"/>
        </w:tblCellMar>
      </w:tblPr>
      <w:tblGrid>
        <w:gridCol w:w="1907"/>
        <w:gridCol w:w="2023"/>
        <w:gridCol w:w="1050"/>
        <w:gridCol w:w="1035"/>
        <w:gridCol w:w="867"/>
        <w:gridCol w:w="850"/>
        <w:gridCol w:w="784"/>
        <w:gridCol w:w="965"/>
      </w:tblGrid>
      <w:tr>
        <w:tblPrEx>
          <w:tblLayout w:type="fixed"/>
          <w:tblCellMar>
            <w:top w:w="15" w:type="dxa"/>
            <w:left w:w="15" w:type="dxa"/>
            <w:bottom w:w="15" w:type="dxa"/>
            <w:right w:w="15" w:type="dxa"/>
          </w:tblCellMar>
        </w:tblPrEx>
        <w:trPr>
          <w:tblHeader/>
          <w:jc w:val="center"/>
        </w:trPr>
        <w:tc>
          <w:tcPr>
            <w:tcW w:w="9481" w:type="dxa"/>
            <w:gridSpan w:val="8"/>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支出决算表</w:t>
            </w:r>
          </w:p>
        </w:tc>
      </w:tr>
      <w:tr>
        <w:tblPrEx>
          <w:tblLayout w:type="fixed"/>
          <w:tblCellMar>
            <w:top w:w="15" w:type="dxa"/>
            <w:left w:w="15" w:type="dxa"/>
            <w:bottom w:w="15" w:type="dxa"/>
            <w:right w:w="15" w:type="dxa"/>
          </w:tblCellMar>
        </w:tblPrEx>
        <w:trPr>
          <w:jc w:val="center"/>
        </w:trPr>
        <w:tc>
          <w:tcPr>
            <w:tcW w:w="9481" w:type="dxa"/>
            <w:gridSpan w:val="8"/>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/单位：厦门市金安小学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2024年度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rPr>
          <w:tblHeader/>
          <w:jc w:val="center"/>
        </w:trPr>
        <w:tc>
          <w:tcPr>
            <w:tcW w:w="393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105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本年支出合计</w:t>
            </w:r>
          </w:p>
        </w:tc>
        <w:tc>
          <w:tcPr>
            <w:tcW w:w="10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基本支出</w:t>
            </w:r>
          </w:p>
        </w:tc>
        <w:tc>
          <w:tcPr>
            <w:tcW w:w="86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项目支出</w:t>
            </w:r>
          </w:p>
        </w:tc>
        <w:tc>
          <w:tcPr>
            <w:tcW w:w="85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上缴上级支出</w:t>
            </w:r>
          </w:p>
        </w:tc>
        <w:tc>
          <w:tcPr>
            <w:tcW w:w="78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经营支出</w:t>
            </w:r>
          </w:p>
        </w:tc>
        <w:tc>
          <w:tcPr>
            <w:tcW w:w="96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对附属单位补助支出</w:t>
            </w:r>
          </w:p>
        </w:tc>
      </w:tr>
      <w:tr>
        <w:tblPrEx>
          <w:tblLayout w:type="fixed"/>
          <w:tblCellMar>
            <w:top w:w="15" w:type="dxa"/>
            <w:left w:w="15" w:type="dxa"/>
            <w:bottom w:w="15" w:type="dxa"/>
            <w:right w:w="15" w:type="dxa"/>
          </w:tblCellMar>
        </w:tblPrEx>
        <w:trPr>
          <w:tblHeader/>
          <w:jc w:val="center"/>
        </w:trPr>
        <w:tc>
          <w:tcPr>
            <w:tcW w:w="19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科目代码</w:t>
            </w:r>
          </w:p>
        </w:tc>
        <w:tc>
          <w:tcPr>
            <w:tcW w:w="202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105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3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6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jc w:val="center"/>
        </w:trPr>
        <w:tc>
          <w:tcPr>
            <w:tcW w:w="190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02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5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3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6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rHeight w:val="90" w:hRule="atLeast"/>
          <w:jc w:val="center"/>
        </w:trPr>
        <w:tc>
          <w:tcPr>
            <w:tcW w:w="393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r>
      <w:tr>
        <w:tblPrEx>
          <w:tblLayout w:type="fixed"/>
          <w:tblCellMar>
            <w:top w:w="15" w:type="dxa"/>
            <w:left w:w="15" w:type="dxa"/>
            <w:bottom w:w="15" w:type="dxa"/>
            <w:right w:w="15" w:type="dxa"/>
          </w:tblCellMar>
        </w:tblPrEx>
        <w:trPr>
          <w:jc w:val="center"/>
        </w:trPr>
        <w:tc>
          <w:tcPr>
            <w:tcW w:w="393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3,456.84</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2,885.91</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570.94</w:t>
            </w: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教育支出</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3,124.75</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2,558.33</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566.42</w:t>
            </w: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普通教育</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2,708.91</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2,558.33</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150.58</w:t>
            </w: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2050202</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小学教育</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2,490.39</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2,482.37</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8.02</w:t>
            </w: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2050299</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其他普通教育支出</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218.52</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75.96</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142.56</w:t>
            </w: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教育费附加安排的支出</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414.84</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414.84</w:t>
            </w: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2050999</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其他教育费附加安排的支出</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414.84</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414.84</w:t>
            </w: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20599</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其他教育支出</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2059999</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其他教育支出</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社会保障和就业支出</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235.89</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235.89</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行政事业单位养老支出</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235.89</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235.89</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2080502</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事业单位离退休</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14.04</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14.04</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2080505</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机关事业单位基本养老保险缴费支出</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141.74</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141.74</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2080506</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机关事业单位职业年金缴费支出</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80.11</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80.11</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卫生健康支出</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91.69</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91.69</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行政事业单位医疗</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91.69</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91.69</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2101102</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事业单位医疗</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60.68</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60.68</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2101199</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其他行政事业单位医疗支出</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其他支出</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4.52</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4.52</w:t>
            </w: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22960</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彩票公益金安排的支出</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4.52</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4.52</w:t>
            </w: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19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2296003</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用于体育事业的彩票公益金支出</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4.52</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4.52</w:t>
            </w:r>
          </w:p>
        </w:tc>
        <w:tc>
          <w:tcPr>
            <w:tcW w:w="8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jc w:val="center"/>
        </w:trPr>
        <w:tc>
          <w:tcPr>
            <w:tcW w:w="9481" w:type="dxa"/>
            <w:gridSpan w:val="8"/>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本年度各项支出情况。</w:t>
            </w:r>
          </w:p>
        </w:tc>
      </w:tr>
    </w:tbl>
    <w:p>
      <w:pPr>
        <w:pStyle w:val="2"/>
        <w:rPr>
          <w:rFonts w:hint="eastAsia" w:ascii="宋体" w:hAnsi="宋体" w:eastAsia="宋体" w:cs="宋体"/>
          <w:color w:val="000000"/>
          <w:kern w:val="0"/>
          <w:sz w:val="22"/>
          <w:szCs w:val="22"/>
          <w:shd w:val="clear" w:fill="FFFFFF"/>
          <w:lang w:bidi="ar"/>
        </w:rPr>
      </w:pPr>
    </w:p>
    <w:p>
      <w:pPr>
        <w:pStyle w:val="2"/>
        <w:rPr>
          <w:rFonts w:hint="eastAsia" w:ascii="宋体" w:hAnsi="宋体" w:eastAsia="宋体" w:cs="宋体"/>
          <w:color w:val="000000"/>
          <w:kern w:val="0"/>
          <w:sz w:val="22"/>
          <w:szCs w:val="22"/>
          <w:shd w:val="clear" w:fill="FFFFFF"/>
          <w:lang w:eastAsia="zh-CN" w:bidi="ar"/>
        </w:rPr>
      </w:pPr>
    </w:p>
    <w:p>
      <w:pPr>
        <w:pStyle w:val="2"/>
        <w:rPr>
          <w:rFonts w:hint="eastAsia" w:ascii="宋体" w:hAnsi="宋体" w:eastAsia="宋体" w:cs="宋体"/>
          <w:color w:val="000000"/>
          <w:kern w:val="0"/>
          <w:sz w:val="22"/>
          <w:szCs w:val="22"/>
          <w:shd w:val="clear" w:fill="FFFFFF"/>
          <w:lang w:eastAsia="zh-CN" w:bidi="ar"/>
        </w:rPr>
      </w:pPr>
    </w:p>
    <w:p>
      <w:pPr>
        <w:pStyle w:val="2"/>
        <w:rPr>
          <w:rFonts w:hint="eastAsia" w:ascii="宋体" w:hAnsi="宋体" w:eastAsia="宋体" w:cs="宋体"/>
          <w:color w:val="000000"/>
          <w:kern w:val="0"/>
          <w:sz w:val="22"/>
          <w:szCs w:val="22"/>
          <w:shd w:val="clear" w:fill="FFFFFF"/>
          <w:lang w:eastAsia="zh-CN" w:bidi="ar"/>
        </w:rPr>
      </w:pPr>
    </w:p>
    <w:p>
      <w:pPr>
        <w:pStyle w:val="2"/>
        <w:rPr>
          <w:rFonts w:hint="eastAsia" w:ascii="宋体" w:hAnsi="宋体" w:eastAsia="宋体" w:cs="宋体"/>
          <w:color w:val="000000"/>
          <w:kern w:val="0"/>
          <w:sz w:val="22"/>
          <w:szCs w:val="22"/>
          <w:shd w:val="clear" w:fill="FFFFFF"/>
          <w:lang w:eastAsia="zh-CN" w:bidi="ar"/>
        </w:rPr>
      </w:pPr>
    </w:p>
    <w:p>
      <w:pPr>
        <w:pStyle w:val="2"/>
        <w:rPr>
          <w:rFonts w:hint="eastAsia" w:ascii="宋体" w:hAnsi="宋体" w:eastAsia="宋体" w:cs="宋体"/>
          <w:color w:val="000000"/>
          <w:kern w:val="0"/>
          <w:sz w:val="22"/>
          <w:szCs w:val="22"/>
          <w:shd w:val="clear" w:fill="FFFFFF"/>
          <w:lang w:eastAsia="zh-CN" w:bidi="ar"/>
        </w:rPr>
      </w:pPr>
    </w:p>
    <w:p>
      <w:pPr>
        <w:pStyle w:val="2"/>
        <w:rPr>
          <w:rFonts w:hint="eastAsia" w:ascii="宋体" w:hAnsi="宋体" w:eastAsia="宋体" w:cs="宋体"/>
          <w:color w:val="000000"/>
          <w:kern w:val="0"/>
          <w:sz w:val="22"/>
          <w:szCs w:val="22"/>
          <w:shd w:val="clear" w:fill="FFFFFF"/>
          <w:lang w:eastAsia="zh-CN" w:bidi="ar"/>
        </w:rPr>
      </w:pPr>
    </w:p>
    <w:p>
      <w:pPr>
        <w:pStyle w:val="2"/>
        <w:rPr>
          <w:rFonts w:hint="eastAsia" w:ascii="宋体" w:hAnsi="宋体" w:eastAsia="宋体" w:cs="宋体"/>
          <w:color w:val="000000"/>
          <w:kern w:val="0"/>
          <w:sz w:val="22"/>
          <w:szCs w:val="22"/>
          <w:shd w:val="clear" w:fill="FFFFFF"/>
          <w:lang w:eastAsia="zh-CN" w:bidi="ar"/>
        </w:rPr>
      </w:pPr>
    </w:p>
    <w:p>
      <w:pPr>
        <w:pStyle w:val="2"/>
        <w:rPr>
          <w:rFonts w:hint="eastAsia" w:ascii="宋体" w:hAnsi="宋体" w:eastAsia="宋体" w:cs="宋体"/>
          <w:color w:val="000000"/>
          <w:kern w:val="0"/>
          <w:sz w:val="22"/>
          <w:szCs w:val="22"/>
          <w:shd w:val="clear" w:fill="FFFFFF"/>
          <w:lang w:eastAsia="zh-CN" w:bidi="ar"/>
        </w:rPr>
      </w:pPr>
    </w:p>
    <w:p>
      <w:pPr>
        <w:pStyle w:val="2"/>
        <w:rPr>
          <w:rFonts w:hint="eastAsia" w:ascii="宋体" w:hAnsi="宋体" w:eastAsia="宋体" w:cs="宋体"/>
          <w:color w:val="000000"/>
          <w:kern w:val="0"/>
          <w:sz w:val="22"/>
          <w:szCs w:val="22"/>
          <w:shd w:val="clear" w:fill="FFFFFF"/>
          <w:lang w:eastAsia="zh-CN" w:bidi="ar"/>
        </w:rPr>
      </w:pPr>
    </w:p>
    <w:p>
      <w:pPr>
        <w:pStyle w:val="2"/>
        <w:rPr>
          <w:rFonts w:hint="eastAsia" w:ascii="宋体" w:hAnsi="宋体" w:eastAsia="宋体" w:cs="宋体"/>
          <w:color w:val="000000"/>
          <w:kern w:val="0"/>
          <w:sz w:val="22"/>
          <w:szCs w:val="22"/>
          <w:shd w:val="clear" w:fill="FFFFFF"/>
          <w:lang w:eastAsia="zh-CN" w:bidi="ar"/>
        </w:rPr>
      </w:pPr>
    </w:p>
    <w:p>
      <w:pPr>
        <w:pStyle w:val="2"/>
        <w:rPr>
          <w:rFonts w:hint="eastAsia" w:ascii="宋体" w:hAnsi="宋体" w:eastAsia="宋体" w:cs="宋体"/>
          <w:color w:val="000000"/>
          <w:kern w:val="0"/>
          <w:sz w:val="22"/>
          <w:szCs w:val="22"/>
          <w:shd w:val="clear" w:fill="FFFFFF"/>
          <w:lang w:eastAsia="zh-CN" w:bidi="ar"/>
        </w:rPr>
      </w:pPr>
    </w:p>
    <w:p>
      <w:pPr>
        <w:keepNext w:val="0"/>
        <w:keepLines w:val="0"/>
        <w:widowControl/>
        <w:numPr>
          <w:ilvl w:val="0"/>
          <w:numId w:val="1"/>
        </w:numPr>
        <w:suppressLineNumbers w:val="0"/>
        <w:shd w:val="clear" w:fill="FFFFFF"/>
        <w:spacing w:before="0" w:beforeAutospacing="1" w:after="0" w:afterAutospacing="1"/>
        <w:ind w:left="0" w:leftChars="0" w:right="0" w:rightChars="0" w:firstLine="0" w:firstLineChars="0"/>
        <w:jc w:val="left"/>
        <w:rPr>
          <w:rFonts w:hint="eastAsia" w:ascii="黑体" w:hAnsi="黑体" w:eastAsia="黑体" w:cs="黑体"/>
          <w:sz w:val="32"/>
          <w:szCs w:val="32"/>
          <w:lang w:eastAsia="zh-CN"/>
        </w:rPr>
      </w:pPr>
      <w:r>
        <w:rPr>
          <w:rFonts w:hint="eastAsia" w:ascii="黑体" w:hAnsi="黑体" w:eastAsia="黑体" w:cs="黑体"/>
          <w:sz w:val="32"/>
          <w:szCs w:val="32"/>
          <w:lang w:eastAsia="zh-CN"/>
        </w:rPr>
        <w:t>财政拨款收入支出决算总表</w:t>
      </w:r>
    </w:p>
    <w:tbl>
      <w:tblPr>
        <w:tblStyle w:val="23"/>
        <w:tblpPr w:leftFromText="180" w:rightFromText="180" w:vertAnchor="text" w:horzAnchor="page" w:tblpX="1008" w:tblpY="243"/>
        <w:tblOverlap w:val="never"/>
        <w:tblW w:w="9616" w:type="dxa"/>
        <w:jc w:val="center"/>
        <w:tblInd w:w="0" w:type="dxa"/>
        <w:tblLayout w:type="fixed"/>
        <w:tblCellMar>
          <w:top w:w="15" w:type="dxa"/>
          <w:left w:w="15" w:type="dxa"/>
          <w:bottom w:w="15" w:type="dxa"/>
          <w:right w:w="15" w:type="dxa"/>
        </w:tblCellMar>
      </w:tblPr>
      <w:tblGrid>
        <w:gridCol w:w="1816"/>
        <w:gridCol w:w="434"/>
        <w:gridCol w:w="1150"/>
        <w:gridCol w:w="1600"/>
        <w:gridCol w:w="566"/>
        <w:gridCol w:w="1217"/>
        <w:gridCol w:w="1100"/>
        <w:gridCol w:w="700"/>
        <w:gridCol w:w="1033"/>
      </w:tblGrid>
      <w:tr>
        <w:tblPrEx>
          <w:tblLayout w:type="fixed"/>
          <w:tblCellMar>
            <w:top w:w="15" w:type="dxa"/>
            <w:left w:w="15" w:type="dxa"/>
            <w:bottom w:w="15" w:type="dxa"/>
            <w:right w:w="15" w:type="dxa"/>
          </w:tblCellMar>
        </w:tblPrEx>
        <w:trPr>
          <w:tblHeader/>
          <w:jc w:val="center"/>
        </w:trPr>
        <w:tc>
          <w:tcPr>
            <w:tcW w:w="9616" w:type="dxa"/>
            <w:gridSpan w:val="9"/>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财政拨款收入支出决算总表</w:t>
            </w:r>
          </w:p>
        </w:tc>
      </w:tr>
      <w:tr>
        <w:tblPrEx>
          <w:tblLayout w:type="fixed"/>
          <w:tblCellMar>
            <w:top w:w="15" w:type="dxa"/>
            <w:left w:w="15" w:type="dxa"/>
            <w:bottom w:w="15" w:type="dxa"/>
            <w:right w:w="15" w:type="dxa"/>
          </w:tblCellMar>
        </w:tblPrEx>
        <w:trPr>
          <w:tblHeader/>
          <w:jc w:val="center"/>
        </w:trPr>
        <w:tc>
          <w:tcPr>
            <w:tcW w:w="9616" w:type="dxa"/>
            <w:gridSpan w:val="9"/>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/单位：厦门市金安小学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2024年度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rPr>
          <w:jc w:val="center"/>
        </w:trPr>
        <w:tc>
          <w:tcPr>
            <w:tcW w:w="340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收入</w:t>
            </w:r>
          </w:p>
        </w:tc>
        <w:tc>
          <w:tcPr>
            <w:tcW w:w="6216"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支出</w:t>
            </w:r>
          </w:p>
        </w:tc>
      </w:tr>
      <w:tr>
        <w:tblPrEx>
          <w:tblLayout w:type="fixed"/>
          <w:tblCellMar>
            <w:top w:w="15" w:type="dxa"/>
            <w:left w:w="15" w:type="dxa"/>
            <w:bottom w:w="15" w:type="dxa"/>
            <w:right w:w="15" w:type="dxa"/>
          </w:tblCellMar>
        </w:tblPrEx>
        <w:trPr>
          <w:trHeight w:val="1156" w:hRule="atLeast"/>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项目</w:t>
            </w: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行次</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金额</w:t>
            </w: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项目</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行次</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合计</w:t>
            </w: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一般公共预算财政拨款</w:t>
            </w: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政府性基金预算财政拨款</w:t>
            </w: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国有资本经营预算财政拨款</w:t>
            </w: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栏次</w:t>
            </w: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w:t>
            </w: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栏次</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w:t>
            </w: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w:t>
            </w: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w:t>
            </w: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5</w:t>
            </w: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一、一般公共预算财政拨款</w:t>
            </w: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3,452.32</w:t>
            </w: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一、一般公共服务支出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33</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二、政府性基金预算财政拨款</w:t>
            </w: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4.52</w:t>
            </w: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二、外交支出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34</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三、国有资本经营预算财政拨款</w:t>
            </w: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三、国防支出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35</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四、公共安全支出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36</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5</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五、教育支出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37</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3,124.75</w:t>
            </w: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3,124.75</w:t>
            </w: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6</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六、科学技术支出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38</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7</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七、文化旅游体育与传媒支出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39</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8</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八、社会保障和就业支出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40</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235.89</w:t>
            </w: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235.89</w:t>
            </w: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9</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九、卫生健康支出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41</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91.69</w:t>
            </w: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91.69</w:t>
            </w: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10</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十、节能环保支出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42</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11</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十一、城乡社区支出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43</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12</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十二、农林水支出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44</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13</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十三、交通运输支出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14</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十四、资源勘探工业信息等支出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46</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15</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十五、商业服务业等支出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47</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16</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十六、金融支出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48</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17</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十七、援助其他地区支出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49</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18</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十八、自然资源海洋气象等支出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50</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19</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十九、住房保障支出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51</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20</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二十、粮油物资储备支出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52</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21</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二十一、国有资本经营预算支出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53</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22</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二十二、灾害防治及应急管理支出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54</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23</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二十三、其他支出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55</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4.52</w:t>
            </w: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4.52</w:t>
            </w: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24</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二十四、债务还本支出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56</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25</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二十五、债务付息支出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57</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26</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二十六、抗疫特别国债安排的支出</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58</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本年收入合计</w:t>
            </w: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27</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3,456.84</w:t>
            </w: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本年支出合计</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59</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3,456.84</w:t>
            </w: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3,452.32</w:t>
            </w: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4.52</w:t>
            </w: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年初财政拨款结转和结余</w:t>
            </w: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28</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年末财政拨款结转和结余</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60</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一、一般公共预算财政拨款</w:t>
            </w: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29</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61</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二、政府性基金预算财政拨款</w:t>
            </w: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62</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三、国有资本经营预算财政拨款</w:t>
            </w: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63</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18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总计</w:t>
            </w:r>
          </w:p>
        </w:tc>
        <w:tc>
          <w:tcPr>
            <w:tcW w:w="4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32</w:t>
            </w:r>
          </w:p>
        </w:tc>
        <w:tc>
          <w:tcPr>
            <w:tcW w:w="11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3,456.84</w:t>
            </w:r>
          </w:p>
        </w:tc>
        <w:tc>
          <w:tcPr>
            <w:tcW w:w="1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总计</w:t>
            </w:r>
          </w:p>
        </w:tc>
        <w:tc>
          <w:tcPr>
            <w:tcW w:w="5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64</w:t>
            </w:r>
          </w:p>
        </w:tc>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3,456.84</w:t>
            </w:r>
          </w:p>
        </w:tc>
        <w:tc>
          <w:tcPr>
            <w:tcW w:w="11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3,452.32</w:t>
            </w:r>
          </w:p>
        </w:tc>
        <w:tc>
          <w:tcPr>
            <w:tcW w:w="7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4.52</w:t>
            </w:r>
          </w:p>
        </w:tc>
        <w:tc>
          <w:tcPr>
            <w:tcW w:w="10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jc w:val="center"/>
        </w:trPr>
        <w:tc>
          <w:tcPr>
            <w:tcW w:w="9616" w:type="dxa"/>
            <w:gridSpan w:val="9"/>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注：本表反映</w:t>
            </w:r>
            <w:r>
              <w:rPr>
                <w:rFonts w:hint="eastAsia" w:ascii="宋体" w:hAnsi="宋体" w:cs="宋体"/>
                <w:color w:val="000000"/>
                <w:kern w:val="0"/>
                <w:sz w:val="22"/>
                <w:szCs w:val="22"/>
                <w:shd w:val="clear" w:fill="FFFFFF"/>
                <w:lang w:val="en-US" w:eastAsia="zh-CN" w:bidi="ar"/>
              </w:rPr>
              <w:t>单位</w:t>
            </w:r>
            <w:r>
              <w:rPr>
                <w:rFonts w:hint="eastAsia" w:ascii="宋体" w:hAnsi="宋体" w:eastAsia="宋体" w:cs="宋体"/>
                <w:color w:val="000000"/>
                <w:kern w:val="0"/>
                <w:sz w:val="22"/>
                <w:szCs w:val="22"/>
                <w:shd w:val="clear" w:fill="FFFFFF"/>
                <w:lang w:val="en-US" w:eastAsia="zh-CN" w:bidi="ar"/>
              </w:rPr>
              <w:t>本年度一般公共预算财政拨款、政府性基金预算财政拨款和国有资本经营预算财政拨款的总收支和年末结转结余情况。</w:t>
            </w:r>
          </w:p>
        </w:tc>
      </w:tr>
    </w:tbl>
    <w:p>
      <w:pPr>
        <w:pStyle w:val="2"/>
        <w:widowControl w:val="0"/>
        <w:numPr>
          <w:ilvl w:val="0"/>
          <w:numId w:val="0"/>
        </w:numPr>
        <w:spacing w:before="0" w:beforeAutospacing="0" w:after="0" w:afterAutospacing="0"/>
        <w:ind w:right="0" w:rightChars="0"/>
        <w:jc w:val="left"/>
        <w:rPr>
          <w:rFonts w:hint="eastAsia"/>
        </w:rPr>
      </w:pPr>
    </w:p>
    <w:p>
      <w:pPr>
        <w:keepNext w:val="0"/>
        <w:keepLines w:val="0"/>
        <w:widowControl/>
        <w:numPr>
          <w:ilvl w:val="0"/>
          <w:numId w:val="0"/>
        </w:numPr>
        <w:suppressLineNumbers w:val="0"/>
        <w:shd w:val="clear" w:fill="FFFFFF"/>
        <w:spacing w:before="0" w:beforeAutospacing="1" w:after="0" w:afterAutospacing="1"/>
        <w:ind w:leftChars="0" w:right="0" w:rightChars="0"/>
        <w:jc w:val="left"/>
        <w:rPr>
          <w:rFonts w:hint="eastAsia" w:ascii="黑体" w:hAnsi="黑体" w:eastAsia="黑体" w:cs="黑体"/>
          <w:sz w:val="32"/>
          <w:szCs w:val="32"/>
          <w:lang w:eastAsia="zh-CN"/>
        </w:rPr>
      </w:pPr>
    </w:p>
    <w:p>
      <w:pPr>
        <w:keepNext w:val="0"/>
        <w:keepLines w:val="0"/>
        <w:widowControl/>
        <w:numPr>
          <w:ilvl w:val="0"/>
          <w:numId w:val="0"/>
        </w:numPr>
        <w:suppressLineNumbers w:val="0"/>
        <w:shd w:val="clear" w:fill="FFFFFF"/>
        <w:spacing w:before="0" w:beforeAutospacing="1" w:after="0" w:afterAutospacing="1"/>
        <w:ind w:leftChars="0" w:right="0" w:rightChars="0"/>
        <w:jc w:val="left"/>
        <w:rPr>
          <w:rFonts w:hint="eastAsia" w:ascii="黑体" w:hAnsi="黑体" w:eastAsia="黑体" w:cs="黑体"/>
          <w:sz w:val="32"/>
          <w:szCs w:val="32"/>
          <w:lang w:eastAsia="zh-CN"/>
        </w:rPr>
      </w:pPr>
      <w:r>
        <w:rPr>
          <w:rFonts w:hint="eastAsia" w:ascii="黑体" w:hAnsi="黑体" w:eastAsia="黑体" w:cs="黑体"/>
          <w:sz w:val="32"/>
          <w:szCs w:val="32"/>
          <w:lang w:eastAsia="zh-CN"/>
        </w:rPr>
        <w:t>五、一般公共预算财政拨款支出决算表</w:t>
      </w:r>
    </w:p>
    <w:p>
      <w:pPr>
        <w:pStyle w:val="2"/>
        <w:widowControl w:val="0"/>
        <w:numPr>
          <w:ilvl w:val="0"/>
          <w:numId w:val="0"/>
        </w:numPr>
        <w:spacing w:before="0" w:beforeAutospacing="0" w:after="0" w:afterAutospacing="0"/>
        <w:ind w:right="0" w:rightChars="0"/>
        <w:jc w:val="left"/>
        <w:rPr>
          <w:rFonts w:hint="eastAsia"/>
        </w:rPr>
      </w:pPr>
    </w:p>
    <w:tbl>
      <w:tblPr>
        <w:tblStyle w:val="23"/>
        <w:tblpPr w:leftFromText="180" w:rightFromText="180" w:vertAnchor="text" w:horzAnchor="page" w:tblpX="974" w:tblpY="39"/>
        <w:tblOverlap w:val="never"/>
        <w:tblW w:w="9750" w:type="dxa"/>
        <w:tblInd w:w="0" w:type="dxa"/>
        <w:tblLayout w:type="fixed"/>
        <w:tblCellMar>
          <w:top w:w="15" w:type="dxa"/>
          <w:left w:w="15" w:type="dxa"/>
          <w:bottom w:w="15" w:type="dxa"/>
          <w:right w:w="15" w:type="dxa"/>
        </w:tblCellMar>
      </w:tblPr>
      <w:tblGrid>
        <w:gridCol w:w="1472"/>
        <w:gridCol w:w="4050"/>
        <w:gridCol w:w="1047"/>
        <w:gridCol w:w="1108"/>
        <w:gridCol w:w="2073"/>
      </w:tblGrid>
      <w:tr>
        <w:tblPrEx>
          <w:tblLayout w:type="fixed"/>
          <w:tblCellMar>
            <w:top w:w="15" w:type="dxa"/>
            <w:left w:w="15" w:type="dxa"/>
            <w:bottom w:w="15" w:type="dxa"/>
            <w:right w:w="15" w:type="dxa"/>
          </w:tblCellMar>
        </w:tblPrEx>
        <w:trPr>
          <w:tblHeader/>
        </w:trPr>
        <w:tc>
          <w:tcPr>
            <w:tcW w:w="9750" w:type="dxa"/>
            <w:gridSpan w:val="5"/>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一般公共预算财政拨款支出决算表</w:t>
            </w:r>
          </w:p>
        </w:tc>
      </w:tr>
      <w:tr>
        <w:tblPrEx>
          <w:tblLayout w:type="fixed"/>
          <w:tblCellMar>
            <w:top w:w="15" w:type="dxa"/>
            <w:left w:w="15" w:type="dxa"/>
            <w:bottom w:w="15" w:type="dxa"/>
            <w:right w:w="15" w:type="dxa"/>
          </w:tblCellMar>
        </w:tblPrEx>
        <w:tc>
          <w:tcPr>
            <w:tcW w:w="9750"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/单位：厦门市金安小学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2024年度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c>
          <w:tcPr>
            <w:tcW w:w="552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项目</w:t>
            </w:r>
          </w:p>
        </w:tc>
        <w:tc>
          <w:tcPr>
            <w:tcW w:w="422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本年支出</w:t>
            </w:r>
          </w:p>
        </w:tc>
      </w:tr>
      <w:tr>
        <w:tblPrEx>
          <w:tblLayout w:type="fixed"/>
          <w:tblCellMar>
            <w:top w:w="15" w:type="dxa"/>
            <w:left w:w="15" w:type="dxa"/>
            <w:bottom w:w="15" w:type="dxa"/>
            <w:right w:w="15" w:type="dxa"/>
          </w:tblCellMar>
        </w:tblPrEx>
        <w:trPr>
          <w:tblHeader/>
        </w:trPr>
        <w:tc>
          <w:tcPr>
            <w:tcW w:w="147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科目代码</w:t>
            </w:r>
          </w:p>
        </w:tc>
        <w:tc>
          <w:tcPr>
            <w:tcW w:w="405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科目名称</w:t>
            </w:r>
          </w:p>
        </w:tc>
        <w:tc>
          <w:tcPr>
            <w:tcW w:w="104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小计</w:t>
            </w:r>
          </w:p>
        </w:tc>
        <w:tc>
          <w:tcPr>
            <w:tcW w:w="11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基本支出</w:t>
            </w:r>
          </w:p>
        </w:tc>
        <w:tc>
          <w:tcPr>
            <w:tcW w:w="207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项目支出</w:t>
            </w:r>
          </w:p>
        </w:tc>
      </w:tr>
      <w:tr>
        <w:tblPrEx>
          <w:tblLayout w:type="fixed"/>
          <w:tblCellMar>
            <w:top w:w="15" w:type="dxa"/>
            <w:left w:w="15" w:type="dxa"/>
            <w:bottom w:w="15" w:type="dxa"/>
            <w:right w:w="15" w:type="dxa"/>
          </w:tblCellMar>
        </w:tblPrEx>
        <w:trPr>
          <w:tblHeader/>
        </w:trPr>
        <w:tc>
          <w:tcPr>
            <w:tcW w:w="147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05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4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0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207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147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05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w:t>
            </w:r>
          </w:p>
        </w:tc>
      </w:tr>
      <w:tr>
        <w:tblPrEx>
          <w:tblLayout w:type="fixed"/>
          <w:tblCellMar>
            <w:top w:w="15" w:type="dxa"/>
            <w:left w:w="15" w:type="dxa"/>
            <w:bottom w:w="15" w:type="dxa"/>
            <w:right w:w="15" w:type="dxa"/>
          </w:tblCellMar>
        </w:tblPrEx>
        <w:tc>
          <w:tcPr>
            <w:tcW w:w="552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合计</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3,452.32</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2,885.91</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566.42</w:t>
            </w:r>
          </w:p>
        </w:tc>
      </w:tr>
      <w:tr>
        <w:tblPrEx>
          <w:tblLayout w:type="fixed"/>
          <w:tblCellMar>
            <w:top w:w="15" w:type="dxa"/>
            <w:left w:w="15" w:type="dxa"/>
            <w:bottom w:w="15" w:type="dxa"/>
            <w:right w:w="15" w:type="dxa"/>
          </w:tblCellMar>
        </w:tblPrEx>
        <w:tc>
          <w:tcPr>
            <w:tcW w:w="14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205</w:t>
            </w:r>
          </w:p>
        </w:tc>
        <w:tc>
          <w:tcPr>
            <w:tcW w:w="4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教育支出</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3,124.75</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2,558.33</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566.42</w:t>
            </w:r>
          </w:p>
        </w:tc>
      </w:tr>
      <w:tr>
        <w:tblPrEx>
          <w:tblLayout w:type="fixed"/>
          <w:tblCellMar>
            <w:top w:w="15" w:type="dxa"/>
            <w:left w:w="15" w:type="dxa"/>
            <w:bottom w:w="15" w:type="dxa"/>
            <w:right w:w="15" w:type="dxa"/>
          </w:tblCellMar>
        </w:tblPrEx>
        <w:tc>
          <w:tcPr>
            <w:tcW w:w="14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20502</w:t>
            </w:r>
          </w:p>
        </w:tc>
        <w:tc>
          <w:tcPr>
            <w:tcW w:w="4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普通教育</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2,708.91</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2,558.33</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150.58</w:t>
            </w:r>
          </w:p>
        </w:tc>
      </w:tr>
      <w:tr>
        <w:tblPrEx>
          <w:tblLayout w:type="fixed"/>
          <w:tblCellMar>
            <w:top w:w="15" w:type="dxa"/>
            <w:left w:w="15" w:type="dxa"/>
            <w:bottom w:w="15" w:type="dxa"/>
            <w:right w:w="15" w:type="dxa"/>
          </w:tblCellMar>
        </w:tblPrEx>
        <w:tc>
          <w:tcPr>
            <w:tcW w:w="14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2050202</w:t>
            </w:r>
          </w:p>
        </w:tc>
        <w:tc>
          <w:tcPr>
            <w:tcW w:w="4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小学教育</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2,490.39</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2,482.37</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8.02</w:t>
            </w:r>
          </w:p>
        </w:tc>
      </w:tr>
      <w:tr>
        <w:tblPrEx>
          <w:tblLayout w:type="fixed"/>
          <w:tblCellMar>
            <w:top w:w="15" w:type="dxa"/>
            <w:left w:w="15" w:type="dxa"/>
            <w:bottom w:w="15" w:type="dxa"/>
            <w:right w:w="15" w:type="dxa"/>
          </w:tblCellMar>
        </w:tblPrEx>
        <w:tc>
          <w:tcPr>
            <w:tcW w:w="14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2050299</w:t>
            </w:r>
          </w:p>
        </w:tc>
        <w:tc>
          <w:tcPr>
            <w:tcW w:w="4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其他普通教育支出</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218.52</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75.96</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142.56</w:t>
            </w:r>
          </w:p>
        </w:tc>
      </w:tr>
      <w:tr>
        <w:tblPrEx>
          <w:tblLayout w:type="fixed"/>
          <w:tblCellMar>
            <w:top w:w="15" w:type="dxa"/>
            <w:left w:w="15" w:type="dxa"/>
            <w:bottom w:w="15" w:type="dxa"/>
            <w:right w:w="15" w:type="dxa"/>
          </w:tblCellMar>
        </w:tblPrEx>
        <w:tc>
          <w:tcPr>
            <w:tcW w:w="14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20509</w:t>
            </w:r>
          </w:p>
        </w:tc>
        <w:tc>
          <w:tcPr>
            <w:tcW w:w="4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教育费附加安排的支出</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414.84</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414.84</w:t>
            </w:r>
          </w:p>
        </w:tc>
      </w:tr>
      <w:tr>
        <w:tblPrEx>
          <w:tblLayout w:type="fixed"/>
          <w:tblCellMar>
            <w:top w:w="15" w:type="dxa"/>
            <w:left w:w="15" w:type="dxa"/>
            <w:bottom w:w="15" w:type="dxa"/>
            <w:right w:w="15" w:type="dxa"/>
          </w:tblCellMar>
        </w:tblPrEx>
        <w:tc>
          <w:tcPr>
            <w:tcW w:w="14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2050999</w:t>
            </w:r>
          </w:p>
        </w:tc>
        <w:tc>
          <w:tcPr>
            <w:tcW w:w="4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其他教育费附加安排的支出</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414.84</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414.84</w:t>
            </w:r>
          </w:p>
        </w:tc>
      </w:tr>
      <w:tr>
        <w:tblPrEx>
          <w:tblLayout w:type="fixed"/>
          <w:tblCellMar>
            <w:top w:w="15" w:type="dxa"/>
            <w:left w:w="15" w:type="dxa"/>
            <w:bottom w:w="15" w:type="dxa"/>
            <w:right w:w="15" w:type="dxa"/>
          </w:tblCellMar>
        </w:tblPrEx>
        <w:tc>
          <w:tcPr>
            <w:tcW w:w="14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20599</w:t>
            </w:r>
          </w:p>
        </w:tc>
        <w:tc>
          <w:tcPr>
            <w:tcW w:w="4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其他教育支出</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w:t>
            </w:r>
          </w:p>
        </w:tc>
      </w:tr>
      <w:tr>
        <w:tblPrEx>
          <w:tblLayout w:type="fixed"/>
          <w:tblCellMar>
            <w:top w:w="15" w:type="dxa"/>
            <w:left w:w="15" w:type="dxa"/>
            <w:bottom w:w="15" w:type="dxa"/>
            <w:right w:w="15" w:type="dxa"/>
          </w:tblCellMar>
        </w:tblPrEx>
        <w:tc>
          <w:tcPr>
            <w:tcW w:w="14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2059999</w:t>
            </w:r>
          </w:p>
        </w:tc>
        <w:tc>
          <w:tcPr>
            <w:tcW w:w="4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其他教育支出</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w:t>
            </w:r>
          </w:p>
        </w:tc>
      </w:tr>
      <w:tr>
        <w:tblPrEx>
          <w:tblLayout w:type="fixed"/>
          <w:tblCellMar>
            <w:top w:w="15" w:type="dxa"/>
            <w:left w:w="15" w:type="dxa"/>
            <w:bottom w:w="15" w:type="dxa"/>
            <w:right w:w="15" w:type="dxa"/>
          </w:tblCellMar>
        </w:tblPrEx>
        <w:tc>
          <w:tcPr>
            <w:tcW w:w="14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208</w:t>
            </w:r>
          </w:p>
        </w:tc>
        <w:tc>
          <w:tcPr>
            <w:tcW w:w="4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社会保障和就业支出</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235.89</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235.89</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r>
      <w:tr>
        <w:tblPrEx>
          <w:tblLayout w:type="fixed"/>
          <w:tblCellMar>
            <w:top w:w="15" w:type="dxa"/>
            <w:left w:w="15" w:type="dxa"/>
            <w:bottom w:w="15" w:type="dxa"/>
            <w:right w:w="15" w:type="dxa"/>
          </w:tblCellMar>
        </w:tblPrEx>
        <w:tc>
          <w:tcPr>
            <w:tcW w:w="14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20805</w:t>
            </w:r>
          </w:p>
        </w:tc>
        <w:tc>
          <w:tcPr>
            <w:tcW w:w="4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行政事业单位养老支出</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235.89</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235.89</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r>
      <w:tr>
        <w:tblPrEx>
          <w:tblLayout w:type="fixed"/>
          <w:tblCellMar>
            <w:top w:w="15" w:type="dxa"/>
            <w:left w:w="15" w:type="dxa"/>
            <w:bottom w:w="15" w:type="dxa"/>
            <w:right w:w="15" w:type="dxa"/>
          </w:tblCellMar>
        </w:tblPrEx>
        <w:tc>
          <w:tcPr>
            <w:tcW w:w="14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2080502</w:t>
            </w:r>
          </w:p>
        </w:tc>
        <w:tc>
          <w:tcPr>
            <w:tcW w:w="4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事业单位离退休</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14.04</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14.04</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r>
      <w:tr>
        <w:tblPrEx>
          <w:tblLayout w:type="fixed"/>
          <w:tblCellMar>
            <w:top w:w="15" w:type="dxa"/>
            <w:left w:w="15" w:type="dxa"/>
            <w:bottom w:w="15" w:type="dxa"/>
            <w:right w:w="15" w:type="dxa"/>
          </w:tblCellMar>
        </w:tblPrEx>
        <w:tc>
          <w:tcPr>
            <w:tcW w:w="14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2080505</w:t>
            </w:r>
          </w:p>
        </w:tc>
        <w:tc>
          <w:tcPr>
            <w:tcW w:w="4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机关事业单位基本养老保险缴费支出</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141.74</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141.74</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r>
      <w:tr>
        <w:tblPrEx>
          <w:tblLayout w:type="fixed"/>
          <w:tblCellMar>
            <w:top w:w="15" w:type="dxa"/>
            <w:left w:w="15" w:type="dxa"/>
            <w:bottom w:w="15" w:type="dxa"/>
            <w:right w:w="15" w:type="dxa"/>
          </w:tblCellMar>
        </w:tblPrEx>
        <w:tc>
          <w:tcPr>
            <w:tcW w:w="14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2080506</w:t>
            </w:r>
          </w:p>
        </w:tc>
        <w:tc>
          <w:tcPr>
            <w:tcW w:w="4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机关事业单位职业年金缴费支出</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80.11</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80.11</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r>
      <w:tr>
        <w:tblPrEx>
          <w:tblLayout w:type="fixed"/>
          <w:tblCellMar>
            <w:top w:w="15" w:type="dxa"/>
            <w:left w:w="15" w:type="dxa"/>
            <w:bottom w:w="15" w:type="dxa"/>
            <w:right w:w="15" w:type="dxa"/>
          </w:tblCellMar>
        </w:tblPrEx>
        <w:tc>
          <w:tcPr>
            <w:tcW w:w="14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210</w:t>
            </w:r>
          </w:p>
        </w:tc>
        <w:tc>
          <w:tcPr>
            <w:tcW w:w="4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卫生健康支出</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91.69</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91.69</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r>
      <w:tr>
        <w:tblPrEx>
          <w:tblLayout w:type="fixed"/>
          <w:tblCellMar>
            <w:top w:w="15" w:type="dxa"/>
            <w:left w:w="15" w:type="dxa"/>
            <w:bottom w:w="15" w:type="dxa"/>
            <w:right w:w="15" w:type="dxa"/>
          </w:tblCellMar>
        </w:tblPrEx>
        <w:tc>
          <w:tcPr>
            <w:tcW w:w="14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21011</w:t>
            </w:r>
          </w:p>
        </w:tc>
        <w:tc>
          <w:tcPr>
            <w:tcW w:w="4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行政事业单位医疗</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91.69</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91.69</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r>
      <w:tr>
        <w:tblPrEx>
          <w:tblLayout w:type="fixed"/>
          <w:tblCellMar>
            <w:top w:w="15" w:type="dxa"/>
            <w:left w:w="15" w:type="dxa"/>
            <w:bottom w:w="15" w:type="dxa"/>
            <w:right w:w="15" w:type="dxa"/>
          </w:tblCellMar>
        </w:tblPrEx>
        <w:tc>
          <w:tcPr>
            <w:tcW w:w="14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2101102</w:t>
            </w:r>
          </w:p>
        </w:tc>
        <w:tc>
          <w:tcPr>
            <w:tcW w:w="4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事业单位医疗</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60.68</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60.68</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r>
      <w:tr>
        <w:tblPrEx>
          <w:tblLayout w:type="fixed"/>
          <w:tblCellMar>
            <w:top w:w="15" w:type="dxa"/>
            <w:left w:w="15" w:type="dxa"/>
            <w:bottom w:w="15" w:type="dxa"/>
            <w:right w:w="15" w:type="dxa"/>
          </w:tblCellMar>
        </w:tblPrEx>
        <w:tc>
          <w:tcPr>
            <w:tcW w:w="14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2101199</w:t>
            </w:r>
          </w:p>
        </w:tc>
        <w:tc>
          <w:tcPr>
            <w:tcW w:w="4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其他行政事业单位医疗支出</w:t>
            </w:r>
          </w:p>
        </w:tc>
        <w:tc>
          <w:tcPr>
            <w:tcW w:w="10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31.01</w:t>
            </w:r>
          </w:p>
        </w:tc>
        <w:tc>
          <w:tcPr>
            <w:tcW w:w="11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31.01</w:t>
            </w:r>
          </w:p>
        </w:tc>
        <w:tc>
          <w:tcPr>
            <w:tcW w:w="207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r>
      <w:tr>
        <w:tblPrEx>
          <w:tblLayout w:type="fixed"/>
          <w:tblCellMar>
            <w:top w:w="15" w:type="dxa"/>
            <w:left w:w="15" w:type="dxa"/>
            <w:bottom w:w="15" w:type="dxa"/>
            <w:right w:w="15" w:type="dxa"/>
          </w:tblCellMar>
        </w:tblPrEx>
        <w:tc>
          <w:tcPr>
            <w:tcW w:w="9750" w:type="dxa"/>
            <w:gridSpan w:val="5"/>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注：本表反映</w:t>
            </w:r>
            <w:r>
              <w:rPr>
                <w:rFonts w:hint="eastAsia" w:ascii="宋体" w:hAnsi="宋体" w:cs="宋体"/>
                <w:color w:val="000000"/>
                <w:kern w:val="0"/>
                <w:sz w:val="22"/>
                <w:szCs w:val="22"/>
                <w:shd w:val="clear" w:fill="FFFFFF"/>
                <w:lang w:val="en-US" w:eastAsia="zh-CN" w:bidi="ar"/>
              </w:rPr>
              <w:t>单位</w:t>
            </w:r>
            <w:r>
              <w:rPr>
                <w:rFonts w:hint="eastAsia" w:ascii="宋体" w:hAnsi="宋体" w:eastAsia="宋体" w:cs="宋体"/>
                <w:color w:val="000000"/>
                <w:kern w:val="0"/>
                <w:sz w:val="22"/>
                <w:szCs w:val="22"/>
                <w:shd w:val="clear" w:fill="FFFFFF"/>
                <w:lang w:val="en-US" w:eastAsia="zh-CN" w:bidi="ar"/>
              </w:rPr>
              <w:t>本年度一般公共预算财政拨款支出情况。</w:t>
            </w:r>
          </w:p>
        </w:tc>
      </w:tr>
    </w:tbl>
    <w:p>
      <w:pPr>
        <w:pStyle w:val="2"/>
        <w:widowControl w:val="0"/>
        <w:numPr>
          <w:ilvl w:val="0"/>
          <w:numId w:val="0"/>
        </w:numPr>
        <w:spacing w:before="0" w:beforeAutospacing="0" w:after="0" w:afterAutospacing="0"/>
        <w:ind w:right="0" w:rightChars="0"/>
        <w:jc w:val="left"/>
        <w:rPr>
          <w:rFonts w:hint="eastAsia"/>
        </w:rPr>
      </w:pPr>
    </w:p>
    <w:p>
      <w:pPr>
        <w:pStyle w:val="2"/>
        <w:widowControl w:val="0"/>
        <w:numPr>
          <w:ilvl w:val="0"/>
          <w:numId w:val="0"/>
        </w:numPr>
        <w:spacing w:before="0" w:beforeAutospacing="0" w:after="0" w:afterAutospacing="0"/>
        <w:ind w:right="0" w:rightChars="0"/>
        <w:jc w:val="left"/>
        <w:rPr>
          <w:rFonts w:hint="eastAsia"/>
        </w:rPr>
      </w:pPr>
    </w:p>
    <w:p>
      <w:pPr>
        <w:pStyle w:val="2"/>
        <w:widowControl w:val="0"/>
        <w:numPr>
          <w:ilvl w:val="0"/>
          <w:numId w:val="0"/>
        </w:numPr>
        <w:spacing w:before="0" w:beforeAutospacing="0" w:after="0" w:afterAutospacing="0"/>
        <w:ind w:right="0" w:rightChars="0"/>
        <w:jc w:val="left"/>
        <w:rPr>
          <w:rFonts w:hint="eastAsia"/>
        </w:rPr>
      </w:pPr>
    </w:p>
    <w:p>
      <w:pPr>
        <w:pStyle w:val="2"/>
        <w:widowControl w:val="0"/>
        <w:numPr>
          <w:ilvl w:val="0"/>
          <w:numId w:val="0"/>
        </w:numPr>
        <w:spacing w:before="0" w:beforeAutospacing="0" w:after="0" w:afterAutospacing="0"/>
        <w:ind w:right="0" w:rightChars="0"/>
        <w:jc w:val="left"/>
        <w:rPr>
          <w:rFonts w:hint="eastAsia"/>
        </w:rPr>
      </w:pPr>
    </w:p>
    <w:p>
      <w:pPr>
        <w:pStyle w:val="2"/>
        <w:widowControl w:val="0"/>
        <w:numPr>
          <w:ilvl w:val="0"/>
          <w:numId w:val="0"/>
        </w:numPr>
        <w:spacing w:before="0" w:beforeAutospacing="0" w:after="0" w:afterAutospacing="0"/>
        <w:ind w:right="0" w:rightChars="0"/>
        <w:jc w:val="left"/>
        <w:rPr>
          <w:rFonts w:hint="eastAsia"/>
        </w:rPr>
      </w:pPr>
    </w:p>
    <w:p>
      <w:pPr>
        <w:pStyle w:val="2"/>
        <w:widowControl w:val="0"/>
        <w:numPr>
          <w:ilvl w:val="0"/>
          <w:numId w:val="0"/>
        </w:numPr>
        <w:spacing w:before="0" w:beforeAutospacing="0" w:after="0" w:afterAutospacing="0"/>
        <w:ind w:right="0" w:rightChars="0"/>
        <w:jc w:val="left"/>
        <w:rPr>
          <w:rFonts w:hint="eastAsia"/>
        </w:rPr>
      </w:pPr>
    </w:p>
    <w:p>
      <w:pPr>
        <w:pStyle w:val="2"/>
        <w:widowControl w:val="0"/>
        <w:numPr>
          <w:ilvl w:val="0"/>
          <w:numId w:val="0"/>
        </w:numPr>
        <w:spacing w:before="0" w:beforeAutospacing="0" w:after="0" w:afterAutospacing="0"/>
        <w:ind w:right="0" w:rightChars="0"/>
        <w:jc w:val="left"/>
        <w:rPr>
          <w:rFonts w:hint="eastAsia"/>
        </w:rPr>
      </w:pPr>
    </w:p>
    <w:p>
      <w:pPr>
        <w:pStyle w:val="2"/>
        <w:widowControl w:val="0"/>
        <w:numPr>
          <w:ilvl w:val="0"/>
          <w:numId w:val="0"/>
        </w:numPr>
        <w:spacing w:before="0" w:beforeAutospacing="0" w:after="0" w:afterAutospacing="0"/>
        <w:ind w:right="0" w:rightChars="0"/>
        <w:jc w:val="left"/>
        <w:rPr>
          <w:rFonts w:hint="eastAsia"/>
        </w:rPr>
      </w:pPr>
    </w:p>
    <w:p>
      <w:pPr>
        <w:pStyle w:val="2"/>
        <w:widowControl w:val="0"/>
        <w:numPr>
          <w:ilvl w:val="0"/>
          <w:numId w:val="0"/>
        </w:numPr>
        <w:spacing w:before="0" w:beforeAutospacing="0" w:after="0" w:afterAutospacing="0"/>
        <w:ind w:right="0" w:rightChars="0"/>
        <w:jc w:val="left"/>
        <w:rPr>
          <w:rFonts w:hint="eastAsia"/>
        </w:rPr>
      </w:pPr>
    </w:p>
    <w:p>
      <w:pPr>
        <w:keepNext w:val="0"/>
        <w:keepLines w:val="0"/>
        <w:widowControl/>
        <w:numPr>
          <w:ilvl w:val="0"/>
          <w:numId w:val="0"/>
        </w:numPr>
        <w:suppressLineNumbers w:val="0"/>
        <w:shd w:val="clear" w:fill="FFFFFF"/>
        <w:spacing w:before="0" w:beforeAutospacing="1" w:after="0" w:afterAutospacing="1"/>
        <w:ind w:leftChars="0" w:right="0" w:rightChars="0"/>
        <w:jc w:val="left"/>
        <w:rPr>
          <w:rFonts w:hint="eastAsia" w:ascii="黑体" w:hAnsi="黑体" w:eastAsia="黑体" w:cs="黑体"/>
          <w:sz w:val="32"/>
          <w:szCs w:val="32"/>
          <w:lang w:eastAsia="zh-CN"/>
        </w:rPr>
      </w:pPr>
      <w:r>
        <w:rPr>
          <w:rFonts w:hint="eastAsia" w:ascii="黑体" w:hAnsi="黑体" w:eastAsia="黑体" w:cs="黑体"/>
          <w:sz w:val="32"/>
          <w:szCs w:val="32"/>
          <w:lang w:eastAsia="zh-CN"/>
        </w:rPr>
        <w:t>六、一般公共预算财政拨款基本支出决算表</w:t>
      </w:r>
    </w:p>
    <w:p>
      <w:pPr>
        <w:pStyle w:val="2"/>
        <w:widowControl w:val="0"/>
        <w:numPr>
          <w:ilvl w:val="0"/>
          <w:numId w:val="0"/>
        </w:numPr>
        <w:spacing w:before="0" w:beforeAutospacing="0" w:after="0" w:afterAutospacing="0"/>
        <w:ind w:right="0" w:rightChars="0"/>
        <w:jc w:val="left"/>
        <w:rPr>
          <w:rFonts w:hint="eastAsia"/>
        </w:rPr>
      </w:pPr>
    </w:p>
    <w:tbl>
      <w:tblPr>
        <w:tblStyle w:val="23"/>
        <w:tblpPr w:leftFromText="180" w:rightFromText="180" w:vertAnchor="text" w:horzAnchor="page" w:tblpX="974" w:tblpY="319"/>
        <w:tblOverlap w:val="never"/>
        <w:tblW w:w="9750" w:type="dxa"/>
        <w:tblInd w:w="0" w:type="dxa"/>
        <w:tblLayout w:type="fixed"/>
        <w:tblCellMar>
          <w:top w:w="15" w:type="dxa"/>
          <w:left w:w="15" w:type="dxa"/>
          <w:bottom w:w="15" w:type="dxa"/>
          <w:right w:w="15" w:type="dxa"/>
        </w:tblCellMar>
      </w:tblPr>
      <w:tblGrid>
        <w:gridCol w:w="982"/>
        <w:gridCol w:w="1990"/>
        <w:gridCol w:w="954"/>
        <w:gridCol w:w="956"/>
        <w:gridCol w:w="1110"/>
        <w:gridCol w:w="995"/>
        <w:gridCol w:w="1024"/>
        <w:gridCol w:w="811"/>
        <w:gridCol w:w="928"/>
      </w:tblGrid>
      <w:tr>
        <w:tblPrEx>
          <w:tblLayout w:type="fixed"/>
          <w:tblCellMar>
            <w:top w:w="15" w:type="dxa"/>
            <w:left w:w="15" w:type="dxa"/>
            <w:bottom w:w="15" w:type="dxa"/>
            <w:right w:w="15" w:type="dxa"/>
          </w:tblCellMar>
        </w:tblPrEx>
        <w:trPr>
          <w:trHeight w:val="90" w:hRule="atLeast"/>
          <w:tblHeader/>
        </w:trPr>
        <w:tc>
          <w:tcPr>
            <w:tcW w:w="9750"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一般公共预算财政拨款基本支出决算表</w:t>
            </w:r>
          </w:p>
        </w:tc>
      </w:tr>
      <w:tr>
        <w:tblPrEx>
          <w:tblLayout w:type="fixed"/>
          <w:tblCellMar>
            <w:top w:w="15" w:type="dxa"/>
            <w:left w:w="15" w:type="dxa"/>
            <w:bottom w:w="15" w:type="dxa"/>
            <w:right w:w="15" w:type="dxa"/>
          </w:tblCellMar>
        </w:tblPrEx>
        <w:trPr>
          <w:tblHeader/>
        </w:trPr>
        <w:tc>
          <w:tcPr>
            <w:tcW w:w="9750" w:type="dxa"/>
            <w:gridSpan w:val="9"/>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/单位：厦门市金安小学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2024年度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rPr>
          <w:tblHeader/>
        </w:trPr>
        <w:tc>
          <w:tcPr>
            <w:tcW w:w="98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经济分类科目编码</w:t>
            </w:r>
          </w:p>
        </w:tc>
        <w:tc>
          <w:tcPr>
            <w:tcW w:w="199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科目名称</w:t>
            </w:r>
          </w:p>
        </w:tc>
        <w:tc>
          <w:tcPr>
            <w:tcW w:w="95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金额</w:t>
            </w:r>
          </w:p>
        </w:tc>
        <w:tc>
          <w:tcPr>
            <w:tcW w:w="95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经济分类科目编码</w:t>
            </w:r>
          </w:p>
        </w:tc>
        <w:tc>
          <w:tcPr>
            <w:tcW w:w="111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科目名称</w:t>
            </w:r>
          </w:p>
        </w:tc>
        <w:tc>
          <w:tcPr>
            <w:tcW w:w="99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金额</w:t>
            </w:r>
          </w:p>
        </w:tc>
        <w:tc>
          <w:tcPr>
            <w:tcW w:w="102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经济分类科目编码</w:t>
            </w:r>
          </w:p>
        </w:tc>
        <w:tc>
          <w:tcPr>
            <w:tcW w:w="81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科目名称</w:t>
            </w:r>
          </w:p>
        </w:tc>
        <w:tc>
          <w:tcPr>
            <w:tcW w:w="92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金额</w:t>
            </w:r>
          </w:p>
        </w:tc>
      </w:tr>
      <w:tr>
        <w:tblPrEx>
          <w:tblLayout w:type="fixed"/>
          <w:tblCellMar>
            <w:top w:w="15" w:type="dxa"/>
            <w:left w:w="15" w:type="dxa"/>
            <w:bottom w:w="15" w:type="dxa"/>
            <w:right w:w="15" w:type="dxa"/>
          </w:tblCellMar>
        </w:tblPrEx>
        <w:trPr>
          <w:tblHeader/>
        </w:trPr>
        <w:tc>
          <w:tcPr>
            <w:tcW w:w="98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99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1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9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81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2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301</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工资福利支出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2,544.08</w:t>
            </w: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商品和服务支出</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301.33</w:t>
            </w: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30703</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国内债务发行费用</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30101</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基本工资</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231.16</w:t>
            </w: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30201</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办公费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126.69</w:t>
            </w: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30704</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国外债务发行费用</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30102</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津贴补贴</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342.83</w:t>
            </w: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30202</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印刷费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12.24</w:t>
            </w: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资本性支出</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20.14</w:t>
            </w: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30103</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奖金</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612.58</w:t>
            </w: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30203</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咨询费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31001</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房屋建筑物购建</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30106</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伙食补助费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30204</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手续费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31002</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办公设备购置</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20.14</w:t>
            </w: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30107</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绩效工资</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127.23</w:t>
            </w: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30205</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水费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8.53</w:t>
            </w: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31003</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专用设备购置</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30108</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机关事业单位基本养老保险缴费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141.74</w:t>
            </w: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30206</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电费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27</w:t>
            </w: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31005</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基础设施建设</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30109</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职业年金缴费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80.11</w:t>
            </w: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30207</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邮电费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1.29</w:t>
            </w: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31006</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大型修缮</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30110</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职工基本医疗保险缴费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60.68</w:t>
            </w: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30208</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取暖费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31007</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信息网络及软件购置更新</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30111</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公务员医疗补助缴费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30209</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物业管理费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31008</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物资储备</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30112</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其他社会保障缴费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44.93</w:t>
            </w: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30211</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差旅费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1.17</w:t>
            </w: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31009</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土地补偿</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30113</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住房公积金</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149.12</w:t>
            </w: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30212</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因公出国（境）费用</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31010</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安置补助</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30114</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医疗费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30213</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维修（护）费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37.24</w:t>
            </w: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31011</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地上附着物和青苗补偿</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30199</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其他工资福利支出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753.7</w:t>
            </w: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30214</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租赁费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31012</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拆迁补偿</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303</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对个人和家庭的补助</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20.36</w:t>
            </w: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30215</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会议费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31013</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公务用车购置</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30301</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离休费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30216</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培训费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22.95</w:t>
            </w: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31019</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其他交通工具购置</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30302</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退休费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30217</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公务接待费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31021</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文物和陈列品购置</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30303</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退职（役）费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30218</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专用材料费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31022</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无形资产购置</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30304</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抚恤金</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30224</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被装购置费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31099</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其他资本性支出</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30305</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生活补助</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30225</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专用燃料费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312</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对企业补助</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30306</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救济费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30226</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劳务费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1.32</w:t>
            </w: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31201</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资本金注入</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30307</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医疗费补助</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30227</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委托业务费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0.81</w:t>
            </w: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31203</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政府投资基金股权投资</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30308</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助学金</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30228</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工会经费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34.92</w:t>
            </w: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31204</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费用补贴</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30309</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奖励金</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6.32</w:t>
            </w: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30229</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福利费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2.9</w:t>
            </w: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31205</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利息补贴</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30310</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个人农业生产补贴</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30231</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公务用车运行维护费</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31206</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其他资本性补助</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30311</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代缴社会保险费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30239</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其他交通费用</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5.99</w:t>
            </w: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31299</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其他对企业补助</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30399</w:t>
            </w: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其他对个人和家庭的补助</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14.04</w:t>
            </w: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30240</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税金及附加费用</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399</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其他支出</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rHeight w:val="234" w:hRule="atLeast"/>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30299</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其他商品和服务支出</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18.29</w:t>
            </w: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39907</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国家赔偿费用支出</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307</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债务利息及费用支出</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39908</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对民间非营利组织和群众性自治组织补贴</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30701</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国内债务付息</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39909</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经常性赠与</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30702</w:t>
            </w: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国外债务付息</w:t>
            </w: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39910</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资本性赠与</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9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9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0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39999</w:t>
            </w:r>
          </w:p>
        </w:tc>
        <w:tc>
          <w:tcPr>
            <w:tcW w:w="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其他支出</w:t>
            </w:r>
          </w:p>
        </w:tc>
        <w:tc>
          <w:tcPr>
            <w:tcW w:w="9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297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人员经费合计</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2,564.44</w:t>
            </w:r>
          </w:p>
        </w:tc>
        <w:tc>
          <w:tcPr>
            <w:tcW w:w="4085"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公用经费合计</w:t>
            </w:r>
          </w:p>
        </w:tc>
        <w:tc>
          <w:tcPr>
            <w:tcW w:w="173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321.46</w:t>
            </w:r>
          </w:p>
        </w:tc>
      </w:tr>
      <w:tr>
        <w:tblPrEx>
          <w:tblLayout w:type="fixed"/>
          <w:tblCellMar>
            <w:top w:w="15" w:type="dxa"/>
            <w:left w:w="15" w:type="dxa"/>
            <w:bottom w:w="15" w:type="dxa"/>
            <w:right w:w="15" w:type="dxa"/>
          </w:tblCellMar>
        </w:tblPrEx>
        <w:trPr>
          <w:tblHeader/>
        </w:trPr>
        <w:tc>
          <w:tcPr>
            <w:tcW w:w="9750" w:type="dxa"/>
            <w:gridSpan w:val="9"/>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注：本表反映</w:t>
            </w:r>
            <w:r>
              <w:rPr>
                <w:rFonts w:hint="eastAsia" w:ascii="宋体" w:hAnsi="宋体" w:cs="宋体"/>
                <w:color w:val="000000"/>
                <w:kern w:val="0"/>
                <w:sz w:val="22"/>
                <w:szCs w:val="22"/>
                <w:shd w:val="clear" w:fill="FFFFFF"/>
                <w:lang w:val="en-US" w:eastAsia="zh-CN" w:bidi="ar"/>
              </w:rPr>
              <w:t>单位</w:t>
            </w:r>
            <w:r>
              <w:rPr>
                <w:rFonts w:hint="eastAsia" w:ascii="宋体" w:hAnsi="宋体" w:eastAsia="宋体" w:cs="宋体"/>
                <w:color w:val="000000"/>
                <w:kern w:val="0"/>
                <w:sz w:val="22"/>
                <w:szCs w:val="22"/>
                <w:shd w:val="clear" w:fill="FFFFFF"/>
                <w:lang w:val="en-US" w:eastAsia="zh-CN" w:bidi="ar"/>
              </w:rPr>
              <w:t>本年度一般公共预算财政拨款基本支出明细情况。</w:t>
            </w:r>
          </w:p>
        </w:tc>
      </w:tr>
    </w:tbl>
    <w:p>
      <w:pPr>
        <w:pStyle w:val="2"/>
        <w:widowControl w:val="0"/>
        <w:numPr>
          <w:ilvl w:val="0"/>
          <w:numId w:val="0"/>
        </w:numPr>
        <w:spacing w:before="0" w:beforeAutospacing="0" w:after="0" w:afterAutospacing="0"/>
        <w:ind w:right="0" w:rightChars="0"/>
        <w:jc w:val="left"/>
        <w:rPr>
          <w:rFonts w:hint="eastAsia"/>
        </w:rPr>
      </w:pPr>
    </w:p>
    <w:p>
      <w:pPr>
        <w:pStyle w:val="2"/>
        <w:widowControl w:val="0"/>
        <w:numPr>
          <w:ilvl w:val="0"/>
          <w:numId w:val="0"/>
        </w:numPr>
        <w:spacing w:before="0" w:beforeAutospacing="0" w:after="0" w:afterAutospacing="0"/>
        <w:ind w:right="0" w:rightChars="0"/>
        <w:jc w:val="left"/>
        <w:rPr>
          <w:rFonts w:hint="eastAsia"/>
        </w:rPr>
      </w:pPr>
    </w:p>
    <w:p>
      <w:pPr>
        <w:keepNext w:val="0"/>
        <w:keepLines w:val="0"/>
        <w:widowControl/>
        <w:numPr>
          <w:ilvl w:val="0"/>
          <w:numId w:val="0"/>
        </w:numPr>
        <w:suppressLineNumbers w:val="0"/>
        <w:shd w:val="clear" w:fill="FFFFFF"/>
        <w:spacing w:before="0" w:beforeAutospacing="1" w:after="0" w:afterAutospacing="1"/>
        <w:ind w:leftChars="0" w:right="0" w:rightChars="0"/>
        <w:jc w:val="both"/>
        <w:rPr>
          <w:rFonts w:hint="eastAsia" w:ascii="黑体" w:hAnsi="黑体" w:eastAsia="黑体" w:cs="黑体"/>
          <w:sz w:val="32"/>
          <w:szCs w:val="32"/>
          <w:lang w:eastAsia="zh-CN"/>
        </w:rPr>
      </w:pPr>
      <w:r>
        <w:rPr>
          <w:rFonts w:hint="eastAsia" w:ascii="黑体" w:hAnsi="黑体" w:eastAsia="黑体" w:cs="黑体"/>
          <w:sz w:val="32"/>
          <w:szCs w:val="32"/>
          <w:lang w:eastAsia="zh-CN"/>
        </w:rPr>
        <w:t>七、一般公共预算财政拨款“三公”经费支出决算表</w:t>
      </w:r>
    </w:p>
    <w:tbl>
      <w:tblPr>
        <w:tblStyle w:val="23"/>
        <w:tblpPr w:leftFromText="180" w:rightFromText="180" w:vertAnchor="text" w:horzAnchor="page" w:tblpX="979" w:tblpY="122"/>
        <w:tblOverlap w:val="never"/>
        <w:tblW w:w="10200" w:type="dxa"/>
        <w:tblInd w:w="0" w:type="dxa"/>
        <w:tblLayout w:type="fixed"/>
        <w:tblCellMar>
          <w:top w:w="15" w:type="dxa"/>
          <w:left w:w="15" w:type="dxa"/>
          <w:bottom w:w="15" w:type="dxa"/>
          <w:right w:w="15" w:type="dxa"/>
        </w:tblCellMar>
      </w:tblPr>
      <w:tblGrid>
        <w:gridCol w:w="728"/>
        <w:gridCol w:w="1467"/>
        <w:gridCol w:w="349"/>
        <w:gridCol w:w="776"/>
        <w:gridCol w:w="947"/>
        <w:gridCol w:w="606"/>
        <w:gridCol w:w="565"/>
        <w:gridCol w:w="959"/>
        <w:gridCol w:w="349"/>
        <w:gridCol w:w="776"/>
        <w:gridCol w:w="947"/>
        <w:gridCol w:w="1731"/>
      </w:tblGrid>
      <w:tr>
        <w:tblPrEx>
          <w:tblLayout w:type="fixed"/>
          <w:tblCellMar>
            <w:top w:w="15" w:type="dxa"/>
            <w:left w:w="15" w:type="dxa"/>
            <w:bottom w:w="15" w:type="dxa"/>
            <w:right w:w="15" w:type="dxa"/>
          </w:tblCellMar>
        </w:tblPrEx>
        <w:trPr>
          <w:tblHeader/>
        </w:trPr>
        <w:tc>
          <w:tcPr>
            <w:tcW w:w="10200" w:type="dxa"/>
            <w:gridSpan w:val="12"/>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一般公共预算财政拨款“三公”经费支出决算</w:t>
            </w:r>
          </w:p>
        </w:tc>
      </w:tr>
      <w:tr>
        <w:tblPrEx>
          <w:tblLayout w:type="fixed"/>
          <w:tblCellMar>
            <w:top w:w="15" w:type="dxa"/>
            <w:left w:w="15" w:type="dxa"/>
            <w:bottom w:w="15" w:type="dxa"/>
            <w:right w:w="15" w:type="dxa"/>
          </w:tblCellMar>
        </w:tblPrEx>
        <w:tc>
          <w:tcPr>
            <w:tcW w:w="10200" w:type="dxa"/>
            <w:gridSpan w:val="1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/单位：厦门市金安小学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2024年度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c>
          <w:tcPr>
            <w:tcW w:w="4873"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预算数</w:t>
            </w:r>
          </w:p>
        </w:tc>
        <w:tc>
          <w:tcPr>
            <w:tcW w:w="5327"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决算数</w:t>
            </w:r>
          </w:p>
        </w:tc>
      </w:tr>
      <w:tr>
        <w:tblPrEx>
          <w:tblLayout w:type="fixed"/>
          <w:tblCellMar>
            <w:top w:w="15" w:type="dxa"/>
            <w:left w:w="15" w:type="dxa"/>
            <w:bottom w:w="15" w:type="dxa"/>
            <w:right w:w="15" w:type="dxa"/>
          </w:tblCellMar>
        </w:tblPrEx>
        <w:trPr>
          <w:tblHeader/>
        </w:trPr>
        <w:tc>
          <w:tcPr>
            <w:tcW w:w="72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合计</w:t>
            </w:r>
          </w:p>
        </w:tc>
        <w:tc>
          <w:tcPr>
            <w:tcW w:w="146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因公出国 （境）费</w:t>
            </w:r>
          </w:p>
        </w:tc>
        <w:tc>
          <w:tcPr>
            <w:tcW w:w="2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公务用车购置及运行维护费</w:t>
            </w:r>
          </w:p>
        </w:tc>
        <w:tc>
          <w:tcPr>
            <w:tcW w:w="6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公务接待费</w:t>
            </w:r>
          </w:p>
        </w:tc>
        <w:tc>
          <w:tcPr>
            <w:tcW w:w="5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合计</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因公出国 （境）费</w:t>
            </w:r>
          </w:p>
        </w:tc>
        <w:tc>
          <w:tcPr>
            <w:tcW w:w="2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公务用车购置及运行维护费</w:t>
            </w:r>
          </w:p>
        </w:tc>
        <w:tc>
          <w:tcPr>
            <w:tcW w:w="17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公务接待费</w:t>
            </w:r>
          </w:p>
        </w:tc>
      </w:tr>
      <w:tr>
        <w:tblPrEx>
          <w:tblLayout w:type="fixed"/>
          <w:tblCellMar>
            <w:top w:w="15" w:type="dxa"/>
            <w:left w:w="15" w:type="dxa"/>
            <w:bottom w:w="15" w:type="dxa"/>
            <w:right w:w="15" w:type="dxa"/>
          </w:tblCellMar>
        </w:tblPrEx>
        <w:trPr>
          <w:tblHeader/>
        </w:trPr>
        <w:tc>
          <w:tcPr>
            <w:tcW w:w="72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46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34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xml:space="preserve">小计 </w:t>
            </w:r>
          </w:p>
        </w:tc>
        <w:tc>
          <w:tcPr>
            <w:tcW w:w="77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公务用车购置费</w:t>
            </w:r>
          </w:p>
        </w:tc>
        <w:tc>
          <w:tcPr>
            <w:tcW w:w="94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公务用车运行维护费</w:t>
            </w:r>
          </w:p>
        </w:tc>
        <w:tc>
          <w:tcPr>
            <w:tcW w:w="606" w:type="dxa"/>
            <w:vMerge w:val="restart"/>
            <w:tcBorders>
              <w:top w:val="single" w:color="000000" w:sz="6" w:space="0"/>
              <w:left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565" w:type="dxa"/>
            <w:vMerge w:val="restart"/>
            <w:tcBorders>
              <w:top w:val="single" w:color="000000" w:sz="6" w:space="0"/>
              <w:left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9" w:type="dxa"/>
            <w:vMerge w:val="restart"/>
            <w:tcBorders>
              <w:top w:val="single" w:color="000000" w:sz="6" w:space="0"/>
              <w:left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34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xml:space="preserve">小计 </w:t>
            </w:r>
          </w:p>
        </w:tc>
        <w:tc>
          <w:tcPr>
            <w:tcW w:w="77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公务用车购置费</w:t>
            </w:r>
          </w:p>
        </w:tc>
        <w:tc>
          <w:tcPr>
            <w:tcW w:w="94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公务用车运行维护费</w:t>
            </w:r>
          </w:p>
        </w:tc>
        <w:tc>
          <w:tcPr>
            <w:tcW w:w="1731" w:type="dxa"/>
            <w:vMerge w:val="restart"/>
            <w:tcBorders>
              <w:top w:val="single" w:color="000000" w:sz="6" w:space="0"/>
              <w:left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72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46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34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7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4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60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56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5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34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7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94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73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w:t>
            </w:r>
          </w:p>
        </w:tc>
        <w:tc>
          <w:tcPr>
            <w:tcW w:w="14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w:t>
            </w:r>
          </w:p>
        </w:tc>
        <w:tc>
          <w:tcPr>
            <w:tcW w:w="3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w:t>
            </w:r>
          </w:p>
        </w:tc>
        <w:tc>
          <w:tcPr>
            <w:tcW w:w="7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w:t>
            </w:r>
          </w:p>
        </w:tc>
        <w:tc>
          <w:tcPr>
            <w:tcW w:w="9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5</w:t>
            </w:r>
          </w:p>
        </w:tc>
        <w:tc>
          <w:tcPr>
            <w:tcW w:w="6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6</w:t>
            </w:r>
          </w:p>
        </w:tc>
        <w:tc>
          <w:tcPr>
            <w:tcW w:w="5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7</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8</w:t>
            </w:r>
          </w:p>
        </w:tc>
        <w:tc>
          <w:tcPr>
            <w:tcW w:w="3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9</w:t>
            </w:r>
          </w:p>
        </w:tc>
        <w:tc>
          <w:tcPr>
            <w:tcW w:w="7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10</w:t>
            </w:r>
          </w:p>
        </w:tc>
        <w:tc>
          <w:tcPr>
            <w:tcW w:w="9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11</w:t>
            </w:r>
          </w:p>
        </w:tc>
        <w:tc>
          <w:tcPr>
            <w:tcW w:w="17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12</w:t>
            </w:r>
          </w:p>
        </w:tc>
      </w:tr>
      <w:tr>
        <w:tblPrEx>
          <w:tblLayout w:type="fixed"/>
          <w:tblCellMar>
            <w:top w:w="15" w:type="dxa"/>
            <w:left w:w="15" w:type="dxa"/>
            <w:bottom w:w="15" w:type="dxa"/>
            <w:right w:w="15" w:type="dxa"/>
          </w:tblCellMar>
        </w:tblPrEx>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val="en-US" w:eastAsia="zh-CN" w:bidi="ar"/>
              </w:rPr>
              <w:t>0</w:t>
            </w:r>
            <w:r>
              <w:rPr>
                <w:rFonts w:hint="eastAsia" w:ascii="宋体" w:hAnsi="宋体" w:eastAsia="宋体" w:cs="宋体"/>
                <w:color w:val="000000"/>
                <w:kern w:val="0"/>
                <w:sz w:val="22"/>
                <w:szCs w:val="22"/>
                <w:shd w:val="clear" w:fill="FFFFFF"/>
                <w:lang w:val="en-US" w:eastAsia="zh-CN" w:bidi="ar"/>
              </w:rPr>
              <w:t> </w:t>
            </w:r>
          </w:p>
        </w:tc>
        <w:tc>
          <w:tcPr>
            <w:tcW w:w="14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val="en-US" w:eastAsia="zh-CN" w:bidi="ar"/>
              </w:rPr>
              <w:t>0</w:t>
            </w:r>
          </w:p>
        </w:tc>
        <w:tc>
          <w:tcPr>
            <w:tcW w:w="3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val="en-US" w:eastAsia="zh-CN" w:bidi="ar"/>
              </w:rPr>
              <w:t>0</w:t>
            </w:r>
          </w:p>
        </w:tc>
        <w:tc>
          <w:tcPr>
            <w:tcW w:w="7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val="en-US" w:eastAsia="zh-CN" w:bidi="ar"/>
              </w:rPr>
              <w:t>0</w:t>
            </w:r>
          </w:p>
        </w:tc>
        <w:tc>
          <w:tcPr>
            <w:tcW w:w="9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val="en-US" w:eastAsia="zh-CN" w:bidi="ar"/>
              </w:rPr>
              <w:t>0</w:t>
            </w:r>
          </w:p>
        </w:tc>
        <w:tc>
          <w:tcPr>
            <w:tcW w:w="6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val="en-US" w:eastAsia="zh-CN" w:bidi="ar"/>
              </w:rPr>
              <w:t>0</w:t>
            </w:r>
          </w:p>
        </w:tc>
        <w:tc>
          <w:tcPr>
            <w:tcW w:w="5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val="en-US" w:eastAsia="zh-CN" w:bidi="ar"/>
              </w:rPr>
              <w:t>0</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val="en-US" w:eastAsia="zh-CN" w:bidi="ar"/>
              </w:rPr>
              <w:t>0</w:t>
            </w:r>
          </w:p>
        </w:tc>
        <w:tc>
          <w:tcPr>
            <w:tcW w:w="3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val="en-US" w:eastAsia="zh-CN" w:bidi="ar"/>
              </w:rPr>
              <w:t>0</w:t>
            </w:r>
          </w:p>
        </w:tc>
        <w:tc>
          <w:tcPr>
            <w:tcW w:w="7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val="en-US" w:eastAsia="zh-CN" w:bidi="ar"/>
              </w:rPr>
              <w:t>0</w:t>
            </w:r>
          </w:p>
        </w:tc>
        <w:tc>
          <w:tcPr>
            <w:tcW w:w="9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val="en-US" w:eastAsia="zh-CN" w:bidi="ar"/>
              </w:rPr>
              <w:t>0</w:t>
            </w:r>
          </w:p>
        </w:tc>
        <w:tc>
          <w:tcPr>
            <w:tcW w:w="17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val="en-US" w:eastAsia="zh-CN" w:bidi="ar"/>
              </w:rPr>
              <w:t>0</w:t>
            </w:r>
          </w:p>
        </w:tc>
      </w:tr>
      <w:tr>
        <w:tblPrEx>
          <w:tblLayout w:type="fixed"/>
          <w:tblCellMar>
            <w:top w:w="15" w:type="dxa"/>
            <w:left w:w="15" w:type="dxa"/>
            <w:bottom w:w="15" w:type="dxa"/>
            <w:right w:w="15" w:type="dxa"/>
          </w:tblCellMar>
        </w:tblPrEx>
        <w:tc>
          <w:tcPr>
            <w:tcW w:w="10200" w:type="dxa"/>
            <w:gridSpan w:val="12"/>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lang w:val="en-US" w:eastAsia="zh-CN"/>
              </w:rPr>
            </w:pPr>
            <w:r>
              <w:rPr>
                <w:rFonts w:hint="eastAsia"/>
                <w:lang w:val="en-US" w:eastAsia="zh-CN"/>
              </w:rPr>
              <w:t>注：本表反映单位本年度财政拨款“三公”经费支出预决算情况。其中，预算数为“三公”经费全年预算数，反映按规定程序调整后的预算数；决算数是包括当年财政拨款和以前年度结转资金安排的实际支出。</w:t>
            </w:r>
          </w:p>
          <w:p>
            <w:pPr>
              <w:pStyle w:val="2"/>
              <w:ind w:firstLine="640" w:firstLineChars="200"/>
              <w:rPr>
                <w:rFonts w:hint="eastAsia"/>
                <w:lang w:val="en-US" w:eastAsia="zh-CN"/>
              </w:rPr>
            </w:pPr>
            <w:r>
              <w:rPr>
                <w:rFonts w:hint="eastAsia" w:ascii="仿宋" w:hAnsi="仿宋" w:eastAsia="仿宋" w:cs="仿宋"/>
                <w:color w:val="000000"/>
                <w:kern w:val="0"/>
                <w:sz w:val="32"/>
                <w:szCs w:val="32"/>
                <w:shd w:val="clear" w:fill="FFFFFF"/>
                <w:lang w:eastAsia="zh-CN" w:bidi="ar"/>
              </w:rPr>
              <w:t>本单位</w:t>
            </w:r>
            <w:r>
              <w:rPr>
                <w:rFonts w:hint="eastAsia" w:ascii="仿宋" w:hAnsi="仿宋" w:eastAsia="仿宋" w:cs="仿宋"/>
                <w:color w:val="000000"/>
                <w:kern w:val="0"/>
                <w:sz w:val="32"/>
                <w:szCs w:val="32"/>
                <w:shd w:val="clear" w:fill="FFFFFF"/>
                <w:lang w:val="en-US" w:eastAsia="zh-CN" w:bidi="ar"/>
              </w:rPr>
              <w:t>2024年度没有使用一般公共预算财政拨款安排的“三公”经费支出。</w:t>
            </w:r>
          </w:p>
        </w:tc>
      </w:tr>
    </w:tbl>
    <w:p>
      <w:pPr>
        <w:keepNext w:val="0"/>
        <w:keepLines w:val="0"/>
        <w:widowControl/>
        <w:numPr>
          <w:ilvl w:val="0"/>
          <w:numId w:val="0"/>
        </w:numPr>
        <w:suppressLineNumbers w:val="0"/>
        <w:shd w:val="clear" w:fill="FFFFFF"/>
        <w:spacing w:before="0" w:beforeAutospacing="1" w:after="0" w:afterAutospacing="1"/>
        <w:ind w:leftChars="0" w:right="0" w:rightChars="0"/>
        <w:jc w:val="both"/>
        <w:rPr>
          <w:rFonts w:hint="eastAsia" w:ascii="黑体" w:hAnsi="黑体" w:eastAsia="黑体" w:cs="黑体"/>
          <w:sz w:val="32"/>
          <w:szCs w:val="32"/>
          <w:lang w:eastAsia="zh-CN"/>
        </w:rPr>
      </w:pPr>
      <w:r>
        <w:rPr>
          <w:rFonts w:hint="eastAsia" w:ascii="黑体" w:hAnsi="黑体" w:eastAsia="黑体" w:cs="黑体"/>
          <w:sz w:val="32"/>
          <w:szCs w:val="32"/>
          <w:lang w:eastAsia="zh-CN"/>
        </w:rPr>
        <w:t>八、政府性基金预算财政拨款收入支出决算表</w:t>
      </w:r>
    </w:p>
    <w:p>
      <w:pPr>
        <w:pStyle w:val="2"/>
        <w:widowControl w:val="0"/>
        <w:numPr>
          <w:ilvl w:val="0"/>
          <w:numId w:val="0"/>
        </w:numPr>
        <w:spacing w:before="0" w:beforeAutospacing="0" w:after="0" w:afterAutospacing="0"/>
        <w:ind w:right="0" w:rightChars="0"/>
        <w:jc w:val="left"/>
        <w:rPr>
          <w:rFonts w:hint="eastAsia"/>
        </w:rPr>
      </w:pPr>
    </w:p>
    <w:tbl>
      <w:tblPr>
        <w:tblStyle w:val="23"/>
        <w:tblpPr w:leftFromText="180" w:rightFromText="180" w:vertAnchor="text" w:horzAnchor="page" w:tblpX="1354" w:tblpY="308"/>
        <w:tblOverlap w:val="never"/>
        <w:tblW w:w="9066" w:type="dxa"/>
        <w:tblInd w:w="0" w:type="dxa"/>
        <w:tblLayout w:type="fixed"/>
        <w:tblCellMar>
          <w:top w:w="15" w:type="dxa"/>
          <w:left w:w="15" w:type="dxa"/>
          <w:bottom w:w="15" w:type="dxa"/>
          <w:right w:w="15" w:type="dxa"/>
        </w:tblCellMar>
      </w:tblPr>
      <w:tblGrid>
        <w:gridCol w:w="1590"/>
        <w:gridCol w:w="2399"/>
        <w:gridCol w:w="1159"/>
        <w:gridCol w:w="782"/>
        <w:gridCol w:w="484"/>
        <w:gridCol w:w="711"/>
        <w:gridCol w:w="782"/>
        <w:gridCol w:w="1159"/>
      </w:tblGrid>
      <w:tr>
        <w:tblPrEx>
          <w:tblLayout w:type="fixed"/>
          <w:tblCellMar>
            <w:top w:w="15" w:type="dxa"/>
            <w:left w:w="15" w:type="dxa"/>
            <w:bottom w:w="15" w:type="dxa"/>
            <w:right w:w="15" w:type="dxa"/>
          </w:tblCellMar>
        </w:tblPrEx>
        <w:trPr>
          <w:tblHeader/>
        </w:trPr>
        <w:tc>
          <w:tcPr>
            <w:tcW w:w="9066" w:type="dxa"/>
            <w:gridSpan w:val="8"/>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政府性基金预算财政拨款收入支出决算表</w:t>
            </w:r>
          </w:p>
        </w:tc>
      </w:tr>
      <w:tr>
        <w:tblPrEx>
          <w:tblLayout w:type="fixed"/>
          <w:tblCellMar>
            <w:top w:w="15" w:type="dxa"/>
            <w:left w:w="15" w:type="dxa"/>
            <w:bottom w:w="15" w:type="dxa"/>
            <w:right w:w="15" w:type="dxa"/>
          </w:tblCellMar>
        </w:tblPrEx>
        <w:tc>
          <w:tcPr>
            <w:tcW w:w="9066" w:type="dxa"/>
            <w:gridSpan w:val="8"/>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/单位：厦门市金安小学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2024年度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rPr>
          <w:tblHeader/>
        </w:trPr>
        <w:tc>
          <w:tcPr>
            <w:tcW w:w="398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项目</w:t>
            </w:r>
          </w:p>
        </w:tc>
        <w:tc>
          <w:tcPr>
            <w:tcW w:w="115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xml:space="preserve">年初结转和结余 </w:t>
            </w:r>
          </w:p>
        </w:tc>
        <w:tc>
          <w:tcPr>
            <w:tcW w:w="78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本年收入</w:t>
            </w:r>
          </w:p>
        </w:tc>
        <w:tc>
          <w:tcPr>
            <w:tcW w:w="197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本年支出</w:t>
            </w:r>
          </w:p>
        </w:tc>
        <w:tc>
          <w:tcPr>
            <w:tcW w:w="115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年末结转和结余</w:t>
            </w:r>
          </w:p>
        </w:tc>
      </w:tr>
      <w:tr>
        <w:tblPrEx>
          <w:tblLayout w:type="fixed"/>
          <w:tblCellMar>
            <w:top w:w="15" w:type="dxa"/>
            <w:left w:w="15" w:type="dxa"/>
            <w:bottom w:w="15" w:type="dxa"/>
            <w:right w:w="15" w:type="dxa"/>
          </w:tblCellMar>
        </w:tblPrEx>
        <w:trPr>
          <w:tblHeader/>
        </w:trPr>
        <w:tc>
          <w:tcPr>
            <w:tcW w:w="159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支出功能分类科目编码</w:t>
            </w:r>
          </w:p>
        </w:tc>
        <w:tc>
          <w:tcPr>
            <w:tcW w:w="239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科目名称</w:t>
            </w:r>
          </w:p>
        </w:tc>
        <w:tc>
          <w:tcPr>
            <w:tcW w:w="115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8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8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小计</w:t>
            </w:r>
          </w:p>
        </w:tc>
        <w:tc>
          <w:tcPr>
            <w:tcW w:w="71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xml:space="preserve">基本支出 </w:t>
            </w:r>
          </w:p>
        </w:tc>
        <w:tc>
          <w:tcPr>
            <w:tcW w:w="78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项目支出</w:t>
            </w:r>
          </w:p>
        </w:tc>
        <w:tc>
          <w:tcPr>
            <w:tcW w:w="115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159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239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5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8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48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1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78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15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c>
          <w:tcPr>
            <w:tcW w:w="398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栏次</w:t>
            </w:r>
          </w:p>
        </w:tc>
        <w:tc>
          <w:tcPr>
            <w:tcW w:w="11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w:t>
            </w:r>
          </w:p>
        </w:tc>
        <w:tc>
          <w:tcPr>
            <w:tcW w:w="7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w:t>
            </w:r>
          </w:p>
        </w:tc>
        <w:tc>
          <w:tcPr>
            <w:tcW w:w="7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w:t>
            </w:r>
          </w:p>
        </w:tc>
        <w:tc>
          <w:tcPr>
            <w:tcW w:w="7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5</w:t>
            </w:r>
          </w:p>
        </w:tc>
        <w:tc>
          <w:tcPr>
            <w:tcW w:w="11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6</w:t>
            </w:r>
          </w:p>
        </w:tc>
      </w:tr>
      <w:tr>
        <w:tblPrEx>
          <w:tblLayout w:type="fixed"/>
          <w:tblCellMar>
            <w:top w:w="15" w:type="dxa"/>
            <w:left w:w="15" w:type="dxa"/>
            <w:bottom w:w="15" w:type="dxa"/>
            <w:right w:w="15" w:type="dxa"/>
          </w:tblCellMar>
        </w:tblPrEx>
        <w:tc>
          <w:tcPr>
            <w:tcW w:w="398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合计</w:t>
            </w:r>
          </w:p>
        </w:tc>
        <w:tc>
          <w:tcPr>
            <w:tcW w:w="11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7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4.52</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4.52</w:t>
            </w:r>
          </w:p>
        </w:tc>
        <w:tc>
          <w:tcPr>
            <w:tcW w:w="7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7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4.52</w:t>
            </w:r>
          </w:p>
        </w:tc>
        <w:tc>
          <w:tcPr>
            <w:tcW w:w="11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r>
      <w:tr>
        <w:tblPrEx>
          <w:tblLayout w:type="fixed"/>
          <w:tblCellMar>
            <w:top w:w="15" w:type="dxa"/>
            <w:left w:w="15" w:type="dxa"/>
            <w:bottom w:w="15" w:type="dxa"/>
            <w:right w:w="15" w:type="dxa"/>
          </w:tblCellMar>
        </w:tblPrEx>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229</w:t>
            </w:r>
          </w:p>
        </w:tc>
        <w:tc>
          <w:tcPr>
            <w:tcW w:w="23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其他支出</w:t>
            </w:r>
          </w:p>
        </w:tc>
        <w:tc>
          <w:tcPr>
            <w:tcW w:w="11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7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4.52</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4.52</w:t>
            </w:r>
          </w:p>
        </w:tc>
        <w:tc>
          <w:tcPr>
            <w:tcW w:w="7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7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4.52</w:t>
            </w:r>
          </w:p>
        </w:tc>
        <w:tc>
          <w:tcPr>
            <w:tcW w:w="11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r>
      <w:tr>
        <w:tblPrEx>
          <w:tblLayout w:type="fixed"/>
          <w:tblCellMar>
            <w:top w:w="15" w:type="dxa"/>
            <w:left w:w="15" w:type="dxa"/>
            <w:bottom w:w="15" w:type="dxa"/>
            <w:right w:w="15" w:type="dxa"/>
          </w:tblCellMar>
        </w:tblPrEx>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22960</w:t>
            </w:r>
          </w:p>
        </w:tc>
        <w:tc>
          <w:tcPr>
            <w:tcW w:w="23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彩票公益金安排的支出</w:t>
            </w:r>
          </w:p>
        </w:tc>
        <w:tc>
          <w:tcPr>
            <w:tcW w:w="11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7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4.52</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4.52</w:t>
            </w:r>
          </w:p>
        </w:tc>
        <w:tc>
          <w:tcPr>
            <w:tcW w:w="7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7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4.52</w:t>
            </w:r>
          </w:p>
        </w:tc>
        <w:tc>
          <w:tcPr>
            <w:tcW w:w="11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r>
      <w:tr>
        <w:tblPrEx>
          <w:tblLayout w:type="fixed"/>
          <w:tblCellMar>
            <w:top w:w="15" w:type="dxa"/>
            <w:left w:w="15" w:type="dxa"/>
            <w:bottom w:w="15" w:type="dxa"/>
            <w:right w:w="15" w:type="dxa"/>
          </w:tblCellMar>
        </w:tblPrEx>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2296003</w:t>
            </w:r>
          </w:p>
        </w:tc>
        <w:tc>
          <w:tcPr>
            <w:tcW w:w="23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用于体育事业的彩票公益金支出</w:t>
            </w:r>
          </w:p>
        </w:tc>
        <w:tc>
          <w:tcPr>
            <w:tcW w:w="11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7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4.52</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4.52</w:t>
            </w:r>
          </w:p>
        </w:tc>
        <w:tc>
          <w:tcPr>
            <w:tcW w:w="7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7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4.52</w:t>
            </w:r>
          </w:p>
        </w:tc>
        <w:tc>
          <w:tcPr>
            <w:tcW w:w="11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r>
      <w:tr>
        <w:tblPrEx>
          <w:tblLayout w:type="fixed"/>
          <w:tblCellMar>
            <w:top w:w="15" w:type="dxa"/>
            <w:left w:w="15" w:type="dxa"/>
            <w:bottom w:w="15" w:type="dxa"/>
            <w:right w:w="15" w:type="dxa"/>
          </w:tblCellMar>
        </w:tblPrEx>
        <w:tc>
          <w:tcPr>
            <w:tcW w:w="9066" w:type="dxa"/>
            <w:gridSpan w:val="8"/>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注：本表反映</w:t>
            </w:r>
            <w:r>
              <w:rPr>
                <w:rFonts w:hint="eastAsia" w:ascii="宋体" w:hAnsi="宋体" w:cs="宋体"/>
                <w:color w:val="000000"/>
                <w:kern w:val="0"/>
                <w:sz w:val="22"/>
                <w:szCs w:val="22"/>
                <w:shd w:val="clear" w:fill="FFFFFF"/>
                <w:lang w:val="en-US" w:eastAsia="zh-CN" w:bidi="ar"/>
              </w:rPr>
              <w:t>单位</w:t>
            </w:r>
            <w:r>
              <w:rPr>
                <w:rFonts w:hint="eastAsia" w:ascii="宋体" w:hAnsi="宋体" w:eastAsia="宋体" w:cs="宋体"/>
                <w:color w:val="000000"/>
                <w:kern w:val="0"/>
                <w:sz w:val="22"/>
                <w:szCs w:val="22"/>
                <w:shd w:val="clear" w:fill="FFFFFF"/>
                <w:lang w:val="en-US" w:eastAsia="zh-CN" w:bidi="ar"/>
              </w:rPr>
              <w:t>本年度政府性基金预算财政拨款收入、支出及结转和结余情况。</w:t>
            </w:r>
          </w:p>
        </w:tc>
      </w:tr>
    </w:tbl>
    <w:p>
      <w:pPr>
        <w:pStyle w:val="2"/>
        <w:widowControl w:val="0"/>
        <w:numPr>
          <w:ilvl w:val="0"/>
          <w:numId w:val="0"/>
        </w:numPr>
        <w:spacing w:before="0" w:beforeAutospacing="0" w:after="0" w:afterAutospacing="0"/>
        <w:ind w:right="0" w:rightChars="0"/>
        <w:jc w:val="left"/>
        <w:rPr>
          <w:rFonts w:hint="eastAsia"/>
        </w:rPr>
      </w:pPr>
    </w:p>
    <w:p>
      <w:pPr>
        <w:pStyle w:val="2"/>
        <w:widowControl w:val="0"/>
        <w:numPr>
          <w:ilvl w:val="0"/>
          <w:numId w:val="0"/>
        </w:numPr>
        <w:spacing w:before="0" w:beforeAutospacing="0" w:after="0" w:afterAutospacing="0"/>
        <w:ind w:right="0" w:rightChars="0"/>
        <w:jc w:val="left"/>
        <w:rPr>
          <w:rFonts w:hint="eastAsia"/>
        </w:rPr>
      </w:pPr>
    </w:p>
    <w:p>
      <w:pPr>
        <w:pStyle w:val="5"/>
        <w:keepNext w:val="0"/>
        <w:keepLines w:val="0"/>
        <w:spacing w:before="100" w:after="100" w:line="240" w:lineRule="auto"/>
        <w:ind w:left="0" w:right="0" w:firstLine="0" w:firstLineChars="0"/>
        <w:rPr>
          <w:rFonts w:hint="eastAsia" w:ascii="黑体" w:hAnsi="黑体" w:eastAsia="黑体" w:cs="黑体"/>
          <w:bCs w:val="0"/>
          <w:kern w:val="2"/>
          <w:sz w:val="32"/>
          <w:szCs w:val="32"/>
          <w:lang w:val="en-US" w:eastAsia="zh-CN" w:bidi="ar-SA"/>
        </w:rPr>
      </w:pPr>
      <w:r>
        <w:rPr>
          <w:rFonts w:hint="eastAsia" w:ascii="黑体" w:hAnsi="黑体" w:eastAsia="黑体" w:cs="黑体"/>
          <w:bCs w:val="0"/>
          <w:kern w:val="2"/>
          <w:sz w:val="32"/>
          <w:szCs w:val="32"/>
          <w:lang w:val="en-US" w:eastAsia="zh-CN" w:bidi="ar-SA"/>
        </w:rPr>
        <w:t>九、国有资本经营预算财政拨款支出决算表</w:t>
      </w:r>
    </w:p>
    <w:p>
      <w:pPr>
        <w:pStyle w:val="2"/>
        <w:widowControl w:val="0"/>
        <w:numPr>
          <w:ilvl w:val="0"/>
          <w:numId w:val="0"/>
        </w:numPr>
        <w:spacing w:before="0" w:beforeAutospacing="0" w:after="0" w:afterAutospacing="0"/>
        <w:ind w:right="0" w:rightChars="0"/>
        <w:jc w:val="left"/>
        <w:rPr>
          <w:rFonts w:hint="eastAsia"/>
        </w:rPr>
      </w:pPr>
    </w:p>
    <w:p>
      <w:pPr>
        <w:pStyle w:val="2"/>
        <w:widowControl w:val="0"/>
        <w:numPr>
          <w:ilvl w:val="0"/>
          <w:numId w:val="0"/>
        </w:numPr>
        <w:spacing w:before="0" w:beforeAutospacing="0" w:after="0" w:afterAutospacing="0"/>
        <w:ind w:right="0" w:rightChars="0"/>
        <w:jc w:val="left"/>
        <w:rPr>
          <w:rFonts w:hint="eastAsia"/>
        </w:rPr>
      </w:pPr>
    </w:p>
    <w:tbl>
      <w:tblPr>
        <w:tblStyle w:val="23"/>
        <w:tblpPr w:leftFromText="180" w:rightFromText="180" w:vertAnchor="text" w:horzAnchor="page" w:tblpX="1549" w:tblpY="115"/>
        <w:tblOverlap w:val="never"/>
        <w:tblW w:w="9066" w:type="dxa"/>
        <w:tblInd w:w="0" w:type="dxa"/>
        <w:tblLayout w:type="fixed"/>
        <w:tblCellMar>
          <w:top w:w="15" w:type="dxa"/>
          <w:left w:w="15" w:type="dxa"/>
          <w:bottom w:w="15" w:type="dxa"/>
          <w:right w:w="15" w:type="dxa"/>
        </w:tblCellMar>
      </w:tblPr>
      <w:tblGrid>
        <w:gridCol w:w="2001"/>
        <w:gridCol w:w="2005"/>
        <w:gridCol w:w="1402"/>
        <w:gridCol w:w="1335"/>
        <w:gridCol w:w="2323"/>
      </w:tblGrid>
      <w:tr>
        <w:tblPrEx>
          <w:tblLayout w:type="fixed"/>
          <w:tblCellMar>
            <w:top w:w="15" w:type="dxa"/>
            <w:left w:w="15" w:type="dxa"/>
            <w:bottom w:w="15" w:type="dxa"/>
            <w:right w:w="15" w:type="dxa"/>
          </w:tblCellMar>
        </w:tblPrEx>
        <w:trPr>
          <w:tblHeader/>
        </w:trPr>
        <w:tc>
          <w:tcPr>
            <w:tcW w:w="9066" w:type="dxa"/>
            <w:gridSpan w:val="5"/>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国有资本经营预算财政拨款支出决算表</w:t>
            </w:r>
          </w:p>
        </w:tc>
      </w:tr>
      <w:tr>
        <w:tblPrEx>
          <w:tblLayout w:type="fixed"/>
          <w:tblCellMar>
            <w:top w:w="15" w:type="dxa"/>
            <w:left w:w="15" w:type="dxa"/>
            <w:bottom w:w="15" w:type="dxa"/>
            <w:right w:w="15" w:type="dxa"/>
          </w:tblCellMar>
        </w:tblPrEx>
        <w:tc>
          <w:tcPr>
            <w:tcW w:w="9066"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/单位：厦门市金安小学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2024年度</w:t>
            </w:r>
            <w:r>
              <w:rPr>
                <w:rFonts w:hint="eastAsia" w:ascii="宋体" w:hAnsi="宋体" w:eastAsia="宋体" w:cs="宋体"/>
                <w:color w:val="000000"/>
                <w:kern w:val="0"/>
                <w:sz w:val="22"/>
                <w:szCs w:val="22"/>
                <w:shd w:val="clear" w:fill="FFFFFF"/>
                <w:lang w:val="en-US" w:eastAsia="zh-CN" w:bidi="ar"/>
              </w:rPr>
              <w:t xml:space="preserve">                    </w:t>
            </w: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c>
          <w:tcPr>
            <w:tcW w:w="400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项目</w:t>
            </w:r>
          </w:p>
        </w:tc>
        <w:tc>
          <w:tcPr>
            <w:tcW w:w="506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本年支出</w:t>
            </w:r>
          </w:p>
        </w:tc>
      </w:tr>
      <w:tr>
        <w:tblPrEx>
          <w:tblLayout w:type="fixed"/>
          <w:tblCellMar>
            <w:top w:w="15" w:type="dxa"/>
            <w:left w:w="15" w:type="dxa"/>
            <w:bottom w:w="15" w:type="dxa"/>
            <w:right w:w="15" w:type="dxa"/>
          </w:tblCellMar>
        </w:tblPrEx>
        <w:trPr>
          <w:tblHeader/>
        </w:trPr>
        <w:tc>
          <w:tcPr>
            <w:tcW w:w="200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科目代码</w:t>
            </w:r>
          </w:p>
        </w:tc>
        <w:tc>
          <w:tcPr>
            <w:tcW w:w="200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科目名称</w:t>
            </w:r>
          </w:p>
        </w:tc>
        <w:tc>
          <w:tcPr>
            <w:tcW w:w="140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合计</w:t>
            </w:r>
          </w:p>
        </w:tc>
        <w:tc>
          <w:tcPr>
            <w:tcW w:w="13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基本支出</w:t>
            </w:r>
          </w:p>
        </w:tc>
        <w:tc>
          <w:tcPr>
            <w:tcW w:w="232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项目支出</w:t>
            </w:r>
          </w:p>
        </w:tc>
      </w:tr>
      <w:tr>
        <w:tblPrEx>
          <w:tblLayout w:type="fixed"/>
          <w:tblCellMar>
            <w:top w:w="15" w:type="dxa"/>
            <w:left w:w="15" w:type="dxa"/>
            <w:bottom w:w="15" w:type="dxa"/>
            <w:right w:w="15" w:type="dxa"/>
          </w:tblCellMar>
        </w:tblPrEx>
        <w:trPr>
          <w:tblHeader/>
        </w:trPr>
        <w:tc>
          <w:tcPr>
            <w:tcW w:w="200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200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40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33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232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rPr>
          <w:tblHeader/>
        </w:trPr>
        <w:tc>
          <w:tcPr>
            <w:tcW w:w="2001"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200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40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133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c>
          <w:tcPr>
            <w:tcW w:w="232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p>
        </w:tc>
      </w:tr>
      <w:tr>
        <w:tblPrEx>
          <w:tblLayout w:type="fixed"/>
          <w:tblCellMar>
            <w:top w:w="15" w:type="dxa"/>
            <w:left w:w="15" w:type="dxa"/>
            <w:bottom w:w="15" w:type="dxa"/>
            <w:right w:w="15" w:type="dxa"/>
          </w:tblCellMar>
        </w:tblPrEx>
        <w:tc>
          <w:tcPr>
            <w:tcW w:w="400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栏次</w:t>
            </w:r>
          </w:p>
        </w:tc>
        <w:tc>
          <w:tcPr>
            <w:tcW w:w="14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1</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2</w:t>
            </w:r>
          </w:p>
        </w:tc>
        <w:tc>
          <w:tcPr>
            <w:tcW w:w="23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3</w:t>
            </w:r>
          </w:p>
        </w:tc>
      </w:tr>
      <w:tr>
        <w:tblPrEx>
          <w:tblLayout w:type="fixed"/>
          <w:tblCellMar>
            <w:top w:w="15" w:type="dxa"/>
            <w:left w:w="15" w:type="dxa"/>
            <w:bottom w:w="15" w:type="dxa"/>
            <w:right w:w="15" w:type="dxa"/>
          </w:tblCellMar>
        </w:tblPrEx>
        <w:tc>
          <w:tcPr>
            <w:tcW w:w="400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合计</w:t>
            </w:r>
          </w:p>
        </w:tc>
        <w:tc>
          <w:tcPr>
            <w:tcW w:w="14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23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r>
      <w:tr>
        <w:tblPrEx>
          <w:tblLayout w:type="fixed"/>
          <w:tblCellMar>
            <w:top w:w="15" w:type="dxa"/>
            <w:left w:w="15" w:type="dxa"/>
            <w:bottom w:w="15" w:type="dxa"/>
            <w:right w:w="15" w:type="dxa"/>
          </w:tblCellMar>
        </w:tblPrEx>
        <w:tc>
          <w:tcPr>
            <w:tcW w:w="20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2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14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c>
          <w:tcPr>
            <w:tcW w:w="23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val="en-US" w:eastAsia="zh-CN" w:bidi="ar"/>
              </w:rPr>
            </w:pPr>
            <w:r>
              <w:rPr>
                <w:rFonts w:hint="eastAsia" w:ascii="宋体" w:hAnsi="宋体" w:eastAsia="宋体" w:cs="宋体"/>
                <w:color w:val="000000"/>
                <w:kern w:val="0"/>
                <w:sz w:val="22"/>
                <w:szCs w:val="22"/>
                <w:shd w:val="clear" w:fill="FFFFFF"/>
                <w:lang w:val="en-US" w:eastAsia="zh-CN" w:bidi="ar"/>
              </w:rPr>
              <w:t> </w:t>
            </w:r>
          </w:p>
        </w:tc>
      </w:tr>
      <w:tr>
        <w:tblPrEx>
          <w:tblLayout w:type="fixed"/>
          <w:tblCellMar>
            <w:top w:w="15" w:type="dxa"/>
            <w:left w:w="15" w:type="dxa"/>
            <w:bottom w:w="15" w:type="dxa"/>
            <w:right w:w="15" w:type="dxa"/>
          </w:tblCellMar>
        </w:tblPrEx>
        <w:tc>
          <w:tcPr>
            <w:tcW w:w="9066" w:type="dxa"/>
            <w:gridSpan w:val="5"/>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left"/>
              <w:rPr>
                <w:rFonts w:hint="eastAsia"/>
                <w:lang w:val="en-US" w:eastAsia="zh-CN"/>
              </w:rPr>
            </w:pPr>
            <w:r>
              <w:rPr>
                <w:rFonts w:hint="eastAsia"/>
                <w:lang w:val="en-US" w:eastAsia="zh-CN"/>
              </w:rPr>
              <w:t>注：本表反映单位本年度国有资本经营预算财政拨款支出情况。</w:t>
            </w:r>
          </w:p>
          <w:p>
            <w:pPr>
              <w:pStyle w:val="2"/>
              <w:ind w:firstLine="640" w:firstLineChars="200"/>
              <w:rPr>
                <w:rFonts w:hint="eastAsia"/>
                <w:lang w:val="en-US" w:eastAsia="zh-CN"/>
              </w:rPr>
            </w:pP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4</w:t>
            </w:r>
            <w:r>
              <w:rPr>
                <w:rFonts w:hint="eastAsia" w:ascii="仿宋" w:hAnsi="仿宋" w:eastAsia="仿宋" w:cs="仿宋"/>
                <w:sz w:val="32"/>
                <w:szCs w:val="32"/>
              </w:rPr>
              <w:t xml:space="preserve"> 年度没有使用国有资本经营预算财政拨款安排的</w:t>
            </w:r>
            <w:r>
              <w:rPr>
                <w:rFonts w:hint="eastAsia" w:ascii="仿宋" w:hAnsi="仿宋" w:eastAsia="仿宋" w:cs="仿宋"/>
                <w:sz w:val="32"/>
                <w:szCs w:val="32"/>
                <w:lang w:eastAsia="zh-CN"/>
              </w:rPr>
              <w:t>支出</w:t>
            </w:r>
            <w:r>
              <w:rPr>
                <w:rFonts w:hint="eastAsia" w:ascii="仿宋" w:hAnsi="仿宋" w:eastAsia="仿宋" w:cs="仿宋"/>
                <w:sz w:val="32"/>
                <w:szCs w:val="32"/>
              </w:rPr>
              <w:t>。</w:t>
            </w:r>
          </w:p>
        </w:tc>
      </w:tr>
    </w:tbl>
    <w:p>
      <w:pPr>
        <w:widowControl/>
        <w:jc w:val="left"/>
        <w:rPr>
          <w:rFonts w:ascii="Times New Roman" w:hAnsi="Times New Roman" w:eastAsia="Times New Roman" w:cs="Times New Roman"/>
          <w:kern w:val="0"/>
          <w:sz w:val="24"/>
        </w:rPr>
        <w:sectPr>
          <w:footerReference r:id="rId6" w:type="default"/>
          <w:pgSz w:w="11906" w:h="16383"/>
          <w:pgMar w:top="1803" w:right="1440" w:bottom="1803" w:left="1440" w:header="720" w:footer="720" w:gutter="0"/>
          <w:cols w:space="0" w:num="1"/>
          <w:rtlGutter w:val="0"/>
          <w:docGrid w:linePitch="0" w:charSpace="0"/>
        </w:sectPr>
      </w:pPr>
    </w:p>
    <w:p>
      <w:pPr>
        <w:keepNext w:val="0"/>
        <w:keepLines w:val="0"/>
        <w:widowControl/>
        <w:suppressLineNumbers w:val="0"/>
        <w:shd w:val="clear" w:fill="FFFFFF"/>
        <w:spacing w:before="240" w:beforeAutospacing="0" w:after="240" w:afterAutospacing="0" w:line="600" w:lineRule="atLeast"/>
        <w:ind w:left="0" w:leftChars="0" w:right="0" w:rightChars="0" w:firstLine="1080" w:firstLineChars="300"/>
        <w:jc w:val="both"/>
        <w:rPr>
          <w:rFonts w:hint="eastAsia" w:ascii="黑体" w:hAnsi="宋体" w:eastAsia="黑体" w:cs="黑体"/>
          <w:kern w:val="0"/>
          <w:sz w:val="36"/>
          <w:szCs w:val="36"/>
          <w:shd w:val="clear" w:fill="FFFFFF"/>
          <w:lang w:bidi="ar"/>
        </w:rPr>
      </w:pPr>
      <w:bookmarkStart w:id="21" w:name="_Toc256000078"/>
      <w:bookmarkStart w:id="22" w:name="_Toc256000016"/>
      <w:bookmarkStart w:id="23" w:name="_Toc256000109"/>
      <w:bookmarkStart w:id="24" w:name="_Toc256000047"/>
      <w:r>
        <w:rPr>
          <w:rFonts w:hint="eastAsia" w:ascii="黑体" w:hAnsi="宋体" w:eastAsia="黑体" w:cs="黑体"/>
          <w:kern w:val="0"/>
          <w:sz w:val="36"/>
          <w:szCs w:val="36"/>
          <w:shd w:val="clear" w:fill="FFFFFF"/>
          <w:lang w:bidi="ar"/>
        </w:rPr>
        <w:t>第三部分</w:t>
      </w:r>
      <w:bookmarkEnd w:id="21"/>
      <w:bookmarkEnd w:id="22"/>
      <w:bookmarkEnd w:id="23"/>
      <w:bookmarkEnd w:id="24"/>
      <w:bookmarkStart w:id="25" w:name="_Toc256000110"/>
      <w:bookmarkStart w:id="26" w:name="_Toc256000079"/>
      <w:bookmarkStart w:id="27" w:name="_Toc256000017"/>
      <w:bookmarkStart w:id="28" w:name="_Toc256000048"/>
      <w:r>
        <w:rPr>
          <w:rFonts w:hint="eastAsia" w:ascii="黑体" w:hAnsi="宋体" w:eastAsia="黑体" w:cs="黑体"/>
          <w:kern w:val="0"/>
          <w:sz w:val="36"/>
          <w:szCs w:val="36"/>
          <w:shd w:val="clear" w:fill="FFFFFF"/>
          <w:lang w:val="en-US" w:eastAsia="zh-CN" w:bidi="ar"/>
        </w:rPr>
        <w:t xml:space="preserve"> </w:t>
      </w:r>
      <w:r>
        <w:rPr>
          <w:rFonts w:hint="eastAsia" w:ascii="黑体" w:hAnsi="宋体" w:eastAsia="黑体" w:cs="黑体"/>
          <w:kern w:val="0"/>
          <w:sz w:val="36"/>
          <w:szCs w:val="36"/>
          <w:shd w:val="clear" w:fill="FFFFFF"/>
          <w:lang w:bidi="ar"/>
        </w:rPr>
        <w:t>2024年度决算情况说明</w:t>
      </w:r>
      <w:bookmarkEnd w:id="25"/>
      <w:bookmarkEnd w:id="26"/>
      <w:bookmarkEnd w:id="27"/>
      <w:bookmarkEnd w:id="28"/>
    </w:p>
    <w:p>
      <w:pPr>
        <w:pStyle w:val="29"/>
        <w:widowControl/>
        <w:spacing w:before="100" w:after="100" w:line="600" w:lineRule="atLeast"/>
        <w:ind w:left="0" w:right="0" w:firstLine="0"/>
        <w:jc w:val="both"/>
        <w:rPr>
          <w:rFonts w:ascii="Times New Roman" w:hAnsi="Times New Roman" w:eastAsia="Times New Roman" w:cs="Times New Roman"/>
          <w:kern w:val="0"/>
          <w:sz w:val="24"/>
        </w:rPr>
      </w:pPr>
    </w:p>
    <w:p>
      <w:pPr>
        <w:pStyle w:val="2"/>
        <w:keepNext w:val="0"/>
        <w:keepLines w:val="0"/>
        <w:widowControl/>
        <w:suppressLineNumbers w:val="0"/>
        <w:ind w:left="0" w:right="0" w:rightChars="0" w:firstLine="640" w:firstLineChars="200"/>
        <w:jc w:val="both"/>
        <w:rPr>
          <w:rFonts w:hint="eastAsia" w:ascii="黑体" w:hAnsi="宋体" w:eastAsia="黑体" w:cs="黑体"/>
          <w:kern w:val="0"/>
          <w:sz w:val="32"/>
          <w:szCs w:val="32"/>
          <w:shd w:val="clear" w:fill="FFFFFF"/>
        </w:rPr>
      </w:pPr>
      <w:bookmarkStart w:id="29" w:name="_Toc256000018"/>
      <w:bookmarkStart w:id="30" w:name="_Toc256000080"/>
      <w:bookmarkStart w:id="31" w:name="_Toc256000049"/>
      <w:bookmarkStart w:id="32" w:name="_Toc256000111"/>
      <w:r>
        <w:rPr>
          <w:rFonts w:hint="eastAsia" w:ascii="黑体" w:hAnsi="宋体" w:eastAsia="黑体" w:cs="黑体"/>
          <w:kern w:val="0"/>
          <w:sz w:val="32"/>
          <w:szCs w:val="32"/>
          <w:shd w:val="clear" w:fill="FFFFFF"/>
        </w:rPr>
        <w:t>一、收入支出决算总体情况说明</w:t>
      </w:r>
      <w:bookmarkEnd w:id="29"/>
      <w:bookmarkEnd w:id="30"/>
      <w:bookmarkEnd w:id="31"/>
      <w:bookmarkEnd w:id="32"/>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（一）收入支出决算总体情况说明</w:t>
      </w:r>
    </w:p>
    <w:p>
      <w:pPr>
        <w:pStyle w:val="29"/>
        <w:keepNext w:val="0"/>
        <w:keepLines w:val="0"/>
        <w:pageBreakBefore w:val="0"/>
        <w:widowControl/>
        <w:kinsoku/>
        <w:wordWrap/>
        <w:overflowPunct/>
        <w:topLinePunct w:val="0"/>
        <w:autoSpaceDE/>
        <w:autoSpaceDN/>
        <w:bidi w:val="0"/>
        <w:adjustRightInd/>
        <w:snapToGrid/>
        <w:spacing w:before="240" w:after="240" w:line="520" w:lineRule="exact"/>
        <w:ind w:firstLine="640"/>
        <w:jc w:val="both"/>
        <w:textAlignment w:val="auto"/>
        <w:rPr>
          <w:rFonts w:hint="default"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2024年度本单位收入总计3456.84万元，支出总计3456.84万元，与上年决算数相比，各增加0.13万元，各增长0%。</w:t>
      </w:r>
      <w:r>
        <w:rPr>
          <w:rFonts w:ascii="仿宋" w:hAnsi="仿宋" w:eastAsia="仿宋" w:cs="仿宋"/>
          <w:spacing w:val="0"/>
          <w:kern w:val="0"/>
          <w:sz w:val="32"/>
          <w:szCs w:val="32"/>
        </w:rPr>
        <w:t>主要是</w:t>
      </w:r>
      <w:r>
        <w:rPr>
          <w:rFonts w:hint="eastAsia" w:ascii="仿宋" w:hAnsi="仿宋" w:eastAsia="仿宋" w:cs="仿宋"/>
          <w:kern w:val="0"/>
          <w:sz w:val="32"/>
          <w:szCs w:val="32"/>
          <w:lang w:val="en-US" w:eastAsia="zh-CN" w:bidi="ar-SA"/>
        </w:rPr>
        <w:t>与上年决算基本持平。</w:t>
      </w:r>
    </w:p>
    <w:p>
      <w:pPr>
        <w:pStyle w:val="29"/>
        <w:widowControl/>
        <w:spacing w:before="240" w:after="240" w:line="600" w:lineRule="atLeast"/>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（二）收入决算情况说明</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2024年度收入3456.84万元，比上年决算数</w:t>
      </w:r>
      <w:r>
        <w:rPr>
          <w:rFonts w:ascii="仿宋" w:hAnsi="仿宋" w:eastAsia="仿宋" w:cs="仿宋"/>
          <w:kern w:val="0"/>
          <w:sz w:val="32"/>
          <w:szCs w:val="32"/>
        </w:rPr>
        <w:t>增加</w:t>
      </w:r>
      <w:r>
        <w:rPr>
          <w:rFonts w:ascii="仿宋" w:hAnsi="仿宋" w:eastAsia="仿宋" w:cs="仿宋"/>
          <w:spacing w:val="0"/>
          <w:kern w:val="0"/>
          <w:sz w:val="32"/>
          <w:szCs w:val="32"/>
        </w:rPr>
        <w:t>0.13万元，</w:t>
      </w:r>
      <w:r>
        <w:rPr>
          <w:rFonts w:ascii="仿宋" w:hAnsi="仿宋" w:eastAsia="仿宋" w:cs="仿宋"/>
          <w:kern w:val="0"/>
          <w:sz w:val="32"/>
          <w:szCs w:val="32"/>
        </w:rPr>
        <w:t>增长</w:t>
      </w:r>
      <w:r>
        <w:rPr>
          <w:rFonts w:ascii="仿宋" w:hAnsi="仿宋" w:eastAsia="仿宋" w:cs="仿宋"/>
          <w:spacing w:val="0"/>
          <w:kern w:val="0"/>
          <w:sz w:val="32"/>
          <w:szCs w:val="32"/>
        </w:rPr>
        <w:t>0%，具体情况如下：</w:t>
      </w:r>
    </w:p>
    <w:p>
      <w:pPr>
        <w:pStyle w:val="29"/>
        <w:widowControl/>
        <w:spacing w:before="100" w:after="100" w:line="600" w:lineRule="atLeast"/>
        <w:ind w:left="160" w:right="0" w:firstLine="480"/>
        <w:jc w:val="both"/>
        <w:rPr>
          <w:rFonts w:ascii="Times New Roman" w:hAnsi="Times New Roman" w:eastAsia="Times New Roman" w:cs="Times New Roman"/>
          <w:kern w:val="0"/>
          <w:sz w:val="24"/>
        </w:rPr>
      </w:pPr>
      <w:r>
        <w:rPr>
          <w:rFonts w:ascii="仿宋" w:hAnsi="仿宋" w:eastAsia="仿宋" w:cs="仿宋"/>
          <w:spacing w:val="0"/>
          <w:kern w:val="0"/>
          <w:sz w:val="32"/>
          <w:szCs w:val="32"/>
        </w:rPr>
        <w:t>1.一般公共预算财政拨款收入3452.32万元。</w:t>
      </w:r>
    </w:p>
    <w:p>
      <w:pPr>
        <w:pStyle w:val="29"/>
        <w:widowControl/>
        <w:spacing w:before="100" w:after="100" w:line="600" w:lineRule="atLeast"/>
        <w:ind w:left="160" w:right="0" w:firstLine="480"/>
        <w:jc w:val="both"/>
        <w:rPr>
          <w:rFonts w:ascii="Times New Roman" w:hAnsi="Times New Roman" w:eastAsia="Times New Roman" w:cs="Times New Roman"/>
          <w:kern w:val="0"/>
          <w:sz w:val="24"/>
        </w:rPr>
      </w:pPr>
      <w:r>
        <w:rPr>
          <w:rFonts w:ascii="仿宋" w:hAnsi="仿宋" w:eastAsia="仿宋" w:cs="仿宋"/>
          <w:spacing w:val="0"/>
          <w:kern w:val="0"/>
          <w:sz w:val="32"/>
          <w:szCs w:val="32"/>
        </w:rPr>
        <w:t>2.政府性基金预算财政拨款收入4.52万元。</w:t>
      </w:r>
    </w:p>
    <w:p>
      <w:pPr>
        <w:pStyle w:val="29"/>
        <w:widowControl/>
        <w:spacing w:before="100" w:after="100" w:line="600" w:lineRule="atLeast"/>
        <w:ind w:left="160" w:right="0" w:firstLine="480"/>
        <w:jc w:val="both"/>
        <w:rPr>
          <w:rFonts w:ascii="Times New Roman" w:hAnsi="Times New Roman" w:eastAsia="Times New Roman" w:cs="Times New Roman"/>
          <w:kern w:val="0"/>
          <w:sz w:val="24"/>
        </w:rPr>
      </w:pPr>
      <w:r>
        <w:rPr>
          <w:rFonts w:ascii="仿宋" w:hAnsi="仿宋" w:eastAsia="仿宋" w:cs="仿宋"/>
          <w:spacing w:val="0"/>
          <w:kern w:val="0"/>
          <w:sz w:val="32"/>
          <w:szCs w:val="32"/>
        </w:rPr>
        <w:t>3.国有资本经营预算财政拨款收入0万元。</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4.上级补助收入0万元。</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5.事业收入0万元。</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6.经营收入0万元。</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7.附属单位上缴收入0万元。</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8.其他收入0万元。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（三）支出决算情况说明</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2024年度支出3456.84万元，比上年决算数增加0.13万元，增长0%，具体情况如下：</w:t>
      </w:r>
    </w:p>
    <w:p>
      <w:pPr>
        <w:pStyle w:val="29"/>
        <w:widowControl/>
        <w:spacing w:before="100" w:after="100" w:line="600" w:lineRule="atLeast"/>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1.基本支出2885.91万元。其中，人员支出2564.44万元，公用支出321.46万元。</w:t>
      </w:r>
    </w:p>
    <w:p>
      <w:pPr>
        <w:pStyle w:val="29"/>
        <w:widowControl/>
        <w:spacing w:before="240" w:after="240"/>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2.项目支出570.94万元。</w:t>
      </w:r>
    </w:p>
    <w:p>
      <w:pPr>
        <w:pStyle w:val="29"/>
        <w:widowControl/>
        <w:spacing w:before="100" w:after="100" w:line="600" w:lineRule="atLeast"/>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3.上缴上级支出0万元。</w:t>
      </w:r>
    </w:p>
    <w:p>
      <w:pPr>
        <w:pStyle w:val="29"/>
        <w:widowControl/>
        <w:spacing w:before="100" w:after="100" w:line="600" w:lineRule="atLeast"/>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4.经营支出0万元。</w:t>
      </w:r>
    </w:p>
    <w:p>
      <w:pPr>
        <w:pStyle w:val="29"/>
        <w:widowControl/>
        <w:spacing w:before="100" w:after="100" w:line="600" w:lineRule="atLeast"/>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5.对附属单位补助支出0万元。</w:t>
      </w:r>
    </w:p>
    <w:p>
      <w:pPr>
        <w:pStyle w:val="2"/>
        <w:keepNext w:val="0"/>
        <w:keepLines w:val="0"/>
        <w:widowControl/>
        <w:suppressLineNumbers w:val="0"/>
        <w:ind w:left="0" w:right="0" w:rightChars="0" w:firstLine="640" w:firstLineChars="200"/>
        <w:jc w:val="both"/>
        <w:rPr>
          <w:rFonts w:hint="eastAsia" w:ascii="黑体" w:hAnsi="宋体" w:eastAsia="黑体" w:cs="黑体"/>
          <w:kern w:val="0"/>
          <w:sz w:val="32"/>
          <w:szCs w:val="32"/>
          <w:shd w:val="clear" w:fill="FFFFFF"/>
        </w:rPr>
      </w:pPr>
      <w:bookmarkStart w:id="33" w:name="_Toc256000112"/>
      <w:bookmarkStart w:id="34" w:name="_Toc256000019"/>
      <w:bookmarkStart w:id="35" w:name="_Toc256000050"/>
      <w:bookmarkStart w:id="36" w:name="_Toc256000081"/>
      <w:r>
        <w:rPr>
          <w:rFonts w:hint="eastAsia" w:ascii="黑体" w:hAnsi="宋体" w:eastAsia="黑体" w:cs="黑体"/>
          <w:kern w:val="0"/>
          <w:sz w:val="32"/>
          <w:szCs w:val="32"/>
          <w:shd w:val="clear" w:fill="FFFFFF"/>
        </w:rPr>
        <w:t>二、财政拨款收入支出决算总体情况说明</w:t>
      </w:r>
      <w:bookmarkEnd w:id="33"/>
      <w:bookmarkEnd w:id="34"/>
      <w:bookmarkEnd w:id="35"/>
      <w:bookmarkEnd w:id="36"/>
    </w:p>
    <w:p>
      <w:pPr>
        <w:pStyle w:val="29"/>
        <w:keepNext w:val="0"/>
        <w:keepLines w:val="0"/>
        <w:pageBreakBefore w:val="0"/>
        <w:widowControl/>
        <w:kinsoku/>
        <w:wordWrap/>
        <w:overflowPunct/>
        <w:topLinePunct w:val="0"/>
        <w:autoSpaceDE/>
        <w:autoSpaceDN/>
        <w:bidi w:val="0"/>
        <w:adjustRightInd/>
        <w:snapToGrid/>
        <w:spacing w:before="240" w:after="240" w:line="520" w:lineRule="exact"/>
        <w:ind w:firstLine="64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2024年度财政拨款收入总计3456.84万元，支出总计3456.84万元，与上年决算数相比，各增加0.13万元，增长0%，主要是：</w:t>
      </w:r>
      <w:r>
        <w:rPr>
          <w:rFonts w:hint="eastAsia" w:ascii="仿宋" w:hAnsi="仿宋" w:eastAsia="仿宋" w:cs="仿宋"/>
          <w:spacing w:val="0"/>
          <w:kern w:val="0"/>
          <w:sz w:val="32"/>
          <w:szCs w:val="32"/>
          <w:lang w:val="en-US" w:eastAsia="zh-CN"/>
        </w:rPr>
        <w:t>与上年决算基本持平</w:t>
      </w:r>
      <w:r>
        <w:rPr>
          <w:rFonts w:hint="eastAsia" w:ascii="仿宋" w:hAnsi="仿宋" w:eastAsia="仿宋" w:cs="仿宋"/>
          <w:spacing w:val="0"/>
          <w:kern w:val="0"/>
          <w:sz w:val="32"/>
          <w:szCs w:val="32"/>
        </w:rPr>
        <w:t>。</w:t>
      </w:r>
    </w:p>
    <w:p>
      <w:pPr>
        <w:pStyle w:val="2"/>
        <w:keepNext w:val="0"/>
        <w:keepLines w:val="0"/>
        <w:widowControl/>
        <w:suppressLineNumbers w:val="0"/>
        <w:ind w:left="0" w:right="0" w:rightChars="0" w:firstLine="640" w:firstLineChars="200"/>
        <w:jc w:val="both"/>
        <w:rPr>
          <w:rFonts w:hint="eastAsia" w:ascii="黑体" w:hAnsi="宋体" w:eastAsia="黑体" w:cs="黑体"/>
          <w:kern w:val="0"/>
          <w:sz w:val="32"/>
          <w:szCs w:val="32"/>
          <w:shd w:val="clear" w:fill="FFFFFF"/>
        </w:rPr>
      </w:pPr>
      <w:bookmarkStart w:id="37" w:name="_Toc256000082"/>
      <w:bookmarkStart w:id="38" w:name="_Toc256000051"/>
      <w:bookmarkStart w:id="39" w:name="_Toc256000113"/>
      <w:bookmarkStart w:id="40" w:name="_Toc256000020"/>
      <w:r>
        <w:rPr>
          <w:rFonts w:hint="eastAsia" w:ascii="黑体" w:hAnsi="宋体" w:eastAsia="黑体" w:cs="黑体"/>
          <w:kern w:val="0"/>
          <w:sz w:val="32"/>
          <w:szCs w:val="32"/>
          <w:shd w:val="clear" w:fill="FFFFFF"/>
        </w:rPr>
        <w:t>三、一般公共预算拨款支出决算情况说明</w:t>
      </w:r>
      <w:bookmarkEnd w:id="37"/>
      <w:bookmarkEnd w:id="38"/>
      <w:bookmarkEnd w:id="39"/>
      <w:bookmarkEnd w:id="40"/>
    </w:p>
    <w:p>
      <w:pPr>
        <w:pStyle w:val="29"/>
        <w:widowControl/>
        <w:spacing w:before="100" w:after="100" w:line="600" w:lineRule="atLeast"/>
        <w:ind w:left="0" w:right="0" w:firstLine="640"/>
        <w:jc w:val="both"/>
        <w:rPr>
          <w:rFonts w:ascii="仿宋" w:hAnsi="仿宋" w:eastAsia="仿宋" w:cs="仿宋"/>
          <w:spacing w:val="0"/>
          <w:kern w:val="0"/>
          <w:sz w:val="32"/>
          <w:szCs w:val="32"/>
        </w:rPr>
      </w:pPr>
      <w:r>
        <w:rPr>
          <w:rFonts w:ascii="仿宋" w:hAnsi="仿宋" w:eastAsia="仿宋" w:cs="仿宋"/>
          <w:spacing w:val="0"/>
          <w:kern w:val="0"/>
          <w:sz w:val="32"/>
          <w:szCs w:val="32"/>
        </w:rPr>
        <w:t>2024年一般公共预算支出3452.32万元，比上年决算数增加11.03万元，增长0.32%，具体情况如下(按项级科目分类统计)：</w:t>
      </w:r>
    </w:p>
    <w:p>
      <w:pPr>
        <w:pStyle w:val="29"/>
        <w:widowControl/>
        <w:spacing w:before="100" w:after="100" w:line="600" w:lineRule="atLeast"/>
        <w:ind w:right="0" w:firstLine="640" w:firstLineChars="200"/>
        <w:jc w:val="both"/>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（一）2050202</w:t>
      </w:r>
      <w:r>
        <w:rPr>
          <w:rFonts w:hint="eastAsia" w:ascii="仿宋" w:hAnsi="仿宋" w:eastAsia="仿宋" w:cs="仿宋"/>
          <w:spacing w:val="0"/>
          <w:kern w:val="0"/>
          <w:sz w:val="32"/>
          <w:szCs w:val="32"/>
          <w:lang w:val="en-US" w:eastAsia="zh-CN"/>
        </w:rPr>
        <w:t>-</w:t>
      </w:r>
      <w:r>
        <w:rPr>
          <w:rFonts w:ascii="仿宋" w:hAnsi="仿宋" w:eastAsia="仿宋" w:cs="仿宋"/>
          <w:spacing w:val="0"/>
          <w:kern w:val="0"/>
          <w:sz w:val="32"/>
          <w:szCs w:val="32"/>
        </w:rPr>
        <w:t>小学教育2,490.39万元，较上年决算数增加73.33万元，增长3.03%。主要原因是</w:t>
      </w:r>
      <w:r>
        <w:rPr>
          <w:rFonts w:hint="eastAsia" w:ascii="仿宋" w:hAnsi="仿宋" w:eastAsia="仿宋" w:cs="仿宋"/>
          <w:spacing w:val="0"/>
          <w:kern w:val="0"/>
          <w:sz w:val="32"/>
          <w:szCs w:val="32"/>
          <w:lang w:eastAsia="zh-CN"/>
        </w:rPr>
        <w:t>新增</w:t>
      </w:r>
      <w:r>
        <w:rPr>
          <w:rFonts w:ascii="仿宋" w:hAnsi="仿宋" w:eastAsia="仿宋" w:cs="仿宋"/>
          <w:spacing w:val="0"/>
          <w:kern w:val="0"/>
          <w:sz w:val="32"/>
          <w:szCs w:val="32"/>
        </w:rPr>
        <w:t>午间管理费</w:t>
      </w:r>
      <w:r>
        <w:rPr>
          <w:rFonts w:hint="eastAsia" w:ascii="仿宋" w:hAnsi="仿宋" w:eastAsia="仿宋" w:cs="仿宋"/>
          <w:spacing w:val="0"/>
          <w:kern w:val="0"/>
          <w:sz w:val="32"/>
          <w:szCs w:val="32"/>
          <w:lang w:eastAsia="zh-CN"/>
        </w:rPr>
        <w:t>支出。</w:t>
      </w:r>
    </w:p>
    <w:p>
      <w:pPr>
        <w:pStyle w:val="29"/>
        <w:widowControl/>
        <w:spacing w:before="100" w:after="100" w:line="600" w:lineRule="atLeast"/>
        <w:ind w:right="0" w:firstLine="640" w:firstLineChars="200"/>
        <w:jc w:val="both"/>
        <w:rPr>
          <w:rFonts w:ascii="Times New Roman" w:hAnsi="Times New Roman" w:eastAsia="Times New Roman" w:cs="Times New Roman"/>
          <w:kern w:val="0"/>
          <w:sz w:val="24"/>
        </w:rPr>
      </w:pPr>
      <w:r>
        <w:rPr>
          <w:rFonts w:hint="eastAsia" w:ascii="仿宋" w:hAnsi="仿宋" w:eastAsia="仿宋" w:cs="仿宋"/>
          <w:spacing w:val="0"/>
          <w:kern w:val="0"/>
          <w:sz w:val="32"/>
          <w:szCs w:val="32"/>
          <w:lang w:val="en-US" w:eastAsia="zh-CN"/>
        </w:rPr>
        <w:t>（二）</w:t>
      </w:r>
      <w:r>
        <w:rPr>
          <w:rFonts w:ascii="仿宋" w:hAnsi="仿宋" w:eastAsia="仿宋" w:cs="仿宋"/>
          <w:spacing w:val="0"/>
          <w:kern w:val="0"/>
          <w:sz w:val="32"/>
          <w:szCs w:val="32"/>
        </w:rPr>
        <w:t>2050299</w:t>
      </w:r>
      <w:r>
        <w:rPr>
          <w:rFonts w:hint="eastAsia" w:ascii="仿宋" w:hAnsi="仿宋" w:eastAsia="仿宋" w:cs="仿宋"/>
          <w:spacing w:val="0"/>
          <w:kern w:val="0"/>
          <w:sz w:val="32"/>
          <w:szCs w:val="32"/>
          <w:lang w:val="en-US" w:eastAsia="zh-CN"/>
        </w:rPr>
        <w:t>-</w:t>
      </w:r>
      <w:r>
        <w:rPr>
          <w:rFonts w:ascii="仿宋" w:hAnsi="仿宋" w:eastAsia="仿宋" w:cs="仿宋"/>
          <w:spacing w:val="0"/>
          <w:kern w:val="0"/>
          <w:sz w:val="32"/>
          <w:szCs w:val="32"/>
        </w:rPr>
        <w:t>其他普通教育支出218.52万元，较上年决算数减少11.06万元，下降4.82%。主要原因是</w:t>
      </w:r>
      <w:r>
        <w:rPr>
          <w:rFonts w:hint="eastAsia" w:ascii="仿宋" w:hAnsi="仿宋" w:eastAsia="仿宋" w:cs="仿宋"/>
          <w:kern w:val="0"/>
          <w:sz w:val="32"/>
          <w:szCs w:val="32"/>
          <w:lang w:val="en-US" w:eastAsia="zh-CN" w:bidi="ar-SA"/>
        </w:rPr>
        <w:t>校园修缮投入减少。</w:t>
      </w:r>
    </w:p>
    <w:p>
      <w:pPr>
        <w:pStyle w:val="29"/>
        <w:widowControl/>
        <w:spacing w:before="100" w:after="100" w:line="600" w:lineRule="atLeast"/>
        <w:ind w:left="0" w:right="0" w:firstLine="640"/>
        <w:jc w:val="both"/>
        <w:rPr>
          <w:rFonts w:hint="eastAsia" w:ascii="仿宋" w:hAnsi="仿宋" w:eastAsia="仿宋" w:cs="仿宋"/>
          <w:kern w:val="0"/>
          <w:sz w:val="32"/>
          <w:szCs w:val="32"/>
          <w:lang w:val="en-US" w:eastAsia="zh-CN" w:bidi="ar-SA"/>
        </w:rPr>
      </w:pPr>
      <w:r>
        <w:rPr>
          <w:rFonts w:ascii="仿宋" w:hAnsi="仿宋" w:eastAsia="仿宋" w:cs="仿宋"/>
          <w:spacing w:val="0"/>
          <w:kern w:val="0"/>
          <w:sz w:val="32"/>
          <w:szCs w:val="32"/>
        </w:rPr>
        <w:t>（三）2050999</w:t>
      </w:r>
      <w:r>
        <w:rPr>
          <w:rFonts w:hint="eastAsia" w:ascii="仿宋" w:hAnsi="仿宋" w:eastAsia="仿宋" w:cs="仿宋"/>
          <w:spacing w:val="0"/>
          <w:kern w:val="0"/>
          <w:sz w:val="32"/>
          <w:szCs w:val="32"/>
          <w:lang w:val="en-US" w:eastAsia="zh-CN"/>
        </w:rPr>
        <w:t>-</w:t>
      </w:r>
      <w:r>
        <w:rPr>
          <w:rFonts w:ascii="仿宋" w:hAnsi="仿宋" w:eastAsia="仿宋" w:cs="仿宋"/>
          <w:spacing w:val="0"/>
          <w:kern w:val="0"/>
          <w:sz w:val="32"/>
          <w:szCs w:val="32"/>
        </w:rPr>
        <w:t>其他教育费附加安排的支出414.84万元，较上年决算数减少76.25万元，下降15.53%。主要原因是</w:t>
      </w:r>
      <w:r>
        <w:rPr>
          <w:rFonts w:hint="eastAsia" w:ascii="仿宋" w:hAnsi="仿宋" w:eastAsia="仿宋" w:cs="仿宋"/>
          <w:kern w:val="0"/>
          <w:sz w:val="32"/>
          <w:szCs w:val="32"/>
          <w:lang w:val="en-US" w:eastAsia="zh-CN" w:bidi="ar-SA"/>
        </w:rPr>
        <w:t>校园修缮投入减少。</w:t>
      </w:r>
    </w:p>
    <w:p>
      <w:pPr>
        <w:pStyle w:val="29"/>
        <w:widowControl/>
        <w:spacing w:before="100" w:after="100" w:line="600" w:lineRule="atLeast"/>
        <w:ind w:left="0" w:right="0" w:firstLine="640"/>
        <w:jc w:val="both"/>
        <w:rPr>
          <w:rFonts w:ascii="Times New Roman" w:hAnsi="Times New Roman" w:eastAsia="Times New Roman" w:cs="Times New Roman"/>
          <w:color w:val="FF0000"/>
          <w:kern w:val="0"/>
          <w:sz w:val="24"/>
        </w:rPr>
      </w:pPr>
      <w:r>
        <w:rPr>
          <w:rFonts w:ascii="仿宋" w:hAnsi="仿宋" w:eastAsia="仿宋" w:cs="仿宋"/>
          <w:spacing w:val="0"/>
          <w:kern w:val="0"/>
          <w:sz w:val="32"/>
          <w:szCs w:val="32"/>
        </w:rPr>
        <w:t>（四）2059999</w:t>
      </w:r>
      <w:r>
        <w:rPr>
          <w:rFonts w:hint="eastAsia" w:ascii="仿宋" w:hAnsi="仿宋" w:eastAsia="仿宋" w:cs="仿宋"/>
          <w:spacing w:val="0"/>
          <w:kern w:val="0"/>
          <w:sz w:val="32"/>
          <w:szCs w:val="32"/>
          <w:lang w:val="en-US" w:eastAsia="zh-CN"/>
        </w:rPr>
        <w:t>-</w:t>
      </w:r>
      <w:r>
        <w:rPr>
          <w:rFonts w:ascii="仿宋" w:hAnsi="仿宋" w:eastAsia="仿宋" w:cs="仿宋"/>
          <w:spacing w:val="0"/>
          <w:kern w:val="0"/>
          <w:sz w:val="32"/>
          <w:szCs w:val="32"/>
        </w:rPr>
        <w:t>其他教育支出1.00万元，较上年决算数增加1.00万元，增长100%。主要原因是</w:t>
      </w:r>
      <w:r>
        <w:rPr>
          <w:rFonts w:hint="eastAsia" w:ascii="仿宋" w:hAnsi="仿宋" w:eastAsia="仿宋" w:cs="仿宋"/>
          <w:spacing w:val="0"/>
          <w:kern w:val="0"/>
          <w:sz w:val="32"/>
          <w:szCs w:val="32"/>
          <w:lang w:eastAsia="zh-CN"/>
        </w:rPr>
        <w:t>新增夏令营专项经费支出。</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（五）2080502</w:t>
      </w:r>
      <w:r>
        <w:rPr>
          <w:rFonts w:hint="eastAsia" w:ascii="仿宋" w:hAnsi="仿宋" w:eastAsia="仿宋" w:cs="仿宋"/>
          <w:spacing w:val="0"/>
          <w:kern w:val="0"/>
          <w:sz w:val="32"/>
          <w:szCs w:val="32"/>
          <w:lang w:val="en-US" w:eastAsia="zh-CN"/>
        </w:rPr>
        <w:t>-</w:t>
      </w:r>
      <w:r>
        <w:rPr>
          <w:rFonts w:ascii="仿宋" w:hAnsi="仿宋" w:eastAsia="仿宋" w:cs="仿宋"/>
          <w:spacing w:val="0"/>
          <w:kern w:val="0"/>
          <w:sz w:val="32"/>
          <w:szCs w:val="32"/>
        </w:rPr>
        <w:t>事业单位离退休14.04万元，较上年决算数增加8.37万元，增长147.53%。主要原因是</w:t>
      </w:r>
      <w:r>
        <w:rPr>
          <w:rFonts w:hint="eastAsia" w:ascii="仿宋" w:hAnsi="仿宋" w:eastAsia="仿宋" w:cs="仿宋"/>
          <w:kern w:val="0"/>
          <w:sz w:val="32"/>
          <w:szCs w:val="32"/>
          <w:lang w:val="en-US" w:eastAsia="zh-CN" w:bidi="ar-SA"/>
        </w:rPr>
        <w:t>退休人员增加。</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（六）2080505</w:t>
      </w:r>
      <w:r>
        <w:rPr>
          <w:rFonts w:hint="eastAsia" w:ascii="仿宋" w:hAnsi="仿宋" w:eastAsia="仿宋" w:cs="仿宋"/>
          <w:spacing w:val="0"/>
          <w:kern w:val="0"/>
          <w:sz w:val="32"/>
          <w:szCs w:val="32"/>
          <w:lang w:val="en-US" w:eastAsia="zh-CN"/>
        </w:rPr>
        <w:t>-</w:t>
      </w:r>
      <w:r>
        <w:rPr>
          <w:rFonts w:ascii="仿宋" w:hAnsi="仿宋" w:eastAsia="仿宋" w:cs="仿宋"/>
          <w:spacing w:val="0"/>
          <w:kern w:val="0"/>
          <w:sz w:val="32"/>
          <w:szCs w:val="32"/>
        </w:rPr>
        <w:t>机关事业单位基本养老保险缴费支出141.74万元，较上年决算数增加2.98万元，增长2.15%。主要原因是</w:t>
      </w:r>
      <w:r>
        <w:rPr>
          <w:rFonts w:hint="eastAsia" w:ascii="仿宋" w:hAnsi="仿宋" w:eastAsia="仿宋" w:cs="仿宋"/>
          <w:kern w:val="0"/>
          <w:sz w:val="32"/>
          <w:szCs w:val="32"/>
          <w:lang w:val="en-US" w:eastAsia="zh-CN" w:bidi="ar-SA"/>
        </w:rPr>
        <w:t>缴费基数提高。</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（七）2080506</w:t>
      </w:r>
      <w:r>
        <w:rPr>
          <w:rFonts w:hint="eastAsia" w:ascii="仿宋" w:hAnsi="仿宋" w:eastAsia="仿宋" w:cs="仿宋"/>
          <w:spacing w:val="0"/>
          <w:kern w:val="0"/>
          <w:sz w:val="32"/>
          <w:szCs w:val="32"/>
          <w:lang w:val="en-US" w:eastAsia="zh-CN"/>
        </w:rPr>
        <w:t>-</w:t>
      </w:r>
      <w:r>
        <w:rPr>
          <w:rFonts w:ascii="仿宋" w:hAnsi="仿宋" w:eastAsia="仿宋" w:cs="仿宋"/>
          <w:spacing w:val="0"/>
          <w:kern w:val="0"/>
          <w:sz w:val="32"/>
          <w:szCs w:val="32"/>
        </w:rPr>
        <w:t>机关事业单位职业年金缴费支出80.11万元，较上年决算数增加10.72万元，增长15.46%。主要原因是</w:t>
      </w:r>
      <w:r>
        <w:rPr>
          <w:rFonts w:hint="eastAsia" w:ascii="仿宋" w:hAnsi="仿宋" w:eastAsia="仿宋" w:cs="仿宋"/>
          <w:spacing w:val="0"/>
          <w:kern w:val="0"/>
          <w:sz w:val="32"/>
          <w:szCs w:val="32"/>
          <w:lang w:eastAsia="zh-CN"/>
        </w:rPr>
        <w:t>缴费基数提高，</w:t>
      </w:r>
      <w:r>
        <w:rPr>
          <w:rFonts w:hint="eastAsia" w:ascii="仿宋" w:hAnsi="仿宋" w:eastAsia="仿宋" w:cs="仿宋"/>
          <w:kern w:val="0"/>
          <w:sz w:val="32"/>
          <w:szCs w:val="32"/>
          <w:lang w:val="en-US" w:eastAsia="zh-CN" w:bidi="ar-SA"/>
        </w:rPr>
        <w:t>退休人员职业年金记实支出增加。</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firstLineChars="20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（八）2101102</w:t>
      </w:r>
      <w:r>
        <w:rPr>
          <w:rFonts w:hint="eastAsia" w:ascii="仿宋" w:hAnsi="仿宋" w:eastAsia="仿宋" w:cs="仿宋"/>
          <w:spacing w:val="0"/>
          <w:kern w:val="0"/>
          <w:sz w:val="32"/>
          <w:szCs w:val="32"/>
          <w:lang w:val="en-US" w:eastAsia="zh-CN"/>
        </w:rPr>
        <w:t>-</w:t>
      </w:r>
      <w:r>
        <w:rPr>
          <w:rFonts w:ascii="仿宋" w:hAnsi="仿宋" w:eastAsia="仿宋" w:cs="仿宋"/>
          <w:spacing w:val="0"/>
          <w:kern w:val="0"/>
          <w:sz w:val="32"/>
          <w:szCs w:val="32"/>
        </w:rPr>
        <w:t>事业单位医疗60.68万元，较上年决算数增加1.28万元，增长2.15%。</w:t>
      </w:r>
      <w:r>
        <w:rPr>
          <w:rFonts w:hint="eastAsia" w:ascii="仿宋" w:hAnsi="仿宋" w:eastAsia="仿宋" w:cs="仿宋"/>
          <w:spacing w:val="0"/>
          <w:kern w:val="0"/>
          <w:sz w:val="32"/>
          <w:szCs w:val="32"/>
        </w:rPr>
        <w:t>主要原因是</w:t>
      </w:r>
      <w:r>
        <w:rPr>
          <w:rFonts w:hint="eastAsia" w:ascii="仿宋" w:hAnsi="仿宋" w:eastAsia="仿宋" w:cs="仿宋"/>
          <w:kern w:val="0"/>
          <w:sz w:val="32"/>
          <w:szCs w:val="32"/>
          <w:lang w:val="en-US" w:eastAsia="zh-CN"/>
        </w:rPr>
        <w:t>缴费基数提高</w:t>
      </w:r>
      <w:r>
        <w:rPr>
          <w:rFonts w:hint="eastAsia" w:ascii="仿宋" w:hAnsi="仿宋" w:eastAsia="仿宋" w:cs="仿宋"/>
          <w:spacing w:val="0"/>
          <w:kern w:val="0"/>
          <w:sz w:val="32"/>
          <w:szCs w:val="32"/>
          <w:lang w:eastAsia="zh-CN"/>
        </w:rPr>
        <w:t>。</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firstLineChars="200"/>
        <w:jc w:val="both"/>
        <w:textAlignment w:val="auto"/>
        <w:rPr>
          <w:rFonts w:hint="eastAsia" w:ascii="黑体" w:hAnsi="宋体" w:eastAsia="黑体" w:cs="黑体"/>
          <w:kern w:val="0"/>
          <w:sz w:val="32"/>
          <w:szCs w:val="32"/>
          <w:shd w:val="clear" w:fill="FFFFFF"/>
        </w:rPr>
      </w:pPr>
      <w:r>
        <w:rPr>
          <w:rFonts w:ascii="仿宋" w:hAnsi="仿宋" w:eastAsia="仿宋" w:cs="仿宋"/>
          <w:spacing w:val="0"/>
          <w:kern w:val="0"/>
          <w:sz w:val="32"/>
          <w:szCs w:val="32"/>
        </w:rPr>
        <w:t>（九）2101199</w:t>
      </w:r>
      <w:r>
        <w:rPr>
          <w:rFonts w:hint="eastAsia" w:ascii="仿宋" w:hAnsi="仿宋" w:eastAsia="仿宋" w:cs="仿宋"/>
          <w:spacing w:val="0"/>
          <w:kern w:val="0"/>
          <w:sz w:val="32"/>
          <w:szCs w:val="32"/>
          <w:lang w:val="en-US" w:eastAsia="zh-CN"/>
        </w:rPr>
        <w:t>-</w:t>
      </w:r>
      <w:r>
        <w:rPr>
          <w:rFonts w:ascii="仿宋" w:hAnsi="仿宋" w:eastAsia="仿宋" w:cs="仿宋"/>
          <w:spacing w:val="0"/>
          <w:kern w:val="0"/>
          <w:sz w:val="32"/>
          <w:szCs w:val="32"/>
        </w:rPr>
        <w:t>其他行政事业单位医疗支出31.01万元，较上年决算数增加0.65万元，增长2.15%。</w:t>
      </w:r>
      <w:r>
        <w:rPr>
          <w:rFonts w:hint="eastAsia" w:ascii="仿宋" w:hAnsi="仿宋" w:eastAsia="仿宋" w:cs="仿宋"/>
          <w:spacing w:val="0"/>
          <w:kern w:val="0"/>
          <w:sz w:val="32"/>
          <w:szCs w:val="32"/>
        </w:rPr>
        <w:t>主要原因是</w:t>
      </w:r>
      <w:r>
        <w:rPr>
          <w:rFonts w:hint="eastAsia" w:ascii="仿宋" w:hAnsi="仿宋" w:eastAsia="仿宋" w:cs="仿宋"/>
          <w:kern w:val="0"/>
          <w:sz w:val="32"/>
          <w:szCs w:val="32"/>
          <w:lang w:val="en-US" w:eastAsia="zh-CN"/>
        </w:rPr>
        <w:t>缴费基数提高</w:t>
      </w:r>
      <w:r>
        <w:rPr>
          <w:rFonts w:hint="eastAsia" w:ascii="仿宋" w:hAnsi="仿宋" w:eastAsia="仿宋" w:cs="仿宋"/>
          <w:spacing w:val="0"/>
          <w:kern w:val="0"/>
          <w:sz w:val="32"/>
          <w:szCs w:val="32"/>
          <w:lang w:eastAsia="zh-CN"/>
        </w:rPr>
        <w:t>。</w:t>
      </w:r>
      <w:bookmarkStart w:id="41" w:name="_Toc256000052"/>
      <w:bookmarkStart w:id="42" w:name="_Toc256000114"/>
      <w:bookmarkStart w:id="43" w:name="_Toc256000083"/>
      <w:bookmarkStart w:id="44" w:name="_Toc256000021"/>
    </w:p>
    <w:p>
      <w:pPr>
        <w:pStyle w:val="2"/>
        <w:keepNext w:val="0"/>
        <w:keepLines w:val="0"/>
        <w:widowControl/>
        <w:suppressLineNumbers w:val="0"/>
        <w:ind w:left="0" w:right="0" w:rightChars="0" w:firstLine="640" w:firstLineChars="200"/>
        <w:jc w:val="both"/>
        <w:rPr>
          <w:rFonts w:hint="eastAsia" w:ascii="黑体" w:hAnsi="宋体" w:eastAsia="黑体" w:cs="黑体"/>
          <w:kern w:val="0"/>
          <w:sz w:val="32"/>
          <w:szCs w:val="32"/>
          <w:shd w:val="clear" w:fill="FFFFFF"/>
        </w:rPr>
      </w:pPr>
      <w:r>
        <w:rPr>
          <w:rFonts w:hint="eastAsia" w:ascii="黑体" w:hAnsi="宋体" w:eastAsia="黑体" w:cs="黑体"/>
          <w:kern w:val="0"/>
          <w:sz w:val="32"/>
          <w:szCs w:val="32"/>
          <w:shd w:val="clear" w:fill="FFFFFF"/>
        </w:rPr>
        <w:t>四、政府性基金预算财政拨款支出决算情况说明</w:t>
      </w:r>
      <w:bookmarkEnd w:id="41"/>
      <w:bookmarkEnd w:id="42"/>
      <w:bookmarkEnd w:id="43"/>
      <w:bookmarkEnd w:id="44"/>
    </w:p>
    <w:p>
      <w:pPr>
        <w:pStyle w:val="29"/>
        <w:widowControl/>
        <w:spacing w:before="100" w:after="100" w:line="600" w:lineRule="atLeast"/>
        <w:ind w:left="0" w:right="0" w:firstLine="704"/>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2024年度政府性基金支出4.52万元，比上年决算数减少10.90万元，下降70.69%，具体情况如下(按项级科目统计)：</w:t>
      </w:r>
    </w:p>
    <w:p>
      <w:pPr>
        <w:pStyle w:val="29"/>
        <w:widowControl/>
        <w:spacing w:before="100" w:after="100" w:line="600" w:lineRule="atLeast"/>
        <w:ind w:left="0" w:right="0" w:firstLine="640" w:firstLineChars="200"/>
        <w:jc w:val="both"/>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2296003</w:t>
      </w:r>
      <w:r>
        <w:rPr>
          <w:rFonts w:hint="eastAsia" w:ascii="仿宋" w:hAnsi="仿宋" w:eastAsia="仿宋" w:cs="仿宋"/>
          <w:spacing w:val="0"/>
          <w:kern w:val="0"/>
          <w:sz w:val="32"/>
          <w:szCs w:val="32"/>
          <w:lang w:val="en-US" w:eastAsia="zh-CN"/>
        </w:rPr>
        <w:t>-</w:t>
      </w:r>
      <w:r>
        <w:rPr>
          <w:rFonts w:ascii="仿宋" w:hAnsi="仿宋" w:eastAsia="仿宋" w:cs="仿宋"/>
          <w:spacing w:val="0"/>
          <w:kern w:val="0"/>
          <w:sz w:val="32"/>
          <w:szCs w:val="32"/>
        </w:rPr>
        <w:t>用于体育事业的彩票公益金支出4.52万元，较上年决算数减少10.90万元，下降70.69%。主要原因是</w:t>
      </w:r>
      <w:r>
        <w:rPr>
          <w:rFonts w:hint="eastAsia" w:ascii="仿宋" w:hAnsi="仿宋" w:eastAsia="仿宋" w:cs="仿宋"/>
          <w:spacing w:val="0"/>
          <w:kern w:val="0"/>
          <w:sz w:val="32"/>
          <w:szCs w:val="32"/>
          <w:lang w:eastAsia="zh-CN"/>
        </w:rPr>
        <w:t>学校运动场地开放费用支出减少。</w:t>
      </w:r>
    </w:p>
    <w:p>
      <w:pPr>
        <w:pStyle w:val="2"/>
        <w:keepNext w:val="0"/>
        <w:keepLines w:val="0"/>
        <w:widowControl/>
        <w:suppressLineNumbers w:val="0"/>
        <w:ind w:left="0" w:right="0" w:rightChars="0" w:firstLine="640" w:firstLineChars="200"/>
        <w:jc w:val="both"/>
        <w:rPr>
          <w:rFonts w:hint="eastAsia" w:ascii="黑体" w:hAnsi="宋体" w:eastAsia="黑体" w:cs="黑体"/>
          <w:kern w:val="0"/>
          <w:sz w:val="32"/>
          <w:szCs w:val="32"/>
          <w:shd w:val="clear" w:fill="FFFFFF"/>
        </w:rPr>
      </w:pPr>
      <w:bookmarkStart w:id="45" w:name="_Toc256000084"/>
      <w:bookmarkStart w:id="46" w:name="_Toc256000022"/>
      <w:bookmarkStart w:id="47" w:name="_Toc256000053"/>
      <w:bookmarkStart w:id="48" w:name="_Toc256000115"/>
      <w:r>
        <w:rPr>
          <w:rFonts w:hint="eastAsia" w:ascii="黑体" w:hAnsi="宋体" w:eastAsia="黑体" w:cs="黑体"/>
          <w:kern w:val="0"/>
          <w:sz w:val="32"/>
          <w:szCs w:val="32"/>
          <w:shd w:val="clear" w:fill="FFFFFF"/>
        </w:rPr>
        <w:t>五、国有资本经营预算财政拨款支出决算情况说明</w:t>
      </w:r>
      <w:bookmarkEnd w:id="45"/>
      <w:bookmarkEnd w:id="46"/>
      <w:bookmarkEnd w:id="47"/>
      <w:bookmarkEnd w:id="48"/>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hint="eastAsia" w:ascii="仿宋" w:hAnsi="仿宋" w:eastAsia="仿宋" w:cs="仿宋"/>
          <w:spacing w:val="0"/>
          <w:kern w:val="0"/>
          <w:sz w:val="32"/>
          <w:szCs w:val="32"/>
          <w:lang w:eastAsia="zh-CN"/>
        </w:rPr>
      </w:pPr>
      <w:bookmarkStart w:id="49" w:name="_Toc256000085"/>
      <w:bookmarkStart w:id="50" w:name="_Toc256000116"/>
      <w:bookmarkStart w:id="51" w:name="_Toc256000023"/>
      <w:bookmarkStart w:id="52" w:name="_Toc256000054"/>
      <w:r>
        <w:rPr>
          <w:rFonts w:ascii="仿宋" w:hAnsi="仿宋" w:eastAsia="仿宋" w:cs="仿宋"/>
          <w:spacing w:val="0"/>
          <w:kern w:val="0"/>
          <w:sz w:val="32"/>
          <w:szCs w:val="32"/>
        </w:rPr>
        <w:t>2024年度国有资本经营预算支出0万元，比上年决算数增加0万元，增长0%</w:t>
      </w:r>
      <w:r>
        <w:rPr>
          <w:rFonts w:hint="eastAsia" w:ascii="仿宋" w:hAnsi="仿宋" w:eastAsia="仿宋" w:cs="仿宋"/>
          <w:spacing w:val="0"/>
          <w:kern w:val="0"/>
          <w:sz w:val="32"/>
          <w:szCs w:val="32"/>
          <w:lang w:eastAsia="zh-CN"/>
        </w:rPr>
        <w:t>。</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本单位2024年度没有使用国有资本经营预算财政拨款安排的支出。</w:t>
      </w:r>
    </w:p>
    <w:p>
      <w:pPr>
        <w:pStyle w:val="2"/>
        <w:keepNext w:val="0"/>
        <w:keepLines w:val="0"/>
        <w:widowControl/>
        <w:suppressLineNumbers w:val="0"/>
        <w:ind w:left="0" w:right="0" w:rightChars="0" w:firstLine="640" w:firstLineChars="200"/>
        <w:jc w:val="both"/>
        <w:rPr>
          <w:rFonts w:hint="eastAsia" w:ascii="黑体" w:hAnsi="宋体" w:eastAsia="黑体" w:cs="黑体"/>
          <w:kern w:val="0"/>
          <w:sz w:val="32"/>
          <w:szCs w:val="32"/>
          <w:shd w:val="clear" w:fill="FFFFFF"/>
        </w:rPr>
      </w:pPr>
      <w:r>
        <w:rPr>
          <w:rFonts w:hint="eastAsia" w:ascii="黑体" w:hAnsi="宋体" w:eastAsia="黑体" w:cs="黑体"/>
          <w:kern w:val="0"/>
          <w:sz w:val="32"/>
          <w:szCs w:val="32"/>
          <w:shd w:val="clear" w:fill="FFFFFF"/>
        </w:rPr>
        <w:t>六、一般公共预算财政拨款基本支出决算情况说明</w:t>
      </w:r>
      <w:bookmarkEnd w:id="49"/>
      <w:bookmarkEnd w:id="50"/>
      <w:bookmarkEnd w:id="51"/>
      <w:bookmarkEnd w:id="52"/>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2024年度一般公共预算财政拨款基本支出2885.91万元，其中：</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一）人员经费2564.44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二）公用经费321.46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2"/>
        <w:keepNext w:val="0"/>
        <w:keepLines w:val="0"/>
        <w:widowControl/>
        <w:suppressLineNumbers w:val="0"/>
        <w:ind w:right="0" w:rightChars="0" w:firstLine="640" w:firstLineChars="200"/>
        <w:jc w:val="both"/>
        <w:rPr>
          <w:rFonts w:hint="eastAsia" w:ascii="黑体" w:hAnsi="宋体" w:eastAsia="黑体" w:cs="黑体"/>
          <w:kern w:val="0"/>
          <w:sz w:val="32"/>
          <w:szCs w:val="32"/>
          <w:shd w:val="clear" w:fill="FFFFFF"/>
        </w:rPr>
      </w:pPr>
      <w:bookmarkStart w:id="53" w:name="_Toc256000086"/>
      <w:bookmarkStart w:id="54" w:name="_Toc256000024"/>
      <w:bookmarkStart w:id="55" w:name="_Toc256000117"/>
      <w:bookmarkStart w:id="56" w:name="_Toc256000055"/>
      <w:r>
        <w:rPr>
          <w:rFonts w:hint="eastAsia" w:ascii="黑体" w:hAnsi="宋体" w:eastAsia="黑体" w:cs="黑体"/>
          <w:kern w:val="0"/>
          <w:sz w:val="32"/>
          <w:szCs w:val="32"/>
          <w:shd w:val="clear" w:fill="FFFFFF"/>
        </w:rPr>
        <w:t>七、一般公共预算拨款“三公”经费支出决算情况说明</w:t>
      </w:r>
      <w:bookmarkEnd w:id="53"/>
      <w:bookmarkEnd w:id="54"/>
      <w:bookmarkEnd w:id="55"/>
      <w:bookmarkEnd w:id="56"/>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04"/>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2024年度一般公共预算拨款“三公”经费支出0万元，</w:t>
      </w:r>
      <w:r>
        <w:rPr>
          <w:rFonts w:hint="eastAsia" w:ascii="仿宋" w:hAnsi="仿宋" w:eastAsia="仿宋" w:cs="仿宋"/>
          <w:kern w:val="0"/>
          <w:sz w:val="32"/>
          <w:szCs w:val="32"/>
          <w:lang w:eastAsia="zh-CN"/>
        </w:rPr>
        <w:t>与</w:t>
      </w:r>
      <w:r>
        <w:rPr>
          <w:rFonts w:hint="eastAsia" w:ascii="仿宋" w:hAnsi="仿宋" w:eastAsia="仿宋" w:cs="仿宋"/>
          <w:kern w:val="0"/>
          <w:sz w:val="32"/>
          <w:szCs w:val="32"/>
        </w:rPr>
        <w:t>全年预算</w:t>
      </w:r>
      <w:r>
        <w:rPr>
          <w:rFonts w:hint="eastAsia" w:ascii="仿宋" w:hAnsi="仿宋" w:eastAsia="仿宋" w:cs="仿宋"/>
          <w:kern w:val="0"/>
          <w:sz w:val="32"/>
          <w:szCs w:val="32"/>
          <w:lang w:val="en-US" w:eastAsia="zh-CN"/>
        </w:rPr>
        <w:t>0.00万元持平，</w:t>
      </w:r>
      <w:r>
        <w:rPr>
          <w:rFonts w:hint="eastAsia" w:ascii="仿宋" w:hAnsi="仿宋" w:eastAsia="仿宋" w:cs="仿宋"/>
          <w:kern w:val="0"/>
          <w:sz w:val="32"/>
          <w:szCs w:val="32"/>
        </w:rPr>
        <w:t>较上年</w:t>
      </w:r>
      <w:r>
        <w:rPr>
          <w:rFonts w:hint="eastAsia" w:ascii="仿宋" w:hAnsi="仿宋" w:eastAsia="仿宋" w:cs="仿宋"/>
          <w:kern w:val="0"/>
          <w:sz w:val="32"/>
          <w:szCs w:val="32"/>
          <w:lang w:eastAsia="zh-CN"/>
        </w:rPr>
        <w:t>决算的</w:t>
      </w:r>
      <w:r>
        <w:rPr>
          <w:rFonts w:hint="eastAsia" w:ascii="仿宋" w:hAnsi="仿宋" w:eastAsia="仿宋" w:cs="仿宋"/>
          <w:kern w:val="0"/>
          <w:sz w:val="32"/>
          <w:szCs w:val="32"/>
          <w:lang w:val="en-US" w:eastAsia="zh-CN"/>
        </w:rPr>
        <w:t>0.00万元相比持平。</w:t>
      </w:r>
      <w:r>
        <w:rPr>
          <w:rFonts w:hint="eastAsia" w:ascii="仿宋" w:hAnsi="仿宋" w:eastAsia="仿宋" w:cs="仿宋"/>
          <w:kern w:val="0"/>
          <w:sz w:val="32"/>
          <w:szCs w:val="32"/>
          <w:shd w:val="clear" w:color="auto" w:fill="FFFFFF"/>
        </w:rPr>
        <w:t>主要原因是</w:t>
      </w:r>
      <w:r>
        <w:rPr>
          <w:rFonts w:hint="eastAsia" w:ascii="仿宋" w:hAnsi="仿宋" w:eastAsia="仿宋" w:cs="仿宋"/>
          <w:kern w:val="0"/>
          <w:sz w:val="32"/>
          <w:szCs w:val="32"/>
          <w:shd w:val="clear" w:color="auto" w:fill="FFFFFF"/>
          <w:lang w:eastAsia="zh-CN"/>
        </w:rPr>
        <w:t>本单位没有使用“三公”经费支出</w:t>
      </w:r>
      <w:r>
        <w:rPr>
          <w:rFonts w:hint="eastAsia" w:ascii="仿宋" w:hAnsi="仿宋" w:eastAsia="仿宋" w:cs="仿宋"/>
          <w:kern w:val="0"/>
          <w:sz w:val="32"/>
          <w:szCs w:val="32"/>
          <w:shd w:val="clear" w:color="auto" w:fill="FFFFFF"/>
        </w:rPr>
        <w:t>。</w:t>
      </w:r>
      <w:r>
        <w:rPr>
          <w:rFonts w:ascii="仿宋" w:hAnsi="仿宋" w:eastAsia="仿宋" w:cs="仿宋"/>
          <w:spacing w:val="0"/>
          <w:kern w:val="0"/>
          <w:sz w:val="32"/>
          <w:szCs w:val="32"/>
        </w:rPr>
        <w:t>具体情况如下：</w:t>
      </w:r>
    </w:p>
    <w:p>
      <w:pPr>
        <w:pStyle w:val="33"/>
        <w:keepNext w:val="0"/>
        <w:keepLines w:val="0"/>
        <w:widowControl/>
        <w:suppressLineNumbers w:val="0"/>
        <w:shd w:val="clear" w:fill="FFFFFF"/>
        <w:autoSpaceDE/>
        <w:autoSpaceDN w:val="0"/>
        <w:spacing w:before="240" w:beforeAutospacing="0" w:after="240" w:afterAutospacing="0" w:line="600" w:lineRule="atLeast"/>
        <w:ind w:left="0" w:firstLine="645"/>
        <w:jc w:val="both"/>
        <w:rPr>
          <w:rFonts w:hint="eastAsia" w:ascii="仿宋" w:hAnsi="仿宋" w:eastAsia="仿宋" w:cs="仿宋"/>
          <w:color w:val="000000"/>
          <w:spacing w:val="0"/>
          <w:kern w:val="0"/>
          <w:sz w:val="32"/>
          <w:szCs w:val="32"/>
          <w:shd w:val="clear" w:fill="FFFFFF"/>
        </w:rPr>
      </w:pPr>
      <w:r>
        <w:rPr>
          <w:rFonts w:hint="eastAsia" w:ascii="仿宋" w:hAnsi="仿宋" w:eastAsia="仿宋" w:cs="仿宋"/>
          <w:spacing w:val="0"/>
          <w:kern w:val="0"/>
          <w:sz w:val="32"/>
          <w:szCs w:val="32"/>
        </w:rPr>
        <w:t>（一）因公出国（境）费支出 0.00 万元，</w:t>
      </w:r>
      <w:r>
        <w:rPr>
          <w:rFonts w:hint="eastAsia" w:ascii="仿宋" w:hAnsi="仿宋" w:eastAsia="仿宋" w:cs="仿宋"/>
          <w:kern w:val="0"/>
          <w:sz w:val="32"/>
          <w:szCs w:val="32"/>
        </w:rPr>
        <w:t>完成全年预算的0%；较上年增加0万元，增长0%。</w:t>
      </w:r>
      <w:r>
        <w:rPr>
          <w:rFonts w:hint="eastAsia" w:ascii="仿宋" w:hAnsi="仿宋" w:eastAsia="仿宋" w:cs="仿宋"/>
          <w:spacing w:val="0"/>
          <w:kern w:val="0"/>
          <w:sz w:val="32"/>
          <w:szCs w:val="32"/>
        </w:rPr>
        <w:t>全年安排本</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组织的出国团组 0个，参加其他</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出国团组 0 个；全年因公出国（境）累计0人次。主要原因是本</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没有组织出国团组及参加其他</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出国团组。</w:t>
      </w:r>
    </w:p>
    <w:p>
      <w:pPr>
        <w:pStyle w:val="29"/>
        <w:widowControl/>
        <w:spacing w:before="100" w:after="100" w:line="600" w:lineRule="atLeast"/>
        <w:ind w:left="0" w:right="0" w:firstLine="645"/>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（二）公务用车购置及运行</w:t>
      </w:r>
      <w:r>
        <w:rPr>
          <w:rFonts w:hint="eastAsia" w:ascii="仿宋" w:hAnsi="仿宋" w:eastAsia="仿宋" w:cs="仿宋"/>
          <w:spacing w:val="0"/>
          <w:kern w:val="0"/>
          <w:sz w:val="32"/>
          <w:szCs w:val="32"/>
          <w:lang w:eastAsia="zh-CN"/>
        </w:rPr>
        <w:t>维护</w:t>
      </w:r>
      <w:r>
        <w:rPr>
          <w:rFonts w:hint="eastAsia" w:ascii="仿宋" w:hAnsi="仿宋" w:eastAsia="仿宋" w:cs="仿宋"/>
          <w:spacing w:val="0"/>
          <w:kern w:val="0"/>
          <w:sz w:val="32"/>
          <w:szCs w:val="32"/>
        </w:rPr>
        <w:t>费支出0.00万元，</w:t>
      </w:r>
      <w:r>
        <w:rPr>
          <w:rFonts w:hint="eastAsia" w:ascii="仿宋" w:hAnsi="仿宋" w:eastAsia="仿宋" w:cs="仿宋"/>
          <w:kern w:val="0"/>
          <w:sz w:val="32"/>
          <w:szCs w:val="32"/>
        </w:rPr>
        <w:t>完成全年预算的0%；较上年增加0万元，增长0%。</w:t>
      </w:r>
      <w:r>
        <w:rPr>
          <w:rFonts w:hint="eastAsia" w:ascii="仿宋" w:hAnsi="仿宋" w:eastAsia="仿宋" w:cs="仿宋"/>
          <w:spacing w:val="0"/>
          <w:kern w:val="0"/>
          <w:sz w:val="32"/>
          <w:szCs w:val="32"/>
        </w:rPr>
        <w:t>主要是本</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没有购置公务用车及运行维护费支出。其中：公务用车购置费支出0.00万元，比本年预算的0.00万元下降0.00%，202</w:t>
      </w:r>
      <w:r>
        <w:rPr>
          <w:rFonts w:hint="eastAsia" w:ascii="仿宋" w:hAnsi="仿宋" w:eastAsia="仿宋" w:cs="仿宋"/>
          <w:spacing w:val="0"/>
          <w:kern w:val="0"/>
          <w:sz w:val="32"/>
          <w:szCs w:val="32"/>
          <w:lang w:val="en-US" w:eastAsia="zh-CN"/>
        </w:rPr>
        <w:t>4</w:t>
      </w:r>
      <w:r>
        <w:rPr>
          <w:rFonts w:hint="eastAsia" w:ascii="仿宋" w:hAnsi="仿宋" w:eastAsia="仿宋" w:cs="仿宋"/>
          <w:spacing w:val="0"/>
          <w:kern w:val="0"/>
          <w:sz w:val="32"/>
          <w:szCs w:val="32"/>
        </w:rPr>
        <w:t>年公务用车购置0辆，主要是本</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没有购置公务用车。</w:t>
      </w:r>
    </w:p>
    <w:p>
      <w:pPr>
        <w:pStyle w:val="29"/>
        <w:widowControl/>
        <w:spacing w:before="100" w:after="100" w:line="600" w:lineRule="atLeast"/>
        <w:ind w:left="0" w:right="0" w:firstLine="645"/>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公务用车运行维护费支出0.00万元，</w:t>
      </w:r>
      <w:r>
        <w:rPr>
          <w:rFonts w:hint="eastAsia" w:ascii="仿宋" w:hAnsi="仿宋" w:eastAsia="仿宋" w:cs="仿宋"/>
          <w:kern w:val="0"/>
          <w:sz w:val="32"/>
          <w:szCs w:val="32"/>
        </w:rPr>
        <w:t>完成全年预算的0%；较上年增加0万元，增长0%。</w:t>
      </w:r>
      <w:r>
        <w:rPr>
          <w:rFonts w:hint="eastAsia" w:ascii="仿宋" w:hAnsi="仿宋" w:eastAsia="仿宋" w:cs="仿宋"/>
          <w:spacing w:val="0"/>
          <w:kern w:val="0"/>
          <w:sz w:val="32"/>
          <w:szCs w:val="32"/>
        </w:rPr>
        <w:t>主要是本</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没有公务用车运行维护费的支出。截至202</w:t>
      </w:r>
      <w:r>
        <w:rPr>
          <w:rFonts w:hint="eastAsia" w:ascii="仿宋" w:hAnsi="仿宋" w:eastAsia="仿宋" w:cs="仿宋"/>
          <w:spacing w:val="0"/>
          <w:kern w:val="0"/>
          <w:sz w:val="32"/>
          <w:szCs w:val="32"/>
          <w:lang w:val="en-US" w:eastAsia="zh-CN"/>
        </w:rPr>
        <w:t>4</w:t>
      </w:r>
      <w:r>
        <w:rPr>
          <w:rFonts w:hint="eastAsia" w:ascii="仿宋" w:hAnsi="仿宋" w:eastAsia="仿宋" w:cs="仿宋"/>
          <w:spacing w:val="0"/>
          <w:kern w:val="0"/>
          <w:sz w:val="32"/>
          <w:szCs w:val="32"/>
        </w:rPr>
        <w:t>年12月31日，本</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公务用车保有量为0辆。</w:t>
      </w:r>
    </w:p>
    <w:p>
      <w:pPr>
        <w:pStyle w:val="29"/>
        <w:widowControl/>
        <w:spacing w:before="100" w:after="100" w:line="600" w:lineRule="atLeast"/>
        <w:ind w:left="0" w:right="0" w:firstLine="645"/>
        <w:jc w:val="both"/>
        <w:rPr>
          <w:rFonts w:ascii="Times New Roman" w:hAnsi="Times New Roman" w:eastAsia="Times New Roman" w:cs="Times New Roman"/>
          <w:kern w:val="0"/>
          <w:sz w:val="24"/>
        </w:rPr>
      </w:pPr>
      <w:r>
        <w:rPr>
          <w:rFonts w:hint="eastAsia" w:ascii="仿宋" w:hAnsi="仿宋" w:eastAsia="仿宋" w:cs="仿宋"/>
          <w:spacing w:val="0"/>
          <w:kern w:val="0"/>
          <w:sz w:val="32"/>
          <w:szCs w:val="32"/>
        </w:rPr>
        <w:t>（三）公务接待费支出 0.00 万元，</w:t>
      </w:r>
      <w:r>
        <w:rPr>
          <w:rFonts w:hint="eastAsia" w:ascii="仿宋" w:hAnsi="仿宋" w:eastAsia="仿宋" w:cs="仿宋"/>
          <w:kern w:val="0"/>
          <w:sz w:val="32"/>
          <w:szCs w:val="32"/>
        </w:rPr>
        <w:t>完成全年预算的0%；较上年增加0万元，增长0%。</w:t>
      </w:r>
      <w:r>
        <w:rPr>
          <w:rFonts w:hint="eastAsia" w:ascii="仿宋" w:hAnsi="仿宋" w:eastAsia="仿宋" w:cs="仿宋"/>
          <w:spacing w:val="0"/>
          <w:kern w:val="0"/>
          <w:sz w:val="32"/>
          <w:szCs w:val="32"/>
        </w:rPr>
        <w:t>主要是本</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没有公务接待活动，累计接待0批次、0人</w:t>
      </w:r>
    </w:p>
    <w:p>
      <w:pPr>
        <w:pStyle w:val="2"/>
        <w:keepNext w:val="0"/>
        <w:keepLines w:val="0"/>
        <w:widowControl/>
        <w:suppressLineNumbers w:val="0"/>
        <w:ind w:right="0" w:rightChars="0" w:firstLine="640" w:firstLineChars="200"/>
        <w:jc w:val="both"/>
        <w:rPr>
          <w:rFonts w:hint="eastAsia" w:ascii="仿宋" w:hAnsi="仿宋" w:eastAsia="仿宋" w:cs="仿宋"/>
          <w:spacing w:val="0"/>
          <w:kern w:val="0"/>
          <w:sz w:val="32"/>
          <w:szCs w:val="32"/>
          <w:lang w:val="en-US" w:eastAsia="zh-CN" w:bidi="ar"/>
        </w:rPr>
      </w:pPr>
      <w:bookmarkStart w:id="57" w:name="_Toc256000118"/>
      <w:bookmarkStart w:id="58" w:name="_Toc256000025"/>
      <w:bookmarkStart w:id="59" w:name="_Toc256000056"/>
      <w:bookmarkStart w:id="60" w:name="_Toc256000087"/>
      <w:r>
        <w:rPr>
          <w:rFonts w:hint="eastAsia" w:ascii="黑体" w:hAnsi="宋体" w:eastAsia="黑体" w:cs="黑体"/>
          <w:kern w:val="0"/>
          <w:sz w:val="32"/>
          <w:szCs w:val="32"/>
          <w:shd w:val="clear" w:fill="FFFFFF"/>
        </w:rPr>
        <w:t>八、预算绩效情况说明</w:t>
      </w:r>
      <w:bookmarkEnd w:id="57"/>
      <w:bookmarkEnd w:id="58"/>
      <w:bookmarkEnd w:id="59"/>
      <w:bookmarkEnd w:id="60"/>
      <w:bookmarkStart w:id="61" w:name="_Toc256000119"/>
      <w:bookmarkStart w:id="62" w:name="_Toc256000088"/>
      <w:bookmarkStart w:id="63" w:name="_Toc256000057"/>
      <w:bookmarkStart w:id="64" w:name="_Toc256000026"/>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32"/>
          <w:szCs w:val="32"/>
        </w:rPr>
      </w:pPr>
      <w:r>
        <w:rPr>
          <w:rFonts w:hint="eastAsia" w:ascii="仿宋" w:hAnsi="仿宋" w:eastAsia="仿宋" w:cs="仿宋"/>
          <w:spacing w:val="0"/>
          <w:kern w:val="0"/>
          <w:sz w:val="32"/>
          <w:szCs w:val="32"/>
          <w:lang w:val="en-US" w:eastAsia="zh-CN" w:bidi="ar"/>
        </w:rPr>
        <w:t>根据预算绩效管理要求，本单位组织对2024年度1个项目实施单位自评，项目名称义务教育困难学生营养餐补助，涉及财政拨款资金共计3.7776万元。</w:t>
      </w:r>
      <w:r>
        <w:rPr>
          <w:rFonts w:ascii="仿宋" w:hAnsi="仿宋" w:eastAsia="仿宋" w:cs="仿宋"/>
          <w:spacing w:val="0"/>
          <w:kern w:val="0"/>
          <w:sz w:val="32"/>
          <w:szCs w:val="32"/>
        </w:rPr>
        <w:t>（《项目支出绩效自评表》详见附件）</w:t>
      </w:r>
    </w:p>
    <w:p>
      <w:pPr>
        <w:pStyle w:val="2"/>
        <w:keepNext w:val="0"/>
        <w:keepLines w:val="0"/>
        <w:widowControl/>
        <w:suppressLineNumbers w:val="0"/>
        <w:ind w:right="0" w:rightChars="0" w:firstLine="320" w:firstLineChars="100"/>
        <w:jc w:val="both"/>
        <w:rPr>
          <w:rFonts w:hint="eastAsia" w:ascii="黑体" w:hAnsi="宋体" w:eastAsia="黑体" w:cs="黑体"/>
          <w:kern w:val="0"/>
          <w:sz w:val="32"/>
          <w:szCs w:val="32"/>
          <w:shd w:val="clear" w:fill="FFFFFF"/>
        </w:rPr>
      </w:pPr>
      <w:r>
        <w:rPr>
          <w:rFonts w:hint="eastAsia" w:ascii="黑体" w:hAnsi="宋体" w:eastAsia="黑体" w:cs="黑体"/>
          <w:kern w:val="0"/>
          <w:sz w:val="32"/>
          <w:szCs w:val="32"/>
          <w:shd w:val="clear" w:fill="FFFFFF"/>
        </w:rPr>
        <w:t>九、其他重要事项说明</w:t>
      </w:r>
      <w:bookmarkEnd w:id="61"/>
      <w:bookmarkEnd w:id="62"/>
      <w:bookmarkEnd w:id="63"/>
      <w:bookmarkEnd w:id="64"/>
    </w:p>
    <w:p>
      <w:pPr>
        <w:pStyle w:val="29"/>
        <w:widowControl/>
        <w:spacing w:before="100" w:after="100" w:line="600" w:lineRule="atLeast"/>
        <w:ind w:left="0" w:right="0" w:firstLine="643"/>
        <w:jc w:val="both"/>
        <w:rPr>
          <w:rFonts w:ascii="Times New Roman" w:hAnsi="Times New Roman" w:eastAsia="Times New Roman" w:cs="Times New Roman"/>
          <w:kern w:val="0"/>
          <w:sz w:val="24"/>
        </w:rPr>
      </w:pPr>
      <w:r>
        <w:rPr>
          <w:rFonts w:ascii="楷体" w:hAnsi="楷体" w:eastAsia="楷体" w:cs="楷体"/>
          <w:spacing w:val="0"/>
          <w:kern w:val="0"/>
          <w:sz w:val="32"/>
          <w:szCs w:val="32"/>
        </w:rPr>
        <w:t>（一）机关运行经费</w:t>
      </w:r>
      <w:r>
        <w:rPr>
          <w:rFonts w:ascii="宋体" w:hAnsi="宋体" w:cs="宋体"/>
          <w:spacing w:val="0"/>
          <w:kern w:val="0"/>
          <w:sz w:val="32"/>
          <w:szCs w:val="32"/>
        </w:rPr>
        <w:t> </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2024年度机关运行经费支出0万元，比上年决算数增加（减少）</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万元，增长（下降）</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%，主要原因是:本单位为事业单位</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没有机关运行经费。</w:t>
      </w:r>
    </w:p>
    <w:p>
      <w:pPr>
        <w:pStyle w:val="29"/>
        <w:widowControl/>
        <w:spacing w:before="100" w:after="100" w:line="600" w:lineRule="atLeast"/>
        <w:ind w:left="0" w:right="0" w:firstLine="643"/>
        <w:jc w:val="both"/>
        <w:rPr>
          <w:rFonts w:ascii="楷体" w:hAnsi="楷体" w:eastAsia="楷体" w:cs="楷体"/>
          <w:spacing w:val="0"/>
          <w:kern w:val="0"/>
          <w:sz w:val="32"/>
          <w:szCs w:val="32"/>
        </w:rPr>
      </w:pPr>
      <w:r>
        <w:rPr>
          <w:rFonts w:ascii="楷体" w:hAnsi="楷体" w:eastAsia="楷体" w:cs="楷体"/>
          <w:spacing w:val="0"/>
          <w:kern w:val="0"/>
          <w:sz w:val="32"/>
          <w:szCs w:val="32"/>
        </w:rPr>
        <w:t>（二）政府采购情况</w:t>
      </w:r>
    </w:p>
    <w:p>
      <w:pPr>
        <w:pStyle w:val="29"/>
        <w:widowControl/>
        <w:spacing w:before="240" w:after="240" w:line="600" w:lineRule="atLeast"/>
        <w:ind w:firstLine="640"/>
        <w:jc w:val="both"/>
        <w:rPr>
          <w:rFonts w:hint="eastAsia" w:ascii="仿宋" w:hAnsi="仿宋" w:eastAsia="仿宋" w:cs="仿宋"/>
          <w:spacing w:val="0"/>
          <w:kern w:val="0"/>
          <w:sz w:val="32"/>
          <w:szCs w:val="32"/>
          <w:lang w:val="en-US" w:eastAsia="zh-CN"/>
        </w:rPr>
      </w:pPr>
      <w:r>
        <w:rPr>
          <w:rFonts w:ascii="仿宋" w:hAnsi="仿宋" w:eastAsia="仿宋" w:cs="仿宋"/>
          <w:spacing w:val="0"/>
          <w:kern w:val="0"/>
          <w:sz w:val="32"/>
          <w:szCs w:val="32"/>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%，工程采购授予中小企业合同金额占工程支出金额的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%，服务采购授予中小企业合同金额占服务支出金额的</w:t>
      </w:r>
      <w:r>
        <w:rPr>
          <w:rFonts w:hint="eastAsia" w:ascii="仿宋" w:hAnsi="仿宋" w:eastAsia="仿宋" w:cs="仿宋"/>
          <w:spacing w:val="0"/>
          <w:kern w:val="0"/>
          <w:sz w:val="32"/>
          <w:szCs w:val="32"/>
          <w:lang w:val="en-US" w:eastAsia="zh-CN"/>
        </w:rPr>
        <w:t>0%。</w:t>
      </w:r>
    </w:p>
    <w:p>
      <w:pPr>
        <w:pStyle w:val="29"/>
        <w:widowControl/>
        <w:spacing w:before="240" w:after="240" w:line="600" w:lineRule="atLeast"/>
        <w:ind w:firstLine="640"/>
        <w:jc w:val="both"/>
        <w:rPr>
          <w:rFonts w:hint="default"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2024年度本单位没有政府采购。</w:t>
      </w:r>
    </w:p>
    <w:p>
      <w:pPr>
        <w:pStyle w:val="29"/>
        <w:widowControl/>
        <w:spacing w:before="100" w:after="100" w:line="600" w:lineRule="atLeast"/>
        <w:ind w:left="0" w:right="0" w:firstLine="643"/>
        <w:jc w:val="both"/>
        <w:rPr>
          <w:rFonts w:ascii="楷体" w:hAnsi="楷体" w:eastAsia="楷体" w:cs="楷体"/>
          <w:spacing w:val="0"/>
          <w:kern w:val="0"/>
          <w:sz w:val="32"/>
          <w:szCs w:val="32"/>
        </w:rPr>
      </w:pPr>
      <w:r>
        <w:rPr>
          <w:rFonts w:ascii="楷体" w:hAnsi="楷体" w:eastAsia="楷体" w:cs="楷体"/>
          <w:spacing w:val="0"/>
          <w:kern w:val="0"/>
          <w:sz w:val="32"/>
          <w:szCs w:val="32"/>
        </w:rPr>
        <w:t>（三）国有资产占用使用情况 </w:t>
      </w:r>
    </w:p>
    <w:p>
      <w:pPr>
        <w:pStyle w:val="29"/>
        <w:widowControl/>
        <w:spacing w:before="100" w:after="100" w:line="600" w:lineRule="atLeast"/>
        <w:ind w:left="0" w:right="0" w:firstLine="704"/>
        <w:jc w:val="both"/>
        <w:rPr>
          <w:rFonts w:ascii="Times New Roman" w:hAnsi="Times New Roman" w:eastAsia="Times New Roman" w:cs="Times New Roman"/>
          <w:kern w:val="0"/>
          <w:sz w:val="24"/>
        </w:rPr>
      </w:pPr>
      <w:r>
        <w:rPr>
          <w:rFonts w:ascii="仿宋" w:hAnsi="仿宋" w:eastAsia="仿宋" w:cs="仿宋"/>
          <w:spacing w:val="0"/>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台（套）。</w:t>
      </w:r>
      <w:r>
        <w:rPr>
          <w:rFonts w:ascii="Calibri" w:hAnsi="Calibri" w:eastAsia="Calibri" w:cs="Calibri"/>
          <w:spacing w:val="0"/>
          <w:kern w:val="0"/>
          <w:sz w:val="32"/>
          <w:szCs w:val="32"/>
        </w:rPr>
        <w:t>  </w:t>
      </w:r>
      <w:r>
        <w:rPr>
          <w:rFonts w:ascii="宋体" w:hAnsi="宋体" w:cs="宋体"/>
          <w:spacing w:val="0"/>
          <w:kern w:val="0"/>
          <w:sz w:val="56"/>
          <w:szCs w:val="56"/>
        </w:rPr>
        <w:t xml:space="preserve"> </w:t>
      </w:r>
    </w:p>
    <w:p>
      <w:pPr>
        <w:sectPr>
          <w:footerReference r:id="rId7" w:type="default"/>
          <w:pgSz w:w="11906" w:h="16838"/>
          <w:pgMar w:top="1440" w:right="1800" w:bottom="1440" w:left="180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29"/>
        <w:widowControl/>
        <w:spacing w:before="100" w:after="100"/>
        <w:ind w:left="0" w:right="0" w:firstLine="0"/>
        <w:jc w:val="center"/>
        <w:rPr>
          <w:rFonts w:hint="eastAsia" w:ascii="黑体" w:hAnsi="宋体" w:eastAsia="黑体" w:cs="黑体"/>
          <w:kern w:val="0"/>
          <w:sz w:val="36"/>
          <w:szCs w:val="36"/>
          <w:shd w:val="clear" w:fill="FFFFFF"/>
          <w:lang w:bidi="ar"/>
        </w:rPr>
      </w:pPr>
      <w:r>
        <w:rPr>
          <w:rFonts w:hint="eastAsia" w:ascii="黑体" w:hAnsi="宋体" w:eastAsia="黑体" w:cs="黑体"/>
          <w:kern w:val="0"/>
          <w:sz w:val="36"/>
          <w:szCs w:val="36"/>
          <w:shd w:val="clear" w:fill="FFFFFF"/>
          <w:lang w:bidi="ar"/>
        </w:rPr>
        <w:t>第四部分 名词解释</w:t>
      </w:r>
    </w:p>
    <w:p>
      <w:pPr>
        <w:pStyle w:val="29"/>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kern w:val="0"/>
          <w:sz w:val="32"/>
          <w:szCs w:val="32"/>
        </w:rPr>
        <w:t> </w:t>
      </w:r>
      <w:r>
        <w:rPr>
          <w:rFonts w:ascii="仿宋" w:hAnsi="仿宋" w:eastAsia="仿宋" w:cs="仿宋"/>
          <w:b/>
          <w:bCs/>
          <w:kern w:val="0"/>
          <w:sz w:val="32"/>
          <w:szCs w:val="32"/>
        </w:rPr>
        <w:t>一、财政拨款收入：</w:t>
      </w:r>
      <w:r>
        <w:rPr>
          <w:rFonts w:ascii="仿宋" w:hAnsi="仿宋" w:eastAsia="仿宋" w:cs="仿宋"/>
          <w:kern w:val="0"/>
          <w:sz w:val="32"/>
          <w:szCs w:val="32"/>
        </w:rPr>
        <w:t>指单位从本级财政</w:t>
      </w:r>
      <w:r>
        <w:rPr>
          <w:rFonts w:hint="eastAsia" w:ascii="仿宋" w:hAnsi="仿宋" w:eastAsia="仿宋" w:cs="仿宋"/>
          <w:kern w:val="0"/>
          <w:sz w:val="32"/>
          <w:szCs w:val="32"/>
          <w:lang w:eastAsia="zh-CN"/>
        </w:rPr>
        <w:t>单位</w:t>
      </w:r>
      <w:r>
        <w:rPr>
          <w:rFonts w:ascii="仿宋" w:hAnsi="仿宋" w:eastAsia="仿宋" w:cs="仿宋"/>
          <w:kern w:val="0"/>
          <w:sz w:val="32"/>
          <w:szCs w:val="32"/>
        </w:rPr>
        <w:t>取得的财政预算资金，包括一般公共预算财政拨款、政府性基金预算财政拨款和国有资本经营预算财政拨款。</w:t>
      </w:r>
    </w:p>
    <w:p>
      <w:pPr>
        <w:pStyle w:val="29"/>
        <w:widowControl/>
        <w:spacing w:before="240" w:after="240" w:line="600" w:lineRule="atLeast"/>
        <w:ind w:firstLine="71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二、事业收入：</w:t>
      </w:r>
      <w:r>
        <w:rPr>
          <w:rFonts w:ascii="仿宋" w:hAnsi="仿宋" w:eastAsia="仿宋" w:cs="仿宋"/>
          <w:kern w:val="0"/>
          <w:sz w:val="32"/>
          <w:szCs w:val="32"/>
        </w:rPr>
        <w:t>指事业单位开展专业业务活动及辅助活动所取得的收入。</w:t>
      </w:r>
    </w:p>
    <w:p>
      <w:pPr>
        <w:pStyle w:val="29"/>
        <w:widowControl/>
        <w:spacing w:before="240" w:after="240" w:line="600" w:lineRule="atLeast"/>
        <w:ind w:firstLine="71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三、经营收入：</w:t>
      </w:r>
      <w:r>
        <w:rPr>
          <w:rFonts w:ascii="仿宋" w:hAnsi="仿宋" w:eastAsia="仿宋" w:cs="仿宋"/>
          <w:kern w:val="0"/>
          <w:sz w:val="32"/>
          <w:szCs w:val="32"/>
        </w:rPr>
        <w:t>指事业单位在专业业务活动及其辅助活动之外开展非独立核算经营活动取得的收入。</w:t>
      </w:r>
    </w:p>
    <w:p>
      <w:pPr>
        <w:pStyle w:val="29"/>
        <w:widowControl/>
        <w:spacing w:before="240" w:after="240" w:line="600" w:lineRule="atLeast"/>
        <w:ind w:firstLine="71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四、其他收入：</w:t>
      </w:r>
      <w:r>
        <w:rPr>
          <w:rFonts w:ascii="仿宋" w:hAnsi="仿宋" w:eastAsia="仿宋" w:cs="仿宋"/>
          <w:kern w:val="0"/>
          <w:sz w:val="32"/>
          <w:szCs w:val="32"/>
        </w:rPr>
        <w:t>指除上述“财政拨款收入”“事业收入” “上级补助收入”“附属单位上缴收入”“经营收入”等以外取得的各项收入。主要是事业单位固定资产出租收入等。</w:t>
      </w:r>
    </w:p>
    <w:p>
      <w:pPr>
        <w:pStyle w:val="29"/>
        <w:widowControl/>
        <w:spacing w:before="240" w:after="240" w:line="600" w:lineRule="atLeast"/>
        <w:ind w:firstLine="71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五、使用非财政拨款结余：</w:t>
      </w:r>
      <w:r>
        <w:rPr>
          <w:rFonts w:ascii="仿宋" w:hAnsi="仿宋" w:eastAsia="仿宋" w:cs="仿宋"/>
          <w:kern w:val="0"/>
          <w:sz w:val="32"/>
          <w:szCs w:val="32"/>
        </w:rPr>
        <w:t>指事业单位使用以前年度积累的非财政拨款结余弥补当年收支差额的金额。</w:t>
      </w:r>
    </w:p>
    <w:p>
      <w:pPr>
        <w:pStyle w:val="29"/>
        <w:widowControl/>
        <w:spacing w:before="240" w:after="240" w:line="600" w:lineRule="atLeast"/>
        <w:ind w:firstLine="71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六、年初结转和结余：</w:t>
      </w:r>
      <w:r>
        <w:rPr>
          <w:rFonts w:ascii="仿宋" w:hAnsi="仿宋" w:eastAsia="仿宋" w:cs="仿宋"/>
          <w:kern w:val="0"/>
          <w:sz w:val="32"/>
          <w:szCs w:val="32"/>
        </w:rPr>
        <w:t>指单位以前年度尚未完成、结转到本年仍按原规定用途继续使用的资金，或项目已完成等产生的结余资金。</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七、结余分配：</w:t>
      </w:r>
      <w:r>
        <w:rPr>
          <w:rFonts w:ascii="仿宋" w:hAnsi="仿宋" w:eastAsia="仿宋" w:cs="仿宋"/>
          <w:kern w:val="0"/>
          <w:sz w:val="32"/>
          <w:szCs w:val="32"/>
        </w:rPr>
        <w:t>指事业单位按照会计制度规定缴纳的所得税、提取的专用结余以及转入非财政拨款结余的金额等。</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八、年末结转和结余：</w:t>
      </w:r>
      <w:r>
        <w:rPr>
          <w:rFonts w:ascii="仿宋" w:hAnsi="仿宋" w:eastAsia="仿宋" w:cs="仿宋"/>
          <w:kern w:val="0"/>
          <w:sz w:val="32"/>
          <w:szCs w:val="32"/>
        </w:rPr>
        <w:t>指单位按有关规定结转到下年或以后年度继续使用的资金，或项目已完成等产生的结余资金。</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九、基本支出：</w:t>
      </w:r>
      <w:r>
        <w:rPr>
          <w:rFonts w:ascii="仿宋" w:hAnsi="仿宋" w:eastAsia="仿宋" w:cs="仿宋"/>
          <w:kern w:val="0"/>
          <w:sz w:val="32"/>
          <w:szCs w:val="32"/>
        </w:rPr>
        <w:t>指为保障机构正常运转、完成日常工作任务而发生的人员支出和公用支出。</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十、项目支出：</w:t>
      </w:r>
      <w:r>
        <w:rPr>
          <w:rFonts w:ascii="仿宋" w:hAnsi="仿宋" w:eastAsia="仿宋" w:cs="仿宋"/>
          <w:kern w:val="0"/>
          <w:sz w:val="32"/>
          <w:szCs w:val="32"/>
        </w:rPr>
        <w:t>指在基本支出之外为完成特定行政任务和事业发展目标所发生的支出。</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十一、经营支出：</w:t>
      </w:r>
      <w:r>
        <w:rPr>
          <w:rFonts w:ascii="仿宋" w:hAnsi="仿宋" w:eastAsia="仿宋" w:cs="仿宋"/>
          <w:kern w:val="0"/>
          <w:sz w:val="32"/>
          <w:szCs w:val="32"/>
        </w:rPr>
        <w:t>指事业单位在专业业务活动及其辅助活动之外开展非独立核算经营活动发生的支出。</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十二、“三公”经费：</w:t>
      </w:r>
      <w:r>
        <w:rPr>
          <w:rFonts w:ascii="仿宋" w:hAnsi="仿宋" w:eastAsia="仿宋" w:cs="仿宋"/>
          <w:kern w:val="0"/>
          <w:sz w:val="32"/>
          <w:szCs w:val="32"/>
        </w:rPr>
        <w:t>纳入本级财政预决算管理的“三公”经费，是指本级</w:t>
      </w:r>
      <w:r>
        <w:rPr>
          <w:rFonts w:hint="eastAsia" w:ascii="仿宋" w:hAnsi="仿宋" w:eastAsia="仿宋" w:cs="仿宋"/>
          <w:kern w:val="0"/>
          <w:sz w:val="32"/>
          <w:szCs w:val="32"/>
          <w:lang w:eastAsia="zh-CN"/>
        </w:rPr>
        <w:t>单位</w:t>
      </w:r>
      <w:r>
        <w:rPr>
          <w:rFonts w:ascii="仿宋" w:hAnsi="仿宋" w:eastAsia="仿宋" w:cs="仿宋"/>
          <w:kern w:val="0"/>
          <w:sz w:val="32"/>
          <w:szCs w:val="32"/>
        </w:rPr>
        <w:t>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29"/>
        <w:widowControl/>
        <w:spacing w:before="240" w:after="240" w:line="560" w:lineRule="atLeast"/>
        <w:ind w:firstLine="643"/>
        <w:jc w:val="both"/>
        <w:rPr>
          <w:rFonts w:ascii="Times New Roman" w:hAnsi="Times New Roman" w:eastAsia="Times New Roman" w:cs="Times New Roman"/>
          <w:kern w:val="0"/>
          <w:sz w:val="24"/>
          <w:szCs w:val="24"/>
        </w:rPr>
      </w:pPr>
      <w:r>
        <w:rPr>
          <w:rFonts w:ascii="仿宋" w:hAnsi="仿宋" w:eastAsia="仿宋" w:cs="仿宋"/>
          <w:b/>
          <w:bCs/>
          <w:kern w:val="0"/>
          <w:sz w:val="32"/>
          <w:szCs w:val="32"/>
        </w:rPr>
        <w:t>十三、机关运行经费：</w:t>
      </w:r>
      <w:r>
        <w:rPr>
          <w:rFonts w:ascii="仿宋" w:hAnsi="仿宋" w:eastAsia="仿宋" w:cs="仿宋"/>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9"/>
        <w:widowControl/>
        <w:spacing w:before="240" w:after="240"/>
        <w:jc w:val="left"/>
        <w:rPr>
          <w:rFonts w:ascii="Times New Roman" w:hAnsi="Times New Roman" w:eastAsia="Times New Roman" w:cs="Times New Roman"/>
          <w:kern w:val="0"/>
          <w:sz w:val="24"/>
          <w:szCs w:val="24"/>
        </w:rPr>
      </w:pPr>
      <w:r>
        <w:rPr>
          <w:rFonts w:ascii="fang_song_gb2312" w:hAnsi="fang_song_gb2312" w:eastAsia="fang_song_gb2312" w:cs="fang_song_gb2312"/>
          <w:kern w:val="0"/>
          <w:sz w:val="27"/>
          <w:szCs w:val="27"/>
        </w:rPr>
        <w:t> </w:t>
      </w:r>
    </w:p>
    <w:p>
      <w:pPr>
        <w:pStyle w:val="29"/>
        <w:widowControl/>
        <w:spacing w:before="240" w:after="240"/>
        <w:jc w:val="center"/>
        <w:rPr>
          <w:rFonts w:hint="eastAsia" w:ascii="黑体" w:hAnsi="宋体" w:eastAsia="黑体" w:cs="黑体"/>
          <w:kern w:val="0"/>
          <w:sz w:val="30"/>
          <w:szCs w:val="30"/>
          <w:shd w:val="clear" w:fill="FFFFFF"/>
          <w:lang w:bidi="ar"/>
        </w:rPr>
      </w:pPr>
      <w:r>
        <w:rPr>
          <w:rFonts w:ascii="fang_song_gb2312" w:hAnsi="fang_song_gb2312" w:eastAsia="fang_song_gb2312" w:cs="fang_song_gb2312"/>
          <w:kern w:val="0"/>
          <w:sz w:val="27"/>
          <w:szCs w:val="27"/>
        </w:rPr>
        <w:t> </w:t>
      </w:r>
      <w:r>
        <w:rPr>
          <w:rFonts w:ascii="黑体" w:hAnsi="黑体" w:eastAsia="黑体" w:cs="黑体"/>
          <w:kern w:val="0"/>
          <w:sz w:val="56"/>
          <w:szCs w:val="56"/>
        </w:rPr>
        <w:t> </w:t>
      </w:r>
    </w:p>
    <w:p>
      <w:pPr>
        <w:pStyle w:val="29"/>
        <w:widowControl/>
        <w:numPr>
          <w:ilvl w:val="0"/>
          <w:numId w:val="2"/>
        </w:numPr>
        <w:spacing w:before="100" w:after="100"/>
        <w:ind w:left="0" w:right="0" w:firstLine="0"/>
        <w:jc w:val="center"/>
        <w:rPr>
          <w:rFonts w:hint="eastAsia" w:ascii="黑体" w:hAnsi="宋体" w:eastAsia="黑体" w:cs="黑体"/>
          <w:kern w:val="0"/>
          <w:sz w:val="36"/>
          <w:szCs w:val="36"/>
          <w:shd w:val="clear" w:fill="FFFFFF"/>
          <w:lang w:bidi="ar"/>
        </w:rPr>
      </w:pPr>
      <w:r>
        <w:rPr>
          <w:rFonts w:hint="eastAsia" w:ascii="黑体" w:hAnsi="宋体" w:eastAsia="黑体" w:cs="黑体"/>
          <w:kern w:val="0"/>
          <w:sz w:val="36"/>
          <w:szCs w:val="36"/>
          <w:shd w:val="clear" w:fill="FFFFFF"/>
          <w:lang w:bidi="ar"/>
        </w:rPr>
        <w:t>附件</w:t>
      </w:r>
    </w:p>
    <w:tbl>
      <w:tblPr>
        <w:tblStyle w:val="23"/>
        <w:tblW w:w="8931" w:type="dxa"/>
        <w:tblInd w:w="0" w:type="dxa"/>
        <w:shd w:val="clear" w:color="auto" w:fill="FFFFFF" w:themeFill="background1"/>
        <w:tblLayout w:type="fixed"/>
        <w:tblCellMar>
          <w:top w:w="0" w:type="dxa"/>
          <w:left w:w="0" w:type="dxa"/>
          <w:bottom w:w="0" w:type="dxa"/>
          <w:right w:w="0" w:type="dxa"/>
        </w:tblCellMar>
      </w:tblPr>
      <w:tblGrid>
        <w:gridCol w:w="35"/>
        <w:gridCol w:w="745"/>
        <w:gridCol w:w="378"/>
        <w:gridCol w:w="1678"/>
        <w:gridCol w:w="1418"/>
        <w:gridCol w:w="378"/>
        <w:gridCol w:w="594"/>
        <w:gridCol w:w="694"/>
        <w:gridCol w:w="805"/>
        <w:gridCol w:w="443"/>
        <w:gridCol w:w="375"/>
        <w:gridCol w:w="1388"/>
      </w:tblGrid>
      <w:tr>
        <w:tblPrEx>
          <w:shd w:val="clear" w:color="auto" w:fill="FFFFFF" w:themeFill="background1"/>
          <w:tblLayout w:type="fixed"/>
          <w:tblCellMar>
            <w:top w:w="0" w:type="dxa"/>
            <w:left w:w="0" w:type="dxa"/>
            <w:bottom w:w="0" w:type="dxa"/>
            <w:right w:w="0" w:type="dxa"/>
          </w:tblCellMar>
        </w:tblPrEx>
        <w:trPr>
          <w:trHeight w:val="375"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896" w:type="dxa"/>
            <w:gridSpan w:val="11"/>
            <w:tcBorders>
              <w:top w:val="nil"/>
              <w:left w:val="nil"/>
              <w:bottom w:val="nil"/>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cs="宋体"/>
                <w:b/>
                <w:i w:val="0"/>
                <w:color w:val="000000"/>
                <w:kern w:val="0"/>
                <w:sz w:val="28"/>
                <w:szCs w:val="28"/>
                <w:u w:val="none"/>
                <w:lang w:val="en-US" w:eastAsia="zh-CN" w:bidi="ar"/>
              </w:rPr>
              <w:t>单位</w:t>
            </w:r>
            <w:r>
              <w:rPr>
                <w:rFonts w:hint="eastAsia" w:ascii="宋体" w:hAnsi="宋体" w:eastAsia="宋体" w:cs="宋体"/>
                <w:b/>
                <w:i w:val="0"/>
                <w:color w:val="000000"/>
                <w:kern w:val="0"/>
                <w:sz w:val="28"/>
                <w:szCs w:val="28"/>
                <w:u w:val="none"/>
                <w:lang w:val="en-US" w:eastAsia="zh-CN" w:bidi="ar"/>
              </w:rPr>
              <w:t>（单位）项目支出绩效自评表</w:t>
            </w:r>
          </w:p>
        </w:tc>
      </w:tr>
      <w:tr>
        <w:tblPrEx>
          <w:shd w:val="clear" w:color="auto" w:fill="FFFFFF" w:themeFill="background1"/>
          <w:tblLayout w:type="fixed"/>
          <w:tblCellMar>
            <w:top w:w="0" w:type="dxa"/>
            <w:left w:w="0" w:type="dxa"/>
            <w:bottom w:w="0" w:type="dxa"/>
            <w:right w:w="0" w:type="dxa"/>
          </w:tblCellMar>
        </w:tblPrEx>
        <w:trPr>
          <w:trHeight w:val="36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896" w:type="dxa"/>
            <w:gridSpan w:val="11"/>
            <w:tcBorders>
              <w:top w:val="nil"/>
              <w:left w:val="nil"/>
              <w:bottom w:val="nil"/>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（2024年度）</w:t>
            </w:r>
          </w:p>
        </w:tc>
      </w:tr>
      <w:tr>
        <w:tblPrEx>
          <w:shd w:val="clear" w:color="auto" w:fill="FFFFFF" w:themeFill="background1"/>
          <w:tblLayout w:type="fixed"/>
          <w:tblCellMar>
            <w:top w:w="0" w:type="dxa"/>
            <w:left w:w="0" w:type="dxa"/>
            <w:bottom w:w="0" w:type="dxa"/>
            <w:right w:w="0" w:type="dxa"/>
          </w:tblCellMar>
        </w:tblPrEx>
        <w:trPr>
          <w:trHeight w:val="39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45"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预算单位（盖章）：                                                                                                  </w:t>
            </w:r>
          </w:p>
        </w:tc>
        <w:tc>
          <w:tcPr>
            <w:tcW w:w="378"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678"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厦门市金安小学</w:t>
            </w:r>
          </w:p>
        </w:tc>
        <w:tc>
          <w:tcPr>
            <w:tcW w:w="1418"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78"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594"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4"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05"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443"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75"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88"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单位：万元</w:t>
            </w:r>
          </w:p>
        </w:tc>
      </w:tr>
      <w:tr>
        <w:tblPrEx>
          <w:shd w:val="clear" w:color="auto" w:fill="FFFFFF" w:themeFill="background1"/>
          <w:tblLayout w:type="fixed"/>
          <w:tblCellMar>
            <w:top w:w="0" w:type="dxa"/>
            <w:left w:w="0" w:type="dxa"/>
            <w:bottom w:w="0" w:type="dxa"/>
            <w:right w:w="0" w:type="dxa"/>
          </w:tblCellMar>
        </w:tblPrEx>
        <w:trPr>
          <w:trHeight w:val="36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23" w:type="dxa"/>
            <w:gridSpan w:val="2"/>
            <w:tcBorders>
              <w:top w:val="nil"/>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项目名称</w:t>
            </w:r>
          </w:p>
        </w:tc>
        <w:tc>
          <w:tcPr>
            <w:tcW w:w="1678"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义务教育阶段家庭经济困难学生营养餐补助</w:t>
            </w:r>
          </w:p>
        </w:tc>
        <w:tc>
          <w:tcPr>
            <w:tcW w:w="1418" w:type="dxa"/>
            <w:tcBorders>
              <w:top w:val="single" w:color="000000" w:sz="4" w:space="0"/>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78" w:type="dxa"/>
            <w:tcBorders>
              <w:top w:val="single" w:color="000000" w:sz="4" w:space="0"/>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594" w:type="dxa"/>
            <w:tcBorders>
              <w:top w:val="single" w:color="000000" w:sz="4" w:space="0"/>
              <w:left w:val="nil"/>
              <w:bottom w:val="single" w:color="000000" w:sz="4" w:space="0"/>
              <w:right w:val="nil"/>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自评年度</w:t>
            </w:r>
          </w:p>
        </w:tc>
        <w:tc>
          <w:tcPr>
            <w:tcW w:w="3011"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2024年1月1日-2024年12月31日</w:t>
            </w:r>
          </w:p>
        </w:tc>
      </w:tr>
      <w:tr>
        <w:tblPrEx>
          <w:shd w:val="clear" w:color="auto" w:fill="FFFFFF" w:themeFill="background1"/>
          <w:tblLayout w:type="fixed"/>
          <w:tblCellMar>
            <w:top w:w="0" w:type="dxa"/>
            <w:left w:w="0" w:type="dxa"/>
            <w:bottom w:w="0" w:type="dxa"/>
            <w:right w:w="0" w:type="dxa"/>
          </w:tblCellMar>
        </w:tblPrEx>
        <w:trPr>
          <w:trHeight w:val="36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主管</w:t>
            </w:r>
            <w:r>
              <w:rPr>
                <w:rFonts w:hint="eastAsia" w:ascii="宋体" w:hAnsi="宋体" w:cs="宋体"/>
                <w:b/>
                <w:i w:val="0"/>
                <w:color w:val="000000"/>
                <w:kern w:val="0"/>
                <w:sz w:val="24"/>
                <w:szCs w:val="24"/>
                <w:u w:val="none"/>
                <w:lang w:val="en-US" w:eastAsia="zh-CN" w:bidi="ar"/>
              </w:rPr>
              <w:t>单位</w:t>
            </w:r>
          </w:p>
        </w:tc>
        <w:tc>
          <w:tcPr>
            <w:tcW w:w="4068"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湖里区教育局</w:t>
            </w:r>
          </w:p>
        </w:tc>
        <w:tc>
          <w:tcPr>
            <w:tcW w:w="6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实施单位</w:t>
            </w:r>
          </w:p>
        </w:tc>
        <w:tc>
          <w:tcPr>
            <w:tcW w:w="162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金安小学</w:t>
            </w:r>
          </w:p>
        </w:tc>
        <w:tc>
          <w:tcPr>
            <w:tcW w:w="138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FFFFFF" w:themeFill="background1"/>
          <w:tblLayout w:type="fixed"/>
          <w:tblCellMar>
            <w:top w:w="0" w:type="dxa"/>
            <w:left w:w="0" w:type="dxa"/>
            <w:bottom w:w="0" w:type="dxa"/>
            <w:right w:w="0" w:type="dxa"/>
          </w:tblCellMar>
        </w:tblPrEx>
        <w:trPr>
          <w:trHeight w:val="66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23"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年度预算执行情况</w:t>
            </w:r>
          </w:p>
        </w:tc>
        <w:tc>
          <w:tcPr>
            <w:tcW w:w="16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141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年初预算数</w:t>
            </w:r>
          </w:p>
        </w:tc>
        <w:tc>
          <w:tcPr>
            <w:tcW w:w="3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已调整数</w:t>
            </w:r>
          </w:p>
        </w:tc>
        <w:tc>
          <w:tcPr>
            <w:tcW w:w="5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调整后预算数</w:t>
            </w:r>
          </w:p>
        </w:tc>
        <w:tc>
          <w:tcPr>
            <w:tcW w:w="6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全年执行数</w:t>
            </w:r>
          </w:p>
        </w:tc>
        <w:tc>
          <w:tcPr>
            <w:tcW w:w="80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执行率</w:t>
            </w:r>
          </w:p>
        </w:tc>
        <w:tc>
          <w:tcPr>
            <w:tcW w:w="443"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设置分值</w:t>
            </w:r>
          </w:p>
        </w:tc>
        <w:tc>
          <w:tcPr>
            <w:tcW w:w="37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得分</w:t>
            </w:r>
          </w:p>
        </w:tc>
        <w:tc>
          <w:tcPr>
            <w:tcW w:w="1388"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存在问题及原因</w:t>
            </w:r>
          </w:p>
        </w:tc>
      </w:tr>
      <w:tr>
        <w:tblPrEx>
          <w:shd w:val="clear" w:color="auto" w:fill="FFFFFF" w:themeFill="background1"/>
          <w:tblLayout w:type="fixed"/>
          <w:tblCellMar>
            <w:top w:w="0" w:type="dxa"/>
            <w:left w:w="0" w:type="dxa"/>
            <w:bottom w:w="0" w:type="dxa"/>
            <w:right w:w="0" w:type="dxa"/>
          </w:tblCellMar>
        </w:tblPrEx>
        <w:trPr>
          <w:trHeight w:val="33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2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6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年度资金总额</w:t>
            </w:r>
          </w:p>
        </w:tc>
        <w:tc>
          <w:tcPr>
            <w:tcW w:w="141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4.92</w:t>
            </w:r>
          </w:p>
        </w:tc>
        <w:tc>
          <w:tcPr>
            <w:tcW w:w="3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5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4.92</w:t>
            </w:r>
          </w:p>
        </w:tc>
        <w:tc>
          <w:tcPr>
            <w:tcW w:w="6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3.7776</w:t>
            </w:r>
          </w:p>
        </w:tc>
        <w:tc>
          <w:tcPr>
            <w:tcW w:w="80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76.78</w:t>
            </w:r>
          </w:p>
        </w:tc>
        <w:tc>
          <w:tcPr>
            <w:tcW w:w="443"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7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138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申请困难生未全部在校用餐</w:t>
            </w:r>
          </w:p>
        </w:tc>
      </w:tr>
      <w:tr>
        <w:tblPrEx>
          <w:shd w:val="clear" w:color="auto" w:fill="FFFFFF" w:themeFill="background1"/>
          <w:tblLayout w:type="fixed"/>
          <w:tblCellMar>
            <w:top w:w="0" w:type="dxa"/>
            <w:left w:w="0" w:type="dxa"/>
            <w:bottom w:w="0" w:type="dxa"/>
            <w:right w:w="0" w:type="dxa"/>
          </w:tblCellMar>
        </w:tblPrEx>
        <w:trPr>
          <w:trHeight w:val="33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2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6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其中：当年财政拨款</w:t>
            </w:r>
          </w:p>
        </w:tc>
        <w:tc>
          <w:tcPr>
            <w:tcW w:w="141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4.92</w:t>
            </w:r>
          </w:p>
        </w:tc>
        <w:tc>
          <w:tcPr>
            <w:tcW w:w="3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5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4.92</w:t>
            </w:r>
          </w:p>
        </w:tc>
        <w:tc>
          <w:tcPr>
            <w:tcW w:w="6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3.7776</w:t>
            </w:r>
          </w:p>
        </w:tc>
        <w:tc>
          <w:tcPr>
            <w:tcW w:w="80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76.78</w:t>
            </w:r>
          </w:p>
        </w:tc>
        <w:tc>
          <w:tcPr>
            <w:tcW w:w="443"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37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138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FFFFFF" w:themeFill="background1"/>
          <w:tblLayout w:type="fixed"/>
          <w:tblCellMar>
            <w:top w:w="0" w:type="dxa"/>
            <w:left w:w="0" w:type="dxa"/>
            <w:bottom w:w="0" w:type="dxa"/>
            <w:right w:w="0" w:type="dxa"/>
          </w:tblCellMar>
        </w:tblPrEx>
        <w:trPr>
          <w:trHeight w:val="33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2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6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 xml:space="preserve">     上年结转资金</w:t>
            </w:r>
          </w:p>
        </w:tc>
        <w:tc>
          <w:tcPr>
            <w:tcW w:w="141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80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443"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37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138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FFFFFF" w:themeFill="background1"/>
          <w:tblLayout w:type="fixed"/>
          <w:tblCellMar>
            <w:top w:w="0" w:type="dxa"/>
            <w:left w:w="0" w:type="dxa"/>
            <w:bottom w:w="0" w:type="dxa"/>
            <w:right w:w="0" w:type="dxa"/>
          </w:tblCellMar>
        </w:tblPrEx>
        <w:trPr>
          <w:trHeight w:val="33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2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6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 xml:space="preserve">     其他资金</w:t>
            </w:r>
          </w:p>
        </w:tc>
        <w:tc>
          <w:tcPr>
            <w:tcW w:w="141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80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443"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37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138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FFFFFF" w:themeFill="background1"/>
          <w:tblLayout w:type="fixed"/>
          <w:tblCellMar>
            <w:top w:w="0" w:type="dxa"/>
            <w:left w:w="0" w:type="dxa"/>
            <w:bottom w:w="0" w:type="dxa"/>
            <w:right w:w="0" w:type="dxa"/>
          </w:tblCellMar>
        </w:tblPrEx>
        <w:trPr>
          <w:trHeight w:val="375"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总体</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目标</w:t>
            </w:r>
          </w:p>
        </w:tc>
        <w:tc>
          <w:tcPr>
            <w:tcW w:w="4446"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预期目标</w:t>
            </w:r>
          </w:p>
        </w:tc>
        <w:tc>
          <w:tcPr>
            <w:tcW w:w="370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实际完成情况</w:t>
            </w:r>
          </w:p>
        </w:tc>
      </w:tr>
      <w:tr>
        <w:tblPrEx>
          <w:shd w:val="clear" w:color="auto" w:fill="FFFFFF" w:themeFill="background1"/>
          <w:tblLayout w:type="fixed"/>
          <w:tblCellMar>
            <w:top w:w="0" w:type="dxa"/>
            <w:left w:w="0" w:type="dxa"/>
            <w:bottom w:w="0" w:type="dxa"/>
            <w:right w:w="0" w:type="dxa"/>
          </w:tblCellMar>
        </w:tblPrEx>
        <w:trPr>
          <w:trHeight w:val="27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446" w:type="dxa"/>
            <w:gridSpan w:val="5"/>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厦门市教育局等五</w:t>
            </w:r>
            <w:r>
              <w:rPr>
                <w:rFonts w:hint="eastAsia" w:ascii="宋体" w:hAnsi="宋体" w:cs="宋体"/>
                <w:i w:val="0"/>
                <w:color w:val="000000"/>
                <w:kern w:val="0"/>
                <w:sz w:val="24"/>
                <w:szCs w:val="24"/>
                <w:u w:val="none"/>
                <w:lang w:val="en-US" w:eastAsia="zh-CN" w:bidi="ar"/>
              </w:rPr>
              <w:t>单位</w:t>
            </w:r>
            <w:r>
              <w:rPr>
                <w:rFonts w:hint="eastAsia" w:ascii="宋体" w:hAnsi="宋体" w:eastAsia="宋体" w:cs="宋体"/>
                <w:i w:val="0"/>
                <w:color w:val="000000"/>
                <w:kern w:val="0"/>
                <w:sz w:val="24"/>
                <w:szCs w:val="24"/>
                <w:u w:val="none"/>
                <w:lang w:val="en-US" w:eastAsia="zh-CN" w:bidi="ar"/>
              </w:rPr>
              <w:t>关于印发《厦门市学生资助资金管理实施办法》的通知（厦教发〔2022〕83号）及厦门市教育局等八</w:t>
            </w:r>
            <w:r>
              <w:rPr>
                <w:rFonts w:hint="eastAsia" w:ascii="宋体" w:hAnsi="宋体" w:cs="宋体"/>
                <w:i w:val="0"/>
                <w:color w:val="000000"/>
                <w:kern w:val="0"/>
                <w:sz w:val="24"/>
                <w:szCs w:val="24"/>
                <w:u w:val="none"/>
                <w:lang w:val="en-US" w:eastAsia="zh-CN" w:bidi="ar"/>
              </w:rPr>
              <w:t>单位</w:t>
            </w:r>
            <w:r>
              <w:rPr>
                <w:rFonts w:hint="eastAsia" w:ascii="宋体" w:hAnsi="宋体" w:eastAsia="宋体" w:cs="宋体"/>
                <w:i w:val="0"/>
                <w:color w:val="000000"/>
                <w:kern w:val="0"/>
                <w:sz w:val="24"/>
                <w:szCs w:val="24"/>
                <w:u w:val="none"/>
                <w:lang w:val="en-US" w:eastAsia="zh-CN" w:bidi="ar"/>
              </w:rPr>
              <w:t>关于印发《厦门市家庭经济困难学生认定办法》的通知（厦教规【2022】3号）等文件，对义务教育阶段公办校（学校提供午餐）家庭经济困难学生营养餐补助，确保补助工作顺利实施。</w:t>
            </w:r>
          </w:p>
        </w:tc>
        <w:tc>
          <w:tcPr>
            <w:tcW w:w="3705" w:type="dxa"/>
            <w:gridSpan w:val="5"/>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2024年完成春、秋两季关于我区义务教育阶段公办校（学校提供午餐）家庭经济困难学生营养餐补助对象审核及资金下拨。</w:t>
            </w:r>
          </w:p>
        </w:tc>
      </w:tr>
      <w:tr>
        <w:tblPrEx>
          <w:shd w:val="clear" w:color="auto" w:fill="FFFFFF" w:themeFill="background1"/>
          <w:tblLayout w:type="fixed"/>
          <w:tblCellMar>
            <w:top w:w="0" w:type="dxa"/>
            <w:left w:w="0" w:type="dxa"/>
            <w:bottom w:w="0" w:type="dxa"/>
            <w:right w:w="0" w:type="dxa"/>
          </w:tblCellMar>
        </w:tblPrEx>
        <w:trPr>
          <w:trHeight w:val="156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446" w:type="dxa"/>
            <w:gridSpan w:val="5"/>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705" w:type="dxa"/>
            <w:gridSpan w:val="5"/>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shd w:val="clear" w:color="auto" w:fill="FFFFFF" w:themeFill="background1"/>
          <w:tblLayout w:type="fixed"/>
          <w:tblCellMar>
            <w:top w:w="0" w:type="dxa"/>
            <w:left w:w="0" w:type="dxa"/>
            <w:bottom w:w="0" w:type="dxa"/>
            <w:right w:w="0" w:type="dxa"/>
          </w:tblCellMar>
        </w:tblPrEx>
        <w:trPr>
          <w:trHeight w:val="675"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4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一级指标</w:t>
            </w:r>
          </w:p>
        </w:tc>
        <w:tc>
          <w:tcPr>
            <w:tcW w:w="16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二级指标</w:t>
            </w:r>
          </w:p>
        </w:tc>
        <w:tc>
          <w:tcPr>
            <w:tcW w:w="141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三级指标</w:t>
            </w:r>
          </w:p>
        </w:tc>
        <w:tc>
          <w:tcPr>
            <w:tcW w:w="3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指标类型</w:t>
            </w:r>
          </w:p>
        </w:tc>
        <w:tc>
          <w:tcPr>
            <w:tcW w:w="5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绩效目标值</w:t>
            </w:r>
          </w:p>
        </w:tc>
        <w:tc>
          <w:tcPr>
            <w:tcW w:w="6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实际完成值</w:t>
            </w:r>
          </w:p>
        </w:tc>
        <w:tc>
          <w:tcPr>
            <w:tcW w:w="80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完成比例</w:t>
            </w:r>
          </w:p>
        </w:tc>
        <w:tc>
          <w:tcPr>
            <w:tcW w:w="443"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设置分值</w:t>
            </w:r>
          </w:p>
        </w:tc>
        <w:tc>
          <w:tcPr>
            <w:tcW w:w="37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得分</w:t>
            </w:r>
          </w:p>
        </w:tc>
        <w:tc>
          <w:tcPr>
            <w:tcW w:w="1388"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存在问题及原因</w:t>
            </w:r>
          </w:p>
        </w:tc>
      </w:tr>
      <w:tr>
        <w:tblPrEx>
          <w:shd w:val="clear" w:color="auto" w:fill="FFFFFF" w:themeFill="background1"/>
          <w:tblLayout w:type="fixed"/>
          <w:tblCellMar>
            <w:top w:w="0" w:type="dxa"/>
            <w:left w:w="0" w:type="dxa"/>
            <w:bottom w:w="0" w:type="dxa"/>
            <w:right w:w="0" w:type="dxa"/>
          </w:tblCellMar>
        </w:tblPrEx>
        <w:trPr>
          <w:trHeight w:val="45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绩</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效</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完</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成</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情</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况</w:t>
            </w:r>
          </w:p>
        </w:tc>
        <w:tc>
          <w:tcPr>
            <w:tcW w:w="37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产出指标</w:t>
            </w:r>
          </w:p>
        </w:tc>
        <w:tc>
          <w:tcPr>
            <w:tcW w:w="16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41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审核义务教育阶段受助学生</w:t>
            </w:r>
          </w:p>
        </w:tc>
        <w:tc>
          <w:tcPr>
            <w:tcW w:w="378"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5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大于等于70人</w:t>
            </w:r>
          </w:p>
        </w:tc>
        <w:tc>
          <w:tcPr>
            <w:tcW w:w="6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70人</w:t>
            </w:r>
          </w:p>
        </w:tc>
        <w:tc>
          <w:tcPr>
            <w:tcW w:w="80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43"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37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138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45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3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6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41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全年营养餐补助学生</w:t>
            </w:r>
          </w:p>
        </w:tc>
        <w:tc>
          <w:tcPr>
            <w:tcW w:w="378"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5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大于等于65人</w:t>
            </w:r>
          </w:p>
        </w:tc>
        <w:tc>
          <w:tcPr>
            <w:tcW w:w="6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65人</w:t>
            </w:r>
          </w:p>
        </w:tc>
        <w:tc>
          <w:tcPr>
            <w:tcW w:w="80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43"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37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138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45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3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6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成本指标</w:t>
            </w:r>
          </w:p>
        </w:tc>
        <w:tc>
          <w:tcPr>
            <w:tcW w:w="141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营养餐发放标准</w:t>
            </w:r>
          </w:p>
        </w:tc>
        <w:tc>
          <w:tcPr>
            <w:tcW w:w="378"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5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6元/餐</w:t>
            </w:r>
          </w:p>
        </w:tc>
        <w:tc>
          <w:tcPr>
            <w:tcW w:w="6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6元/餐</w:t>
            </w:r>
          </w:p>
        </w:tc>
        <w:tc>
          <w:tcPr>
            <w:tcW w:w="80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43"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7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38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615"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3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6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时效指标</w:t>
            </w:r>
          </w:p>
        </w:tc>
        <w:tc>
          <w:tcPr>
            <w:tcW w:w="141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义务教育困难生资助资金下拨及时率</w:t>
            </w:r>
          </w:p>
        </w:tc>
        <w:tc>
          <w:tcPr>
            <w:tcW w:w="378"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5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6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80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43"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7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38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615"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378" w:type="dxa"/>
            <w:tcBorders>
              <w:top w:val="nil"/>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效益指标</w:t>
            </w:r>
          </w:p>
        </w:tc>
        <w:tc>
          <w:tcPr>
            <w:tcW w:w="167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社会效益指标</w:t>
            </w:r>
          </w:p>
        </w:tc>
        <w:tc>
          <w:tcPr>
            <w:tcW w:w="141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改善受助学生学习生活质量</w:t>
            </w:r>
          </w:p>
        </w:tc>
        <w:tc>
          <w:tcPr>
            <w:tcW w:w="378"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定性</w:t>
            </w:r>
          </w:p>
        </w:tc>
        <w:tc>
          <w:tcPr>
            <w:tcW w:w="5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有所改善</w:t>
            </w:r>
          </w:p>
        </w:tc>
        <w:tc>
          <w:tcPr>
            <w:tcW w:w="6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有所改善</w:t>
            </w:r>
          </w:p>
        </w:tc>
        <w:tc>
          <w:tcPr>
            <w:tcW w:w="80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43"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c>
          <w:tcPr>
            <w:tcW w:w="37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c>
          <w:tcPr>
            <w:tcW w:w="138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615"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378"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1678"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服务对象满意度指标</w:t>
            </w:r>
          </w:p>
        </w:tc>
        <w:tc>
          <w:tcPr>
            <w:tcW w:w="141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受资助对象满意度</w:t>
            </w:r>
          </w:p>
        </w:tc>
        <w:tc>
          <w:tcPr>
            <w:tcW w:w="378"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5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大于等于90%</w:t>
            </w:r>
          </w:p>
        </w:tc>
        <w:tc>
          <w:tcPr>
            <w:tcW w:w="6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97%</w:t>
            </w:r>
          </w:p>
        </w:tc>
        <w:tc>
          <w:tcPr>
            <w:tcW w:w="80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43"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7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38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540"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6690"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总分</w:t>
            </w:r>
          </w:p>
        </w:tc>
        <w:tc>
          <w:tcPr>
            <w:tcW w:w="443"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100</w:t>
            </w:r>
          </w:p>
        </w:tc>
        <w:tc>
          <w:tcPr>
            <w:tcW w:w="37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97</w:t>
            </w:r>
          </w:p>
        </w:tc>
        <w:tc>
          <w:tcPr>
            <w:tcW w:w="138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FFFFFF" w:themeFill="background1"/>
          <w:tblLayout w:type="fixed"/>
          <w:tblCellMar>
            <w:top w:w="0" w:type="dxa"/>
            <w:left w:w="0" w:type="dxa"/>
            <w:bottom w:w="0" w:type="dxa"/>
            <w:right w:w="0" w:type="dxa"/>
          </w:tblCellMar>
        </w:tblPrEx>
        <w:trPr>
          <w:trHeight w:val="1515" w:hRule="atLeast"/>
        </w:trPr>
        <w:tc>
          <w:tcPr>
            <w:tcW w:w="35"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896" w:type="dxa"/>
            <w:gridSpan w:val="11"/>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填表说明：1.年度总体目标和绩效指标中的“具体指标”“年度指标值”按照</w:t>
            </w:r>
            <w:r>
              <w:rPr>
                <w:rFonts w:hint="eastAsia" w:ascii="宋体" w:hAnsi="宋体" w:cs="宋体"/>
                <w:i w:val="0"/>
                <w:color w:val="000000"/>
                <w:kern w:val="0"/>
                <w:sz w:val="20"/>
                <w:szCs w:val="20"/>
                <w:u w:val="none"/>
                <w:lang w:val="en-US" w:eastAsia="zh-CN" w:bidi="ar"/>
              </w:rPr>
              <w:t>单位</w:t>
            </w:r>
            <w:r>
              <w:rPr>
                <w:rFonts w:hint="eastAsia" w:ascii="宋体" w:hAnsi="宋体" w:eastAsia="宋体" w:cs="宋体"/>
                <w:i w:val="0"/>
                <w:color w:val="000000"/>
                <w:kern w:val="0"/>
                <w:sz w:val="20"/>
                <w:szCs w:val="20"/>
                <w:u w:val="none"/>
                <w:lang w:val="en-US" w:eastAsia="zh-CN" w:bidi="ar"/>
              </w:rPr>
              <w:t>预算批复的绩效目标填写，必须有量化指标。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pStyle w:val="29"/>
        <w:widowControl/>
        <w:numPr>
          <w:ilvl w:val="0"/>
          <w:numId w:val="0"/>
        </w:numPr>
        <w:spacing w:before="100" w:after="100"/>
        <w:ind w:leftChars="0" w:right="0" w:rightChars="0"/>
        <w:jc w:val="both"/>
        <w:rPr>
          <w:rFonts w:hint="eastAsia" w:ascii="黑体" w:hAnsi="宋体" w:eastAsia="黑体" w:cs="黑体"/>
          <w:kern w:val="0"/>
          <w:sz w:val="36"/>
          <w:szCs w:val="36"/>
          <w:shd w:val="clear" w:fill="FFFFFF"/>
          <w:lang w:bidi="ar"/>
        </w:rPr>
      </w:pPr>
    </w:p>
    <w:p>
      <w:pPr>
        <w:pStyle w:val="29"/>
        <w:widowControl/>
        <w:numPr>
          <w:ilvl w:val="0"/>
          <w:numId w:val="0"/>
        </w:numPr>
        <w:spacing w:before="100" w:after="100"/>
        <w:ind w:leftChars="0" w:right="0" w:rightChars="0"/>
        <w:jc w:val="both"/>
        <w:rPr>
          <w:rFonts w:hint="eastAsia" w:ascii="黑体" w:hAnsi="宋体" w:eastAsia="黑体" w:cs="黑体"/>
          <w:kern w:val="0"/>
          <w:sz w:val="36"/>
          <w:szCs w:val="36"/>
          <w:shd w:val="clear" w:fill="FFFFFF"/>
          <w:lang w:bidi="ar"/>
        </w:rPr>
      </w:pPr>
    </w:p>
    <w:p>
      <w:pPr>
        <w:widowControl/>
        <w:spacing w:before="240" w:after="240"/>
        <w:jc w:val="left"/>
        <w:rPr>
          <w:rFonts w:ascii="Times New Roman" w:hAnsi="Times New Roman" w:eastAsia="Times New Roman" w:cs="Times New Roman"/>
          <w:kern w:val="0"/>
          <w:sz w:val="24"/>
        </w:rPr>
      </w:pPr>
    </w:p>
    <w:bookmarkEnd w:id="4"/>
    <w:p>
      <w:pPr>
        <w:tabs>
          <w:tab w:val="left" w:pos="8415"/>
        </w:tabs>
      </w:pPr>
    </w:p>
    <w:p>
      <w:pPr>
        <w:keepNext w:val="0"/>
        <w:keepLines w:val="0"/>
        <w:pageBreakBefore w:val="0"/>
        <w:widowControl w:val="0"/>
        <w:tabs>
          <w:tab w:val="left" w:pos="8415"/>
        </w:tabs>
        <w:kinsoku/>
        <w:wordWrap/>
        <w:overflowPunct/>
        <w:topLinePunct w:val="0"/>
        <w:autoSpaceDE/>
        <w:autoSpaceDN/>
        <w:bidi w:val="0"/>
        <w:adjustRightInd/>
        <w:snapToGrid/>
        <w:textAlignment w:val="auto"/>
      </w:pPr>
    </w:p>
    <w:sectPr>
      <w:footerReference r:id="rId8" w:type="default"/>
      <w:pgSz w:w="11906" w:h="16838"/>
      <w:pgMar w:top="1440" w:right="1800" w:bottom="1440" w:left="1800"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fang_song_gb231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7</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30</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38</w:t>
    </w:r>
    <w:r>
      <w:rPr>
        <w:rFonts w:ascii="宋体" w:hAnsi="宋体" w:eastAsia="宋体" w:cs="宋体"/>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5CB962"/>
    <w:multiLevelType w:val="singleLevel"/>
    <w:tmpl w:val="C65CB962"/>
    <w:lvl w:ilvl="0" w:tentative="0">
      <w:start w:val="3"/>
      <w:numFmt w:val="chineseCounting"/>
      <w:suff w:val="nothing"/>
      <w:lvlText w:val="%1、"/>
      <w:lvlJc w:val="left"/>
      <w:rPr>
        <w:rFonts w:hint="eastAsia"/>
      </w:rPr>
    </w:lvl>
  </w:abstractNum>
  <w:abstractNum w:abstractNumId="1">
    <w:nsid w:val="C964394D"/>
    <w:multiLevelType w:val="singleLevel"/>
    <w:tmpl w:val="C964394D"/>
    <w:lvl w:ilvl="0" w:tentative="0">
      <w:start w:val="5"/>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05221C7"/>
    <w:rsid w:val="00B7109C"/>
    <w:rsid w:val="02E77BDA"/>
    <w:rsid w:val="030940F1"/>
    <w:rsid w:val="060379FA"/>
    <w:rsid w:val="07885D9A"/>
    <w:rsid w:val="0B203921"/>
    <w:rsid w:val="0BE945FD"/>
    <w:rsid w:val="0CE56B7E"/>
    <w:rsid w:val="0FF14C27"/>
    <w:rsid w:val="13645F7C"/>
    <w:rsid w:val="15EC4810"/>
    <w:rsid w:val="178A3AD7"/>
    <w:rsid w:val="1A4522E5"/>
    <w:rsid w:val="1D471818"/>
    <w:rsid w:val="1EE75462"/>
    <w:rsid w:val="1F4E524C"/>
    <w:rsid w:val="21957C48"/>
    <w:rsid w:val="21FE60AB"/>
    <w:rsid w:val="23C8696F"/>
    <w:rsid w:val="23D57FB0"/>
    <w:rsid w:val="2400607D"/>
    <w:rsid w:val="24464877"/>
    <w:rsid w:val="249266C1"/>
    <w:rsid w:val="280C4E51"/>
    <w:rsid w:val="28573BE1"/>
    <w:rsid w:val="28650871"/>
    <w:rsid w:val="288814AC"/>
    <w:rsid w:val="2892138F"/>
    <w:rsid w:val="29143B49"/>
    <w:rsid w:val="291E3DB2"/>
    <w:rsid w:val="29CE1F49"/>
    <w:rsid w:val="2AE65768"/>
    <w:rsid w:val="2B337F8F"/>
    <w:rsid w:val="2BBD0E24"/>
    <w:rsid w:val="2BC06DCD"/>
    <w:rsid w:val="2FA2751E"/>
    <w:rsid w:val="2FCF38C9"/>
    <w:rsid w:val="30004101"/>
    <w:rsid w:val="31F6307F"/>
    <w:rsid w:val="34A24433"/>
    <w:rsid w:val="37263B04"/>
    <w:rsid w:val="382A3096"/>
    <w:rsid w:val="38AD0D30"/>
    <w:rsid w:val="38E916CA"/>
    <w:rsid w:val="3A294375"/>
    <w:rsid w:val="3B352D90"/>
    <w:rsid w:val="3BA40D5C"/>
    <w:rsid w:val="3C0F19F6"/>
    <w:rsid w:val="3CEF0160"/>
    <w:rsid w:val="3DFD73B2"/>
    <w:rsid w:val="40272383"/>
    <w:rsid w:val="41F6394B"/>
    <w:rsid w:val="43B039F8"/>
    <w:rsid w:val="44654CA2"/>
    <w:rsid w:val="4A2F09CF"/>
    <w:rsid w:val="4A320F4B"/>
    <w:rsid w:val="4CA2303D"/>
    <w:rsid w:val="4FBA24A4"/>
    <w:rsid w:val="52C32E47"/>
    <w:rsid w:val="52E0709D"/>
    <w:rsid w:val="56D4641D"/>
    <w:rsid w:val="5F5257FA"/>
    <w:rsid w:val="624B58CB"/>
    <w:rsid w:val="62D0354D"/>
    <w:rsid w:val="62D76008"/>
    <w:rsid w:val="63310878"/>
    <w:rsid w:val="646E236F"/>
    <w:rsid w:val="663F18A5"/>
    <w:rsid w:val="665054B9"/>
    <w:rsid w:val="66BC7879"/>
    <w:rsid w:val="67361AB2"/>
    <w:rsid w:val="6DF14BFC"/>
    <w:rsid w:val="6FE873FC"/>
    <w:rsid w:val="70262A76"/>
    <w:rsid w:val="77DE527E"/>
    <w:rsid w:val="782D1758"/>
    <w:rsid w:val="78F461BC"/>
    <w:rsid w:val="7B6173F2"/>
    <w:rsid w:val="7BF7410B"/>
    <w:rsid w:val="7CE076DB"/>
    <w:rsid w:val="7E4768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仿宋"/>
      <w:bCs/>
      <w:sz w:val="32"/>
      <w:szCs w:val="32"/>
    </w:rPr>
  </w:style>
  <w:style w:type="paragraph" w:styleId="5">
    <w:name w:val="heading 3"/>
    <w:basedOn w:val="1"/>
    <w:next w:val="1"/>
    <w:link w:val="28"/>
    <w:qFormat/>
    <w:uiPriority w:val="0"/>
    <w:pPr>
      <w:keepNext/>
      <w:keepLines/>
      <w:spacing w:before="260" w:after="260" w:line="416" w:lineRule="auto"/>
      <w:outlineLvl w:val="2"/>
    </w:pPr>
    <w:rPr>
      <w:rFonts w:eastAsia="仿宋"/>
      <w:bCs/>
      <w:sz w:val="32"/>
      <w:szCs w:val="32"/>
    </w:rPr>
  </w:style>
  <w:style w:type="paragraph" w:styleId="6">
    <w:name w:val="heading 4"/>
    <w:basedOn w:val="7"/>
    <w:next w:val="7"/>
    <w:link w:val="24"/>
    <w:qFormat/>
    <w:uiPriority w:val="0"/>
    <w:pPr>
      <w:keepNext/>
      <w:keepLines/>
      <w:spacing w:before="280" w:after="290" w:line="376" w:lineRule="auto"/>
      <w:outlineLvl w:val="3"/>
    </w:pPr>
    <w:rPr>
      <w:rFonts w:ascii="Cambria" w:hAnsi="Cambria" w:eastAsia="仿宋"/>
      <w:bCs/>
      <w:sz w:val="32"/>
      <w:szCs w:val="28"/>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jc w:val="left"/>
    </w:pPr>
    <w:rPr>
      <w:rFonts w:hint="eastAsia" w:ascii="宋体" w:hAnsi="Times New Roman" w:eastAsia="宋体" w:cs="宋体"/>
      <w:kern w:val="0"/>
      <w:sz w:val="24"/>
      <w:szCs w:val="24"/>
      <w:lang w:val="en-US" w:eastAsia="zh-CN" w:bidi="ar"/>
    </w:rPr>
  </w:style>
  <w:style w:type="paragraph" w:styleId="7">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next w:val="5"/>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2">
    <w:name w:val="toc 8"/>
    <w:basedOn w:val="1"/>
    <w:next w:val="1"/>
    <w:qFormat/>
    <w:uiPriority w:val="0"/>
    <w:pPr>
      <w:ind w:left="1470"/>
      <w:jc w:val="left"/>
    </w:pPr>
    <w:rPr>
      <w:sz w:val="20"/>
      <w:szCs w:val="20"/>
    </w:rPr>
  </w:style>
  <w:style w:type="paragraph" w:styleId="13">
    <w:name w:val="footer"/>
    <w:basedOn w:val="1"/>
    <w:link w:val="26"/>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next w:val="7"/>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next w:val="7"/>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9">
    <w:name w:val="toc 9"/>
    <w:basedOn w:val="1"/>
    <w:next w:val="1"/>
    <w:qFormat/>
    <w:uiPriority w:val="0"/>
    <w:pPr>
      <w:ind w:left="1680"/>
      <w:jc w:val="left"/>
    </w:pPr>
    <w:rPr>
      <w:sz w:val="20"/>
      <w:szCs w:val="20"/>
    </w:rPr>
  </w:style>
  <w:style w:type="character" w:styleId="21">
    <w:name w:val="page number"/>
    <w:basedOn w:val="20"/>
    <w:qFormat/>
    <w:uiPriority w:val="0"/>
  </w:style>
  <w:style w:type="character" w:styleId="22">
    <w:name w:val="Hyperlink"/>
    <w:qFormat/>
    <w:uiPriority w:val="0"/>
    <w:rPr>
      <w:rFonts w:ascii="宋体" w:hAnsi="宋体" w:eastAsia="仿宋" w:cs="Times New Roman"/>
      <w:kern w:val="2"/>
      <w:sz w:val="32"/>
      <w:szCs w:val="32"/>
      <w:lang w:val="en-US" w:eastAsia="zh-CN" w:bidi="ar-SA"/>
    </w:rPr>
  </w:style>
  <w:style w:type="character" w:customStyle="1" w:styleId="24">
    <w:name w:val="标题 4 字符"/>
    <w:basedOn w:val="20"/>
    <w:link w:val="6"/>
    <w:qFormat/>
    <w:uiPriority w:val="0"/>
    <w:rPr>
      <w:rFonts w:ascii="Cambria" w:hAnsi="Cambria" w:eastAsia="仿宋"/>
      <w:bCs/>
      <w:kern w:val="2"/>
      <w:sz w:val="32"/>
      <w:szCs w:val="28"/>
    </w:rPr>
  </w:style>
  <w:style w:type="character" w:customStyle="1" w:styleId="25">
    <w:name w:val="无间隔 字符"/>
    <w:link w:val="7"/>
    <w:qFormat/>
    <w:locked/>
    <w:uiPriority w:val="0"/>
    <w:rPr>
      <w:rFonts w:eastAsia="仿宋_GB2312"/>
      <w:sz w:val="30"/>
      <w:szCs w:val="22"/>
      <w:lang w:bidi="ar-SA"/>
    </w:rPr>
  </w:style>
  <w:style w:type="character" w:customStyle="1" w:styleId="26">
    <w:name w:val="页脚 字符"/>
    <w:basedOn w:val="20"/>
    <w:link w:val="13"/>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 字符"/>
    <w:basedOn w:val="20"/>
    <w:link w:val="5"/>
    <w:qFormat/>
    <w:uiPriority w:val="0"/>
    <w:rPr>
      <w:rFonts w:eastAsia="仿宋"/>
      <w:bCs/>
      <w:kern w:val="2"/>
      <w:sz w:val="32"/>
      <w:szCs w:val="32"/>
    </w:rPr>
  </w:style>
  <w:style w:type="paragraph" w:customStyle="1" w:styleId="29">
    <w:name w:val="MsoNormal"/>
    <w:basedOn w:val="1"/>
    <w:qFormat/>
    <w:uiPriority w:val="0"/>
  </w:style>
  <w:style w:type="paragraph" w:customStyle="1" w:styleId="30">
    <w:name w:val="p"/>
    <w:basedOn w:val="1"/>
    <w:qFormat/>
    <w:uiPriority w:val="0"/>
  </w:style>
  <w:style w:type="character" w:customStyle="1" w:styleId="31">
    <w:name w:val="15"/>
    <w:basedOn w:val="20"/>
    <w:qFormat/>
    <w:uiPriority w:val="0"/>
  </w:style>
  <w:style w:type="paragraph" w:customStyle="1" w:styleId="32">
    <w:name w:val="MsoBodyText"/>
    <w:basedOn w:val="1"/>
    <w:qFormat/>
    <w:uiPriority w:val="0"/>
  </w:style>
  <w:style w:type="paragraph" w:customStyle="1" w:styleId="33">
    <w:name w:val="p0"/>
    <w:basedOn w:val="1"/>
    <w:qFormat/>
    <w:uiPriority w:val="0"/>
    <w:pPr>
      <w:spacing w:before="0" w:beforeAutospacing="0" w:after="0" w:afterAutospacing="0"/>
      <w:ind w:left="0" w:right="0"/>
      <w:jc w:val="left"/>
    </w:pPr>
    <w:rPr>
      <w:rFonts w:hint="default" w:ascii="Times New Roman" w:hAnsi="Times New Roman"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28</Pages>
  <Words>9229</Words>
  <Characters>11332</Characters>
  <Lines>1</Lines>
  <Paragraphs>1</Paragraphs>
  <TotalTime>0</TotalTime>
  <ScaleCrop>false</ScaleCrop>
  <LinksUpToDate>false</LinksUpToDate>
  <CharactersWithSpaces>11831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2025-07-09T08:45:00Z</cp:lastPrinted>
  <dcterms:modified xsi:type="dcterms:W3CDTF">2025-12-04T02:38:29Z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eyJoZGlkIjoiMTNkYzZmNmZlYzczMzc1ZDY0ZWU4YzBmOTZlMTA5YjcifQ==</vt:lpwstr>
  </property>
</Properties>
</file>