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厦门市金尚中学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3"/>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3"/>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3"/>
              <w:rFonts w:ascii="黑体" w:hAnsi="黑体" w:eastAsia="黑体" w:cs="黑体"/>
            </w:rPr>
            <w:t>一、单位主要职责</w:t>
          </w:r>
          <w:r>
            <w:tab/>
          </w:r>
          <w:r>
            <w:fldChar w:fldCharType="begin"/>
          </w:r>
          <w:r>
            <w:instrText xml:space="preserve"> PAGEREF _Toc256000095 \h </w:instrText>
          </w:r>
          <w:r>
            <w:fldChar w:fldCharType="separate"/>
          </w:r>
          <w:r>
            <w:t>5</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3"/>
              <w:rFonts w:ascii="黑体" w:hAnsi="黑体" w:eastAsia="黑体" w:cs="黑体"/>
            </w:rPr>
            <w:t>二、单位基本情况</w:t>
          </w:r>
          <w:r>
            <w:tab/>
          </w:r>
          <w:r>
            <w:fldChar w:fldCharType="begin"/>
          </w:r>
          <w:r>
            <w:instrText xml:space="preserve"> PAGEREF _Toc256000096 \h </w:instrText>
          </w:r>
          <w:r>
            <w:fldChar w:fldCharType="separate"/>
          </w:r>
          <w:r>
            <w:t>5</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3"/>
              <w:rFonts w:ascii="黑体" w:hAnsi="黑体" w:eastAsia="黑体" w:cs="黑体"/>
            </w:rPr>
            <w:t>三、单位主要工作总结</w:t>
          </w:r>
          <w:r>
            <w:tab/>
          </w:r>
          <w:r>
            <w:fldChar w:fldCharType="begin"/>
          </w:r>
          <w:r>
            <w:instrText xml:space="preserve"> PAGEREF _Toc256000097 \h </w:instrText>
          </w:r>
          <w:r>
            <w:fldChar w:fldCharType="separate"/>
          </w:r>
          <w:r>
            <w:t>6</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3"/>
              <w:rFonts w:ascii="黑体" w:hAnsi="黑体" w:eastAsia="黑体" w:cs="黑体"/>
            </w:rPr>
            <w:t>第二部分</w:t>
          </w:r>
          <w:r>
            <w:tab/>
          </w:r>
          <w:r>
            <w:fldChar w:fldCharType="begin"/>
          </w:r>
          <w:r>
            <w:instrText xml:space="preserve"> PAGEREF _Toc256000098 \h </w:instrText>
          </w:r>
          <w:r>
            <w:fldChar w:fldCharType="separate"/>
          </w:r>
          <w:r>
            <w:t>8</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3"/>
              <w:rFonts w:ascii="黑体" w:hAnsi="黑体" w:eastAsia="黑体" w:cs="黑体"/>
            </w:rPr>
            <w:t>2024年度决算表</w:t>
          </w:r>
          <w:r>
            <w:tab/>
          </w:r>
          <w:r>
            <w:fldChar w:fldCharType="begin"/>
          </w:r>
          <w:r>
            <w:instrText xml:space="preserve"> PAGEREF _Toc256000099 \h </w:instrText>
          </w:r>
          <w:r>
            <w:fldChar w:fldCharType="separate"/>
          </w:r>
          <w:r>
            <w:t>8</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3"/>
              <w:rFonts w:ascii="黑体" w:hAnsi="黑体" w:eastAsia="黑体" w:cs="黑体"/>
            </w:rPr>
            <w:t>一、收入支出决算总表</w:t>
          </w:r>
          <w:r>
            <w:tab/>
          </w:r>
          <w:r>
            <w:fldChar w:fldCharType="begin"/>
          </w:r>
          <w:r>
            <w:instrText xml:space="preserve"> PAGEREF _Toc256000100 \h </w:instrText>
          </w:r>
          <w:r>
            <w:fldChar w:fldCharType="separate"/>
          </w:r>
          <w:r>
            <w:t>9</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3"/>
              <w:rFonts w:ascii="黑体" w:hAnsi="黑体" w:eastAsia="黑体" w:cs="黑体"/>
            </w:rPr>
            <w:t>二、收入决算表</w:t>
          </w:r>
          <w:r>
            <w:tab/>
          </w:r>
          <w:r>
            <w:fldChar w:fldCharType="begin"/>
          </w:r>
          <w:r>
            <w:instrText xml:space="preserve"> PAGEREF _Toc256000101 \h </w:instrText>
          </w:r>
          <w:r>
            <w:fldChar w:fldCharType="separate"/>
          </w:r>
          <w:r>
            <w:t>10</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3"/>
              <w:rFonts w:ascii="黑体" w:hAnsi="黑体" w:eastAsia="黑体" w:cs="黑体"/>
            </w:rPr>
            <w:t>三、支出决算表</w:t>
          </w:r>
          <w:r>
            <w:tab/>
          </w:r>
          <w:r>
            <w:fldChar w:fldCharType="begin"/>
          </w:r>
          <w:r>
            <w:instrText xml:space="preserve"> PAGEREF _Toc256000102 \h </w:instrText>
          </w:r>
          <w:r>
            <w:fldChar w:fldCharType="separate"/>
          </w:r>
          <w:r>
            <w:t>11</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3"/>
              <w:rFonts w:ascii="黑体" w:hAnsi="黑体" w:eastAsia="黑体" w:cs="黑体"/>
            </w:rPr>
            <w:t>四、财政拨款收入支出决算总表</w:t>
          </w:r>
          <w:r>
            <w:tab/>
          </w:r>
          <w:r>
            <w:fldChar w:fldCharType="begin"/>
          </w:r>
          <w:r>
            <w:instrText xml:space="preserve"> PAGEREF _Toc256000103 \h </w:instrText>
          </w:r>
          <w:r>
            <w:fldChar w:fldCharType="separate"/>
          </w:r>
          <w:r>
            <w:t>12</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3"/>
              <w:rFonts w:ascii="黑体" w:hAnsi="黑体" w:eastAsia="黑体" w:cs="黑体"/>
            </w:rPr>
            <w:t>五、一般公共预算财政拨款支出决算表</w:t>
          </w:r>
          <w:r>
            <w:tab/>
          </w:r>
          <w:r>
            <w:fldChar w:fldCharType="begin"/>
          </w:r>
          <w:r>
            <w:instrText xml:space="preserve"> PAGEREF _Toc256000104 \h </w:instrText>
          </w:r>
          <w:r>
            <w:fldChar w:fldCharType="separate"/>
          </w:r>
          <w:r>
            <w:t>13</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3"/>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3"/>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16</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3"/>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17</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3"/>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18</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3"/>
              <w:rFonts w:ascii="黑体" w:hAnsi="黑体" w:eastAsia="黑体" w:cs="黑体"/>
            </w:rPr>
            <w:t>第三部分</w:t>
          </w:r>
          <w:r>
            <w:tab/>
          </w:r>
          <w:r>
            <w:fldChar w:fldCharType="begin"/>
          </w:r>
          <w:r>
            <w:instrText xml:space="preserve"> PAGEREF _Toc256000109 \h </w:instrText>
          </w:r>
          <w:r>
            <w:fldChar w:fldCharType="separate"/>
          </w:r>
          <w:r>
            <w:t>19</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3"/>
              <w:rFonts w:ascii="黑体" w:hAnsi="黑体" w:eastAsia="黑体" w:cs="黑体"/>
            </w:rPr>
            <w:t>2024年度决算情况说明</w:t>
          </w:r>
          <w:r>
            <w:tab/>
          </w:r>
          <w:r>
            <w:fldChar w:fldCharType="begin"/>
          </w:r>
          <w:r>
            <w:instrText xml:space="preserve"> PAGEREF _Toc256000110 \h </w:instrText>
          </w:r>
          <w:r>
            <w:fldChar w:fldCharType="separate"/>
          </w:r>
          <w:r>
            <w:t>19</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3"/>
              <w:rFonts w:ascii="黑体" w:hAnsi="黑体" w:eastAsia="黑体" w:cs="黑体"/>
            </w:rPr>
            <w:t>一、收入支出决算总体情况说明</w:t>
          </w:r>
          <w:r>
            <w:tab/>
          </w:r>
          <w:r>
            <w:fldChar w:fldCharType="begin"/>
          </w:r>
          <w:r>
            <w:instrText xml:space="preserve"> PAGEREF _Toc256000111 \h </w:instrText>
          </w:r>
          <w:r>
            <w:fldChar w:fldCharType="separate"/>
          </w:r>
          <w:r>
            <w:t>20</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3"/>
              <w:rFonts w:ascii="黑体" w:hAnsi="黑体" w:eastAsia="黑体" w:cs="黑体"/>
            </w:rPr>
            <w:t>二、财政拨款收入支出决算总体情况说明</w:t>
          </w:r>
          <w:r>
            <w:tab/>
          </w:r>
          <w:r>
            <w:fldChar w:fldCharType="begin"/>
          </w:r>
          <w:r>
            <w:instrText xml:space="preserve"> PAGEREF _Toc256000112 \h </w:instrText>
          </w:r>
          <w:r>
            <w:fldChar w:fldCharType="separate"/>
          </w:r>
          <w:r>
            <w:t>21</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3"/>
              <w:rFonts w:ascii="黑体" w:hAnsi="黑体" w:eastAsia="黑体" w:cs="黑体"/>
            </w:rPr>
            <w:t>三、一般公共预算拨款支出决算情况说明</w:t>
          </w:r>
          <w:r>
            <w:tab/>
          </w:r>
          <w:r>
            <w:fldChar w:fldCharType="begin"/>
          </w:r>
          <w:r>
            <w:instrText xml:space="preserve"> PAGEREF _Toc256000113 \h </w:instrText>
          </w:r>
          <w:r>
            <w:fldChar w:fldCharType="separate"/>
          </w:r>
          <w:r>
            <w:t>21</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3"/>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22</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3"/>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23</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3"/>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23</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3"/>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23</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3"/>
              <w:rFonts w:ascii="黑体" w:hAnsi="黑体" w:eastAsia="黑体" w:cs="黑体"/>
            </w:rPr>
            <w:t>八、预算绩效情况说明</w:t>
          </w:r>
          <w:r>
            <w:tab/>
          </w:r>
          <w:r>
            <w:fldChar w:fldCharType="begin"/>
          </w:r>
          <w:r>
            <w:instrText xml:space="preserve"> PAGEREF _Toc256000118 \h </w:instrText>
          </w:r>
          <w:r>
            <w:fldChar w:fldCharType="separate"/>
          </w:r>
          <w:r>
            <w:t>24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3"/>
              <w:rFonts w:ascii="黑体" w:hAnsi="黑体" w:eastAsia="黑体" w:cs="黑体"/>
            </w:rPr>
            <w:t>九、其他重要事项说明</w:t>
          </w:r>
          <w:r>
            <w:tab/>
          </w:r>
          <w:r>
            <w:fldChar w:fldCharType="begin"/>
          </w:r>
          <w:r>
            <w:instrText xml:space="preserve"> PAGEREF _Toc256000119 \h </w:instrText>
          </w:r>
          <w:r>
            <w:fldChar w:fldCharType="separate"/>
          </w:r>
          <w:r>
            <w:t>24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3"/>
              <w:rFonts w:ascii="黑体" w:hAnsi="黑体" w:eastAsia="黑体" w:cs="黑体"/>
            </w:rPr>
            <w:t>第四部分</w:t>
          </w:r>
          <w:r>
            <w:tab/>
          </w:r>
          <w:r>
            <w:fldChar w:fldCharType="begin"/>
          </w:r>
          <w:r>
            <w:instrText xml:space="preserve"> PAGEREF _Toc256000120 \h </w:instrText>
          </w:r>
          <w:r>
            <w:fldChar w:fldCharType="separate"/>
          </w:r>
          <w:r>
            <w:t>26</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3"/>
              <w:rFonts w:ascii="黑体" w:hAnsi="黑体" w:eastAsia="黑体" w:cs="黑体"/>
            </w:rPr>
            <w:t>名词解释</w:t>
          </w:r>
          <w:r>
            <w:tab/>
          </w:r>
          <w:r>
            <w:fldChar w:fldCharType="begin"/>
          </w:r>
          <w:r>
            <w:instrText xml:space="preserve"> PAGEREF _Toc256000121 \h </w:instrText>
          </w:r>
          <w:r>
            <w:fldChar w:fldCharType="separate"/>
          </w:r>
          <w:r>
            <w:t>26</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3"/>
              <w:rFonts w:ascii="黑体" w:hAnsi="黑体" w:eastAsia="黑体" w:cs="黑体"/>
            </w:rPr>
            <w:t>第五部分</w:t>
          </w:r>
          <w:r>
            <w:tab/>
          </w:r>
          <w:r>
            <w:fldChar w:fldCharType="begin"/>
          </w:r>
          <w:r>
            <w:instrText xml:space="preserve"> PAGEREF _Toc256000122 \h </w:instrText>
          </w:r>
          <w:r>
            <w:fldChar w:fldCharType="separate"/>
          </w:r>
          <w:r>
            <w:t>29</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3"/>
              <w:rFonts w:ascii="黑体" w:hAnsi="黑体" w:eastAsia="黑体" w:cs="黑体"/>
            </w:rPr>
            <w:t>附件</w:t>
          </w:r>
          <w:r>
            <w:tab/>
          </w:r>
          <w:r>
            <w:fldChar w:fldCharType="begin"/>
          </w:r>
          <w:r>
            <w:instrText xml:space="preserve"> PAGEREF _Toc256000123 \h </w:instrText>
          </w:r>
          <w:r>
            <w:fldChar w:fldCharType="separate"/>
          </w:r>
          <w:r>
            <w:t>29</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3"/>
        <w:keepNext w:val="0"/>
        <w:keepLines w:val="0"/>
        <w:spacing w:before="100" w:after="100" w:line="240" w:lineRule="auto"/>
        <w:ind w:left="0" w:leftChars="0" w:right="0" w:firstLine="0" w:firstLineChars="0"/>
        <w:jc w:val="both"/>
        <w:rPr>
          <w:rFonts w:ascii="黑体" w:hAnsi="黑体" w:eastAsia="黑体" w:cs="黑体"/>
          <w:b/>
          <w:spacing w:val="0"/>
          <w:sz w:val="56"/>
          <w:szCs w:val="56"/>
        </w:rPr>
      </w:pPr>
      <w:bookmarkStart w:id="0" w:name="_Toc256000031"/>
      <w:bookmarkStart w:id="1" w:name="_Toc256000062"/>
      <w:bookmarkStart w:id="2" w:name="_Toc256000000"/>
      <w:bookmarkStart w:id="3" w:name="_Toc256000093"/>
      <w:bookmarkStart w:id="4" w:name="a000"/>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3"/>
        <w:keepNext w:val="0"/>
        <w:keepLines w:val="0"/>
        <w:spacing w:before="100" w:after="100" w:line="240" w:lineRule="auto"/>
        <w:ind w:left="0" w:leftChars="0" w:right="0" w:firstLine="0" w:firstLineChars="0"/>
        <w:jc w:val="center"/>
        <w:rPr>
          <w:rFonts w:ascii="黑体" w:hAnsi="黑体" w:eastAsia="黑体" w:cs="黑体"/>
          <w:b/>
          <w:spacing w:val="0"/>
          <w:sz w:val="56"/>
          <w:szCs w:val="56"/>
        </w:rPr>
      </w:pPr>
      <w:r>
        <w:rPr>
          <w:rFonts w:ascii="黑体" w:hAnsi="黑体" w:eastAsia="黑体" w:cs="黑体"/>
          <w:b/>
          <w:spacing w:val="0"/>
          <w:sz w:val="56"/>
          <w:szCs w:val="56"/>
        </w:rPr>
        <w:t>第一部分</w:t>
      </w:r>
      <w:bookmarkEnd w:id="0"/>
      <w:bookmarkEnd w:id="1"/>
      <w:bookmarkEnd w:id="2"/>
      <w:bookmarkEnd w:id="3"/>
      <w:bookmarkStart w:id="5" w:name="_Toc256000032"/>
      <w:bookmarkStart w:id="6" w:name="_Toc256000094"/>
      <w:bookmarkStart w:id="7" w:name="_Toc256000001"/>
      <w:bookmarkStart w:id="8" w:name="_Toc256000063"/>
    </w:p>
    <w:p>
      <w:pPr>
        <w:pStyle w:val="4"/>
      </w:pPr>
    </w:p>
    <w:p>
      <w:pPr>
        <w:pStyle w:val="3"/>
        <w:keepNext w:val="0"/>
        <w:keepLines w:val="0"/>
        <w:spacing w:before="100" w:after="100" w:line="240" w:lineRule="auto"/>
        <w:ind w:left="0" w:leftChars="0" w:right="0" w:firstLine="0" w:firstLineChars="0"/>
        <w:jc w:val="center"/>
        <w:rPr>
          <w:rFonts w:ascii="Times New Roman" w:hAnsi="Times New Roman" w:eastAsia="Times New Roman" w:cs="Times New Roman"/>
          <w:b/>
          <w:bCs/>
          <w:kern w:val="0"/>
          <w:sz w:val="36"/>
          <w:szCs w:val="36"/>
        </w:rPr>
      </w:pPr>
      <w:r>
        <w:rPr>
          <w:rFonts w:ascii="黑体" w:hAnsi="黑体" w:eastAsia="黑体" w:cs="黑体"/>
          <w:b/>
          <w:spacing w:val="0"/>
          <w:sz w:val="56"/>
          <w:szCs w:val="56"/>
        </w:rPr>
        <w:t>单位概况</w:t>
      </w:r>
      <w:bookmarkEnd w:id="5"/>
      <w:bookmarkEnd w:id="6"/>
      <w:bookmarkEnd w:id="7"/>
      <w:bookmarkEnd w:id="8"/>
    </w:p>
    <w:p>
      <w:pPr>
        <w:pStyle w:val="31"/>
        <w:widowControl/>
        <w:spacing w:before="100" w:after="100"/>
        <w:ind w:left="0" w:right="0" w:firstLine="0"/>
        <w:jc w:val="center"/>
        <w:rPr>
          <w:rFonts w:ascii="Times New Roman" w:hAnsi="Times New Roman" w:eastAsia="Times New Roman" w:cs="Times New Roman"/>
          <w:kern w:val="0"/>
          <w:sz w:val="24"/>
        </w:rPr>
      </w:pPr>
    </w:p>
    <w:p>
      <w:pPr>
        <w:pStyle w:val="5"/>
        <w:keepNext w:val="0"/>
        <w:keepLines w:val="0"/>
        <w:spacing w:before="100" w:after="100" w:line="240" w:lineRule="auto"/>
        <w:ind w:left="0" w:right="0" w:firstLine="643" w:firstLineChars="200"/>
        <w:rPr>
          <w:rFonts w:ascii="黑体" w:hAnsi="黑体" w:eastAsia="黑体" w:cs="黑体"/>
          <w:b/>
          <w:spacing w:val="0"/>
        </w:rPr>
      </w:pPr>
      <w:bookmarkStart w:id="9" w:name="_Toc256000002"/>
      <w:bookmarkStart w:id="10" w:name="_Toc256000064"/>
      <w:bookmarkStart w:id="11" w:name="_Toc256000033"/>
      <w:bookmarkStart w:id="12" w:name="_Toc256000095"/>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5"/>
        <w:keepNext w:val="0"/>
        <w:keepLines w:val="0"/>
        <w:spacing w:before="100" w:after="100" w:line="240" w:lineRule="auto"/>
        <w:ind w:left="0" w:right="0" w:firstLine="643" w:firstLineChars="200"/>
        <w:rPr>
          <w:rFonts w:ascii="黑体" w:hAnsi="黑体" w:eastAsia="黑体" w:cs="黑体"/>
          <w:b/>
          <w:spacing w:val="0"/>
        </w:rPr>
      </w:pPr>
      <w:r>
        <w:rPr>
          <w:rFonts w:ascii="黑体" w:hAnsi="黑体" w:eastAsia="黑体" w:cs="黑体"/>
          <w:b/>
          <w:spacing w:val="0"/>
        </w:rPr>
        <w:t>一、单位主要职责</w:t>
      </w:r>
      <w:bookmarkEnd w:id="9"/>
      <w:bookmarkEnd w:id="10"/>
      <w:bookmarkEnd w:id="11"/>
      <w:bookmarkEnd w:id="12"/>
    </w:p>
    <w:p>
      <w:pPr>
        <w:pStyle w:val="4"/>
      </w:pPr>
    </w:p>
    <w:p>
      <w:pPr>
        <w:spacing w:before="101" w:line="357" w:lineRule="auto"/>
        <w:ind w:right="32" w:firstLine="639"/>
        <w:jc w:val="both"/>
        <w:rPr>
          <w:rFonts w:ascii="仿宋" w:hAnsi="仿宋" w:eastAsia="仿宋" w:cs="仿宋"/>
          <w:sz w:val="31"/>
          <w:szCs w:val="31"/>
        </w:rPr>
      </w:pPr>
      <w:bookmarkStart w:id="13" w:name="_Toc256000065"/>
      <w:bookmarkStart w:id="14" w:name="_Toc256000003"/>
      <w:bookmarkStart w:id="15" w:name="_Toc256000034"/>
      <w:bookmarkStart w:id="16" w:name="_Toc256000096"/>
      <w:r>
        <w:rPr>
          <w:rFonts w:ascii="仿宋" w:hAnsi="仿宋" w:eastAsia="仿宋" w:cs="仿宋"/>
          <w:spacing w:val="7"/>
          <w:sz w:val="31"/>
          <w:szCs w:val="31"/>
        </w:rPr>
        <w:t>厦门市金尚中学部门的主要职责是：实施初中义务教育</w:t>
      </w:r>
      <w:r>
        <w:rPr>
          <w:rFonts w:ascii="仿宋" w:hAnsi="仿宋" w:eastAsia="仿宋" w:cs="仿宋"/>
          <w:spacing w:val="6"/>
          <w:sz w:val="31"/>
          <w:szCs w:val="31"/>
        </w:rPr>
        <w:t>，促进基础教育发</w:t>
      </w:r>
      <w:r>
        <w:rPr>
          <w:rFonts w:ascii="仿宋" w:hAnsi="仿宋" w:eastAsia="仿宋" w:cs="仿宋"/>
          <w:sz w:val="31"/>
          <w:szCs w:val="31"/>
        </w:rPr>
        <w:t xml:space="preserve"> </w:t>
      </w:r>
      <w:r>
        <w:rPr>
          <w:rFonts w:ascii="仿宋" w:hAnsi="仿宋" w:eastAsia="仿宋" w:cs="仿宋"/>
          <w:spacing w:val="7"/>
          <w:sz w:val="31"/>
          <w:szCs w:val="31"/>
        </w:rPr>
        <w:t>展，组织教育教学、教学研究活动，保证教育教学质量。以教职工和学生</w:t>
      </w:r>
      <w:r>
        <w:rPr>
          <w:rFonts w:ascii="仿宋" w:hAnsi="仿宋" w:eastAsia="仿宋" w:cs="仿宋"/>
          <w:spacing w:val="6"/>
          <w:sz w:val="31"/>
          <w:szCs w:val="31"/>
        </w:rPr>
        <w:t>的人</w:t>
      </w:r>
      <w:r>
        <w:rPr>
          <w:rFonts w:ascii="仿宋" w:hAnsi="仿宋" w:eastAsia="仿宋" w:cs="仿宋"/>
          <w:sz w:val="31"/>
          <w:szCs w:val="31"/>
        </w:rPr>
        <w:t xml:space="preserve"> </w:t>
      </w:r>
      <w:r>
        <w:rPr>
          <w:rFonts w:ascii="仿宋" w:hAnsi="仿宋" w:eastAsia="仿宋" w:cs="仿宋"/>
          <w:spacing w:val="9"/>
          <w:sz w:val="31"/>
          <w:szCs w:val="31"/>
        </w:rPr>
        <w:t>生幸福和生命质量作为重点，维护教职工利益，保障教职工合法</w:t>
      </w:r>
      <w:r>
        <w:rPr>
          <w:rFonts w:ascii="仿宋" w:hAnsi="仿宋" w:eastAsia="仿宋" w:cs="仿宋"/>
          <w:spacing w:val="8"/>
          <w:sz w:val="31"/>
          <w:szCs w:val="31"/>
        </w:rPr>
        <w:t>权益。</w:t>
      </w:r>
    </w:p>
    <w:p>
      <w:pPr>
        <w:spacing w:before="211" w:line="293" w:lineRule="auto"/>
        <w:ind w:left="2" w:right="32" w:firstLine="641"/>
        <w:rPr>
          <w:rFonts w:ascii="仿宋" w:hAnsi="仿宋" w:eastAsia="仿宋" w:cs="仿宋"/>
          <w:sz w:val="31"/>
          <w:szCs w:val="31"/>
        </w:rPr>
      </w:pPr>
      <w:r>
        <w:rPr>
          <w:rFonts w:ascii="仿宋" w:hAnsi="仿宋" w:eastAsia="仿宋" w:cs="仿宋"/>
          <w:spacing w:val="7"/>
          <w:sz w:val="31"/>
          <w:szCs w:val="31"/>
        </w:rPr>
        <w:t>（一）研究拟定全校教育发展战略法，贯彻执</w:t>
      </w:r>
      <w:r>
        <w:rPr>
          <w:rFonts w:ascii="仿宋" w:hAnsi="仿宋" w:eastAsia="仿宋" w:cs="仿宋"/>
          <w:spacing w:val="6"/>
          <w:sz w:val="31"/>
          <w:szCs w:val="31"/>
        </w:rPr>
        <w:t>行党和国家的教育方针、政</w:t>
      </w:r>
      <w:r>
        <w:rPr>
          <w:rFonts w:ascii="仿宋" w:hAnsi="仿宋" w:eastAsia="仿宋" w:cs="仿宋"/>
          <w:sz w:val="31"/>
          <w:szCs w:val="31"/>
        </w:rPr>
        <w:t xml:space="preserve"> </w:t>
      </w:r>
      <w:r>
        <w:rPr>
          <w:rFonts w:ascii="仿宋" w:hAnsi="仿宋" w:eastAsia="仿宋" w:cs="仿宋"/>
          <w:spacing w:val="2"/>
          <w:sz w:val="31"/>
          <w:szCs w:val="31"/>
        </w:rPr>
        <w:t>策、法规。</w:t>
      </w:r>
    </w:p>
    <w:p>
      <w:pPr>
        <w:pStyle w:val="9"/>
        <w:spacing w:line="353" w:lineRule="auto"/>
      </w:pPr>
    </w:p>
    <w:p>
      <w:pPr>
        <w:spacing w:before="100" w:line="293" w:lineRule="auto"/>
        <w:ind w:left="16" w:right="32" w:firstLine="627"/>
        <w:rPr>
          <w:rFonts w:ascii="仿宋" w:hAnsi="仿宋" w:eastAsia="仿宋" w:cs="仿宋"/>
          <w:sz w:val="31"/>
          <w:szCs w:val="31"/>
        </w:rPr>
      </w:pPr>
      <w:r>
        <w:rPr>
          <w:rFonts w:ascii="仿宋" w:hAnsi="仿宋" w:eastAsia="仿宋" w:cs="仿宋"/>
          <w:spacing w:val="7"/>
          <w:sz w:val="31"/>
          <w:szCs w:val="31"/>
        </w:rPr>
        <w:t>（二）研究拟定学校发展规划和年度计划，组</w:t>
      </w:r>
      <w:r>
        <w:rPr>
          <w:rFonts w:ascii="仿宋" w:hAnsi="仿宋" w:eastAsia="仿宋" w:cs="仿宋"/>
          <w:spacing w:val="6"/>
          <w:sz w:val="31"/>
          <w:szCs w:val="31"/>
        </w:rPr>
        <w:t>织实施教育体制和办学体制</w:t>
      </w:r>
      <w:r>
        <w:rPr>
          <w:rFonts w:ascii="仿宋" w:hAnsi="仿宋" w:eastAsia="仿宋" w:cs="仿宋"/>
          <w:sz w:val="31"/>
          <w:szCs w:val="31"/>
        </w:rPr>
        <w:t xml:space="preserve"> </w:t>
      </w:r>
      <w:r>
        <w:rPr>
          <w:rFonts w:ascii="仿宋" w:hAnsi="仿宋" w:eastAsia="仿宋" w:cs="仿宋"/>
          <w:spacing w:val="-7"/>
          <w:sz w:val="31"/>
          <w:szCs w:val="31"/>
        </w:rPr>
        <w:t>改革。</w:t>
      </w:r>
    </w:p>
    <w:p>
      <w:pPr>
        <w:pStyle w:val="9"/>
        <w:spacing w:line="353" w:lineRule="auto"/>
      </w:pPr>
    </w:p>
    <w:p>
      <w:pPr>
        <w:spacing w:before="101" w:line="226" w:lineRule="auto"/>
        <w:jc w:val="right"/>
        <w:rPr>
          <w:rFonts w:ascii="仿宋" w:hAnsi="仿宋" w:eastAsia="仿宋" w:cs="仿宋"/>
          <w:sz w:val="31"/>
          <w:szCs w:val="31"/>
        </w:rPr>
      </w:pPr>
      <w:r>
        <w:rPr>
          <w:rFonts w:ascii="仿宋" w:hAnsi="仿宋" w:eastAsia="仿宋" w:cs="仿宋"/>
          <w:spacing w:val="8"/>
          <w:sz w:val="31"/>
          <w:szCs w:val="31"/>
        </w:rPr>
        <w:t>（三）管理和指导学校基础教育工作；确保普</w:t>
      </w:r>
      <w:r>
        <w:rPr>
          <w:rFonts w:ascii="仿宋" w:hAnsi="仿宋" w:eastAsia="仿宋" w:cs="仿宋"/>
          <w:spacing w:val="7"/>
          <w:sz w:val="31"/>
          <w:szCs w:val="31"/>
        </w:rPr>
        <w:t>及九年义务教育工作成果。</w:t>
      </w:r>
    </w:p>
    <w:p>
      <w:pPr>
        <w:pStyle w:val="9"/>
        <w:spacing w:line="358" w:lineRule="auto"/>
      </w:pPr>
    </w:p>
    <w:p>
      <w:pPr>
        <w:spacing w:before="102" w:line="226" w:lineRule="auto"/>
        <w:ind w:left="644"/>
        <w:rPr>
          <w:rFonts w:ascii="仿宋" w:hAnsi="仿宋" w:eastAsia="仿宋" w:cs="仿宋"/>
          <w:sz w:val="31"/>
          <w:szCs w:val="31"/>
        </w:rPr>
      </w:pPr>
      <w:r>
        <w:rPr>
          <w:rFonts w:ascii="仿宋" w:hAnsi="仿宋" w:eastAsia="仿宋" w:cs="仿宋"/>
          <w:spacing w:val="9"/>
          <w:sz w:val="31"/>
          <w:szCs w:val="31"/>
        </w:rPr>
        <w:t>（四）管理学校教育经费；管理学校教育经费，</w:t>
      </w:r>
      <w:r>
        <w:rPr>
          <w:rFonts w:ascii="仿宋" w:hAnsi="仿宋" w:eastAsia="仿宋" w:cs="仿宋"/>
          <w:spacing w:val="8"/>
          <w:sz w:val="31"/>
          <w:szCs w:val="31"/>
        </w:rPr>
        <w:t>执行财务管理制度。</w:t>
      </w:r>
    </w:p>
    <w:p>
      <w:pPr>
        <w:pStyle w:val="9"/>
        <w:spacing w:line="359" w:lineRule="auto"/>
      </w:pPr>
    </w:p>
    <w:p>
      <w:pPr>
        <w:spacing w:before="101" w:line="313" w:lineRule="auto"/>
        <w:ind w:left="3" w:right="34" w:firstLine="640"/>
        <w:rPr>
          <w:rFonts w:ascii="仿宋" w:hAnsi="仿宋" w:eastAsia="仿宋" w:cs="仿宋"/>
          <w:sz w:val="31"/>
          <w:szCs w:val="31"/>
        </w:rPr>
      </w:pPr>
      <w:r>
        <w:rPr>
          <w:rFonts w:ascii="仿宋" w:hAnsi="仿宋" w:eastAsia="仿宋" w:cs="仿宋"/>
          <w:spacing w:val="6"/>
          <w:sz w:val="31"/>
          <w:szCs w:val="31"/>
        </w:rPr>
        <w:t>（五）负责和指导学校教职工的思想政治工作，规划学校品德教育、体育</w:t>
      </w:r>
      <w:r>
        <w:rPr>
          <w:rFonts w:ascii="仿宋" w:hAnsi="仿宋" w:eastAsia="仿宋" w:cs="仿宋"/>
          <w:spacing w:val="18"/>
          <w:sz w:val="31"/>
          <w:szCs w:val="31"/>
        </w:rPr>
        <w:t xml:space="preserve"> </w:t>
      </w:r>
      <w:r>
        <w:rPr>
          <w:rFonts w:ascii="仿宋" w:hAnsi="仿宋" w:eastAsia="仿宋" w:cs="仿宋"/>
          <w:spacing w:val="7"/>
          <w:sz w:val="31"/>
          <w:szCs w:val="31"/>
        </w:rPr>
        <w:t>卫生教育、艺术教育和国防教育工作；负责做好社会治安综</w:t>
      </w:r>
      <w:r>
        <w:rPr>
          <w:rFonts w:ascii="仿宋" w:hAnsi="仿宋" w:eastAsia="仿宋" w:cs="仿宋"/>
          <w:spacing w:val="6"/>
          <w:sz w:val="31"/>
          <w:szCs w:val="31"/>
        </w:rPr>
        <w:t>合治理及安全保卫</w:t>
      </w:r>
      <w:r>
        <w:rPr>
          <w:rFonts w:ascii="仿宋" w:hAnsi="仿宋" w:eastAsia="仿宋" w:cs="仿宋"/>
          <w:sz w:val="31"/>
          <w:szCs w:val="31"/>
        </w:rPr>
        <w:t xml:space="preserve"> </w:t>
      </w:r>
      <w:r>
        <w:rPr>
          <w:rFonts w:ascii="仿宋" w:hAnsi="仿宋" w:eastAsia="仿宋" w:cs="仿宋"/>
          <w:spacing w:val="-3"/>
          <w:sz w:val="31"/>
          <w:szCs w:val="31"/>
        </w:rPr>
        <w:t>工作。</w:t>
      </w:r>
    </w:p>
    <w:p>
      <w:pPr>
        <w:spacing w:line="313" w:lineRule="auto"/>
        <w:rPr>
          <w:rFonts w:ascii="仿宋" w:hAnsi="仿宋" w:eastAsia="仿宋" w:cs="仿宋"/>
          <w:sz w:val="31"/>
          <w:szCs w:val="31"/>
        </w:rPr>
      </w:pPr>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2128"/>
        </w:tabs>
        <w:bidi w:val="0"/>
        <w:jc w:val="left"/>
        <w:rPr>
          <w:lang w:val="en-US" w:eastAsia="zh-CN"/>
        </w:rPr>
        <w:sectPr>
          <w:footerReference r:id="rId5" w:type="default"/>
          <w:pgSz w:w="11850" w:h="16783"/>
          <w:pgMar w:top="1346" w:right="687" w:bottom="957" w:left="742" w:header="0" w:footer="677" w:gutter="0"/>
          <w:cols w:space="720" w:num="1"/>
        </w:sectPr>
      </w:pP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二、单位基本情况</w:t>
      </w:r>
      <w:bookmarkEnd w:id="13"/>
      <w:bookmarkEnd w:id="14"/>
      <w:bookmarkEnd w:id="15"/>
      <w:bookmarkEnd w:id="16"/>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w:t>
      </w:r>
      <w:r>
        <w:rPr>
          <w:rFonts w:hint="eastAsia" w:ascii="仿宋" w:hAnsi="仿宋" w:eastAsia="仿宋" w:cs="仿宋"/>
          <w:spacing w:val="0"/>
          <w:kern w:val="0"/>
          <w:sz w:val="32"/>
          <w:szCs w:val="32"/>
          <w:lang w:eastAsia="zh-CN"/>
        </w:rPr>
        <w:t>厦门市金尚中学部门包括</w:t>
      </w:r>
      <w:r>
        <w:rPr>
          <w:rFonts w:hint="eastAsia" w:ascii="仿宋" w:hAnsi="仿宋" w:eastAsia="仿宋" w:cs="仿宋"/>
          <w:spacing w:val="0"/>
          <w:kern w:val="0"/>
          <w:sz w:val="32"/>
          <w:szCs w:val="32"/>
          <w:lang w:val="en-US" w:eastAsia="zh-CN"/>
        </w:rPr>
        <w:t>7</w:t>
      </w:r>
      <w:r>
        <w:rPr>
          <w:rFonts w:ascii="仿宋" w:hAnsi="仿宋" w:eastAsia="仿宋" w:cs="仿宋"/>
          <w:spacing w:val="9"/>
          <w:sz w:val="31"/>
          <w:szCs w:val="31"/>
        </w:rPr>
        <w:t>个</w:t>
      </w:r>
      <w:r>
        <w:rPr>
          <w:rFonts w:ascii="仿宋" w:hAnsi="仿宋" w:eastAsia="仿宋" w:cs="仿宋"/>
          <w:color w:val="auto"/>
          <w:spacing w:val="0"/>
          <w:kern w:val="0"/>
          <w:sz w:val="32"/>
          <w:szCs w:val="32"/>
          <w:shd w:val="clear" w:color="auto" w:fill="auto"/>
        </w:rPr>
        <w:t>内设机构</w:t>
      </w:r>
      <w:r>
        <w:rPr>
          <w:rFonts w:ascii="仿宋" w:hAnsi="仿宋" w:eastAsia="仿宋" w:cs="仿宋"/>
          <w:spacing w:val="0"/>
          <w:kern w:val="0"/>
          <w:sz w:val="32"/>
          <w:szCs w:val="32"/>
        </w:rPr>
        <w:t>，其中：列入2024年决算编制范围的单位详细情况见下表:</w:t>
      </w:r>
    </w:p>
    <w:tbl>
      <w:tblPr>
        <w:tblStyle w:val="24"/>
        <w:tblW w:w="10617" w:type="dxa"/>
        <w:tblInd w:w="30" w:type="dxa"/>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
      <w:tblGrid>
        <w:gridCol w:w="3701"/>
        <w:gridCol w:w="6916"/>
      </w:tblGrid>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rHeight w:val="704" w:hRule="atLeast"/>
          <w:tblHeader/>
        </w:trPr>
        <w:tc>
          <w:tcPr>
            <w:tcW w:w="3701" w:type="dxa"/>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6"/>
                <w:szCs w:val="36"/>
              </w:rPr>
            </w:pPr>
            <w:r>
              <w:rPr>
                <w:rFonts w:ascii="仿宋" w:hAnsi="仿宋" w:eastAsia="仿宋" w:cs="仿宋"/>
                <w:b w:val="0"/>
                <w:bCs w:val="0"/>
                <w:i w:val="0"/>
                <w:iCs w:val="0"/>
                <w:smallCaps w:val="0"/>
                <w:color w:val="000000"/>
                <w:spacing w:val="0"/>
                <w:kern w:val="0"/>
                <w:sz w:val="36"/>
                <w:szCs w:val="36"/>
              </w:rPr>
              <w:t>序号</w:t>
            </w:r>
          </w:p>
        </w:tc>
        <w:tc>
          <w:tcPr>
            <w:tcW w:w="6916" w:type="dxa"/>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6"/>
                <w:szCs w:val="36"/>
              </w:rPr>
            </w:pPr>
            <w:r>
              <w:rPr>
                <w:rFonts w:ascii="仿宋" w:hAnsi="仿宋" w:eastAsia="仿宋" w:cs="仿宋"/>
                <w:b w:val="0"/>
                <w:bCs w:val="0"/>
                <w:i w:val="0"/>
                <w:iCs w:val="0"/>
                <w:smallCaps w:val="0"/>
                <w:color w:val="000000"/>
                <w:spacing w:val="0"/>
                <w:kern w:val="0"/>
                <w:sz w:val="36"/>
                <w:szCs w:val="36"/>
              </w:rPr>
              <w:t>单位名称</w:t>
            </w:r>
          </w:p>
        </w:tc>
      </w:tr>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rHeight w:val="704" w:hRule="atLeast"/>
          <w:tblHeader/>
        </w:trPr>
        <w:tc>
          <w:tcPr>
            <w:tcW w:w="3701" w:type="dxa"/>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6"/>
                <w:szCs w:val="36"/>
                <w:lang w:val="en-US" w:eastAsia="zh-CN"/>
              </w:rPr>
            </w:pPr>
            <w:bookmarkStart w:id="17" w:name="_Toc256000004"/>
            <w:bookmarkStart w:id="18" w:name="_Toc256000035"/>
            <w:bookmarkStart w:id="19" w:name="_Toc256000097"/>
            <w:bookmarkStart w:id="20" w:name="_Toc256000066"/>
            <w:r>
              <w:rPr>
                <w:rFonts w:hint="eastAsia" w:ascii="仿宋" w:hAnsi="仿宋" w:eastAsia="仿宋" w:cs="仿宋"/>
                <w:b w:val="0"/>
                <w:bCs w:val="0"/>
                <w:i w:val="0"/>
                <w:iCs w:val="0"/>
                <w:smallCaps w:val="0"/>
                <w:color w:val="000000"/>
                <w:spacing w:val="0"/>
                <w:kern w:val="0"/>
                <w:sz w:val="36"/>
                <w:szCs w:val="36"/>
                <w:lang w:val="en-US" w:eastAsia="zh-CN"/>
              </w:rPr>
              <w:t>1</w:t>
            </w:r>
          </w:p>
        </w:tc>
        <w:tc>
          <w:tcPr>
            <w:tcW w:w="6916" w:type="dxa"/>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6"/>
                <w:szCs w:val="36"/>
                <w:lang w:eastAsia="zh-CN"/>
              </w:rPr>
            </w:pPr>
            <w:r>
              <w:rPr>
                <w:rFonts w:hint="eastAsia" w:ascii="仿宋" w:hAnsi="仿宋" w:eastAsia="仿宋" w:cs="仿宋"/>
                <w:b w:val="0"/>
                <w:bCs w:val="0"/>
                <w:i w:val="0"/>
                <w:iCs w:val="0"/>
                <w:smallCaps w:val="0"/>
                <w:color w:val="000000"/>
                <w:spacing w:val="0"/>
                <w:kern w:val="0"/>
                <w:sz w:val="36"/>
                <w:szCs w:val="36"/>
                <w:lang w:eastAsia="zh-CN"/>
              </w:rPr>
              <w:t>厦门市金尚中学</w:t>
            </w:r>
          </w:p>
        </w:tc>
      </w:tr>
    </w:tbl>
    <w:p>
      <w:pPr>
        <w:pStyle w:val="5"/>
        <w:keepNext w:val="0"/>
        <w:keepLines w:val="0"/>
        <w:spacing w:before="100" w:after="100" w:line="600" w:lineRule="atLeast"/>
        <w:ind w:left="0" w:leftChars="0" w:right="0" w:firstLine="643" w:firstLineChars="200"/>
        <w:rPr>
          <w:rFonts w:hint="eastAsia" w:ascii="仿宋_GB2312" w:hAnsi="仿宋_GB2312" w:eastAsia="仿宋_GB2312"/>
          <w:color w:val="auto"/>
          <w:sz w:val="32"/>
          <w:szCs w:val="24"/>
        </w:rPr>
      </w:pPr>
      <w:r>
        <w:rPr>
          <w:rFonts w:ascii="黑体" w:hAnsi="黑体" w:eastAsia="黑体" w:cs="黑体"/>
          <w:b/>
          <w:spacing w:val="0"/>
        </w:rPr>
        <w:t>三、单位主要工作总结</w:t>
      </w:r>
      <w:bookmarkEnd w:id="17"/>
      <w:bookmarkEnd w:id="18"/>
      <w:bookmarkEnd w:id="19"/>
      <w:bookmarkEnd w:id="20"/>
    </w:p>
    <w:p>
      <w:pPr>
        <w:pStyle w:val="20"/>
        <w:widowControl/>
        <w:spacing w:before="0" w:beforeAutospacing="0" w:after="0" w:afterAutospacing="0" w:line="360" w:lineRule="auto"/>
        <w:ind w:firstLine="640" w:firstLineChars="200"/>
        <w:jc w:val="left"/>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202</w:t>
      </w:r>
      <w:r>
        <w:rPr>
          <w:rFonts w:hint="eastAsia" w:ascii="仿宋_GB2312" w:hAnsi="仿宋_GB2312" w:eastAsia="仿宋_GB2312"/>
          <w:color w:val="auto"/>
          <w:sz w:val="32"/>
          <w:szCs w:val="24"/>
          <w:lang w:val="en-US" w:eastAsia="zh-CN"/>
        </w:rPr>
        <w:t>4</w:t>
      </w:r>
      <w:r>
        <w:rPr>
          <w:rFonts w:hint="eastAsia" w:ascii="仿宋_GB2312" w:hAnsi="仿宋_GB2312" w:eastAsia="仿宋_GB2312"/>
          <w:color w:val="auto"/>
          <w:sz w:val="32"/>
          <w:szCs w:val="24"/>
        </w:rPr>
        <w:t>年，金尚中学将把“紧盯教学、抱团发展、提升信心、队伍建设”作为工作重点。</w:t>
      </w:r>
    </w:p>
    <w:p>
      <w:pPr>
        <w:pStyle w:val="20"/>
        <w:widowControl/>
        <w:spacing w:before="0" w:beforeAutospacing="0" w:after="0" w:afterAutospacing="0" w:line="360" w:lineRule="auto"/>
        <w:ind w:firstLine="640" w:firstLineChars="200"/>
        <w:jc w:val="left"/>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首先我们要牢记教育质量就是学校发展的“生命线”，要把抓教育教学质量放在第一位，紧盯教育教学高质量目标，加强精细化管理,完善考评机制,奖勤罚懒,制度健全；着力推动集体备课活动,集思广益,凝聚智慧；真抓实干,齐抓共管。确保教学质量稳步提升，从而推动学校教育高质量发展。</w:t>
      </w:r>
    </w:p>
    <w:p>
      <w:pPr>
        <w:pStyle w:val="20"/>
        <w:widowControl/>
        <w:spacing w:before="0" w:beforeAutospacing="0" w:after="0" w:afterAutospacing="0" w:line="360" w:lineRule="auto"/>
        <w:ind w:firstLine="640" w:firstLineChars="200"/>
        <w:jc w:val="left"/>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其次是抱团发展。作为湖里区首批集团化办学的初中校，我们两个校区要充分发挥集团办学的优势,达到优势互补、共同提高的目的。实行优质资源统一共享、课程开设统一设置、教育科研统一攻关、量化考核统一标准、质量检测统一进行、干部教师统一培训“六个统一”模式有效推进，坚持集团办学，智慧叠加，坚持两所校区相互成全，互相砥砺，打造金尚教育集团的亮眼品牌。</w:t>
      </w:r>
    </w:p>
    <w:p>
      <w:pPr>
        <w:pStyle w:val="20"/>
        <w:widowControl/>
        <w:spacing w:before="0" w:beforeAutospacing="0" w:after="0" w:afterAutospacing="0" w:line="360" w:lineRule="auto"/>
        <w:ind w:firstLine="640" w:firstLineChars="200"/>
        <w:jc w:val="left"/>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第三是要增强信心。我们要努力做到心中有底气,手中有力气,脑中有骨气,肚里有意气。带着自信把学校经营好,把班级管理好,把教师队伍带好；带着自信抓大抓小,抓实抓细,确保各项工作再上新台阶，充分拓展“人人出力，个个献策，班班提升</w:t>
      </w:r>
      <w:r>
        <w:rPr>
          <w:rFonts w:hint="eastAsia" w:ascii="仿宋_GB2312" w:hAnsi="仿宋_GB2312" w:eastAsia="仿宋_GB2312"/>
          <w:color w:val="auto"/>
          <w:sz w:val="32"/>
          <w:szCs w:val="24"/>
          <w:lang w:eastAsia="zh-CN"/>
        </w:rPr>
        <w:t>”</w:t>
      </w:r>
      <w:r>
        <w:rPr>
          <w:rFonts w:hint="eastAsia" w:ascii="仿宋_GB2312" w:hAnsi="仿宋_GB2312" w:eastAsia="仿宋_GB2312"/>
          <w:color w:val="auto"/>
          <w:sz w:val="32"/>
          <w:szCs w:val="24"/>
        </w:rPr>
        <w:t>的美好局面。</w:t>
      </w:r>
    </w:p>
    <w:p>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firstLine="640" w:firstLineChars="200"/>
        <w:textAlignment w:val="auto"/>
        <w:sectPr>
          <w:footerReference r:id="rId6" w:type="default"/>
          <w:pgSz w:w="11906" w:h="16838"/>
          <w:pgMar w:top="1344" w:right="686" w:bottom="958" w:left="743" w:header="720" w:footer="720" w:gutter="0"/>
          <w:cols w:space="720" w:num="1"/>
        </w:sectPr>
      </w:pPr>
      <w:r>
        <w:rPr>
          <w:rFonts w:hint="eastAsia" w:ascii="仿宋_GB2312" w:hAnsi="仿宋_GB2312" w:eastAsia="仿宋_GB2312"/>
          <w:color w:val="auto"/>
          <w:sz w:val="32"/>
          <w:szCs w:val="24"/>
        </w:rPr>
        <w:t>第四是抓队伍建设。把</w:t>
      </w:r>
      <w:r>
        <w:rPr>
          <w:rFonts w:hint="eastAsia" w:ascii="仿宋_GB2312" w:hAnsi="仿宋_GB2312" w:eastAsia="仿宋_GB2312"/>
          <w:color w:val="auto"/>
          <w:spacing w:val="8"/>
          <w:sz w:val="32"/>
          <w:szCs w:val="24"/>
          <w:shd w:val="clear" w:color="auto" w:fill="FFFFFF"/>
        </w:rPr>
        <w:t>党建工作作为队伍建设的重点线抓，强化服务大局的政治能力，深入学习贯彻党的二十大精神，做好意识形态和思想政治工作，统筹疫情防控和安全稳定，加强支部建设，为学校发展提供有力保证。把教研组建设作为常态性工作来抓，教研组建设注重教学理念与教学实践相结合，集体备课活动与培养教师相结合，做到集体备课活动经常化、专题化和系列化，促使备课组建设上一个台阶。教研组长、备课组长学期初制定好本教研组的计划；切实开展好本组的集体备课活动；适时进行反思与总结，注意资料积累，归类整理。每一名教师要提升个人素养，提升教学能力，爱岗敬业、有责任心、有爱心、有魅力，不断进取，做一名教育形象的塑造者和宣传员，做一名与时俱进的新型教师，让同行信赖，让社会满意。</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562" w:firstLineChars="100"/>
        <w:jc w:val="center"/>
        <w:rPr>
          <w:rFonts w:ascii="黑体" w:hAnsi="黑体" w:eastAsia="黑体" w:cs="黑体"/>
          <w:b/>
          <w:spacing w:val="0"/>
          <w:sz w:val="56"/>
          <w:szCs w:val="56"/>
        </w:rPr>
      </w:pPr>
      <w:bookmarkStart w:id="21" w:name="_Toc256000098"/>
      <w:bookmarkStart w:id="22" w:name="_Toc256000036"/>
      <w:bookmarkStart w:id="23" w:name="_Toc256000005"/>
      <w:bookmarkStart w:id="24" w:name="_Toc256000067"/>
    </w:p>
    <w:p>
      <w:pPr>
        <w:pStyle w:val="3"/>
        <w:keepNext w:val="0"/>
        <w:keepLines w:val="0"/>
        <w:spacing w:before="100" w:after="100" w:line="240" w:lineRule="auto"/>
        <w:ind w:left="0" w:right="0" w:firstLine="562" w:firstLineChars="100"/>
        <w:jc w:val="center"/>
        <w:rPr>
          <w:rFonts w:ascii="黑体" w:hAnsi="黑体" w:eastAsia="黑体" w:cs="黑体"/>
          <w:b/>
          <w:spacing w:val="0"/>
          <w:sz w:val="56"/>
          <w:szCs w:val="56"/>
        </w:rPr>
      </w:pPr>
      <w:r>
        <w:rPr>
          <w:rFonts w:ascii="黑体" w:hAnsi="黑体" w:eastAsia="黑体" w:cs="黑体"/>
          <w:b/>
          <w:spacing w:val="0"/>
          <w:sz w:val="56"/>
          <w:szCs w:val="56"/>
        </w:rPr>
        <w:t>第二部分</w:t>
      </w:r>
      <w:bookmarkEnd w:id="21"/>
      <w:bookmarkEnd w:id="22"/>
      <w:bookmarkEnd w:id="23"/>
      <w:bookmarkEnd w:id="24"/>
    </w:p>
    <w:p>
      <w:pPr>
        <w:pStyle w:val="4"/>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5" w:name="_Toc256000068"/>
      <w:bookmarkStart w:id="26" w:name="_Toc256000037"/>
      <w:bookmarkStart w:id="27" w:name="_Toc256000006"/>
      <w:bookmarkStart w:id="28" w:name="_Toc256000099"/>
      <w:r>
        <w:rPr>
          <w:rFonts w:ascii="黑体" w:hAnsi="黑体" w:eastAsia="黑体" w:cs="黑体"/>
          <w:b/>
          <w:spacing w:val="0"/>
          <w:sz w:val="56"/>
          <w:szCs w:val="56"/>
        </w:rPr>
        <w:t>2024年度决算表</w:t>
      </w:r>
      <w:bookmarkEnd w:id="25"/>
      <w:bookmarkEnd w:id="26"/>
      <w:bookmarkEnd w:id="27"/>
      <w:bookmarkEnd w:id="28"/>
    </w:p>
    <w:p>
      <w:pPr>
        <w:pStyle w:val="31"/>
        <w:widowControl/>
        <w:spacing w:before="100" w:after="100"/>
        <w:ind w:left="0" w:right="0" w:firstLine="0"/>
        <w:jc w:val="center"/>
        <w:rPr>
          <w:rFonts w:ascii="Times New Roman" w:hAnsi="Times New Roman" w:eastAsia="Times New Roman" w:cs="Times New Roman"/>
          <w:kern w:val="0"/>
          <w:sz w:val="24"/>
        </w:rPr>
      </w:pPr>
    </w:p>
    <w:p>
      <w:pPr>
        <w:pStyle w:val="5"/>
        <w:keepNext w:val="0"/>
        <w:keepLines w:val="0"/>
        <w:spacing w:before="100" w:after="100" w:line="240" w:lineRule="auto"/>
        <w:ind w:left="0" w:leftChars="0" w:right="0" w:firstLine="0" w:firstLineChars="0"/>
        <w:rPr>
          <w:rFonts w:ascii="黑体" w:hAnsi="黑体" w:eastAsia="黑体" w:cs="黑体"/>
          <w:b/>
          <w:spacing w:val="0"/>
        </w:rPr>
      </w:pPr>
      <w:bookmarkStart w:id="29" w:name="_Toc256000038"/>
      <w:bookmarkStart w:id="30" w:name="_Toc256000069"/>
      <w:bookmarkStart w:id="31" w:name="_Toc256000007"/>
      <w:bookmarkStart w:id="32" w:name="_Toc256000100"/>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黑体" w:hAnsi="黑体" w:eastAsia="黑体" w:cs="黑体"/>
          <w:b/>
          <w:spacing w:val="0"/>
        </w:rPr>
      </w:pPr>
    </w:p>
    <w:p>
      <w:pPr>
        <w:pStyle w:val="5"/>
        <w:keepNext w:val="0"/>
        <w:keepLines w:val="0"/>
        <w:spacing w:before="100" w:after="100" w:line="240" w:lineRule="auto"/>
        <w:ind w:left="0" w:leftChars="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一、收入支出决算总表</w:t>
      </w:r>
      <w:bookmarkEnd w:id="29"/>
      <w:bookmarkEnd w:id="30"/>
      <w:bookmarkEnd w:id="31"/>
      <w:bookmarkEnd w:id="32"/>
    </w:p>
    <w:tbl>
      <w:tblPr>
        <w:tblStyle w:val="24"/>
        <w:tblpPr w:leftFromText="180" w:rightFromText="180" w:vertAnchor="text" w:horzAnchor="page" w:tblpXSpec="center" w:tblpY="176"/>
        <w:tblOverlap w:val="never"/>
        <w:tblW w:w="9086" w:type="dxa"/>
        <w:jc w:val="center"/>
        <w:tblInd w:w="0" w:type="dxa"/>
        <w:tblLayout w:type="fixed"/>
        <w:tblCellMar>
          <w:top w:w="15" w:type="dxa"/>
          <w:left w:w="15" w:type="dxa"/>
          <w:bottom w:w="15" w:type="dxa"/>
          <w:right w:w="15" w:type="dxa"/>
        </w:tblCellMar>
      </w:tblPr>
      <w:tblGrid>
        <w:gridCol w:w="2529"/>
        <w:gridCol w:w="456"/>
        <w:gridCol w:w="954"/>
        <w:gridCol w:w="2630"/>
        <w:gridCol w:w="456"/>
        <w:gridCol w:w="1550"/>
        <w:gridCol w:w="511"/>
      </w:tblGrid>
      <w:tr>
        <w:tblPrEx>
          <w:tblLayout w:type="fixed"/>
          <w:tblCellMar>
            <w:top w:w="15" w:type="dxa"/>
            <w:left w:w="15" w:type="dxa"/>
            <w:bottom w:w="15" w:type="dxa"/>
            <w:right w:w="15" w:type="dxa"/>
          </w:tblCellMar>
        </w:tblPrEx>
        <w:trPr>
          <w:tblHeader/>
          <w:jc w:val="center"/>
        </w:trPr>
        <w:tc>
          <w:tcPr>
            <w:tcW w:w="8575"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收入支出决算总表</w:t>
            </w:r>
          </w:p>
        </w:tc>
        <w:tc>
          <w:tcPr>
            <w:tcW w:w="511" w:type="dxa"/>
            <w:noWrap w:val="0"/>
            <w:tcMar>
              <w:top w:w="20" w:type="dxa"/>
              <w:left w:w="20" w:type="dxa"/>
              <w:bottom w:w="20" w:type="dxa"/>
              <w:right w:w="20" w:type="dxa"/>
            </w:tcMar>
            <w:vAlign w:val="center"/>
          </w:tcPr>
          <w:p>
            <w:pPr>
              <w:widowControl/>
              <w:spacing w:line="900" w:lineRule="atLeast"/>
              <w:jc w:val="center"/>
              <w:rPr>
                <w:rFonts w:ascii="宋体" w:hAnsi="宋体" w:eastAsia="宋体" w:cs="宋体"/>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tblHeader/>
          <w:jc w:val="center"/>
        </w:trPr>
        <w:tc>
          <w:tcPr>
            <w:tcW w:w="298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5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25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单位：厦门市金尚中学</w:t>
            </w:r>
          </w:p>
        </w:tc>
        <w:tc>
          <w:tcPr>
            <w:tcW w:w="4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4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5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c>
          <w:tcPr>
            <w:tcW w:w="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393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收入</w:t>
            </w:r>
          </w:p>
        </w:tc>
        <w:tc>
          <w:tcPr>
            <w:tcW w:w="463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支出</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宋体" w:hAnsi="宋体" w:eastAsia="宋体" w:cs="宋体"/>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行次</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宋体" w:hAnsi="宋体" w:eastAsia="宋体" w:cs="宋体"/>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一、一般公共预算财政拨款收入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5,813.65</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一、一般公共服务支出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32</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1.43</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二、政府性基金预算财政拨款收入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二、外交支出</w:t>
            </w:r>
            <w:r>
              <w:rPr>
                <w:rFonts w:ascii="Times New Roman" w:hAnsi="Times New Roman" w:eastAsia="Times New Roman" w:cs="Times New Roman"/>
                <w:b w:val="0"/>
                <w:bCs w:val="0"/>
                <w:i w:val="0"/>
                <w:iCs w:val="0"/>
                <w:smallCaps w:val="0"/>
                <w:color w:val="000000"/>
                <w:kern w:val="0"/>
                <w:sz w:val="16"/>
                <w:szCs w:val="16"/>
              </w:rPr>
              <w:t xml:space="preserve">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33</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三、国有资本经营预算财政拨款收入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三、国防支出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四、上级补助收入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四、公共安全支出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35</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五、事业收入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五、教育支出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4,856.41</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六、经营收入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六、科学技术支出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37</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七、附属单位上缴收入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七、文化旅游体育与传媒支出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38</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八、其他收入</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八、社会保障和就业支出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39</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719.11</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九、卫生健康支出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40</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215.89</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本年收入合计</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5,813.65</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本年支出合计</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5,813.65</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使用非财政拨款结余（含专用结余）</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结余分配</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59</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年初结转和结余</w:t>
            </w:r>
            <w:r>
              <w:rPr>
                <w:rFonts w:ascii="Times New Roman" w:hAnsi="Times New Roman" w:eastAsia="Times New Roman" w:cs="Times New Roman"/>
                <w:b w:val="0"/>
                <w:bCs w:val="0"/>
                <w:i w:val="0"/>
                <w:iCs w:val="0"/>
                <w:smallCaps w:val="0"/>
                <w:color w:val="000000"/>
                <w:kern w:val="0"/>
                <w:sz w:val="16"/>
                <w:szCs w:val="16"/>
              </w:rPr>
              <w:t xml:space="preserve">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年末结转和结余</w:t>
            </w:r>
            <w:r>
              <w:rPr>
                <w:rFonts w:ascii="Times New Roman" w:hAnsi="Times New Roman" w:eastAsia="Times New Roman" w:cs="Times New Roman"/>
                <w:b w:val="0"/>
                <w:bCs w:val="0"/>
                <w:i w:val="0"/>
                <w:iCs w:val="0"/>
                <w:smallCaps w:val="0"/>
                <w:color w:val="000000"/>
                <w:kern w:val="0"/>
                <w:sz w:val="16"/>
                <w:szCs w:val="16"/>
              </w:rPr>
              <w:t xml:space="preserve">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60</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61</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25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总计</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5,813.65</w:t>
            </w:r>
          </w:p>
        </w:tc>
        <w:tc>
          <w:tcPr>
            <w:tcW w:w="26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总计</w:t>
            </w:r>
          </w:p>
        </w:tc>
        <w:tc>
          <w:tcPr>
            <w:tcW w:w="4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62</w:t>
            </w:r>
          </w:p>
        </w:tc>
        <w:tc>
          <w:tcPr>
            <w:tcW w:w="15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5,813.65</w:t>
            </w:r>
          </w:p>
        </w:tc>
        <w:tc>
          <w:tcPr>
            <w:tcW w:w="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8575"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注：</w:t>
            </w:r>
            <w:r>
              <w:rPr>
                <w:rFonts w:ascii="Times New Roman" w:hAnsi="Times New Roman" w:eastAsia="Times New Roman" w:cs="Times New Roman"/>
                <w:b w:val="0"/>
                <w:bCs w:val="0"/>
                <w:i w:val="0"/>
                <w:iCs w:val="0"/>
                <w:smallCaps w:val="0"/>
                <w:color w:val="000000"/>
                <w:kern w:val="0"/>
                <w:sz w:val="16"/>
                <w:szCs w:val="16"/>
              </w:rPr>
              <w:t>1.</w:t>
            </w:r>
            <w:r>
              <w:rPr>
                <w:rFonts w:ascii="宋体" w:hAnsi="宋体" w:eastAsia="宋体" w:cs="宋体"/>
                <w:b w:val="0"/>
                <w:bCs w:val="0"/>
                <w:i w:val="0"/>
                <w:iCs w:val="0"/>
                <w:smallCaps w:val="0"/>
                <w:color w:val="000000"/>
                <w:kern w:val="0"/>
                <w:sz w:val="16"/>
                <w:szCs w:val="16"/>
              </w:rPr>
              <w:t>本表反映部门本年度的总收支和年末结转结余情况。</w:t>
            </w:r>
          </w:p>
        </w:tc>
        <w:tc>
          <w:tcPr>
            <w:tcW w:w="511" w:type="dxa"/>
            <w:noWrap w:val="0"/>
            <w:tcMar>
              <w:top w:w="20" w:type="dxa"/>
              <w:left w:w="20" w:type="dxa"/>
              <w:bottom w:w="20" w:type="dxa"/>
              <w:right w:w="20" w:type="dxa"/>
            </w:tcMar>
            <w:vAlign w:val="center"/>
          </w:tcPr>
          <w:p>
            <w:pPr>
              <w:widowControl/>
              <w:spacing w:line="375" w:lineRule="atLeast"/>
              <w:jc w:val="left"/>
              <w:rPr>
                <w:rFonts w:ascii="宋体" w:hAnsi="宋体" w:eastAsia="宋体" w:cs="宋体"/>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jc w:val="center"/>
        </w:trPr>
        <w:tc>
          <w:tcPr>
            <w:tcW w:w="8575"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r>
              <w:rPr>
                <w:rFonts w:ascii="宋体" w:hAnsi="宋体" w:eastAsia="宋体" w:cs="宋体"/>
                <w:b w:val="0"/>
                <w:bCs w:val="0"/>
                <w:i w:val="0"/>
                <w:iCs w:val="0"/>
                <w:smallCaps w:val="0"/>
                <w:color w:val="000000"/>
                <w:kern w:val="0"/>
                <w:sz w:val="16"/>
                <w:szCs w:val="16"/>
              </w:rPr>
              <w:t>本套报表金额单位转换时可能存在尾数误差。</w:t>
            </w:r>
          </w:p>
        </w:tc>
        <w:tc>
          <w:tcPr>
            <w:tcW w:w="511" w:type="dxa"/>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p>
        </w:tc>
      </w:tr>
    </w:tbl>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widowControl/>
        <w:jc w:val="left"/>
        <w:rPr>
          <w:rFonts w:ascii="Times New Roman" w:hAnsi="Times New Roman" w:eastAsia="Times New Roman" w:cs="Times New Roman"/>
          <w:kern w:val="0"/>
          <w:sz w:val="24"/>
        </w:rPr>
      </w:pPr>
      <w:r>
        <w:rPr>
          <w:rFonts w:ascii="宋体" w:hAnsi="宋体" w:cs="宋体"/>
          <w:spacing w:val="0"/>
          <w:kern w:val="0"/>
          <w:sz w:val="32"/>
          <w:szCs w:val="32"/>
        </w:rPr>
        <w:t> </w:t>
      </w:r>
    </w:p>
    <w:tbl>
      <w:tblPr>
        <w:tblStyle w:val="24"/>
        <w:tblpPr w:leftFromText="180" w:rightFromText="180" w:vertAnchor="text" w:horzAnchor="page" w:tblpXSpec="center" w:tblpY="673"/>
        <w:tblOverlap w:val="never"/>
        <w:tblW w:w="9066" w:type="dxa"/>
        <w:jc w:val="center"/>
        <w:tblInd w:w="0" w:type="dxa"/>
        <w:tblLayout w:type="fixed"/>
        <w:tblCellMar>
          <w:top w:w="15" w:type="dxa"/>
          <w:left w:w="15" w:type="dxa"/>
          <w:bottom w:w="15" w:type="dxa"/>
          <w:right w:w="15" w:type="dxa"/>
        </w:tblCellMar>
      </w:tblPr>
      <w:tblGrid>
        <w:gridCol w:w="674"/>
        <w:gridCol w:w="2218"/>
        <w:gridCol w:w="917"/>
        <w:gridCol w:w="917"/>
        <w:gridCol w:w="890"/>
        <w:gridCol w:w="591"/>
        <w:gridCol w:w="591"/>
        <w:gridCol w:w="1134"/>
        <w:gridCol w:w="1134"/>
      </w:tblGrid>
      <w:tr>
        <w:tblPrEx>
          <w:tblLayout w:type="fixed"/>
          <w:tblCellMar>
            <w:top w:w="15" w:type="dxa"/>
            <w:left w:w="15" w:type="dxa"/>
            <w:bottom w:w="15" w:type="dxa"/>
            <w:right w:w="15" w:type="dxa"/>
          </w:tblCellMar>
        </w:tblPrEx>
        <w:trPr>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bookmarkStart w:id="33" w:name="_Toc256000008"/>
            <w:bookmarkStart w:id="34" w:name="_Toc256000070"/>
            <w:bookmarkStart w:id="35" w:name="_Toc256000101"/>
            <w:bookmarkStart w:id="36" w:name="_Toc256000039"/>
            <w:r>
              <w:rPr>
                <w:rFonts w:ascii="宋体" w:hAnsi="宋体" w:eastAsia="宋体" w:cs="宋体"/>
                <w:b w:val="0"/>
                <w:bCs w:val="0"/>
                <w:i w:val="0"/>
                <w:iCs w:val="0"/>
                <w:smallCaps w:val="0"/>
                <w:color w:val="000000"/>
                <w:kern w:val="0"/>
                <w:sz w:val="18"/>
                <w:szCs w:val="18"/>
              </w:rPr>
              <w:t>收入决算表</w:t>
            </w:r>
          </w:p>
        </w:tc>
      </w:tr>
      <w:tr>
        <w:tblPrEx>
          <w:tblLayout w:type="fixed"/>
          <w:tblCellMar>
            <w:top w:w="15" w:type="dxa"/>
            <w:left w:w="15" w:type="dxa"/>
            <w:bottom w:w="15" w:type="dxa"/>
            <w:right w:w="15" w:type="dxa"/>
          </w:tblCellMar>
        </w:tblPrEx>
        <w:trPr>
          <w:tblHeader/>
          <w:jc w:val="center"/>
        </w:trPr>
        <w:tc>
          <w:tcPr>
            <w:tcW w:w="6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21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1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4726"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部门</w:t>
            </w:r>
            <w:r>
              <w:rPr>
                <w:rFonts w:ascii="Times New Roman" w:hAnsi="Times New Roman" w:eastAsia="Times New Roman" w:cs="Times New Roman"/>
                <w:b w:val="0"/>
                <w:bCs w:val="0"/>
                <w:i w:val="0"/>
                <w:iCs w:val="0"/>
                <w:smallCaps w:val="0"/>
                <w:color w:val="000000"/>
                <w:kern w:val="0"/>
                <w:sz w:val="20"/>
                <w:szCs w:val="20"/>
              </w:rPr>
              <w:t>/</w:t>
            </w:r>
            <w:r>
              <w:rPr>
                <w:rFonts w:ascii="宋体" w:hAnsi="宋体" w:eastAsia="宋体" w:cs="宋体"/>
                <w:b w:val="0"/>
                <w:bCs w:val="0"/>
                <w:i w:val="0"/>
                <w:iCs w:val="0"/>
                <w:smallCaps w:val="0"/>
                <w:color w:val="000000"/>
                <w:kern w:val="0"/>
                <w:sz w:val="20"/>
                <w:szCs w:val="20"/>
              </w:rPr>
              <w:t>单位：厦门市金尚中学</w:t>
            </w:r>
          </w:p>
        </w:tc>
        <w:tc>
          <w:tcPr>
            <w:tcW w:w="8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2024</w:t>
            </w:r>
            <w:r>
              <w:rPr>
                <w:rFonts w:ascii="宋体" w:hAnsi="宋体" w:eastAsia="宋体" w:cs="宋体"/>
                <w:b w:val="0"/>
                <w:bCs w:val="0"/>
                <w:i w:val="0"/>
                <w:iCs w:val="0"/>
                <w:smallCaps w:val="0"/>
                <w:color w:val="000000"/>
                <w:kern w:val="0"/>
                <w:sz w:val="20"/>
                <w:szCs w:val="20"/>
              </w:rPr>
              <w:t>年度</w:t>
            </w:r>
          </w:p>
        </w:tc>
        <w:tc>
          <w:tcPr>
            <w:tcW w:w="59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金额单位：万元</w:t>
            </w:r>
          </w:p>
        </w:tc>
      </w:tr>
      <w:tr>
        <w:tblPrEx>
          <w:tblLayout w:type="fixed"/>
          <w:tblCellMar>
            <w:top w:w="15" w:type="dxa"/>
            <w:left w:w="15" w:type="dxa"/>
            <w:bottom w:w="15" w:type="dxa"/>
            <w:right w:w="15" w:type="dxa"/>
          </w:tblCellMar>
        </w:tblPrEx>
        <w:trPr>
          <w:tblHeader/>
          <w:jc w:val="center"/>
        </w:trPr>
        <w:tc>
          <w:tcPr>
            <w:tcW w:w="289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1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91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8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59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59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jc w:val="center"/>
        </w:trPr>
        <w:tc>
          <w:tcPr>
            <w:tcW w:w="67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21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9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jc w:val="center"/>
        </w:trPr>
        <w:tc>
          <w:tcPr>
            <w:tcW w:w="67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21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1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9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5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jc w:val="center"/>
        </w:trPr>
        <w:tc>
          <w:tcPr>
            <w:tcW w:w="289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jc w:val="center"/>
        </w:trPr>
        <w:tc>
          <w:tcPr>
            <w:tcW w:w="289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5,813.65</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5,813.65</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一般公共服务支出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20129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群众团体事务</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2012902</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一般行政管理事务</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1.43</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4,856.41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4,856.41</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教育管理事务</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其他教育管理事务支出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3.53</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4,404.85</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4,404.85</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4,104.43</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4,104.43</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300.42</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300.42</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446.71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446.71</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446.71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446.71</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1.32</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1.32</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1.32</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1.32</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719.11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719.11</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719.11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719.11</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163.82</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163.82</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333.75</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333.75</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221.55</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221.55</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215.89</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215.89</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215.89</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215.89</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142.89</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142.89</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73.01</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73.01</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2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8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pStyle w:val="5"/>
        <w:keepNext w:val="0"/>
        <w:keepLines w:val="0"/>
        <w:spacing w:before="100" w:after="100" w:line="240" w:lineRule="auto"/>
        <w:ind w:left="0" w:leftChars="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二、收入决算表</w:t>
      </w:r>
      <w:bookmarkEnd w:id="33"/>
      <w:bookmarkEnd w:id="34"/>
      <w:bookmarkEnd w:id="35"/>
      <w:bookmarkEnd w:id="36"/>
    </w:p>
    <w:p>
      <w:pPr>
        <w:widowControl/>
        <w:jc w:val="left"/>
        <w:rPr>
          <w:rFonts w:ascii="宋体" w:hAnsi="宋体" w:cs="宋体"/>
          <w:spacing w:val="0"/>
          <w:kern w:val="0"/>
          <w:sz w:val="32"/>
          <w:szCs w:val="32"/>
        </w:rPr>
      </w:pPr>
    </w:p>
    <w:p>
      <w:pPr>
        <w:widowControl/>
        <w:jc w:val="left"/>
        <w:rPr>
          <w:rFonts w:ascii="宋体" w:hAnsi="宋体" w:cs="宋体"/>
          <w:spacing w:val="0"/>
          <w:kern w:val="0"/>
          <w:sz w:val="32"/>
          <w:szCs w:val="32"/>
        </w:rPr>
      </w:pPr>
    </w:p>
    <w:p>
      <w:pPr>
        <w:widowControl/>
        <w:jc w:val="left"/>
        <w:rPr>
          <w:rFonts w:ascii="宋体" w:hAnsi="宋体" w:cs="宋体"/>
          <w:spacing w:val="0"/>
          <w:kern w:val="0"/>
          <w:sz w:val="32"/>
          <w:szCs w:val="32"/>
        </w:rPr>
      </w:pPr>
    </w:p>
    <w:p>
      <w:pPr>
        <w:widowControl/>
        <w:jc w:val="left"/>
        <w:rPr>
          <w:rFonts w:ascii="宋体" w:hAnsi="宋体" w:cs="宋体"/>
          <w:spacing w:val="0"/>
          <w:kern w:val="0"/>
          <w:sz w:val="32"/>
          <w:szCs w:val="32"/>
        </w:rPr>
      </w:pPr>
    </w:p>
    <w:p>
      <w:pPr>
        <w:widowControl/>
        <w:jc w:val="left"/>
        <w:rPr>
          <w:rFonts w:ascii="Times New Roman" w:hAnsi="Times New Roman" w:eastAsia="Times New Roman" w:cs="Times New Roman"/>
          <w:kern w:val="0"/>
          <w:sz w:val="24"/>
        </w:rPr>
      </w:pPr>
      <w:r>
        <w:rPr>
          <w:rFonts w:ascii="宋体" w:hAnsi="宋体" w:cs="宋体"/>
          <w:spacing w:val="0"/>
          <w:kern w:val="0"/>
          <w:sz w:val="32"/>
          <w:szCs w:val="32"/>
        </w:rPr>
        <w:t> </w:t>
      </w:r>
    </w:p>
    <w:tbl>
      <w:tblPr>
        <w:tblStyle w:val="24"/>
        <w:tblpPr w:leftFromText="180" w:rightFromText="180" w:vertAnchor="text" w:horzAnchor="page" w:tblpXSpec="center" w:tblpY="623"/>
        <w:tblOverlap w:val="never"/>
        <w:tblW w:w="9086" w:type="dxa"/>
        <w:jc w:val="center"/>
        <w:tblInd w:w="-10" w:type="dxa"/>
        <w:tblLayout w:type="fixed"/>
        <w:tblCellMar>
          <w:top w:w="15" w:type="dxa"/>
          <w:left w:w="15" w:type="dxa"/>
          <w:bottom w:w="15" w:type="dxa"/>
          <w:right w:w="15" w:type="dxa"/>
        </w:tblCellMar>
      </w:tblPr>
      <w:tblGrid>
        <w:gridCol w:w="336"/>
        <w:gridCol w:w="337"/>
        <w:gridCol w:w="336"/>
        <w:gridCol w:w="1978"/>
        <w:gridCol w:w="1233"/>
        <w:gridCol w:w="1087"/>
        <w:gridCol w:w="898"/>
        <w:gridCol w:w="862"/>
        <w:gridCol w:w="639"/>
        <w:gridCol w:w="1380"/>
      </w:tblGrid>
      <w:tr>
        <w:tblPrEx>
          <w:tblLayout w:type="fixed"/>
          <w:tblCellMar>
            <w:top w:w="15" w:type="dxa"/>
            <w:left w:w="15" w:type="dxa"/>
            <w:bottom w:w="15" w:type="dxa"/>
            <w:right w:w="15" w:type="dxa"/>
          </w:tblCellMar>
        </w:tblPrEx>
        <w:trPr>
          <w:tblHeader/>
          <w:jc w:val="center"/>
        </w:trPr>
        <w:tc>
          <w:tcPr>
            <w:tcW w:w="9086" w:type="dxa"/>
            <w:gridSpan w:val="10"/>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0"/>
                <w:szCs w:val="20"/>
              </w:rPr>
            </w:pPr>
            <w:bookmarkStart w:id="37" w:name="_Toc256000071"/>
            <w:bookmarkStart w:id="38" w:name="_Toc256000102"/>
            <w:bookmarkStart w:id="39" w:name="_Toc256000009"/>
            <w:bookmarkStart w:id="40" w:name="_Toc256000040"/>
            <w:r>
              <w:rPr>
                <w:rFonts w:ascii="宋体" w:hAnsi="宋体" w:eastAsia="宋体" w:cs="宋体"/>
                <w:b w:val="0"/>
                <w:bCs w:val="0"/>
                <w:i w:val="0"/>
                <w:iCs w:val="0"/>
                <w:smallCaps w:val="0"/>
                <w:color w:val="000000"/>
                <w:kern w:val="0"/>
                <w:sz w:val="20"/>
                <w:szCs w:val="20"/>
              </w:rPr>
              <w:t>支出决算表</w:t>
            </w:r>
          </w:p>
        </w:tc>
      </w:tr>
      <w:tr>
        <w:tblPrEx>
          <w:tblLayout w:type="fixed"/>
          <w:tblCellMar>
            <w:top w:w="15" w:type="dxa"/>
            <w:left w:w="15" w:type="dxa"/>
            <w:bottom w:w="15" w:type="dxa"/>
            <w:right w:w="15" w:type="dxa"/>
          </w:tblCellMar>
        </w:tblPrEx>
        <w:trPr>
          <w:tblHeader/>
          <w:jc w:val="center"/>
        </w:trPr>
        <w:tc>
          <w:tcPr>
            <w:tcW w:w="33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3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33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97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2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08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jc w:val="center"/>
        </w:trPr>
        <w:tc>
          <w:tcPr>
            <w:tcW w:w="4220"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部门</w:t>
            </w:r>
            <w:r>
              <w:rPr>
                <w:rFonts w:ascii="Times New Roman" w:hAnsi="Times New Roman" w:eastAsia="Times New Roman" w:cs="Times New Roman"/>
                <w:b w:val="0"/>
                <w:bCs w:val="0"/>
                <w:i w:val="0"/>
                <w:iCs w:val="0"/>
                <w:smallCaps w:val="0"/>
                <w:color w:val="000000"/>
                <w:kern w:val="0"/>
                <w:sz w:val="21"/>
                <w:szCs w:val="21"/>
              </w:rPr>
              <w:t>/</w:t>
            </w:r>
            <w:r>
              <w:rPr>
                <w:rFonts w:ascii="宋体" w:hAnsi="宋体" w:eastAsia="宋体" w:cs="宋体"/>
                <w:b w:val="0"/>
                <w:bCs w:val="0"/>
                <w:i w:val="0"/>
                <w:iCs w:val="0"/>
                <w:smallCaps w:val="0"/>
                <w:color w:val="000000"/>
                <w:kern w:val="0"/>
                <w:sz w:val="21"/>
                <w:szCs w:val="21"/>
              </w:rPr>
              <w:t>单位：厦门市金尚中学</w:t>
            </w:r>
          </w:p>
        </w:tc>
        <w:tc>
          <w:tcPr>
            <w:tcW w:w="108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2024</w:t>
            </w:r>
            <w:r>
              <w:rPr>
                <w:rFonts w:ascii="宋体" w:hAnsi="宋体" w:eastAsia="宋体" w:cs="宋体"/>
                <w:b w:val="0"/>
                <w:bCs w:val="0"/>
                <w:i w:val="0"/>
                <w:iCs w:val="0"/>
                <w:smallCaps w:val="0"/>
                <w:color w:val="000000"/>
                <w:kern w:val="0"/>
                <w:sz w:val="21"/>
                <w:szCs w:val="21"/>
              </w:rPr>
              <w:t>年度</w:t>
            </w:r>
          </w:p>
        </w:tc>
        <w:tc>
          <w:tcPr>
            <w:tcW w:w="89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blHeader/>
          <w:jc w:val="center"/>
        </w:trPr>
        <w:tc>
          <w:tcPr>
            <w:tcW w:w="298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w:t>
            </w:r>
          </w:p>
        </w:tc>
        <w:tc>
          <w:tcPr>
            <w:tcW w:w="12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本年支出合计</w:t>
            </w:r>
          </w:p>
        </w:tc>
        <w:tc>
          <w:tcPr>
            <w:tcW w:w="108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基本支出</w:t>
            </w:r>
          </w:p>
        </w:tc>
        <w:tc>
          <w:tcPr>
            <w:tcW w:w="89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项目支出</w:t>
            </w:r>
          </w:p>
        </w:tc>
        <w:tc>
          <w:tcPr>
            <w:tcW w:w="86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上缴上级支出</w:t>
            </w:r>
          </w:p>
        </w:tc>
        <w:tc>
          <w:tcPr>
            <w:tcW w:w="63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经营支出</w:t>
            </w:r>
          </w:p>
        </w:tc>
        <w:tc>
          <w:tcPr>
            <w:tcW w:w="13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对附属单位补助支出</w:t>
            </w:r>
          </w:p>
        </w:tc>
      </w:tr>
      <w:tr>
        <w:tblPrEx>
          <w:tblLayout w:type="fixed"/>
          <w:tblCellMar>
            <w:top w:w="15" w:type="dxa"/>
            <w:left w:w="15" w:type="dxa"/>
            <w:bottom w:w="15" w:type="dxa"/>
            <w:right w:w="15" w:type="dxa"/>
          </w:tblCellMar>
        </w:tblPrEx>
        <w:trPr>
          <w:tblHeader/>
          <w:jc w:val="center"/>
        </w:trPr>
        <w:tc>
          <w:tcPr>
            <w:tcW w:w="1009"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科目代码</w:t>
            </w:r>
          </w:p>
        </w:tc>
        <w:tc>
          <w:tcPr>
            <w:tcW w:w="197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科目名称</w:t>
            </w: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9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6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63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3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r>
      <w:tr>
        <w:tblPrEx>
          <w:tblLayout w:type="fixed"/>
          <w:tblCellMar>
            <w:top w:w="15" w:type="dxa"/>
            <w:left w:w="15" w:type="dxa"/>
            <w:bottom w:w="15" w:type="dxa"/>
            <w:right w:w="15" w:type="dxa"/>
          </w:tblCellMar>
        </w:tblPrEx>
        <w:trPr>
          <w:tblHeader/>
          <w:jc w:val="center"/>
        </w:trPr>
        <w:tc>
          <w:tcPr>
            <w:tcW w:w="1009"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97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2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08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9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86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63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c>
          <w:tcPr>
            <w:tcW w:w="13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0"/>
                <w:szCs w:val="20"/>
              </w:rPr>
            </w:pPr>
          </w:p>
        </w:tc>
      </w:tr>
      <w:tr>
        <w:tblPrEx>
          <w:tblLayout w:type="fixed"/>
          <w:tblCellMar>
            <w:top w:w="15" w:type="dxa"/>
            <w:left w:w="15" w:type="dxa"/>
            <w:bottom w:w="15" w:type="dxa"/>
            <w:right w:w="15" w:type="dxa"/>
          </w:tblCellMar>
        </w:tblPrEx>
        <w:trPr>
          <w:jc w:val="center"/>
        </w:trPr>
        <w:tc>
          <w:tcPr>
            <w:tcW w:w="298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栏次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w:t>
            </w:r>
          </w:p>
        </w:tc>
      </w:tr>
      <w:tr>
        <w:tblPrEx>
          <w:tblLayout w:type="fixed"/>
          <w:tblCellMar>
            <w:top w:w="15" w:type="dxa"/>
            <w:left w:w="15" w:type="dxa"/>
            <w:bottom w:w="15" w:type="dxa"/>
            <w:right w:w="15" w:type="dxa"/>
          </w:tblCellMar>
        </w:tblPrEx>
        <w:trPr>
          <w:jc w:val="center"/>
        </w:trPr>
        <w:tc>
          <w:tcPr>
            <w:tcW w:w="298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合计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5,813.65</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5,170.71</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642.94</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201</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一般公共服务支出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1.43</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1.43</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20129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群众团体事务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1.43</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1.43</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2012902</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一般行政管理事务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1.43</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1.43</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教育支出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4,856.41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4,214.91</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641.5</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20501</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教育管理事务</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3.53</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3.53</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2050199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其他教育管理事务支出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3.53</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3.53</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普通教育</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4,404.85</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4,214.91</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189.94</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2050203</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初中教育</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4,104.43</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4,104.43</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2050299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其他普通教育支出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300.42</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110.48</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189.94</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教育费附加安排的支出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446.71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446.71</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2050999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其他教育费附加安排的支出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446.71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446.71</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20599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其他教育支出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1.32</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1.32</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2059999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其他教育支出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1.32</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1.32</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社会保障和就业支出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719.11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719.11</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行政事业单位养老支出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719.11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719.11</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2080502</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事业单位离退休</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163.82</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163.82</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2080505</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机关事业单位基本养老保险缴费支出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333.75</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333.75</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2080506</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机关事业单位职业年金缴费支出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221.55</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221.55</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卫生健康支出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215.89</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215.89</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21011</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行政事业单位医疗</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215.89</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215.89</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2101102</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事业单位医疗</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142.89</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142.89</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2101199</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其他行政事业单位医疗支出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73.01</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73.01</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221</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住房保障支出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22102</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住房改革支出</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100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2210203</w:t>
            </w:r>
          </w:p>
        </w:tc>
        <w:tc>
          <w:tcPr>
            <w:tcW w:w="19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购房补贴</w:t>
            </w:r>
          </w:p>
        </w:tc>
        <w:tc>
          <w:tcPr>
            <w:tcW w:w="12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10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20.8</w:t>
            </w:r>
          </w:p>
        </w:tc>
        <w:tc>
          <w:tcPr>
            <w:tcW w:w="8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8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6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0"/>
                <w:szCs w:val="20"/>
              </w:rPr>
            </w:pPr>
            <w:r>
              <w:rPr>
                <w:rFonts w:ascii="Times New Roman" w:hAnsi="Times New Roman" w:eastAsia="Times New Roman" w:cs="Times New Roman"/>
                <w:b w:val="0"/>
                <w:bCs w:val="0"/>
                <w:i w:val="0"/>
                <w:iCs w:val="0"/>
                <w:smallCaps w:val="0"/>
                <w:color w:val="000000"/>
                <w:kern w:val="0"/>
                <w:sz w:val="20"/>
                <w:szCs w:val="20"/>
              </w:rPr>
              <w:t> </w:t>
            </w:r>
          </w:p>
        </w:tc>
      </w:tr>
      <w:tr>
        <w:tblPrEx>
          <w:tblLayout w:type="fixed"/>
          <w:tblCellMar>
            <w:top w:w="15" w:type="dxa"/>
            <w:left w:w="15" w:type="dxa"/>
            <w:bottom w:w="15" w:type="dxa"/>
            <w:right w:w="15" w:type="dxa"/>
          </w:tblCellMar>
        </w:tblPrEx>
        <w:trPr>
          <w:jc w:val="center"/>
        </w:trPr>
        <w:tc>
          <w:tcPr>
            <w:tcW w:w="908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0"/>
                <w:szCs w:val="20"/>
              </w:rPr>
            </w:pPr>
            <w:r>
              <w:rPr>
                <w:rFonts w:ascii="宋体" w:hAnsi="宋体" w:eastAsia="宋体" w:cs="宋体"/>
                <w:b w:val="0"/>
                <w:bCs w:val="0"/>
                <w:i w:val="0"/>
                <w:iCs w:val="0"/>
                <w:smallCaps w:val="0"/>
                <w:color w:val="000000"/>
                <w:kern w:val="0"/>
                <w:sz w:val="20"/>
                <w:szCs w:val="20"/>
              </w:rPr>
              <w:t>注：本表反映部门本年度各项支出情况。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三、支出决算表</w:t>
      </w:r>
      <w:bookmarkEnd w:id="37"/>
      <w:bookmarkEnd w:id="38"/>
      <w:bookmarkEnd w:id="39"/>
      <w:bookmarkEnd w:id="40"/>
    </w:p>
    <w:p>
      <w:pPr>
        <w:sectPr>
          <w:footerReference r:id="rId7"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1"/>
        <w:widowControl/>
        <w:spacing w:before="100" w:after="100"/>
        <w:ind w:left="0" w:right="0" w:firstLine="0"/>
        <w:jc w:val="left"/>
        <w:rPr>
          <w:rFonts w:ascii="Times New Roman" w:hAnsi="Times New Roman" w:eastAsia="Times New Roman" w:cs="Times New Roman"/>
          <w:kern w:val="0"/>
          <w:sz w:val="24"/>
        </w:rPr>
      </w:pPr>
      <w:r>
        <w:rPr>
          <w:rFonts w:ascii="Times New Roman" w:hAnsi="Times New Roman" w:eastAsia="Times New Roman" w:cs="Times New Roman"/>
          <w:spacing w:val="0"/>
          <w:kern w:val="0"/>
          <w:sz w:val="27"/>
          <w:szCs w:val="27"/>
        </w:rPr>
        <w:t> </w:t>
      </w:r>
    </w:p>
    <w:tbl>
      <w:tblPr>
        <w:tblStyle w:val="24"/>
        <w:tblpPr w:leftFromText="180" w:rightFromText="180" w:vertAnchor="text" w:horzAnchor="page" w:tblpXSpec="center" w:tblpY="671"/>
        <w:tblOverlap w:val="never"/>
        <w:tblW w:w="9086" w:type="dxa"/>
        <w:jc w:val="center"/>
        <w:tblInd w:w="-10" w:type="dxa"/>
        <w:tblLayout w:type="fixed"/>
        <w:tblCellMar>
          <w:top w:w="15" w:type="dxa"/>
          <w:left w:w="15" w:type="dxa"/>
          <w:bottom w:w="15" w:type="dxa"/>
          <w:right w:w="15" w:type="dxa"/>
        </w:tblCellMar>
      </w:tblPr>
      <w:tblGrid>
        <w:gridCol w:w="1326"/>
        <w:gridCol w:w="380"/>
        <w:gridCol w:w="954"/>
        <w:gridCol w:w="1385"/>
        <w:gridCol w:w="753"/>
        <w:gridCol w:w="954"/>
        <w:gridCol w:w="1295"/>
        <w:gridCol w:w="829"/>
        <w:gridCol w:w="1210"/>
      </w:tblGrid>
      <w:tr>
        <w:tblPrEx>
          <w:tblLayout w:type="fixed"/>
          <w:tblCellMar>
            <w:top w:w="15" w:type="dxa"/>
            <w:left w:w="15" w:type="dxa"/>
            <w:bottom w:w="15" w:type="dxa"/>
            <w:right w:w="15" w:type="dxa"/>
          </w:tblCellMar>
        </w:tblPrEx>
        <w:trPr>
          <w:tblHeader/>
          <w:jc w:val="center"/>
        </w:trPr>
        <w:tc>
          <w:tcPr>
            <w:tcW w:w="908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1"/>
                <w:szCs w:val="11"/>
              </w:rPr>
            </w:pPr>
            <w:bookmarkStart w:id="41" w:name="_Toc256000010"/>
            <w:bookmarkStart w:id="42" w:name="_Toc256000103"/>
            <w:bookmarkStart w:id="43" w:name="_Toc256000041"/>
            <w:bookmarkStart w:id="44" w:name="_Toc256000072"/>
            <w:r>
              <w:rPr>
                <w:rFonts w:ascii="宋体" w:hAnsi="宋体" w:eastAsia="宋体" w:cs="宋体"/>
                <w:b w:val="0"/>
                <w:bCs w:val="0"/>
                <w:i w:val="0"/>
                <w:iCs w:val="0"/>
                <w:smallCaps w:val="0"/>
                <w:color w:val="000000"/>
                <w:kern w:val="0"/>
                <w:sz w:val="11"/>
                <w:szCs w:val="11"/>
              </w:rPr>
              <w:t>财政拨款收入支出决算总表</w:t>
            </w:r>
          </w:p>
        </w:tc>
      </w:tr>
      <w:tr>
        <w:tblPrEx>
          <w:tblLayout w:type="fixed"/>
          <w:tblCellMar>
            <w:top w:w="15" w:type="dxa"/>
            <w:left w:w="15" w:type="dxa"/>
            <w:bottom w:w="15" w:type="dxa"/>
            <w:right w:w="15" w:type="dxa"/>
          </w:tblCellMar>
        </w:tblPrEx>
        <w:trPr>
          <w:tblHeader/>
          <w:jc w:val="center"/>
        </w:trPr>
        <w:tc>
          <w:tcPr>
            <w:tcW w:w="170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5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tblHeader/>
          <w:jc w:val="center"/>
        </w:trPr>
        <w:tc>
          <w:tcPr>
            <w:tcW w:w="132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部门</w:t>
            </w:r>
            <w:r>
              <w:rPr>
                <w:rFonts w:ascii="Times New Roman" w:hAnsi="Times New Roman" w:eastAsia="Times New Roman" w:cs="Times New Roman"/>
                <w:b w:val="0"/>
                <w:bCs w:val="0"/>
                <w:i w:val="0"/>
                <w:iCs w:val="0"/>
                <w:smallCaps w:val="0"/>
                <w:color w:val="000000"/>
                <w:kern w:val="0"/>
                <w:sz w:val="13"/>
                <w:szCs w:val="13"/>
              </w:rPr>
              <w:t>/</w:t>
            </w:r>
            <w:r>
              <w:rPr>
                <w:rFonts w:ascii="宋体" w:hAnsi="宋体" w:eastAsia="宋体" w:cs="宋体"/>
                <w:b w:val="0"/>
                <w:bCs w:val="0"/>
                <w:i w:val="0"/>
                <w:iCs w:val="0"/>
                <w:smallCaps w:val="0"/>
                <w:color w:val="000000"/>
                <w:kern w:val="0"/>
                <w:sz w:val="13"/>
                <w:szCs w:val="13"/>
              </w:rPr>
              <w:t>单位：厦门市金尚中学</w:t>
            </w:r>
          </w:p>
        </w:tc>
        <w:tc>
          <w:tcPr>
            <w:tcW w:w="3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5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2024</w:t>
            </w:r>
            <w:r>
              <w:rPr>
                <w:rFonts w:ascii="宋体" w:hAnsi="宋体" w:eastAsia="宋体" w:cs="宋体"/>
                <w:b w:val="0"/>
                <w:bCs w:val="0"/>
                <w:i w:val="0"/>
                <w:iCs w:val="0"/>
                <w:smallCaps w:val="0"/>
                <w:color w:val="000000"/>
                <w:kern w:val="0"/>
                <w:sz w:val="13"/>
                <w:szCs w:val="13"/>
              </w:rPr>
              <w:t>年度</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金额单位：万元</w:t>
            </w:r>
          </w:p>
        </w:tc>
      </w:tr>
      <w:tr>
        <w:tblPrEx>
          <w:tblLayout w:type="fixed"/>
          <w:tblCellMar>
            <w:top w:w="15" w:type="dxa"/>
            <w:left w:w="15" w:type="dxa"/>
            <w:bottom w:w="15" w:type="dxa"/>
            <w:right w:w="15" w:type="dxa"/>
          </w:tblCellMar>
        </w:tblPrEx>
        <w:trPr>
          <w:jc w:val="center"/>
        </w:trPr>
        <w:tc>
          <w:tcPr>
            <w:tcW w:w="266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收入</w:t>
            </w:r>
          </w:p>
        </w:tc>
        <w:tc>
          <w:tcPr>
            <w:tcW w:w="6426"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支出</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项目</w:t>
            </w:r>
            <w:r>
              <w:rPr>
                <w:rFonts w:ascii="Times New Roman" w:hAnsi="Times New Roman" w:eastAsia="Times New Roman" w:cs="Times New Roman"/>
                <w:b w:val="0"/>
                <w:bCs w:val="0"/>
                <w:i w:val="0"/>
                <w:iCs w:val="0"/>
                <w:smallCaps w:val="0"/>
                <w:color w:val="000000"/>
                <w:kern w:val="0"/>
                <w:sz w:val="11"/>
                <w:szCs w:val="11"/>
              </w:rPr>
              <w:t xml:space="preserve">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行次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金额</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项目</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行次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合计</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一般公共预算财政拨款</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政府性基金预算财政拨款</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国有资本经营预算财政拨款</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栏次</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栏次</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一、一般公共预算财政拨款</w:t>
            </w:r>
            <w:r>
              <w:rPr>
                <w:rFonts w:ascii="Times New Roman" w:hAnsi="Times New Roman" w:eastAsia="Times New Roman" w:cs="Times New Roman"/>
                <w:b w:val="0"/>
                <w:bCs w:val="0"/>
                <w:i w:val="0"/>
                <w:iCs w:val="0"/>
                <w:smallCaps w:val="0"/>
                <w:color w:val="000000"/>
                <w:kern w:val="0"/>
                <w:sz w:val="11"/>
                <w:szCs w:val="11"/>
              </w:rPr>
              <w:t xml:space="preserve">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一、一般公共服务支出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1.43</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1.43</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二、政府性基金预算财政拨款</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二、外交支出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三、国有资本经营预算财政拨款</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三、国防支出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四、公共安全支出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五、教育支出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4,856.41</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4,856.41</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六、科学技术支出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七、文化旅游体育与传媒支出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八、社会保障和就业支出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719.11</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719.11</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九、卫生健康支出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215.89</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215.89</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十、节能环保支出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十一、城乡社区支出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十二、农林水支出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十三、交通运输支出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十四、资源勘探工业信息等支出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十五、商业服务业等支出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十六、金融支出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十七、援助其他地区支出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十八、自然资源海洋气象等支出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十九、住房保障支出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20.8</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20.8</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二十、粮油物资储备支出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二十一、国有资本经营预算支出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二十二、灾害防治及应急管理支出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二十三、其他支出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二十四、债务还本支出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25</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二十五、债务付息支出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26</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二十六、抗疫特别国债安排的支出</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本年收入合计</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27</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本年支出合计</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年初财政拨款结转和结余</w:t>
            </w:r>
            <w:r>
              <w:rPr>
                <w:rFonts w:ascii="Times New Roman" w:hAnsi="Times New Roman" w:eastAsia="Times New Roman" w:cs="Times New Roman"/>
                <w:b w:val="0"/>
                <w:bCs w:val="0"/>
                <w:i w:val="0"/>
                <w:iCs w:val="0"/>
                <w:smallCaps w:val="0"/>
                <w:color w:val="000000"/>
                <w:kern w:val="0"/>
                <w:sz w:val="11"/>
                <w:szCs w:val="11"/>
              </w:rPr>
              <w:t xml:space="preserve">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28</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年末财政拨款结转和结余</w:t>
            </w:r>
            <w:r>
              <w:rPr>
                <w:rFonts w:ascii="Times New Roman" w:hAnsi="Times New Roman" w:eastAsia="Times New Roman" w:cs="Times New Roman"/>
                <w:b w:val="0"/>
                <w:bCs w:val="0"/>
                <w:i w:val="0"/>
                <w:iCs w:val="0"/>
                <w:smallCaps w:val="0"/>
                <w:color w:val="000000"/>
                <w:kern w:val="0"/>
                <w:sz w:val="11"/>
                <w:szCs w:val="11"/>
              </w:rPr>
              <w:t xml:space="preserve"> </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一、一般公共预算财政拨款</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29</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二、政府性基金预算财政拨款</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30</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三、国有资本经营预算财政拨款</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31</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63</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13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总计</w:t>
            </w:r>
            <w:r>
              <w:rPr>
                <w:rFonts w:ascii="Times New Roman" w:hAnsi="Times New Roman" w:eastAsia="Times New Roman" w:cs="Times New Roman"/>
                <w:b w:val="0"/>
                <w:bCs w:val="0"/>
                <w:i w:val="0"/>
                <w:iCs w:val="0"/>
                <w:smallCaps w:val="0"/>
                <w:color w:val="000000"/>
                <w:kern w:val="0"/>
                <w:sz w:val="11"/>
                <w:szCs w:val="11"/>
              </w:rPr>
              <w:t xml:space="preserve"> </w:t>
            </w:r>
          </w:p>
        </w:tc>
        <w:tc>
          <w:tcPr>
            <w:tcW w:w="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32</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13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总计</w:t>
            </w:r>
            <w:r>
              <w:rPr>
                <w:rFonts w:ascii="Times New Roman" w:hAnsi="Times New Roman" w:eastAsia="Times New Roman" w:cs="Times New Roman"/>
                <w:b w:val="0"/>
                <w:bCs w:val="0"/>
                <w:i w:val="0"/>
                <w:iCs w:val="0"/>
                <w:smallCaps w:val="0"/>
                <w:color w:val="000000"/>
                <w:kern w:val="0"/>
                <w:sz w:val="11"/>
                <w:szCs w:val="11"/>
              </w:rPr>
              <w:t xml:space="preserve"> </w:t>
            </w:r>
          </w:p>
        </w:tc>
        <w:tc>
          <w:tcPr>
            <w:tcW w:w="75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64</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1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5,813.65</w:t>
            </w:r>
          </w:p>
        </w:tc>
        <w:tc>
          <w:tcPr>
            <w:tcW w:w="8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jc w:val="center"/>
        </w:trPr>
        <w:tc>
          <w:tcPr>
            <w:tcW w:w="908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注：本表反映部门本年度一般公共预算财政拨款、政府性基金预算财政拨款和国有资本经营预算财政拨款的总收支和年末结转结余情况。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四、财政拨款收入支出决算总表</w:t>
      </w:r>
      <w:bookmarkEnd w:id="41"/>
      <w:bookmarkEnd w:id="42"/>
      <w:bookmarkEnd w:id="43"/>
      <w:bookmarkEnd w:id="44"/>
    </w:p>
    <w:p>
      <w:pPr>
        <w:sectPr>
          <w:footerReference r:id="rId8"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bookmarkStart w:id="45" w:name="_Toc256000073"/>
      <w:bookmarkStart w:id="46" w:name="_Toc256000042"/>
      <w:bookmarkStart w:id="47" w:name="_Toc256000104"/>
      <w:bookmarkStart w:id="48" w:name="_Toc256000011"/>
      <w:r>
        <w:rPr>
          <w:rFonts w:ascii="黑体" w:hAnsi="黑体" w:eastAsia="黑体" w:cs="黑体"/>
          <w:b/>
          <w:spacing w:val="0"/>
        </w:rPr>
        <w:t>五、一般公共预算财政拨款支出决算表</w:t>
      </w:r>
      <w:bookmarkEnd w:id="45"/>
      <w:bookmarkEnd w:id="46"/>
      <w:bookmarkEnd w:id="47"/>
      <w:bookmarkEnd w:id="48"/>
    </w:p>
    <w:p>
      <w:pPr>
        <w:sectPr>
          <w:footerReference r:id="rId9"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4"/>
        <w:tblW w:w="9086" w:type="dxa"/>
        <w:tblInd w:w="0" w:type="dxa"/>
        <w:tblLayout w:type="fixed"/>
        <w:tblCellMar>
          <w:top w:w="15" w:type="dxa"/>
          <w:left w:w="15" w:type="dxa"/>
          <w:bottom w:w="15" w:type="dxa"/>
          <w:right w:w="15" w:type="dxa"/>
        </w:tblCellMar>
      </w:tblPr>
      <w:tblGrid>
        <w:gridCol w:w="357"/>
        <w:gridCol w:w="358"/>
        <w:gridCol w:w="357"/>
        <w:gridCol w:w="3864"/>
        <w:gridCol w:w="954"/>
        <w:gridCol w:w="1236"/>
        <w:gridCol w:w="1960"/>
      </w:tblGrid>
      <w:tr>
        <w:tblPrEx>
          <w:tblLayout w:type="fixed"/>
          <w:tblCellMar>
            <w:top w:w="15" w:type="dxa"/>
            <w:left w:w="15" w:type="dxa"/>
            <w:bottom w:w="15" w:type="dxa"/>
            <w:right w:w="15" w:type="dxa"/>
          </w:tblCellMar>
        </w:tblPrEx>
        <w:trPr>
          <w:tblHeader/>
        </w:trPr>
        <w:tc>
          <w:tcPr>
            <w:tcW w:w="908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一般公共预算财政拨款支出决算表</w:t>
            </w:r>
          </w:p>
        </w:tc>
      </w:tr>
      <w:tr>
        <w:tblPrEx>
          <w:tblLayout w:type="fixed"/>
          <w:tblCellMar>
            <w:top w:w="15" w:type="dxa"/>
            <w:left w:w="15" w:type="dxa"/>
            <w:bottom w:w="15" w:type="dxa"/>
            <w:right w:w="15" w:type="dxa"/>
          </w:tblCellMar>
        </w:tblPrEx>
        <w:trPr>
          <w:tblHeader/>
        </w:trPr>
        <w:tc>
          <w:tcPr>
            <w:tcW w:w="35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5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5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86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3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5890"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单位：厦门市金尚中学</w:t>
            </w:r>
          </w:p>
        </w:tc>
        <w:tc>
          <w:tcPr>
            <w:tcW w:w="123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1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c>
          <w:tcPr>
            <w:tcW w:w="493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415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本年支出</w:t>
            </w:r>
          </w:p>
        </w:tc>
      </w:tr>
      <w:tr>
        <w:tblPrEx>
          <w:tblLayout w:type="fixed"/>
          <w:tblCellMar>
            <w:top w:w="15" w:type="dxa"/>
            <w:left w:w="15" w:type="dxa"/>
            <w:bottom w:w="15" w:type="dxa"/>
            <w:right w:w="15" w:type="dxa"/>
          </w:tblCellMar>
        </w:tblPrEx>
        <w:trPr>
          <w:tblHeader/>
        </w:trPr>
        <w:tc>
          <w:tcPr>
            <w:tcW w:w="1072"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科目代码</w:t>
            </w:r>
          </w:p>
        </w:tc>
        <w:tc>
          <w:tcPr>
            <w:tcW w:w="38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9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小计</w:t>
            </w:r>
          </w:p>
        </w:tc>
        <w:tc>
          <w:tcPr>
            <w:tcW w:w="123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基本支出</w:t>
            </w:r>
          </w:p>
        </w:tc>
        <w:tc>
          <w:tcPr>
            <w:tcW w:w="19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项目支出</w:t>
            </w:r>
          </w:p>
        </w:tc>
      </w:tr>
      <w:tr>
        <w:tblPrEx>
          <w:tblLayout w:type="fixed"/>
          <w:tblCellMar>
            <w:top w:w="15" w:type="dxa"/>
            <w:left w:w="15" w:type="dxa"/>
            <w:bottom w:w="15" w:type="dxa"/>
            <w:right w:w="15" w:type="dxa"/>
          </w:tblCellMar>
        </w:tblPrEx>
        <w:trPr>
          <w:tblHeader/>
        </w:trPr>
        <w:tc>
          <w:tcPr>
            <w:tcW w:w="107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3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23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9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trPr>
        <w:tc>
          <w:tcPr>
            <w:tcW w:w="107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386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w:t>
            </w:r>
          </w:p>
        </w:tc>
      </w:tr>
      <w:tr>
        <w:tblPrEx>
          <w:tblLayout w:type="fixed"/>
          <w:tblCellMar>
            <w:top w:w="15" w:type="dxa"/>
            <w:left w:w="15" w:type="dxa"/>
            <w:bottom w:w="15" w:type="dxa"/>
            <w:right w:w="15" w:type="dxa"/>
          </w:tblCellMar>
        </w:tblPrEx>
        <w:tc>
          <w:tcPr>
            <w:tcW w:w="493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合计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5,813.65</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5,170.71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642.94</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201</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一般公共服务支出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1.43</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1.43</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20129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群众团体事务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1.43</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1.43</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2012902</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一般行政管理事务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1.43</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1.43</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4,856.41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4,214.91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641.5</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20501</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教育管理事务</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3.53</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3.53</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2050199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其他教育管理事务支出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3.53</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3.53</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普通教育</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4,404.85</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4,214.91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189.94</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2050203</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初中教育</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4,104.43</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4,104.43</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2050299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其他普通教育支出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300.42</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110.48</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189.94</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教育费附加安排的支出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446.71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446.71</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2050999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其他教育费附加安排的支出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446.71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446.71</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20599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1.32</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1.32</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2059999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1.32</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1.32</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社会保障和就业支出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719.11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719.11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行政事业单位养老支出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719.11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719.11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2080502</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事业单位离退休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163.82</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163.82</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2080505</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机关事业单位基本养老保险缴费支出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333.75</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333.75</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2080506</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机关事业单位职业年金缴费支出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221.55</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221.55</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卫生健康支出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215.89</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215.89</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行政事业单位医疗</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215.89</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215.89</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2101102</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事业单位医疗</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142.89</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142.89</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2101199</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其他行政事业单位医疗支出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73.01</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73.01</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住房保障支出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22102</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住房改革支出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2210203</w:t>
            </w:r>
          </w:p>
        </w:tc>
        <w:tc>
          <w:tcPr>
            <w:tcW w:w="38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购房补贴</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23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908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1"/>
        <w:widowControl/>
        <w:spacing w:before="100" w:after="100"/>
        <w:ind w:left="0" w:right="0" w:firstLine="0"/>
        <w:jc w:val="left"/>
        <w:rPr>
          <w:rFonts w:ascii="Times New Roman" w:hAnsi="Times New Roman" w:eastAsia="Times New Roman" w:cs="Times New Roman"/>
          <w:kern w:val="0"/>
          <w:sz w:val="24"/>
        </w:rPr>
      </w:pPr>
      <w:r>
        <w:rPr>
          <w:rFonts w:ascii="宋体" w:hAnsi="宋体" w:cs="宋体"/>
          <w:spacing w:val="0"/>
          <w:kern w:val="0"/>
          <w:sz w:val="24"/>
        </w:rPr>
        <w:t> </w:t>
      </w:r>
    </w:p>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bookmarkStart w:id="49" w:name="_Toc256000043"/>
      <w:bookmarkStart w:id="50" w:name="_Toc256000012"/>
      <w:bookmarkStart w:id="51" w:name="_Toc256000105"/>
      <w:bookmarkStart w:id="52" w:name="_Toc256000074"/>
      <w:r>
        <w:rPr>
          <w:rFonts w:ascii="黑体" w:hAnsi="黑体" w:eastAsia="黑体" w:cs="黑体"/>
          <w:b/>
          <w:spacing w:val="0"/>
        </w:rPr>
        <w:t>六、一般公共预算财政拨款基本支出决算表</w:t>
      </w:r>
      <w:bookmarkEnd w:id="49"/>
      <w:bookmarkEnd w:id="50"/>
      <w:bookmarkEnd w:id="51"/>
      <w:bookmarkEnd w:id="52"/>
    </w:p>
    <w:p>
      <w:pPr>
        <w:sectPr>
          <w:footerReference r:id="rId10"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4"/>
        <w:tblW w:w="9086" w:type="dxa"/>
        <w:tblInd w:w="0" w:type="dxa"/>
        <w:tblLayout w:type="fixed"/>
        <w:tblCellMar>
          <w:top w:w="15" w:type="dxa"/>
          <w:left w:w="15" w:type="dxa"/>
          <w:bottom w:w="15" w:type="dxa"/>
          <w:right w:w="15" w:type="dxa"/>
        </w:tblCellMar>
      </w:tblPr>
      <w:tblGrid>
        <w:gridCol w:w="960"/>
        <w:gridCol w:w="1357"/>
        <w:gridCol w:w="954"/>
        <w:gridCol w:w="960"/>
        <w:gridCol w:w="1114"/>
        <w:gridCol w:w="759"/>
        <w:gridCol w:w="960"/>
        <w:gridCol w:w="1127"/>
        <w:gridCol w:w="895"/>
      </w:tblGrid>
      <w:tr>
        <w:tblPrEx>
          <w:tblLayout w:type="fixed"/>
          <w:tblCellMar>
            <w:top w:w="15" w:type="dxa"/>
            <w:left w:w="15" w:type="dxa"/>
            <w:bottom w:w="15" w:type="dxa"/>
            <w:right w:w="15" w:type="dxa"/>
          </w:tblCellMar>
        </w:tblPrEx>
        <w:trPr>
          <w:tblHeader/>
        </w:trPr>
        <w:tc>
          <w:tcPr>
            <w:tcW w:w="908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一般公共预算财政拨款基本支出决算表</w:t>
            </w:r>
          </w:p>
        </w:tc>
      </w:tr>
      <w:tr>
        <w:tblPrEx>
          <w:tblLayout w:type="fixed"/>
          <w:tblCellMar>
            <w:top w:w="15" w:type="dxa"/>
            <w:left w:w="15" w:type="dxa"/>
            <w:bottom w:w="15" w:type="dxa"/>
            <w:right w:w="15" w:type="dxa"/>
          </w:tblCellMar>
        </w:tblPrEx>
        <w:trPr>
          <w:tblHeader/>
        </w:trPr>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35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1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12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8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blHeader/>
        </w:trPr>
        <w:tc>
          <w:tcPr>
            <w:tcW w:w="423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部门</w:t>
            </w:r>
            <w:r>
              <w:rPr>
                <w:rFonts w:ascii="Times New Roman" w:hAnsi="Times New Roman" w:eastAsia="Times New Roman" w:cs="Times New Roman"/>
                <w:b w:val="0"/>
                <w:bCs w:val="0"/>
                <w:i w:val="0"/>
                <w:iCs w:val="0"/>
                <w:smallCaps w:val="0"/>
                <w:color w:val="000000"/>
                <w:kern w:val="0"/>
                <w:sz w:val="16"/>
                <w:szCs w:val="16"/>
              </w:rPr>
              <w:t>/</w:t>
            </w:r>
            <w:r>
              <w:rPr>
                <w:rFonts w:ascii="宋体" w:hAnsi="宋体" w:eastAsia="宋体" w:cs="宋体"/>
                <w:b w:val="0"/>
                <w:bCs w:val="0"/>
                <w:i w:val="0"/>
                <w:iCs w:val="0"/>
                <w:smallCaps w:val="0"/>
                <w:color w:val="000000"/>
                <w:kern w:val="0"/>
                <w:sz w:val="16"/>
                <w:szCs w:val="16"/>
              </w:rPr>
              <w:t>单位：厦门市金尚中学</w:t>
            </w:r>
          </w:p>
        </w:tc>
        <w:tc>
          <w:tcPr>
            <w:tcW w:w="11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2024</w:t>
            </w:r>
            <w:r>
              <w:rPr>
                <w:rFonts w:ascii="宋体" w:hAnsi="宋体" w:eastAsia="宋体" w:cs="宋体"/>
                <w:b w:val="0"/>
                <w:bCs w:val="0"/>
                <w:i w:val="0"/>
                <w:iCs w:val="0"/>
                <w:smallCaps w:val="0"/>
                <w:color w:val="000000"/>
                <w:kern w:val="0"/>
                <w:sz w:val="16"/>
                <w:szCs w:val="16"/>
              </w:rPr>
              <w:t>年度</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12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8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金额单位：万元</w:t>
            </w:r>
          </w:p>
        </w:tc>
      </w:tr>
      <w:tr>
        <w:tblPrEx>
          <w:tblLayout w:type="fixed"/>
          <w:tblCellMar>
            <w:top w:w="15" w:type="dxa"/>
            <w:left w:w="15" w:type="dxa"/>
            <w:bottom w:w="15" w:type="dxa"/>
            <w:right w:w="15" w:type="dxa"/>
          </w:tblCellMar>
        </w:tblPrEx>
        <w:trPr>
          <w:tblHeader/>
        </w:trPr>
        <w:tc>
          <w:tcPr>
            <w:tcW w:w="9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经济分类科目编码</w:t>
            </w:r>
          </w:p>
        </w:tc>
        <w:tc>
          <w:tcPr>
            <w:tcW w:w="13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科目名称</w:t>
            </w:r>
          </w:p>
        </w:tc>
        <w:tc>
          <w:tcPr>
            <w:tcW w:w="9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金额</w:t>
            </w:r>
          </w:p>
        </w:tc>
        <w:tc>
          <w:tcPr>
            <w:tcW w:w="9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经济分类科目编码</w:t>
            </w:r>
          </w:p>
        </w:tc>
        <w:tc>
          <w:tcPr>
            <w:tcW w:w="11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科目名称</w:t>
            </w:r>
          </w:p>
        </w:tc>
        <w:tc>
          <w:tcPr>
            <w:tcW w:w="7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金额</w:t>
            </w:r>
          </w:p>
        </w:tc>
        <w:tc>
          <w:tcPr>
            <w:tcW w:w="9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经济分类科目编码</w:t>
            </w:r>
          </w:p>
        </w:tc>
        <w:tc>
          <w:tcPr>
            <w:tcW w:w="112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科目名称</w:t>
            </w:r>
          </w:p>
        </w:tc>
        <w:tc>
          <w:tcPr>
            <w:tcW w:w="8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金额</w:t>
            </w:r>
          </w:p>
        </w:tc>
      </w:tr>
      <w:tr>
        <w:tblPrEx>
          <w:tblLayout w:type="fixed"/>
          <w:tblCellMar>
            <w:top w:w="15" w:type="dxa"/>
            <w:left w:w="15" w:type="dxa"/>
            <w:bottom w:w="15" w:type="dxa"/>
            <w:right w:w="15" w:type="dxa"/>
          </w:tblCellMar>
        </w:tblPrEx>
        <w:trPr>
          <w:tblHeader/>
        </w:trPr>
        <w:tc>
          <w:tcPr>
            <w:tcW w:w="9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135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9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9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11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7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96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11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8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工资福利支出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4,528.93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商品和服务支出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459.64</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30703</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国内债务发行费用</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30101</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基本工资</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617.08</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30201</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办公费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161.79</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30704</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国外债务发行费用</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30102</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津贴补贴</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838.66</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30202</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印刷费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资本性支出</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8.35</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30103</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奖金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1,392.44</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30203</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咨询费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31001</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房屋建筑物购建</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30106</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伙食补助费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30204</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手续费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31002</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办公设备购置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7.92</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30107</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绩效工资</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258.55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30205</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水费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31003</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专用设备购置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30108</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机关事业单位基本养老保险缴费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333.75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30206</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电费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32.63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31005</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基础设施建设</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30109</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职业年金缴费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221.55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30207</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邮电费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1.51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31006</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大型修缮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30110</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职工基本医疗保险缴费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142.89</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30208</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取暖费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31007</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信息网络及软件购置更新</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30111</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公务员医疗补助缴费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30209</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物业管理费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31008</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物资储备</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30112</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其他社会保障缴费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99.7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30211</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差旅费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5.22</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土地补偿</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30113</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住房公积金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363.1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30212</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因公出国（境）费用</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31010</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安置补助</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30114</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医疗费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30213</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维修（护）费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69.87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31011</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地上附着物和青苗补偿</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30199</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其他工资福利支出</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261.21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30214</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租赁费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31012</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拆迁补偿</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对个人和家庭的补助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173.79</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30215</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会议费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31013</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公务用车购置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30301</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离休费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30216</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培训费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25.75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其他交通工具购置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30302</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退休费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30217</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公务接待费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31021</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文物和陈列品购置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30303</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退职（役）费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30218</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专用材料费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7.82</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31022</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无形资产购置</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30304</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抚恤金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30224</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被装购置费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31099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其他资本性支出</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0.43</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30305</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生活补助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30225</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专用燃料费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对企业补助</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30306</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救济费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30226</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劳务费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31.72</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31201</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资本金注入</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30307</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医疗费补助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30227</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委托业务费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31203</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政府投资基金股权投资</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30308</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助学金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30228</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工会经费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82.76</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31204</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费用补贴</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30309</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奖励金</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9.16</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30229</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福利费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11.07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31205</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利息补贴</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30310</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个人农业生产补贴</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30231</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公务用车运行维护费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31206</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其他资本性补助</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30311</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代缴社会保险费</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30239</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其他交通费用</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8.23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31299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其他对企业补助</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30399</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其他对个人和家庭的补助</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164.63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30240</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税金及附加费用</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其他支出</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30299</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其他商品和服务支出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16.55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39907</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国家赔偿费用支出</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债务利息及费用支出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39908</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对民间非营利组织和群众性自治组织补贴</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30701</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国内债务付息</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39909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经常性赠与</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30702</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国外债务付息</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39910</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资本性赠与</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1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39999</w:t>
            </w:r>
          </w:p>
        </w:tc>
        <w:tc>
          <w:tcPr>
            <w:tcW w:w="11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其他支出</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rPr>
          <w:tblHeader/>
        </w:trPr>
        <w:tc>
          <w:tcPr>
            <w:tcW w:w="231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人员经费合计</w:t>
            </w:r>
            <w:r>
              <w:rPr>
                <w:rFonts w:ascii="Times New Roman" w:hAnsi="Times New Roman" w:eastAsia="Times New Roman" w:cs="Times New Roman"/>
                <w:b w:val="0"/>
                <w:bCs w:val="0"/>
                <w:i w:val="0"/>
                <w:iCs w:val="0"/>
                <w:smallCaps w:val="0"/>
                <w:color w:val="000000"/>
                <w:kern w:val="0"/>
                <w:sz w:val="15"/>
                <w:szCs w:val="15"/>
              </w:rPr>
              <w:t xml:space="preserve"> </w:t>
            </w:r>
          </w:p>
        </w:tc>
        <w:tc>
          <w:tcPr>
            <w:tcW w:w="9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4,702.72</w:t>
            </w:r>
          </w:p>
        </w:tc>
        <w:tc>
          <w:tcPr>
            <w:tcW w:w="379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公用经费合计</w:t>
            </w:r>
          </w:p>
        </w:tc>
        <w:tc>
          <w:tcPr>
            <w:tcW w:w="202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467.99</w:t>
            </w:r>
          </w:p>
        </w:tc>
      </w:tr>
      <w:tr>
        <w:tblPrEx>
          <w:tblLayout w:type="fixed"/>
          <w:tblCellMar>
            <w:top w:w="15" w:type="dxa"/>
            <w:left w:w="15" w:type="dxa"/>
            <w:bottom w:w="15" w:type="dxa"/>
            <w:right w:w="15" w:type="dxa"/>
          </w:tblCellMar>
        </w:tblPrEx>
        <w:trPr>
          <w:tblHeader/>
        </w:trPr>
        <w:tc>
          <w:tcPr>
            <w:tcW w:w="908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1"/>
        <w:widowControl/>
        <w:spacing w:before="100" w:after="100"/>
        <w:ind w:left="0" w:right="0" w:firstLine="0"/>
        <w:jc w:val="left"/>
        <w:rPr>
          <w:rFonts w:ascii="黑体" w:hAnsi="黑体" w:eastAsia="黑体" w:cs="黑体"/>
          <w:b/>
          <w:spacing w:val="0"/>
        </w:rPr>
      </w:pPr>
      <w:r>
        <w:rPr>
          <w:rFonts w:ascii="Times New Roman" w:hAnsi="Times New Roman" w:eastAsia="Times New Roman" w:cs="Times New Roman"/>
          <w:spacing w:val="0"/>
          <w:kern w:val="0"/>
          <w:sz w:val="27"/>
          <w:szCs w:val="27"/>
        </w:rPr>
        <w:t> </w:t>
      </w:r>
      <w:bookmarkStart w:id="53" w:name="_Toc256000075"/>
      <w:bookmarkStart w:id="54" w:name="_Toc256000013"/>
      <w:bookmarkStart w:id="55" w:name="_Toc256000044"/>
      <w:bookmarkStart w:id="56" w:name="_Toc256000106"/>
    </w:p>
    <w:p>
      <w:pPr>
        <w:pStyle w:val="5"/>
        <w:keepNext w:val="0"/>
        <w:keepLines w:val="0"/>
        <w:numPr>
          <w:ilvl w:val="0"/>
          <w:numId w:val="1"/>
        </w:numPr>
        <w:spacing w:before="100" w:after="100" w:line="240" w:lineRule="auto"/>
        <w:ind w:left="720" w:right="0" w:hanging="720" w:firstLineChars="0"/>
        <w:rPr>
          <w:rFonts w:ascii="黑体" w:hAnsi="黑体" w:eastAsia="黑体" w:cs="黑体"/>
          <w:b/>
          <w:spacing w:val="0"/>
        </w:rPr>
      </w:pPr>
      <w:r>
        <w:rPr>
          <w:rFonts w:ascii="黑体" w:hAnsi="黑体" w:eastAsia="黑体" w:cs="黑体"/>
          <w:b/>
          <w:spacing w:val="0"/>
        </w:rPr>
        <w:t>一般公共预算财政拨款“三公”经费支出决算表</w:t>
      </w:r>
      <w:bookmarkEnd w:id="53"/>
      <w:bookmarkEnd w:id="54"/>
      <w:bookmarkEnd w:id="55"/>
      <w:bookmarkEnd w:id="56"/>
    </w:p>
    <w:p>
      <w:pPr>
        <w:pStyle w:val="4"/>
        <w:numPr>
          <w:ilvl w:val="0"/>
          <w:numId w:val="0"/>
        </w:numPr>
      </w:pPr>
    </w:p>
    <w:p/>
    <w:tbl>
      <w:tblPr>
        <w:tblStyle w:val="24"/>
        <w:tblW w:w="9086" w:type="dxa"/>
        <w:tblInd w:w="0" w:type="dxa"/>
        <w:tblLayout w:type="fixed"/>
        <w:tblCellMar>
          <w:top w:w="15" w:type="dxa"/>
          <w:left w:w="15" w:type="dxa"/>
          <w:bottom w:w="15" w:type="dxa"/>
          <w:right w:w="15" w:type="dxa"/>
        </w:tblCellMar>
      </w:tblPr>
      <w:tblGrid>
        <w:gridCol w:w="382"/>
        <w:gridCol w:w="1206"/>
        <w:gridCol w:w="384"/>
        <w:gridCol w:w="712"/>
        <w:gridCol w:w="844"/>
        <w:gridCol w:w="581"/>
        <w:gridCol w:w="813"/>
        <w:gridCol w:w="1206"/>
        <w:gridCol w:w="383"/>
        <w:gridCol w:w="712"/>
        <w:gridCol w:w="844"/>
        <w:gridCol w:w="1019"/>
      </w:tblGrid>
      <w:tr>
        <w:tblPrEx>
          <w:tblLayout w:type="fixed"/>
          <w:tblCellMar>
            <w:top w:w="15" w:type="dxa"/>
            <w:left w:w="15" w:type="dxa"/>
            <w:bottom w:w="15" w:type="dxa"/>
            <w:right w:w="15" w:type="dxa"/>
          </w:tblCellMar>
        </w:tblPrEx>
        <w:trPr>
          <w:tblHeader/>
        </w:trPr>
        <w:tc>
          <w:tcPr>
            <w:tcW w:w="908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一般公共预算财政拨款</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三公</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经费支出决算</w:t>
            </w:r>
          </w:p>
        </w:tc>
      </w:tr>
      <w:tr>
        <w:tblPrEx>
          <w:tblLayout w:type="fixed"/>
          <w:tblCellMar>
            <w:top w:w="15" w:type="dxa"/>
            <w:left w:w="15" w:type="dxa"/>
            <w:bottom w:w="15" w:type="dxa"/>
            <w:right w:w="15" w:type="dxa"/>
          </w:tblCellMar>
        </w:tblPrEx>
        <w:trPr>
          <w:tblHeader/>
        </w:trPr>
        <w:tc>
          <w:tcPr>
            <w:tcW w:w="38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20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38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7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5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20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38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7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0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c>
          <w:tcPr>
            <w:tcW w:w="4109"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部门</w:t>
            </w:r>
            <w:r>
              <w:rPr>
                <w:rFonts w:ascii="Times New Roman" w:hAnsi="Times New Roman" w:eastAsia="Times New Roman" w:cs="Times New Roman"/>
                <w:b w:val="0"/>
                <w:bCs w:val="0"/>
                <w:i w:val="0"/>
                <w:iCs w:val="0"/>
                <w:smallCaps w:val="0"/>
                <w:color w:val="000000"/>
                <w:kern w:val="0"/>
                <w:sz w:val="28"/>
                <w:szCs w:val="28"/>
              </w:rPr>
              <w:t>/</w:t>
            </w:r>
            <w:r>
              <w:rPr>
                <w:rFonts w:ascii="宋体" w:hAnsi="宋体" w:eastAsia="宋体" w:cs="宋体"/>
                <w:b w:val="0"/>
                <w:bCs w:val="0"/>
                <w:i w:val="0"/>
                <w:iCs w:val="0"/>
                <w:smallCaps w:val="0"/>
                <w:color w:val="000000"/>
                <w:kern w:val="0"/>
                <w:sz w:val="28"/>
                <w:szCs w:val="28"/>
              </w:rPr>
              <w:t>单位：厦门市金尚中学</w:t>
            </w:r>
          </w:p>
        </w:tc>
        <w:tc>
          <w:tcPr>
            <w:tcW w:w="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8"/>
                <w:szCs w:val="28"/>
              </w:rPr>
            </w:pPr>
            <w:r>
              <w:rPr>
                <w:rFonts w:ascii="Times New Roman" w:hAnsi="Times New Roman" w:eastAsia="Times New Roman" w:cs="Times New Roman"/>
                <w:b w:val="0"/>
                <w:bCs w:val="0"/>
                <w:i w:val="0"/>
                <w:iCs w:val="0"/>
                <w:smallCaps w:val="0"/>
                <w:color w:val="000000"/>
                <w:kern w:val="0"/>
                <w:sz w:val="28"/>
                <w:szCs w:val="28"/>
              </w:rPr>
              <w:t>2024</w:t>
            </w:r>
            <w:r>
              <w:rPr>
                <w:rFonts w:ascii="宋体" w:hAnsi="宋体" w:eastAsia="宋体" w:cs="宋体"/>
                <w:b w:val="0"/>
                <w:bCs w:val="0"/>
                <w:i w:val="0"/>
                <w:iCs w:val="0"/>
                <w:smallCaps w:val="0"/>
                <w:color w:val="000000"/>
                <w:kern w:val="0"/>
                <w:sz w:val="28"/>
                <w:szCs w:val="28"/>
              </w:rPr>
              <w:t>年度</w:t>
            </w:r>
          </w:p>
        </w:tc>
        <w:tc>
          <w:tcPr>
            <w:tcW w:w="120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38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7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8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 </w:t>
            </w:r>
          </w:p>
        </w:tc>
        <w:tc>
          <w:tcPr>
            <w:tcW w:w="10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8"/>
                <w:szCs w:val="28"/>
              </w:rPr>
            </w:pPr>
            <w:r>
              <w:rPr>
                <w:rFonts w:ascii="宋体" w:hAnsi="宋体" w:eastAsia="宋体" w:cs="宋体"/>
                <w:b w:val="0"/>
                <w:bCs w:val="0"/>
                <w:i w:val="0"/>
                <w:iCs w:val="0"/>
                <w:smallCaps w:val="0"/>
                <w:color w:val="000000"/>
                <w:kern w:val="0"/>
                <w:sz w:val="28"/>
                <w:szCs w:val="28"/>
              </w:rPr>
              <w:t>金额单位：万元</w:t>
            </w:r>
          </w:p>
        </w:tc>
      </w:tr>
      <w:tr>
        <w:tblPrEx>
          <w:tblLayout w:type="fixed"/>
          <w:tblCellMar>
            <w:top w:w="15" w:type="dxa"/>
            <w:left w:w="15" w:type="dxa"/>
            <w:bottom w:w="15" w:type="dxa"/>
            <w:right w:w="15" w:type="dxa"/>
          </w:tblCellMar>
        </w:tblPrEx>
        <w:tc>
          <w:tcPr>
            <w:tcW w:w="4109"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预算数</w:t>
            </w:r>
          </w:p>
        </w:tc>
        <w:tc>
          <w:tcPr>
            <w:tcW w:w="4977"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决算数</w:t>
            </w:r>
          </w:p>
        </w:tc>
      </w:tr>
      <w:tr>
        <w:tblPrEx>
          <w:tblLayout w:type="fixed"/>
          <w:tblCellMar>
            <w:top w:w="15" w:type="dxa"/>
            <w:left w:w="15" w:type="dxa"/>
            <w:bottom w:w="15" w:type="dxa"/>
            <w:right w:w="15" w:type="dxa"/>
          </w:tblCellMar>
        </w:tblPrEx>
        <w:trPr>
          <w:tblHeader/>
        </w:trPr>
        <w:tc>
          <w:tcPr>
            <w:tcW w:w="3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合计</w:t>
            </w:r>
          </w:p>
        </w:tc>
        <w:tc>
          <w:tcPr>
            <w:tcW w:w="120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因公出国</w:t>
            </w:r>
            <w:r>
              <w:rPr>
                <w:rFonts w:ascii="Times New Roman" w:hAnsi="Times New Roman" w:eastAsia="Times New Roman" w:cs="Times New Roman"/>
                <w:b w:val="0"/>
                <w:bCs w:val="0"/>
                <w:i w:val="0"/>
                <w:iCs w:val="0"/>
                <w:smallCaps w:val="0"/>
                <w:color w:val="000000"/>
                <w:kern w:val="0"/>
                <w:sz w:val="24"/>
                <w:szCs w:val="24"/>
              </w:rPr>
              <w:t xml:space="preserve"> </w:t>
            </w:r>
            <w:r>
              <w:rPr>
                <w:rFonts w:ascii="宋体" w:hAnsi="宋体" w:eastAsia="宋体" w:cs="宋体"/>
                <w:b w:val="0"/>
                <w:bCs w:val="0"/>
                <w:i w:val="0"/>
                <w:iCs w:val="0"/>
                <w:smallCaps w:val="0"/>
                <w:color w:val="000000"/>
                <w:kern w:val="0"/>
                <w:sz w:val="24"/>
                <w:szCs w:val="24"/>
              </w:rPr>
              <w:t>（境）费</w:t>
            </w:r>
          </w:p>
        </w:tc>
        <w:tc>
          <w:tcPr>
            <w:tcW w:w="19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公务用车购置及运行维护费</w:t>
            </w:r>
          </w:p>
        </w:tc>
        <w:tc>
          <w:tcPr>
            <w:tcW w:w="58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公务接待费</w:t>
            </w:r>
          </w:p>
        </w:tc>
        <w:tc>
          <w:tcPr>
            <w:tcW w:w="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合计</w:t>
            </w:r>
          </w:p>
        </w:tc>
        <w:tc>
          <w:tcPr>
            <w:tcW w:w="120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因公出国</w:t>
            </w:r>
            <w:r>
              <w:rPr>
                <w:rFonts w:ascii="Times New Roman" w:hAnsi="Times New Roman" w:eastAsia="Times New Roman" w:cs="Times New Roman"/>
                <w:b w:val="0"/>
                <w:bCs w:val="0"/>
                <w:i w:val="0"/>
                <w:iCs w:val="0"/>
                <w:smallCaps w:val="0"/>
                <w:color w:val="000000"/>
                <w:kern w:val="0"/>
                <w:sz w:val="24"/>
                <w:szCs w:val="24"/>
              </w:rPr>
              <w:t xml:space="preserve"> </w:t>
            </w:r>
            <w:r>
              <w:rPr>
                <w:rFonts w:ascii="宋体" w:hAnsi="宋体" w:eastAsia="宋体" w:cs="宋体"/>
                <w:b w:val="0"/>
                <w:bCs w:val="0"/>
                <w:i w:val="0"/>
                <w:iCs w:val="0"/>
                <w:smallCaps w:val="0"/>
                <w:color w:val="000000"/>
                <w:kern w:val="0"/>
                <w:sz w:val="24"/>
                <w:szCs w:val="24"/>
              </w:rPr>
              <w:t>（境）费</w:t>
            </w:r>
          </w:p>
        </w:tc>
        <w:tc>
          <w:tcPr>
            <w:tcW w:w="193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公务用车购置及运行维护费</w:t>
            </w:r>
          </w:p>
        </w:tc>
        <w:tc>
          <w:tcPr>
            <w:tcW w:w="10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公务接待费</w:t>
            </w:r>
          </w:p>
        </w:tc>
      </w:tr>
      <w:tr>
        <w:tblPrEx>
          <w:tblLayout w:type="fixed"/>
          <w:tblCellMar>
            <w:top w:w="15" w:type="dxa"/>
            <w:left w:w="15" w:type="dxa"/>
            <w:bottom w:w="15" w:type="dxa"/>
            <w:right w:w="15" w:type="dxa"/>
          </w:tblCellMar>
        </w:tblPrEx>
        <w:trPr>
          <w:tblHeader/>
        </w:trPr>
        <w:tc>
          <w:tcPr>
            <w:tcW w:w="38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3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小计</w:t>
            </w:r>
            <w:r>
              <w:rPr>
                <w:rFonts w:ascii="Times New Roman" w:hAnsi="Times New Roman" w:eastAsia="Times New Roman" w:cs="Times New Roman"/>
                <w:b w:val="0"/>
                <w:bCs w:val="0"/>
                <w:i w:val="0"/>
                <w:iCs w:val="0"/>
                <w:smallCaps w:val="0"/>
                <w:color w:val="000000"/>
                <w:kern w:val="0"/>
                <w:sz w:val="24"/>
                <w:szCs w:val="24"/>
              </w:rPr>
              <w:t xml:space="preserve"> </w:t>
            </w:r>
          </w:p>
        </w:tc>
        <w:tc>
          <w:tcPr>
            <w:tcW w:w="7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公务用车购置费</w:t>
            </w:r>
          </w:p>
        </w:tc>
        <w:tc>
          <w:tcPr>
            <w:tcW w:w="84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公务用车运行维护费</w:t>
            </w: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38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小计</w:t>
            </w:r>
            <w:r>
              <w:rPr>
                <w:rFonts w:ascii="Times New Roman" w:hAnsi="Times New Roman" w:eastAsia="Times New Roman" w:cs="Times New Roman"/>
                <w:b w:val="0"/>
                <w:bCs w:val="0"/>
                <w:i w:val="0"/>
                <w:iCs w:val="0"/>
                <w:smallCaps w:val="0"/>
                <w:color w:val="000000"/>
                <w:kern w:val="0"/>
                <w:sz w:val="24"/>
                <w:szCs w:val="24"/>
              </w:rPr>
              <w:t xml:space="preserve"> </w:t>
            </w:r>
          </w:p>
        </w:tc>
        <w:tc>
          <w:tcPr>
            <w:tcW w:w="7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公务用车购置费</w:t>
            </w:r>
          </w:p>
        </w:tc>
        <w:tc>
          <w:tcPr>
            <w:tcW w:w="84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公务用车运行维护费</w:t>
            </w:r>
          </w:p>
        </w:tc>
        <w:tc>
          <w:tcPr>
            <w:tcW w:w="10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blHeader/>
        </w:trPr>
        <w:tc>
          <w:tcPr>
            <w:tcW w:w="38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3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7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4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38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7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84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c>
          <w:tcPr>
            <w:tcW w:w="10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c>
          <w:tcPr>
            <w:tcW w:w="3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2</w:t>
            </w:r>
          </w:p>
        </w:tc>
        <w:tc>
          <w:tcPr>
            <w:tcW w:w="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3</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4</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5</w:t>
            </w:r>
          </w:p>
        </w:tc>
        <w:tc>
          <w:tcPr>
            <w:tcW w:w="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6</w:t>
            </w:r>
          </w:p>
        </w:tc>
        <w:tc>
          <w:tcPr>
            <w:tcW w:w="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7</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8</w:t>
            </w:r>
          </w:p>
        </w:tc>
        <w:tc>
          <w:tcPr>
            <w:tcW w:w="3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9</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10</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11</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color w:val="000000"/>
                <w:kern w:val="0"/>
                <w:sz w:val="24"/>
                <w:szCs w:val="24"/>
              </w:rPr>
              <w:t>12</w:t>
            </w:r>
          </w:p>
        </w:tc>
      </w:tr>
      <w:tr>
        <w:tblPrEx>
          <w:tblLayout w:type="fixed"/>
          <w:tblCellMar>
            <w:top w:w="15" w:type="dxa"/>
            <w:left w:w="15" w:type="dxa"/>
            <w:bottom w:w="15" w:type="dxa"/>
            <w:right w:w="15" w:type="dxa"/>
          </w:tblCellMar>
        </w:tblPrEx>
        <w:tc>
          <w:tcPr>
            <w:tcW w:w="3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bookmarkStart w:id="126" w:name="_GoBack" w:colFirst="1" w:colLast="11"/>
            <w:r>
              <w:rPr>
                <w:rFonts w:hint="eastAsia" w:eastAsia="宋体" w:cs="Times New Roman"/>
                <w:b w:val="0"/>
                <w:bCs w:val="0"/>
                <w:i w:val="0"/>
                <w:iCs w:val="0"/>
                <w:smallCaps w:val="0"/>
                <w:color w:val="000000"/>
                <w:kern w:val="0"/>
                <w:sz w:val="24"/>
                <w:szCs w:val="24"/>
                <w:lang w:val="en-US" w:eastAsia="zh-CN"/>
              </w:rPr>
              <w:t>0</w:t>
            </w:r>
            <w:r>
              <w:rPr>
                <w:rFonts w:ascii="Times New Roman" w:hAnsi="Times New Roman" w:eastAsia="Times New Roman" w:cs="Times New Roman"/>
                <w:b w:val="0"/>
                <w:bCs w:val="0"/>
                <w:i w:val="0"/>
                <w:iCs w:val="0"/>
                <w:smallCaps w:val="0"/>
                <w:color w:val="000000"/>
                <w:kern w:val="0"/>
                <w:sz w:val="24"/>
                <w:szCs w:val="24"/>
              </w:rPr>
              <w:t> </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3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4"/>
                <w:szCs w:val="24"/>
              </w:rPr>
            </w:pPr>
            <w:r>
              <w:rPr>
                <w:rFonts w:hint="eastAsia" w:eastAsia="宋体" w:cs="Times New Roman"/>
                <w:b w:val="0"/>
                <w:bCs w:val="0"/>
                <w:i w:val="0"/>
                <w:iCs w:val="0"/>
                <w:smallCaps w:val="0"/>
                <w:color w:val="000000"/>
                <w:kern w:val="0"/>
                <w:sz w:val="24"/>
                <w:szCs w:val="24"/>
                <w:lang w:val="en-US" w:eastAsia="zh-CN"/>
              </w:rPr>
              <w:t>0</w:t>
            </w:r>
          </w:p>
        </w:tc>
      </w:tr>
      <w:bookmarkEnd w:id="126"/>
      <w:tr>
        <w:tblPrEx>
          <w:tblLayout w:type="fixed"/>
          <w:tblCellMar>
            <w:top w:w="15" w:type="dxa"/>
            <w:left w:w="15" w:type="dxa"/>
            <w:bottom w:w="15" w:type="dxa"/>
            <w:right w:w="15" w:type="dxa"/>
          </w:tblCellMar>
        </w:tblPrEx>
        <w:tc>
          <w:tcPr>
            <w:tcW w:w="908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 w:val="24"/>
                <w:szCs w:val="24"/>
              </w:rPr>
              <w:t>注：本表反映部门本年度财政拨款</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三公</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经费支出预决算情况。其中，预算数为</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三公</w:t>
            </w:r>
            <w:r>
              <w:rPr>
                <w:rFonts w:ascii="Times New Roman" w:hAnsi="Times New Roman" w:eastAsia="Times New Roman" w:cs="Times New Roman"/>
                <w:b w:val="0"/>
                <w:bCs w:val="0"/>
                <w:i w:val="0"/>
                <w:iCs w:val="0"/>
                <w:smallCaps w:val="0"/>
                <w:color w:val="000000"/>
                <w:kern w:val="0"/>
                <w:sz w:val="24"/>
                <w:szCs w:val="24"/>
              </w:rPr>
              <w:t>”</w:t>
            </w:r>
            <w:r>
              <w:rPr>
                <w:rFonts w:ascii="宋体" w:hAnsi="宋体" w:eastAsia="宋体" w:cs="宋体"/>
                <w:b w:val="0"/>
                <w:bCs w:val="0"/>
                <w:i w:val="0"/>
                <w:iCs w:val="0"/>
                <w:smallCaps w:val="0"/>
                <w:color w:val="000000"/>
                <w:kern w:val="0"/>
                <w:sz w:val="24"/>
                <w:szCs w:val="24"/>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rPr>
          <w:rFonts w:ascii="宋体" w:hAnsi="宋体" w:eastAsia="宋体" w:cs="宋体"/>
          <w:b w:val="0"/>
          <w:bCs w:val="0"/>
          <w:i w:val="0"/>
          <w:iCs w:val="0"/>
          <w:smallCaps w:val="0"/>
          <w:color w:val="000000"/>
          <w:kern w:val="0"/>
          <w:sz w:val="27"/>
          <w:szCs w:val="27"/>
        </w:rPr>
        <w:sectPr>
          <w:footerReference r:id="rId11" w:type="default"/>
          <w:pgSz w:w="11906" w:h="16383"/>
          <w:pgMar w:top="720" w:right="1440" w:bottom="720" w:left="1440" w:header="720" w:footer="720" w:gutter="0"/>
          <w:cols w:space="720" w:num="1"/>
        </w:sectPr>
      </w:pPr>
      <w:r>
        <w:rPr>
          <w:rFonts w:ascii="宋体" w:hAnsi="宋体" w:cs="宋体"/>
          <w:spacing w:val="0"/>
          <w:kern w:val="0"/>
          <w:sz w:val="32"/>
          <w:szCs w:val="32"/>
        </w:rPr>
        <w:t> </w:t>
      </w:r>
      <w:r>
        <w:rPr>
          <w:rFonts w:hint="eastAsia" w:ascii="仿宋" w:hAnsi="仿宋" w:eastAsia="仿宋" w:cs="仿宋"/>
          <w:spacing w:val="0"/>
          <w:kern w:val="0"/>
          <w:sz w:val="32"/>
          <w:szCs w:val="32"/>
        </w:rPr>
        <w:t>本单位2024年度没有使用</w:t>
      </w:r>
      <w:r>
        <w:rPr>
          <w:rFonts w:ascii="仿宋" w:hAnsi="仿宋" w:eastAsia="仿宋" w:cs="仿宋"/>
          <w:spacing w:val="0"/>
          <w:kern w:val="0"/>
          <w:sz w:val="32"/>
          <w:szCs w:val="32"/>
        </w:rPr>
        <w:t>一般公共预算财政拨款“三公”经费</w:t>
      </w:r>
      <w:r>
        <w:rPr>
          <w:rFonts w:hint="eastAsia" w:ascii="仿宋" w:hAnsi="仿宋" w:eastAsia="仿宋" w:cs="仿宋"/>
          <w:spacing w:val="0"/>
          <w:kern w:val="0"/>
          <w:sz w:val="32"/>
          <w:szCs w:val="32"/>
        </w:rPr>
        <w:t>安排的支出。</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pStyle w:val="5"/>
        <w:keepNext w:val="0"/>
        <w:keepLines w:val="0"/>
        <w:numPr>
          <w:ilvl w:val="0"/>
          <w:numId w:val="2"/>
        </w:numPr>
        <w:spacing w:before="100" w:after="100" w:line="240" w:lineRule="auto"/>
        <w:ind w:left="0" w:right="0" w:firstLine="0" w:firstLineChars="0"/>
        <w:rPr>
          <w:rFonts w:ascii="黑体" w:hAnsi="黑体" w:eastAsia="黑体" w:cs="黑体"/>
          <w:b/>
          <w:spacing w:val="0"/>
        </w:rPr>
      </w:pPr>
      <w:bookmarkStart w:id="57" w:name="_Toc256000045"/>
      <w:bookmarkStart w:id="58" w:name="_Toc256000014"/>
      <w:bookmarkStart w:id="59" w:name="_Toc256000107"/>
      <w:bookmarkStart w:id="60" w:name="_Toc256000076"/>
      <w:r>
        <w:rPr>
          <w:rFonts w:ascii="黑体" w:hAnsi="黑体" w:eastAsia="黑体" w:cs="黑体"/>
          <w:b/>
          <w:spacing w:val="0"/>
        </w:rPr>
        <w:t>政府性基金预算财政拨款收入支出决算表</w:t>
      </w:r>
      <w:bookmarkEnd w:id="57"/>
      <w:bookmarkEnd w:id="58"/>
      <w:bookmarkEnd w:id="59"/>
      <w:bookmarkEnd w:id="60"/>
    </w:p>
    <w:p>
      <w:pPr>
        <w:pStyle w:val="4"/>
        <w:numPr>
          <w:ilvl w:val="0"/>
          <w:numId w:val="0"/>
        </w:numPr>
      </w:pPr>
    </w:p>
    <w:p/>
    <w:tbl>
      <w:tblPr>
        <w:tblStyle w:val="24"/>
        <w:tblW w:w="9086" w:type="dxa"/>
        <w:tblInd w:w="0" w:type="dxa"/>
        <w:tblLayout w:type="fixed"/>
        <w:tblCellMar>
          <w:top w:w="15" w:type="dxa"/>
          <w:left w:w="15" w:type="dxa"/>
          <w:bottom w:w="15" w:type="dxa"/>
          <w:right w:w="15" w:type="dxa"/>
        </w:tblCellMar>
      </w:tblPr>
      <w:tblGrid>
        <w:gridCol w:w="1849"/>
        <w:gridCol w:w="819"/>
        <w:gridCol w:w="1334"/>
        <w:gridCol w:w="819"/>
        <w:gridCol w:w="1046"/>
        <w:gridCol w:w="819"/>
        <w:gridCol w:w="819"/>
        <w:gridCol w:w="1581"/>
      </w:tblGrid>
      <w:tr>
        <w:tblPrEx>
          <w:tblLayout w:type="fixed"/>
          <w:tblCellMar>
            <w:top w:w="15" w:type="dxa"/>
            <w:left w:w="15" w:type="dxa"/>
            <w:bottom w:w="15" w:type="dxa"/>
            <w:right w:w="15" w:type="dxa"/>
          </w:tblCellMar>
        </w:tblPrEx>
        <w:trPr>
          <w:tblHeader/>
        </w:trPr>
        <w:tc>
          <w:tcPr>
            <w:tcW w:w="908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政府性基金预算财政拨款收入支出决算表</w:t>
            </w:r>
          </w:p>
        </w:tc>
      </w:tr>
      <w:tr>
        <w:tblPrEx>
          <w:tblLayout w:type="fixed"/>
          <w:tblCellMar>
            <w:top w:w="15" w:type="dxa"/>
            <w:left w:w="15" w:type="dxa"/>
            <w:bottom w:w="15" w:type="dxa"/>
            <w:right w:w="15" w:type="dxa"/>
          </w:tblCellMar>
        </w:tblPrEx>
        <w:trPr>
          <w:tblHeader/>
        </w:trPr>
        <w:tc>
          <w:tcPr>
            <w:tcW w:w="184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482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单位：厦门市金尚中学</w:t>
            </w:r>
          </w:p>
        </w:tc>
        <w:tc>
          <w:tcPr>
            <w:tcW w:w="10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6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3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年初结转和结余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本年收入</w:t>
            </w:r>
          </w:p>
        </w:tc>
        <w:tc>
          <w:tcPr>
            <w:tcW w:w="268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w:t>
            </w:r>
          </w:p>
        </w:tc>
        <w:tc>
          <w:tcPr>
            <w:tcW w:w="158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年末结转和结余</w:t>
            </w:r>
          </w:p>
        </w:tc>
      </w:tr>
      <w:tr>
        <w:tblPrEx>
          <w:tblLayout w:type="fixed"/>
          <w:tblCellMar>
            <w:top w:w="15" w:type="dxa"/>
            <w:left w:w="15" w:type="dxa"/>
            <w:bottom w:w="15" w:type="dxa"/>
            <w:right w:w="15" w:type="dxa"/>
          </w:tblCellMar>
        </w:tblPrEx>
        <w:trPr>
          <w:tblHeader/>
        </w:trPr>
        <w:tc>
          <w:tcPr>
            <w:tcW w:w="184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支出功能分类科目编码</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3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基本支出</w:t>
            </w:r>
            <w:r>
              <w:rPr>
                <w:rFonts w:ascii="Times New Roman" w:hAnsi="Times New Roman" w:eastAsia="Times New Roman" w:cs="Times New Roman"/>
                <w:b w:val="0"/>
                <w:bCs w:val="0"/>
                <w:i w:val="0"/>
                <w:iCs w:val="0"/>
                <w:smallCaps w:val="0"/>
                <w:color w:val="000000"/>
                <w:kern w:val="0"/>
                <w:sz w:val="26"/>
                <w:szCs w:val="26"/>
              </w:rPr>
              <w:t xml:space="preserve"> </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项目支出</w:t>
            </w:r>
          </w:p>
        </w:tc>
        <w:tc>
          <w:tcPr>
            <w:tcW w:w="1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18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4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26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3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1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r>
      <w:tr>
        <w:tblPrEx>
          <w:tblLayout w:type="fixed"/>
          <w:tblCellMar>
            <w:top w:w="15" w:type="dxa"/>
            <w:left w:w="15" w:type="dxa"/>
            <w:bottom w:w="15" w:type="dxa"/>
            <w:right w:w="15" w:type="dxa"/>
          </w:tblCellMar>
        </w:tblPrEx>
        <w:tc>
          <w:tcPr>
            <w:tcW w:w="26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3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8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908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sectPr>
          <w:footerReference r:id="rId12" w:type="default"/>
          <w:pgSz w:w="11906" w:h="16383"/>
          <w:pgMar w:top="720" w:right="1440" w:bottom="720" w:left="1440" w:header="720" w:footer="720" w:gutter="0"/>
          <w:cols w:space="720" w:num="1"/>
        </w:sectPr>
      </w:pPr>
      <w:r>
        <w:rPr>
          <w:rFonts w:ascii="Times New Roman" w:hAnsi="Times New Roman" w:eastAsia="Times New Roman" w:cs="Times New Roman"/>
          <w:spacing w:val="0"/>
          <w:kern w:val="0"/>
          <w:sz w:val="27"/>
          <w:szCs w:val="27"/>
        </w:rPr>
        <w:t> </w:t>
      </w:r>
      <w:r>
        <w:rPr>
          <w:rFonts w:hint="eastAsia" w:cs="Times New Roman"/>
          <w:spacing w:val="0"/>
          <w:kern w:val="0"/>
          <w:sz w:val="27"/>
          <w:szCs w:val="27"/>
          <w:lang w:val="en-US" w:eastAsia="zh-CN"/>
        </w:rPr>
        <w:t xml:space="preserve">    </w:t>
      </w:r>
      <w:r>
        <w:rPr>
          <w:rFonts w:ascii="仿宋" w:hAnsi="仿宋" w:eastAsia="仿宋" w:cs="仿宋"/>
          <w:spacing w:val="0"/>
          <w:kern w:val="0"/>
          <w:sz w:val="32"/>
          <w:szCs w:val="32"/>
        </w:rPr>
        <w:t>本单位2024年度没有使用政府性基金预算拨款安排</w:t>
      </w:r>
      <w:r>
        <w:rPr>
          <w:rFonts w:ascii="仿宋" w:hAnsi="仿宋" w:eastAsia="仿宋" w:cs="仿宋"/>
          <w:color w:val="auto"/>
          <w:spacing w:val="0"/>
          <w:kern w:val="0"/>
          <w:sz w:val="32"/>
          <w:szCs w:val="32"/>
        </w:rPr>
        <w:t>的</w:t>
      </w:r>
      <w:r>
        <w:rPr>
          <w:rFonts w:hint="eastAsia" w:ascii="仿宋" w:hAnsi="仿宋" w:eastAsia="仿宋" w:cs="仿宋"/>
          <w:color w:val="auto"/>
          <w:spacing w:val="0"/>
          <w:kern w:val="0"/>
          <w:sz w:val="32"/>
          <w:szCs w:val="32"/>
          <w:lang w:eastAsia="zh-CN"/>
        </w:rPr>
        <w:t>收支</w:t>
      </w:r>
      <w:r>
        <w:rPr>
          <w:rFonts w:ascii="仿宋" w:hAnsi="仿宋" w:eastAsia="仿宋" w:cs="仿宋"/>
          <w:spacing w:val="0"/>
          <w:kern w:val="0"/>
          <w:sz w:val="32"/>
          <w:szCs w:val="32"/>
        </w:rPr>
        <w:t>。</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pStyle w:val="5"/>
        <w:keepNext w:val="0"/>
        <w:keepLines w:val="0"/>
        <w:numPr>
          <w:ilvl w:val="0"/>
          <w:numId w:val="3"/>
        </w:numPr>
        <w:spacing w:before="100" w:after="100" w:line="240" w:lineRule="auto"/>
        <w:ind w:left="0" w:right="0" w:firstLine="0" w:firstLineChars="0"/>
        <w:rPr>
          <w:rFonts w:ascii="黑体" w:hAnsi="黑体" w:eastAsia="黑体" w:cs="黑体"/>
          <w:b/>
          <w:spacing w:val="0"/>
        </w:rPr>
      </w:pPr>
      <w:bookmarkStart w:id="61" w:name="_Toc256000015"/>
      <w:bookmarkStart w:id="62" w:name="_Toc256000046"/>
      <w:bookmarkStart w:id="63" w:name="_Toc256000108"/>
      <w:bookmarkStart w:id="64" w:name="_Toc256000077"/>
      <w:r>
        <w:rPr>
          <w:rFonts w:ascii="黑体" w:hAnsi="黑体" w:eastAsia="黑体" w:cs="黑体"/>
          <w:b/>
          <w:spacing w:val="0"/>
        </w:rPr>
        <w:t>国有资本经营预算财政拨款支出决算表</w:t>
      </w:r>
      <w:bookmarkEnd w:id="61"/>
      <w:bookmarkEnd w:id="62"/>
      <w:bookmarkEnd w:id="63"/>
      <w:bookmarkEnd w:id="64"/>
    </w:p>
    <w:p>
      <w:pPr>
        <w:pStyle w:val="4"/>
        <w:numPr>
          <w:ilvl w:val="0"/>
          <w:numId w:val="0"/>
        </w:numPr>
      </w:pPr>
    </w:p>
    <w:p/>
    <w:tbl>
      <w:tblPr>
        <w:tblStyle w:val="24"/>
        <w:tblW w:w="8146" w:type="dxa"/>
        <w:jc w:val="center"/>
        <w:tblInd w:w="460" w:type="dxa"/>
        <w:tblLayout w:type="fixed"/>
        <w:tblCellMar>
          <w:top w:w="15" w:type="dxa"/>
          <w:left w:w="15" w:type="dxa"/>
          <w:bottom w:w="15" w:type="dxa"/>
          <w:right w:w="15" w:type="dxa"/>
        </w:tblCellMar>
      </w:tblPr>
      <w:tblGrid>
        <w:gridCol w:w="1803"/>
        <w:gridCol w:w="1802"/>
        <w:gridCol w:w="1263"/>
        <w:gridCol w:w="1204"/>
        <w:gridCol w:w="2074"/>
      </w:tblGrid>
      <w:tr>
        <w:tblPrEx>
          <w:tblLayout w:type="fixed"/>
          <w:tblCellMar>
            <w:top w:w="15" w:type="dxa"/>
            <w:left w:w="15" w:type="dxa"/>
            <w:bottom w:w="15" w:type="dxa"/>
            <w:right w:w="15" w:type="dxa"/>
          </w:tblCellMar>
        </w:tblPrEx>
        <w:trPr>
          <w:tblHeader/>
          <w:jc w:val="center"/>
        </w:trPr>
        <w:tc>
          <w:tcPr>
            <w:tcW w:w="814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国有资本经营预算财政拨款支出决算表</w:t>
            </w:r>
          </w:p>
        </w:tc>
      </w:tr>
      <w:tr>
        <w:tblPrEx>
          <w:tblLayout w:type="fixed"/>
          <w:tblCellMar>
            <w:top w:w="15" w:type="dxa"/>
            <w:left w:w="15" w:type="dxa"/>
            <w:bottom w:w="15" w:type="dxa"/>
            <w:right w:w="15" w:type="dxa"/>
          </w:tblCellMar>
        </w:tblPrEx>
        <w:trPr>
          <w:tblHeader/>
          <w:jc w:val="center"/>
        </w:trPr>
        <w:tc>
          <w:tcPr>
            <w:tcW w:w="180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8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26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20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0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jc w:val="center"/>
        </w:trPr>
        <w:tc>
          <w:tcPr>
            <w:tcW w:w="360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单位：厦门市金尚中学</w:t>
            </w:r>
          </w:p>
        </w:tc>
        <w:tc>
          <w:tcPr>
            <w:tcW w:w="126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20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0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jc w:val="center"/>
        </w:trPr>
        <w:tc>
          <w:tcPr>
            <w:tcW w:w="360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项目</w:t>
            </w:r>
          </w:p>
        </w:tc>
        <w:tc>
          <w:tcPr>
            <w:tcW w:w="454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本年支出</w:t>
            </w:r>
          </w:p>
        </w:tc>
      </w:tr>
      <w:tr>
        <w:tblPrEx>
          <w:tblLayout w:type="fixed"/>
          <w:tblCellMar>
            <w:top w:w="15" w:type="dxa"/>
            <w:left w:w="15" w:type="dxa"/>
            <w:bottom w:w="15" w:type="dxa"/>
            <w:right w:w="15" w:type="dxa"/>
          </w:tblCellMar>
        </w:tblPrEx>
        <w:trPr>
          <w:tblHeader/>
          <w:jc w:val="center"/>
        </w:trPr>
        <w:tc>
          <w:tcPr>
            <w:tcW w:w="180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科目代码</w:t>
            </w:r>
          </w:p>
        </w:tc>
        <w:tc>
          <w:tcPr>
            <w:tcW w:w="18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科目名称</w:t>
            </w:r>
          </w:p>
        </w:tc>
        <w:tc>
          <w:tcPr>
            <w:tcW w:w="12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合计</w:t>
            </w:r>
          </w:p>
        </w:tc>
        <w:tc>
          <w:tcPr>
            <w:tcW w:w="120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基本支出</w:t>
            </w:r>
          </w:p>
        </w:tc>
        <w:tc>
          <w:tcPr>
            <w:tcW w:w="207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项目支出</w:t>
            </w:r>
          </w:p>
        </w:tc>
      </w:tr>
      <w:tr>
        <w:tblPrEx>
          <w:tblLayout w:type="fixed"/>
          <w:tblCellMar>
            <w:top w:w="15" w:type="dxa"/>
            <w:left w:w="15" w:type="dxa"/>
            <w:bottom w:w="15" w:type="dxa"/>
            <w:right w:w="15" w:type="dxa"/>
          </w:tblCellMar>
        </w:tblPrEx>
        <w:trPr>
          <w:tblHeader/>
          <w:jc w:val="center"/>
        </w:trPr>
        <w:tc>
          <w:tcPr>
            <w:tcW w:w="180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8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2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07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r>
      <w:tr>
        <w:tblPrEx>
          <w:tblLayout w:type="fixed"/>
          <w:tblCellMar>
            <w:top w:w="15" w:type="dxa"/>
            <w:left w:w="15" w:type="dxa"/>
            <w:bottom w:w="15" w:type="dxa"/>
            <w:right w:w="15" w:type="dxa"/>
          </w:tblCellMar>
        </w:tblPrEx>
        <w:trPr>
          <w:tblHeader/>
          <w:jc w:val="center"/>
        </w:trPr>
        <w:tc>
          <w:tcPr>
            <w:tcW w:w="180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8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2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20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07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r>
      <w:tr>
        <w:tblPrEx>
          <w:tblLayout w:type="fixed"/>
          <w:tblCellMar>
            <w:top w:w="15" w:type="dxa"/>
            <w:left w:w="15" w:type="dxa"/>
            <w:bottom w:w="15" w:type="dxa"/>
            <w:right w:w="15" w:type="dxa"/>
          </w:tblCellMar>
        </w:tblPrEx>
        <w:trPr>
          <w:jc w:val="center"/>
        </w:trPr>
        <w:tc>
          <w:tcPr>
            <w:tcW w:w="360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栏次</w:t>
            </w:r>
          </w:p>
        </w:tc>
        <w:tc>
          <w:tcPr>
            <w:tcW w:w="12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w:t>
            </w:r>
          </w:p>
        </w:tc>
        <w:tc>
          <w:tcPr>
            <w:tcW w:w="12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c>
          <w:tcPr>
            <w:tcW w:w="20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3</w:t>
            </w:r>
          </w:p>
        </w:tc>
      </w:tr>
      <w:tr>
        <w:tblPrEx>
          <w:tblLayout w:type="fixed"/>
          <w:tblCellMar>
            <w:top w:w="15" w:type="dxa"/>
            <w:left w:w="15" w:type="dxa"/>
            <w:bottom w:w="15" w:type="dxa"/>
            <w:right w:w="15" w:type="dxa"/>
          </w:tblCellMar>
        </w:tblPrEx>
        <w:trPr>
          <w:jc w:val="center"/>
        </w:trPr>
        <w:tc>
          <w:tcPr>
            <w:tcW w:w="360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合计</w:t>
            </w:r>
          </w:p>
        </w:tc>
        <w:tc>
          <w:tcPr>
            <w:tcW w:w="12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2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0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jc w:val="center"/>
        </w:trPr>
        <w:tc>
          <w:tcPr>
            <w:tcW w:w="18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8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2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2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0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jc w:val="center"/>
        </w:trPr>
        <w:tc>
          <w:tcPr>
            <w:tcW w:w="814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注：本表反映部门本年度国有资本经营预算财政拨款支出情况。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ind w:firstLine="640" w:firstLineChars="200"/>
        <w:rPr>
          <w:rFonts w:ascii="Times New Roman" w:hAnsi="Times New Roman" w:eastAsia="Times New Roman" w:cs="Times New Roman"/>
          <w:kern w:val="0"/>
          <w:sz w:val="24"/>
        </w:rPr>
        <w:sectPr>
          <w:footerReference r:id="rId13" w:type="default"/>
          <w:pgSz w:w="11906" w:h="16383"/>
          <w:pgMar w:top="1800" w:right="1440" w:bottom="1800" w:left="1440" w:header="720" w:footer="720" w:gutter="0"/>
          <w:cols w:space="720" w:num="1"/>
        </w:sectPr>
      </w:pPr>
      <w:r>
        <w:rPr>
          <w:rFonts w:ascii="仿宋" w:hAnsi="仿宋" w:eastAsia="仿宋" w:cs="仿宋"/>
          <w:spacing w:val="0"/>
          <w:kern w:val="0"/>
          <w:sz w:val="32"/>
          <w:szCs w:val="32"/>
        </w:rPr>
        <w:t>本单位2024年度没有使用国有资本经营预算财政拨款安排的支出。</w:t>
      </w: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bookmarkStart w:id="65" w:name="_Toc256000078"/>
      <w:bookmarkStart w:id="66" w:name="_Toc256000016"/>
      <w:bookmarkStart w:id="67" w:name="_Toc256000109"/>
      <w:bookmarkStart w:id="68" w:name="_Toc256000047"/>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4"/>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r>
        <w:rPr>
          <w:rFonts w:ascii="黑体" w:hAnsi="黑体" w:eastAsia="黑体" w:cs="黑体"/>
          <w:b/>
          <w:spacing w:val="0"/>
          <w:sz w:val="56"/>
          <w:szCs w:val="56"/>
        </w:rPr>
        <w:t>第三部分</w:t>
      </w:r>
      <w:bookmarkEnd w:id="65"/>
      <w:bookmarkEnd w:id="66"/>
      <w:bookmarkEnd w:id="67"/>
      <w:bookmarkEnd w:id="68"/>
    </w:p>
    <w:p>
      <w:pPr>
        <w:pStyle w:val="4"/>
      </w:pPr>
    </w:p>
    <w:p>
      <w:pPr>
        <w:pStyle w:val="3"/>
        <w:keepNext w:val="0"/>
        <w:keepLines w:val="0"/>
        <w:spacing w:before="100" w:after="100" w:line="600" w:lineRule="atLeast"/>
        <w:ind w:left="0" w:right="0" w:firstLine="0" w:firstLineChars="0"/>
        <w:jc w:val="center"/>
        <w:rPr>
          <w:rFonts w:ascii="Times New Roman" w:hAnsi="Times New Roman" w:eastAsia="Times New Roman" w:cs="Times New Roman"/>
          <w:b/>
          <w:bCs/>
          <w:kern w:val="0"/>
          <w:sz w:val="36"/>
          <w:szCs w:val="36"/>
        </w:rPr>
      </w:pPr>
      <w:bookmarkStart w:id="69" w:name="_Toc256000110"/>
      <w:bookmarkStart w:id="70" w:name="_Toc256000079"/>
      <w:bookmarkStart w:id="71" w:name="_Toc256000048"/>
      <w:bookmarkStart w:id="72" w:name="_Toc256000017"/>
      <w:r>
        <w:rPr>
          <w:rFonts w:ascii="黑体" w:hAnsi="黑体" w:eastAsia="黑体" w:cs="黑体"/>
          <w:b/>
          <w:spacing w:val="0"/>
          <w:sz w:val="56"/>
          <w:szCs w:val="56"/>
        </w:rPr>
        <w:t>2024年度决算情况说明</w:t>
      </w:r>
      <w:bookmarkEnd w:id="69"/>
      <w:bookmarkEnd w:id="70"/>
      <w:bookmarkEnd w:id="71"/>
      <w:bookmarkEnd w:id="72"/>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pStyle w:val="5"/>
        <w:keepNext w:val="0"/>
        <w:keepLines w:val="0"/>
        <w:spacing w:before="100" w:after="100" w:line="600" w:lineRule="atLeast"/>
        <w:ind w:right="0"/>
        <w:jc w:val="left"/>
        <w:rPr>
          <w:rFonts w:ascii="Times New Roman" w:hAnsi="Times New Roman" w:eastAsia="Times New Roman" w:cs="Times New Roman"/>
          <w:b/>
          <w:bCs/>
          <w:kern w:val="0"/>
          <w:sz w:val="28"/>
          <w:szCs w:val="28"/>
        </w:rPr>
      </w:pPr>
      <w:bookmarkStart w:id="73" w:name="_Toc256000049"/>
      <w:bookmarkStart w:id="74" w:name="_Toc256000080"/>
      <w:bookmarkStart w:id="75" w:name="_Toc256000018"/>
      <w:bookmarkStart w:id="76" w:name="_Toc256000111"/>
      <w:r>
        <w:rPr>
          <w:rFonts w:ascii="黑体" w:hAnsi="黑体" w:eastAsia="黑体" w:cs="黑体"/>
          <w:b/>
          <w:spacing w:val="0"/>
        </w:rPr>
        <w:t>一、收入支出决算总体情况说明</w:t>
      </w:r>
      <w:bookmarkEnd w:id="73"/>
      <w:bookmarkEnd w:id="74"/>
      <w:bookmarkEnd w:id="75"/>
      <w:bookmarkEnd w:id="76"/>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spacing w:before="2" w:line="329" w:lineRule="auto"/>
        <w:ind w:left="39" w:right="102" w:firstLine="656" w:firstLineChars="205"/>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2024年度本单位收入总计5813.65万元，支出总计5813.65万元，与上年决算数相比，各减少596.05万元，各下降9.30%。主要是薪酬政策调整、 零星修缮、采购以及项目经费减少。</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2024年度收入5813.65万元，比上年决算数</w:t>
      </w:r>
      <w:r>
        <w:rPr>
          <w:rFonts w:ascii="仿宋" w:hAnsi="仿宋" w:eastAsia="仿宋" w:cs="仿宋"/>
          <w:kern w:val="0"/>
          <w:sz w:val="32"/>
          <w:szCs w:val="32"/>
        </w:rPr>
        <w:t>减少</w:t>
      </w:r>
      <w:r>
        <w:rPr>
          <w:rFonts w:ascii="仿宋" w:hAnsi="仿宋" w:eastAsia="仿宋" w:cs="仿宋"/>
          <w:spacing w:val="0"/>
          <w:kern w:val="0"/>
          <w:sz w:val="32"/>
          <w:szCs w:val="32"/>
        </w:rPr>
        <w:t>596.05万元，</w:t>
      </w:r>
      <w:r>
        <w:rPr>
          <w:rFonts w:ascii="仿宋" w:hAnsi="仿宋" w:eastAsia="仿宋" w:cs="仿宋"/>
          <w:kern w:val="0"/>
          <w:sz w:val="32"/>
          <w:szCs w:val="32"/>
        </w:rPr>
        <w:t>下降</w:t>
      </w:r>
      <w:r>
        <w:rPr>
          <w:rFonts w:ascii="仿宋" w:hAnsi="仿宋" w:eastAsia="仿宋" w:cs="仿宋"/>
          <w:spacing w:val="0"/>
          <w:kern w:val="0"/>
          <w:sz w:val="32"/>
          <w:szCs w:val="32"/>
        </w:rPr>
        <w:t>9.30%，具体情况如下：</w:t>
      </w:r>
    </w:p>
    <w:p>
      <w:pPr>
        <w:pStyle w:val="30"/>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1.一般公共预算财政拨款收入5813.65万元。</w:t>
      </w:r>
    </w:p>
    <w:p>
      <w:pPr>
        <w:pStyle w:val="30"/>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2.政府性基金预算财政拨款收入0万元。</w:t>
      </w:r>
    </w:p>
    <w:p>
      <w:pPr>
        <w:pStyle w:val="30"/>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2024年度支出5813.65万元，比上年决算数减少596.05万元，下降9.30%，具体情况如下：</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1.基本支出5170.71万元。其中，人员支出4702.72万元，公用支出467.99万元。</w:t>
      </w:r>
    </w:p>
    <w:p>
      <w:pPr>
        <w:pStyle w:val="30"/>
        <w:widowControl/>
        <w:spacing w:before="240" w:after="240"/>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2.项目支出642.94万元。</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5"/>
        <w:keepNext w:val="0"/>
        <w:keepLines w:val="0"/>
        <w:spacing w:before="100" w:after="100" w:line="240" w:lineRule="auto"/>
        <w:ind w:left="0" w:right="0" w:firstLine="480" w:firstLineChars="0"/>
        <w:rPr>
          <w:rFonts w:ascii="Times New Roman" w:hAnsi="Times New Roman" w:eastAsia="Times New Roman" w:cs="Times New Roman"/>
          <w:b/>
          <w:bCs/>
          <w:kern w:val="0"/>
          <w:sz w:val="28"/>
          <w:szCs w:val="28"/>
        </w:rPr>
      </w:pPr>
      <w:bookmarkStart w:id="77" w:name="_Toc256000081"/>
      <w:bookmarkStart w:id="78" w:name="_Toc256000019"/>
      <w:bookmarkStart w:id="79" w:name="_Toc256000112"/>
      <w:bookmarkStart w:id="80" w:name="_Toc256000050"/>
      <w:r>
        <w:rPr>
          <w:rFonts w:ascii="黑体" w:hAnsi="黑体" w:eastAsia="黑体" w:cs="黑体"/>
          <w:b/>
          <w:spacing w:val="0"/>
        </w:rPr>
        <w:t>二、财政拨款收入支出决算总体情况说明</w:t>
      </w:r>
      <w:bookmarkEnd w:id="77"/>
      <w:bookmarkEnd w:id="78"/>
      <w:bookmarkEnd w:id="79"/>
      <w:bookmarkEnd w:id="80"/>
    </w:p>
    <w:p>
      <w:pPr>
        <w:pStyle w:val="30"/>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 xml:space="preserve">2024年度财政拨款收入总计5813.65万元，支出总计5813.65万元，与上年决算数相比，各减少596.05万元，下降9.30%，主要是：薪酬政策调整、 </w:t>
      </w:r>
      <w:bookmarkStart w:id="81" w:name="bookmark19"/>
      <w:bookmarkEnd w:id="81"/>
      <w:r>
        <w:rPr>
          <w:rFonts w:ascii="仿宋" w:hAnsi="仿宋" w:eastAsia="仿宋" w:cs="仿宋"/>
          <w:spacing w:val="0"/>
          <w:kern w:val="0"/>
          <w:sz w:val="32"/>
          <w:szCs w:val="32"/>
        </w:rPr>
        <w:t>零星修缮、采购以及项目经费减少。</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2" w:name="_Toc256000082"/>
      <w:bookmarkStart w:id="83" w:name="_Toc256000020"/>
      <w:bookmarkStart w:id="84" w:name="_Toc256000113"/>
      <w:bookmarkStart w:id="85" w:name="_Toc256000051"/>
      <w:r>
        <w:rPr>
          <w:rFonts w:ascii="黑体" w:hAnsi="黑体" w:eastAsia="黑体" w:cs="黑体"/>
          <w:b/>
          <w:spacing w:val="0"/>
        </w:rPr>
        <w:t>三、一般公共预算拨款支出决算情况说明</w:t>
      </w:r>
      <w:bookmarkEnd w:id="82"/>
      <w:bookmarkEnd w:id="83"/>
      <w:bookmarkEnd w:id="84"/>
      <w:bookmarkEnd w:id="85"/>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2024年一般公共预算支出5813.65万元，比上年决算数减少596.05万元，下降9.30%，具体情况如下(按</w:t>
      </w:r>
      <w:r>
        <w:rPr>
          <w:rStyle w:val="32"/>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30"/>
        <w:widowControl/>
        <w:spacing w:before="100" w:after="100" w:line="600" w:lineRule="atLeast"/>
        <w:ind w:left="0" w:right="0" w:firstLine="0"/>
        <w:jc w:val="left"/>
        <w:rPr>
          <w:rFonts w:ascii="仿宋" w:hAnsi="仿宋" w:eastAsia="仿宋" w:cs="仿宋"/>
          <w:spacing w:val="5"/>
          <w:sz w:val="35"/>
          <w:szCs w:val="35"/>
        </w:rPr>
      </w:pPr>
      <w:r>
        <w:rPr>
          <w:rFonts w:ascii="仿宋" w:hAnsi="仿宋" w:eastAsia="仿宋" w:cs="仿宋"/>
          <w:spacing w:val="0"/>
          <w:kern w:val="0"/>
          <w:sz w:val="32"/>
          <w:szCs w:val="32"/>
        </w:rPr>
        <w:t>（一）2012902 一般行政管理事务1.43万元，较上年决算数减少0.07万元，下降4.41%。主要原因是</w:t>
      </w:r>
      <w:r>
        <w:rPr>
          <w:rFonts w:hint="eastAsia" w:ascii="仿宋" w:hAnsi="仿宋" w:eastAsia="仿宋" w:cs="仿宋"/>
          <w:spacing w:val="0"/>
          <w:kern w:val="0"/>
          <w:sz w:val="32"/>
          <w:szCs w:val="32"/>
          <w:lang w:eastAsia="zh-CN"/>
        </w:rPr>
        <w:t>学生人数减少</w:t>
      </w:r>
      <w:r>
        <w:rPr>
          <w:rFonts w:ascii="仿宋" w:hAnsi="仿宋" w:eastAsia="仿宋" w:cs="仿宋"/>
          <w:spacing w:val="0"/>
          <w:kern w:val="0"/>
          <w:sz w:val="32"/>
          <w:szCs w:val="32"/>
        </w:rPr>
        <w:t>。</w:t>
      </w:r>
    </w:p>
    <w:p>
      <w:pPr>
        <w:pStyle w:val="30"/>
        <w:widowControl/>
        <w:spacing w:before="100" w:after="100" w:line="600" w:lineRule="atLeast"/>
        <w:ind w:left="0" w:right="0" w:firstLine="0"/>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（二）2050199 其他教育管理事务支出3.53万元，较上年决算数增加1.61万元，增长84.14%。主要原因是</w:t>
      </w:r>
      <w:r>
        <w:rPr>
          <w:rFonts w:hint="eastAsia" w:ascii="仿宋" w:hAnsi="仿宋" w:eastAsia="仿宋" w:cs="仿宋"/>
          <w:spacing w:val="0"/>
          <w:kern w:val="0"/>
          <w:sz w:val="32"/>
          <w:szCs w:val="32"/>
          <w:lang w:eastAsia="zh-CN"/>
        </w:rPr>
        <w:t>市级名师工作室增加。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（三）2050203 初中教育4,104.43万元，较上年决算数减少180.19万元，下降4.21%。主要原因是师生人数减少</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0"/>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（四）2050299 其他普通教育支出300.42万元，较上年决算数增加24.17万元，增长8.75%。主要原因是202</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 xml:space="preserve"> 年度下拨专项资金较上年度的拨款金额数增加。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（五）2050999 其他教育费附加安排的支出446.71万元，较上年决算数减少486.55万元，下降52.13%。主要原因是</w:t>
      </w:r>
      <w:r>
        <w:rPr>
          <w:rFonts w:hint="eastAsia" w:ascii="仿宋" w:hAnsi="仿宋" w:eastAsia="仿宋" w:cs="仿宋"/>
          <w:spacing w:val="0"/>
          <w:kern w:val="0"/>
          <w:sz w:val="32"/>
          <w:szCs w:val="32"/>
          <w:lang w:eastAsia="zh-CN"/>
        </w:rPr>
        <w:t>减少设备采购。</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（六）2059999 其他教育支出1.32万元，较上年决算数减少10.05万元，下降88.39%。主要原因是</w:t>
      </w:r>
      <w:r>
        <w:rPr>
          <w:rFonts w:hint="eastAsia" w:ascii="仿宋" w:hAnsi="仿宋" w:eastAsia="仿宋" w:cs="仿宋"/>
          <w:spacing w:val="0"/>
          <w:kern w:val="0"/>
          <w:sz w:val="32"/>
          <w:szCs w:val="32"/>
          <w:lang w:eastAsia="zh-CN"/>
        </w:rPr>
        <w:t>学生人数减少。</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（七）2080502 事业单位离退休163.82万元，较上年决算数增加57.83万元，增长54.57%。主要原因是</w:t>
      </w:r>
      <w:r>
        <w:rPr>
          <w:rFonts w:hint="eastAsia" w:ascii="仿宋" w:hAnsi="仿宋" w:eastAsia="仿宋" w:cs="仿宋"/>
          <w:spacing w:val="0"/>
          <w:kern w:val="0"/>
          <w:sz w:val="32"/>
          <w:szCs w:val="32"/>
          <w:lang w:eastAsia="zh-CN"/>
        </w:rPr>
        <w:t>退休人员增加。</w:t>
      </w:r>
    </w:p>
    <w:p>
      <w:pPr>
        <w:pStyle w:val="30"/>
        <w:widowControl/>
        <w:spacing w:before="100" w:after="100" w:line="600" w:lineRule="atLeast"/>
        <w:ind w:left="0" w:right="0" w:firstLine="0"/>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（八）2080505 机关事业单位基本养老保险缴费支出333.75万元，较上年决算数减少14.17万元，下降4.07%。主要原因是薪酬政策调整</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（九）2080506 机关事业单位职业年金缴费支出221.55万元，较上年决算数减少0.31万元，下降0.14%。主要原因是薪酬政策调整</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（十）2101102 事业单位医疗142.89万元，较上年决算数减少6.05万元，下降4.06%。主要原因是薪酬政策调整</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（十一）2101199 其他行政事业单位医疗支出73.01万元，较上年决算数减少3.09万元，下降4.06%。主要原因是薪酬政策调整</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0"/>
        <w:jc w:val="left"/>
        <w:rPr>
          <w:rFonts w:ascii="黑体" w:hAnsi="黑体" w:eastAsia="黑体" w:cs="黑体"/>
          <w:b/>
          <w:spacing w:val="0"/>
        </w:rPr>
      </w:pPr>
      <w:r>
        <w:rPr>
          <w:rFonts w:ascii="仿宋" w:hAnsi="仿宋" w:eastAsia="仿宋" w:cs="仿宋"/>
          <w:spacing w:val="0"/>
          <w:kern w:val="0"/>
          <w:sz w:val="32"/>
          <w:szCs w:val="32"/>
        </w:rPr>
        <w:t>（十二）2210203 购房补贴20.80万元，较上年决算数增加20.80万元，增长100%。主要原因是</w:t>
      </w:r>
      <w:r>
        <w:rPr>
          <w:rFonts w:hint="eastAsia" w:ascii="仿宋" w:hAnsi="仿宋" w:eastAsia="仿宋" w:cs="仿宋"/>
          <w:color w:val="auto"/>
          <w:spacing w:val="0"/>
          <w:kern w:val="0"/>
          <w:sz w:val="32"/>
          <w:szCs w:val="32"/>
          <w:lang w:eastAsia="zh-CN"/>
        </w:rPr>
        <w:t>新增教职工住房货币化补贴支出。</w:t>
      </w:r>
      <w:bookmarkStart w:id="86" w:name="_Toc256000083"/>
      <w:bookmarkStart w:id="87" w:name="_Toc256000021"/>
      <w:bookmarkStart w:id="88" w:name="_Toc256000114"/>
      <w:bookmarkStart w:id="89" w:name="_Toc256000052"/>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四、政府性基金预算财政拨款支出决算情况说明</w:t>
      </w:r>
      <w:bookmarkEnd w:id="86"/>
      <w:bookmarkEnd w:id="87"/>
      <w:bookmarkEnd w:id="88"/>
      <w:bookmarkEnd w:id="89"/>
    </w:p>
    <w:p>
      <w:pPr>
        <w:pStyle w:val="30"/>
        <w:widowControl/>
        <w:spacing w:before="100" w:after="100" w:line="600" w:lineRule="atLeast"/>
        <w:ind w:left="0" w:right="0" w:firstLine="640" w:firstLineChars="20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2024年度政府性基金支出0万元，比上年决算数增加0万元，增长0%。</w:t>
      </w:r>
    </w:p>
    <w:p>
      <w:pPr>
        <w:pStyle w:val="30"/>
        <w:widowControl/>
        <w:spacing w:before="100" w:after="100" w:line="600" w:lineRule="atLeast"/>
        <w:ind w:left="0" w:right="0" w:firstLine="640" w:firstLineChars="200"/>
        <w:jc w:val="left"/>
        <w:rPr>
          <w:rFonts w:ascii="仿宋" w:hAnsi="仿宋" w:eastAsia="仿宋" w:cs="仿宋"/>
          <w:spacing w:val="0"/>
          <w:kern w:val="0"/>
          <w:sz w:val="32"/>
          <w:szCs w:val="32"/>
        </w:rPr>
      </w:pPr>
      <w:r>
        <w:rPr>
          <w:rFonts w:ascii="仿宋" w:hAnsi="仿宋" w:eastAsia="仿宋" w:cs="仿宋"/>
          <w:spacing w:val="0"/>
          <w:kern w:val="0"/>
          <w:sz w:val="32"/>
          <w:szCs w:val="32"/>
        </w:rPr>
        <w:t>本单位2024年度没有使用政府性基金预算拨款安排的支出。</w:t>
      </w:r>
    </w:p>
    <w:p>
      <w:pPr>
        <w:pStyle w:val="5"/>
        <w:keepNext w:val="0"/>
        <w:keepLines w:val="0"/>
        <w:spacing w:before="100" w:after="100" w:line="600" w:lineRule="atLeast"/>
        <w:ind w:left="0" w:leftChars="0" w:right="0" w:firstLine="643" w:firstLineChars="200"/>
        <w:rPr>
          <w:rFonts w:ascii="黑体" w:hAnsi="黑体" w:eastAsia="黑体" w:cs="黑体"/>
          <w:b/>
          <w:spacing w:val="0"/>
        </w:rPr>
      </w:pPr>
      <w:bookmarkStart w:id="90" w:name="_Toc256000022"/>
      <w:bookmarkStart w:id="91" w:name="_Toc256000084"/>
      <w:bookmarkStart w:id="92" w:name="_Toc256000115"/>
      <w:bookmarkStart w:id="93" w:name="_Toc256000053"/>
    </w:p>
    <w:p>
      <w:pPr>
        <w:pStyle w:val="5"/>
        <w:keepNext w:val="0"/>
        <w:keepLines w:val="0"/>
        <w:spacing w:before="100" w:after="100" w:line="600" w:lineRule="atLeast"/>
        <w:ind w:left="0" w:leftChars="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五、国有资本经营预算财政拨款支出决算情况说明</w:t>
      </w:r>
      <w:bookmarkEnd w:id="90"/>
      <w:bookmarkEnd w:id="91"/>
      <w:bookmarkEnd w:id="92"/>
      <w:bookmarkEnd w:id="93"/>
    </w:p>
    <w:p>
      <w:pPr>
        <w:pStyle w:val="30"/>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2024年度国有资本经营预算支出0万元，比上年决算数增加0万元，增长0%。</w:t>
      </w:r>
    </w:p>
    <w:p>
      <w:pPr>
        <w:pStyle w:val="30"/>
        <w:widowControl/>
        <w:spacing w:before="100" w:after="100" w:line="600" w:lineRule="atLeast"/>
        <w:ind w:left="0" w:right="0" w:firstLine="640"/>
        <w:jc w:val="left"/>
        <w:rPr>
          <w:rFonts w:ascii="黑体" w:hAnsi="黑体" w:eastAsia="黑体" w:cs="黑体"/>
          <w:b/>
          <w:spacing w:val="0"/>
        </w:rPr>
      </w:pPr>
      <w:r>
        <w:rPr>
          <w:rFonts w:ascii="仿宋" w:hAnsi="仿宋" w:eastAsia="仿宋" w:cs="仿宋"/>
          <w:spacing w:val="0"/>
          <w:kern w:val="0"/>
          <w:sz w:val="32"/>
          <w:szCs w:val="32"/>
        </w:rPr>
        <w:t>本单位2024年度没有使用国有资本经营预算财政拨款安排的支出。</w:t>
      </w:r>
      <w:bookmarkStart w:id="94" w:name="_Toc256000023"/>
      <w:bookmarkStart w:id="95" w:name="_Toc256000085"/>
      <w:bookmarkStart w:id="96" w:name="_Toc256000054"/>
      <w:bookmarkStart w:id="97" w:name="_Toc256000116"/>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4"/>
      <w:bookmarkEnd w:id="95"/>
      <w:bookmarkEnd w:id="96"/>
      <w:bookmarkEnd w:id="97"/>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2024年度一般公共预算财政拨款基本支出5170.71万元，其中：</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一）人员经费4702.72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用经费467.99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8" w:name="_Toc256000086"/>
      <w:bookmarkStart w:id="99" w:name="_Toc256000117"/>
      <w:bookmarkStart w:id="100" w:name="_Toc256000024"/>
      <w:bookmarkStart w:id="101" w:name="_Toc256000055"/>
      <w:r>
        <w:rPr>
          <w:rFonts w:ascii="黑体" w:hAnsi="黑体" w:eastAsia="黑体" w:cs="黑体"/>
          <w:b/>
          <w:spacing w:val="0"/>
        </w:rPr>
        <w:t>七、一般公共预算拨款“三公”经费支出决算情况说明</w:t>
      </w:r>
      <w:bookmarkEnd w:id="98"/>
      <w:bookmarkEnd w:id="99"/>
      <w:bookmarkEnd w:id="100"/>
      <w:bookmarkEnd w:id="101"/>
    </w:p>
    <w:p>
      <w:pPr>
        <w:pStyle w:val="30"/>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2024年度一般公共预算拨款“三公”经费支出0万元，完成全年预算的 0%；较上年增加0万元，增长0%。主要原因是</w:t>
      </w:r>
      <w:r>
        <w:rPr>
          <w:rFonts w:hint="eastAsia" w:ascii="仿宋" w:hAnsi="仿宋" w:eastAsia="仿宋" w:cs="仿宋"/>
          <w:spacing w:val="0"/>
          <w:kern w:val="0"/>
          <w:sz w:val="32"/>
          <w:szCs w:val="32"/>
          <w:lang w:val="en-US" w:eastAsia="zh-CN"/>
        </w:rPr>
        <w:t>本单位没有使用“三公”经费支出</w:t>
      </w:r>
      <w:r>
        <w:rPr>
          <w:rFonts w:ascii="仿宋" w:hAnsi="仿宋" w:eastAsia="仿宋" w:cs="仿宋"/>
          <w:spacing w:val="0"/>
          <w:kern w:val="0"/>
          <w:sz w:val="32"/>
          <w:szCs w:val="32"/>
        </w:rPr>
        <w:t>。具体情况如下：</w:t>
      </w:r>
    </w:p>
    <w:p>
      <w:pPr>
        <w:pStyle w:val="30"/>
        <w:widowControl/>
        <w:spacing w:before="100" w:after="100" w:line="600" w:lineRule="atLeast"/>
        <w:ind w:left="0" w:right="0" w:firstLine="704"/>
        <w:jc w:val="left"/>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（一）因公出国（境）费支出0万元，完成全年预算的 0%；较上年增加0万元，增长0%。全年安排本单位组织的出国团组0 个，参加其他单位出国团组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个；全年因公出国（境）累计0人次。主要是本年度无安排出国（境）任务</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645"/>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（二）公务用车购置及运行费支出0万元，完成全年预算的0%；较上年增加0万元，增长0%。</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1"/>
          <w:szCs w:val="31"/>
          <w:lang w:val="en-US" w:eastAsia="zh-CN" w:bidi="ar"/>
        </w:rPr>
        <w:t>本单位没有购置</w:t>
      </w:r>
      <w:r>
        <w:rPr>
          <w:rFonts w:hint="default" w:ascii="仿宋" w:hAnsi="仿宋" w:eastAsia="仿宋" w:cs="仿宋"/>
          <w:color w:val="auto"/>
          <w:kern w:val="0"/>
          <w:sz w:val="31"/>
          <w:szCs w:val="31"/>
          <w:lang w:val="en-US" w:eastAsia="zh-CN" w:bidi="ar"/>
        </w:rPr>
        <w:t>公务用车及运行费支出。</w:t>
      </w:r>
      <w:r>
        <w:rPr>
          <w:rFonts w:ascii="仿宋" w:hAnsi="仿宋" w:eastAsia="仿宋" w:cs="仿宋"/>
          <w:spacing w:val="0"/>
          <w:kern w:val="0"/>
          <w:sz w:val="32"/>
          <w:szCs w:val="32"/>
        </w:rPr>
        <w:t>其中：</w:t>
      </w:r>
    </w:p>
    <w:p>
      <w:pPr>
        <w:pStyle w:val="30"/>
        <w:widowControl/>
        <w:spacing w:before="100" w:after="100" w:line="600" w:lineRule="atLeast"/>
        <w:ind w:left="0" w:right="0" w:firstLine="645"/>
        <w:jc w:val="left"/>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公务用车购置费支出0万元，完成全年预算的0%；较上年增加0万元，增长0%。2024年公务用车购置0辆，主要是本</w:t>
      </w:r>
      <w:r>
        <w:rPr>
          <w:rFonts w:hint="eastAsia" w:ascii="仿宋" w:hAnsi="仿宋" w:eastAsia="仿宋" w:cs="仿宋"/>
          <w:spacing w:val="0"/>
          <w:kern w:val="0"/>
          <w:sz w:val="32"/>
          <w:szCs w:val="32"/>
          <w:lang w:eastAsia="zh-CN"/>
        </w:rPr>
        <w:t>单位</w:t>
      </w:r>
      <w:r>
        <w:rPr>
          <w:rFonts w:ascii="仿宋" w:hAnsi="仿宋" w:eastAsia="仿宋" w:cs="仿宋"/>
          <w:spacing w:val="0"/>
          <w:kern w:val="0"/>
          <w:sz w:val="32"/>
          <w:szCs w:val="32"/>
        </w:rPr>
        <w:t>无公务车</w:t>
      </w:r>
      <w:r>
        <w:rPr>
          <w:rFonts w:hint="eastAsia" w:ascii="仿宋" w:hAnsi="仿宋" w:eastAsia="仿宋" w:cs="仿宋"/>
          <w:spacing w:val="0"/>
          <w:kern w:val="0"/>
          <w:sz w:val="32"/>
          <w:szCs w:val="32"/>
          <w:lang w:eastAsia="zh-CN"/>
        </w:rPr>
        <w:t>。</w:t>
      </w:r>
    </w:p>
    <w:p>
      <w:pPr>
        <w:pStyle w:val="30"/>
        <w:widowControl/>
        <w:spacing w:before="100" w:after="100" w:line="600" w:lineRule="atLeast"/>
        <w:ind w:left="0" w:right="0" w:firstLine="645"/>
        <w:jc w:val="left"/>
        <w:rPr>
          <w:rFonts w:ascii="Times New Roman" w:hAnsi="Times New Roman" w:eastAsia="Times New Roman" w:cs="Times New Roman"/>
          <w:kern w:val="0"/>
          <w:sz w:val="24"/>
        </w:rPr>
      </w:pPr>
      <w:r>
        <w:rPr>
          <w:rFonts w:ascii="仿宋" w:hAnsi="仿宋" w:eastAsia="仿宋" w:cs="仿宋"/>
          <w:spacing w:val="0"/>
          <w:kern w:val="0"/>
          <w:sz w:val="32"/>
          <w:szCs w:val="32"/>
        </w:rPr>
        <w:t>公务用车运行费支出0万元，完成全年预算的0%；较上年增加0万元，增长0%。主要是</w:t>
      </w:r>
      <w:r>
        <w:rPr>
          <w:rFonts w:hint="eastAsia" w:ascii="仿宋" w:hAnsi="仿宋" w:eastAsia="仿宋" w:cs="仿宋"/>
          <w:spacing w:val="0"/>
          <w:kern w:val="0"/>
          <w:sz w:val="32"/>
          <w:szCs w:val="32"/>
          <w:lang w:eastAsia="zh-CN"/>
        </w:rPr>
        <w:t>本单位</w:t>
      </w:r>
      <w:r>
        <w:rPr>
          <w:rFonts w:hint="eastAsia" w:ascii="仿宋" w:hAnsi="仿宋" w:eastAsia="仿宋" w:cs="仿宋"/>
          <w:spacing w:val="0"/>
          <w:kern w:val="0"/>
          <w:sz w:val="32"/>
          <w:szCs w:val="32"/>
        </w:rPr>
        <w:t>无公务</w:t>
      </w:r>
      <w:r>
        <w:rPr>
          <w:rFonts w:hint="eastAsia" w:ascii="仿宋" w:hAnsi="仿宋" w:eastAsia="仿宋" w:cs="仿宋"/>
          <w:spacing w:val="0"/>
          <w:kern w:val="0"/>
          <w:sz w:val="32"/>
          <w:szCs w:val="32"/>
          <w:lang w:eastAsia="zh-CN"/>
        </w:rPr>
        <w:t>用</w:t>
      </w:r>
      <w:r>
        <w:rPr>
          <w:rFonts w:hint="eastAsia" w:ascii="仿宋" w:hAnsi="仿宋" w:eastAsia="仿宋" w:cs="仿宋"/>
          <w:spacing w:val="0"/>
          <w:kern w:val="0"/>
          <w:sz w:val="32"/>
          <w:szCs w:val="32"/>
        </w:rPr>
        <w:t>车</w:t>
      </w:r>
      <w:r>
        <w:rPr>
          <w:rFonts w:hint="eastAsia" w:ascii="仿宋" w:hAnsi="仿宋" w:eastAsia="仿宋" w:cs="仿宋"/>
          <w:spacing w:val="0"/>
          <w:kern w:val="0"/>
          <w:sz w:val="32"/>
          <w:szCs w:val="32"/>
          <w:lang w:eastAsia="zh-CN"/>
        </w:rPr>
        <w:t>运行费用支出</w:t>
      </w:r>
      <w:r>
        <w:rPr>
          <w:rFonts w:ascii="仿宋" w:hAnsi="仿宋" w:eastAsia="仿宋" w:cs="仿宋"/>
          <w:spacing w:val="0"/>
          <w:kern w:val="0"/>
          <w:sz w:val="32"/>
          <w:szCs w:val="32"/>
        </w:rPr>
        <w:t>。截至2024年12月31日，本单位公务用车保有量为0 辆。</w:t>
      </w:r>
    </w:p>
    <w:p>
      <w:pPr>
        <w:pStyle w:val="30"/>
        <w:widowControl/>
        <w:spacing w:before="100" w:after="100" w:line="600" w:lineRule="atLeast"/>
        <w:ind w:left="0" w:right="0" w:firstLine="645"/>
        <w:jc w:val="left"/>
        <w:rPr>
          <w:rFonts w:ascii="Times New Roman" w:hAnsi="Times New Roman" w:eastAsia="Times New Roman" w:cs="Times New Roman"/>
          <w:kern w:val="0"/>
          <w:sz w:val="24"/>
        </w:rPr>
      </w:pPr>
      <w:r>
        <w:rPr>
          <w:rFonts w:ascii="仿宋" w:hAnsi="仿宋" w:eastAsia="仿宋" w:cs="仿宋"/>
          <w:spacing w:val="0"/>
          <w:kern w:val="0"/>
          <w:sz w:val="32"/>
          <w:szCs w:val="32"/>
        </w:rPr>
        <w:t>（三）公务接待费支出0万元，完成全年预算的 0%；较上年增加0万元，增长0%。主要是</w:t>
      </w:r>
      <w:r>
        <w:rPr>
          <w:rFonts w:hint="eastAsia" w:ascii="仿宋" w:hAnsi="仿宋" w:eastAsia="仿宋" w:cs="仿宋"/>
          <w:spacing w:val="0"/>
          <w:kern w:val="0"/>
          <w:sz w:val="32"/>
          <w:szCs w:val="32"/>
          <w:lang w:eastAsia="zh-CN"/>
        </w:rPr>
        <w:t>无公务接待。</w:t>
      </w:r>
      <w:r>
        <w:rPr>
          <w:rFonts w:ascii="仿宋" w:hAnsi="仿宋" w:eastAsia="仿宋" w:cs="仿宋"/>
          <w:spacing w:val="0"/>
          <w:kern w:val="0"/>
          <w:sz w:val="32"/>
          <w:szCs w:val="32"/>
        </w:rPr>
        <w:t>累计接待0 批次、0 人次。</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02" w:name="_Toc256000056"/>
      <w:bookmarkStart w:id="103" w:name="_Toc256000087"/>
      <w:bookmarkStart w:id="104" w:name="_Toc256000025"/>
      <w:bookmarkStart w:id="105" w:name="_Toc256000118"/>
      <w:r>
        <w:rPr>
          <w:rFonts w:ascii="黑体" w:hAnsi="黑体" w:eastAsia="黑体" w:cs="黑体"/>
          <w:b/>
          <w:spacing w:val="0"/>
        </w:rPr>
        <w:t>八、预算绩效情况说明</w:t>
      </w:r>
      <w:bookmarkEnd w:id="102"/>
      <w:bookmarkEnd w:id="103"/>
      <w:bookmarkEnd w:id="104"/>
      <w:bookmarkEnd w:id="105"/>
    </w:p>
    <w:p>
      <w:pPr>
        <w:pStyle w:val="5"/>
        <w:keepNext w:val="0"/>
        <w:keepLines w:val="0"/>
        <w:spacing w:before="100" w:after="100" w:line="600" w:lineRule="atLeast"/>
        <w:ind w:left="0" w:right="0" w:firstLine="640" w:firstLineChars="0"/>
        <w:rPr>
          <w:rFonts w:hint="eastAsia" w:ascii="仿宋" w:hAnsi="仿宋" w:eastAsia="仿宋" w:cs="仿宋"/>
          <w:spacing w:val="0"/>
          <w:kern w:val="0"/>
          <w:sz w:val="32"/>
          <w:szCs w:val="32"/>
        </w:rPr>
      </w:pPr>
      <w:bookmarkStart w:id="106" w:name="_Toc256000088"/>
      <w:bookmarkStart w:id="107" w:name="_Toc256000119"/>
      <w:bookmarkStart w:id="108" w:name="_Toc256000026"/>
      <w:bookmarkStart w:id="109" w:name="_Toc256000057"/>
      <w:r>
        <w:rPr>
          <w:rFonts w:hint="eastAsia" w:ascii="仿宋" w:hAnsi="仿宋" w:eastAsia="仿宋" w:cs="仿宋"/>
          <w:spacing w:val="0"/>
          <w:kern w:val="0"/>
          <w:sz w:val="32"/>
          <w:szCs w:val="32"/>
        </w:rPr>
        <w:t>根据预算绩效管理要求，本单位对2024年度1个项目实施单位自评，具体为义务教育阶段家庭经济困难学生营养餐补助</w:t>
      </w:r>
      <w:r>
        <w:rPr>
          <w:rFonts w:hint="eastAsia" w:ascii="仿宋" w:hAnsi="仿宋" w:cs="仿宋"/>
          <w:spacing w:val="0"/>
          <w:kern w:val="0"/>
          <w:sz w:val="32"/>
          <w:szCs w:val="32"/>
          <w:lang w:eastAsia="zh-CN"/>
        </w:rPr>
        <w:t>项目</w:t>
      </w:r>
      <w:r>
        <w:rPr>
          <w:rFonts w:hint="eastAsia" w:ascii="仿宋" w:hAnsi="仿宋" w:eastAsia="仿宋" w:cs="仿宋"/>
          <w:spacing w:val="0"/>
          <w:kern w:val="0"/>
          <w:sz w:val="32"/>
          <w:szCs w:val="32"/>
        </w:rPr>
        <w:t>，涉及财政拨款资金共计</w:t>
      </w:r>
      <w:r>
        <w:rPr>
          <w:rFonts w:hint="eastAsia" w:ascii="仿宋" w:hAnsi="仿宋" w:cs="仿宋"/>
          <w:spacing w:val="0"/>
          <w:kern w:val="0"/>
          <w:sz w:val="32"/>
          <w:szCs w:val="32"/>
          <w:lang w:val="en-US" w:eastAsia="zh-CN"/>
        </w:rPr>
        <w:t>4.32</w:t>
      </w:r>
      <w:r>
        <w:rPr>
          <w:rFonts w:hint="eastAsia" w:ascii="仿宋" w:hAnsi="仿宋" w:eastAsia="仿宋" w:cs="仿宋"/>
          <w:spacing w:val="0"/>
          <w:kern w:val="0"/>
          <w:sz w:val="32"/>
          <w:szCs w:val="32"/>
        </w:rPr>
        <w:t xml:space="preserve"> 万元。(《项目支出绩效自评表》详见附件)</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九、其他重要事项说明</w:t>
      </w:r>
      <w:bookmarkEnd w:id="106"/>
      <w:bookmarkEnd w:id="107"/>
      <w:bookmarkEnd w:id="108"/>
      <w:bookmarkEnd w:id="109"/>
    </w:p>
    <w:p>
      <w:pPr>
        <w:pStyle w:val="30"/>
        <w:widowControl/>
        <w:spacing w:before="100" w:after="100" w:line="600" w:lineRule="atLeast"/>
        <w:ind w:left="0" w:right="0" w:firstLine="643"/>
        <w:jc w:val="left"/>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spacing w:before="114" w:line="330" w:lineRule="auto"/>
        <w:ind w:left="37" w:right="117" w:firstLine="633"/>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2024年度机关运行经费支出0万元，比上年决算数增加0万元，增长0%，主要原因是:本单位为事业单位没有机关运行经费。</w:t>
      </w:r>
    </w:p>
    <w:p>
      <w:pPr>
        <w:pStyle w:val="30"/>
        <w:widowControl/>
        <w:spacing w:before="100" w:after="100" w:line="600" w:lineRule="atLeast"/>
        <w:ind w:left="0" w:right="0" w:firstLine="643"/>
        <w:jc w:val="left"/>
        <w:rPr>
          <w:rFonts w:ascii="Times New Roman" w:hAnsi="Times New Roman" w:eastAsia="Times New Roman" w:cs="Times New Roman"/>
          <w:kern w:val="0"/>
          <w:sz w:val="24"/>
        </w:rPr>
      </w:pPr>
      <w:r>
        <w:rPr>
          <w:rStyle w:val="32"/>
          <w:rFonts w:ascii="楷体" w:hAnsi="楷体" w:eastAsia="楷体" w:cs="楷体"/>
          <w:b/>
          <w:bCs/>
          <w:spacing w:val="0"/>
          <w:kern w:val="0"/>
          <w:sz w:val="32"/>
          <w:szCs w:val="32"/>
        </w:rPr>
        <w:t>（二）政府采购情况</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政府采购支出总额281.80万元，其中：政府采购货物支出281.80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p>
    <w:p>
      <w:pPr>
        <w:pStyle w:val="30"/>
        <w:widowControl/>
        <w:spacing w:before="100" w:after="100" w:line="600" w:lineRule="atLeast"/>
        <w:ind w:left="0" w:right="0" w:firstLine="707"/>
        <w:jc w:val="left"/>
        <w:rPr>
          <w:rFonts w:ascii="Times New Roman" w:hAnsi="Times New Roman" w:eastAsia="Times New Roman" w:cs="Times New Roman"/>
          <w:kern w:val="0"/>
          <w:sz w:val="24"/>
        </w:rPr>
      </w:pPr>
      <w:r>
        <w:rPr>
          <w:rStyle w:val="32"/>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30"/>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
      <w:pPr>
        <w:bidi w:val="0"/>
        <w:rPr>
          <w:rFonts w:ascii="Times New Roman" w:hAnsi="Times New Roman" w:eastAsia="宋体" w:cs="Times New Roman"/>
          <w:kern w:val="2"/>
          <w:sz w:val="21"/>
          <w:szCs w:val="24"/>
          <w:lang w:val="en-US" w:eastAsia="zh-CN" w:bidi="ar-SA"/>
        </w:rPr>
      </w:pPr>
    </w:p>
    <w:p>
      <w:pPr>
        <w:tabs>
          <w:tab w:val="left" w:pos="3309"/>
        </w:tabs>
        <w:bidi w:val="0"/>
        <w:jc w:val="left"/>
        <w:rPr>
          <w:lang w:val="en-US" w:eastAsia="zh-CN"/>
        </w:rPr>
        <w:sectPr>
          <w:footerReference r:id="rId14" w:type="default"/>
          <w:pgSz w:w="11906" w:h="16838"/>
          <w:pgMar w:top="1440" w:right="720" w:bottom="1440" w:left="720" w:header="720" w:footer="720" w:gutter="0"/>
          <w:cols w:space="720" w:num="1"/>
        </w:sectPr>
      </w:pPr>
      <w:r>
        <w:rPr>
          <w:rFonts w:hint="eastAsia" w:ascii="仿宋" w:hAnsi="仿宋" w:eastAsia="仿宋" w:cs="仿宋"/>
          <w:spacing w:val="0"/>
          <w:kern w:val="0"/>
          <w:sz w:val="32"/>
          <w:szCs w:val="32"/>
          <w:lang w:val="en-US" w:eastAsia="zh-CN"/>
        </w:rPr>
        <w:tab/>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bookmarkStart w:id="110" w:name="_Toc256000089"/>
      <w:bookmarkStart w:id="111" w:name="_Toc256000120"/>
      <w:bookmarkStart w:id="112" w:name="_Toc256000058"/>
      <w:bookmarkStart w:id="113" w:name="_Toc256000027"/>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rPr>
          <w:rFonts w:ascii="黑体" w:hAnsi="黑体" w:eastAsia="黑体" w:cs="黑体"/>
          <w:b/>
          <w:spacing w:val="0"/>
          <w:sz w:val="56"/>
          <w:szCs w:val="56"/>
        </w:rPr>
      </w:pPr>
      <w:r>
        <w:rPr>
          <w:rFonts w:ascii="黑体" w:hAnsi="黑体" w:eastAsia="黑体" w:cs="黑体"/>
          <w:b/>
          <w:spacing w:val="0"/>
          <w:sz w:val="56"/>
          <w:szCs w:val="56"/>
        </w:rPr>
        <w:t>第四部分</w:t>
      </w:r>
      <w:bookmarkEnd w:id="110"/>
      <w:bookmarkEnd w:id="111"/>
      <w:bookmarkEnd w:id="112"/>
      <w:bookmarkEnd w:id="113"/>
    </w:p>
    <w:p>
      <w:pPr>
        <w:pStyle w:val="4"/>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14" w:name="_Toc256000059"/>
      <w:bookmarkStart w:id="115" w:name="_Toc256000121"/>
      <w:bookmarkStart w:id="116" w:name="_Toc256000028"/>
      <w:bookmarkStart w:id="117" w:name="_Toc256000090"/>
      <w:r>
        <w:rPr>
          <w:rFonts w:ascii="黑体" w:hAnsi="黑体" w:eastAsia="黑体" w:cs="黑体"/>
          <w:b/>
          <w:spacing w:val="0"/>
          <w:sz w:val="56"/>
          <w:szCs w:val="56"/>
        </w:rPr>
        <w:t>名词解释</w:t>
      </w:r>
      <w:bookmarkEnd w:id="114"/>
      <w:bookmarkEnd w:id="115"/>
      <w:bookmarkEnd w:id="116"/>
      <w:bookmarkEnd w:id="117"/>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ind w:left="0" w:right="0" w:firstLine="0"/>
        <w:jc w:val="center"/>
        <w:rPr>
          <w:rFonts w:ascii="Times New Roman" w:hAnsi="Times New Roman" w:eastAsia="Times New Roman" w:cs="Times New Roman"/>
          <w:kern w:val="0"/>
          <w:sz w:val="24"/>
        </w:rPr>
      </w:pPr>
    </w:p>
    <w:p>
      <w:pPr>
        <w:pStyle w:val="30"/>
        <w:widowControl/>
        <w:spacing w:before="100" w:after="100" w:line="600" w:lineRule="atLeast"/>
        <w:ind w:right="0" w:firstLine="643" w:firstLineChars="20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0"/>
        <w:widowControl/>
        <w:spacing w:before="240" w:after="240"/>
        <w:jc w:val="left"/>
        <w:rPr>
          <w:rFonts w:ascii="Times New Roman" w:hAnsi="Times New Roman" w:eastAsia="Times New Roman" w:cs="Times New Roman"/>
          <w:kern w:val="0"/>
          <w:sz w:val="24"/>
        </w:rPr>
      </w:pPr>
    </w:p>
    <w:p>
      <w:pPr>
        <w:sectPr>
          <w:footerReference r:id="rId1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bookmarkEnd w:id="4"/>
    <w:p>
      <w:pPr>
        <w:pStyle w:val="3"/>
        <w:keepNext w:val="0"/>
        <w:keepLines w:val="0"/>
        <w:spacing w:before="299" w:after="299" w:line="240" w:lineRule="auto"/>
        <w:ind w:firstLine="0" w:firstLineChars="0"/>
        <w:jc w:val="center"/>
        <w:rPr>
          <w:rFonts w:ascii="黑体" w:hAnsi="黑体" w:eastAsia="黑体" w:cs="黑体"/>
          <w:b/>
          <w:sz w:val="56"/>
          <w:szCs w:val="56"/>
        </w:rPr>
      </w:pPr>
      <w:bookmarkStart w:id="118" w:name="_Toc256000091"/>
      <w:bookmarkStart w:id="119" w:name="_Toc256000122"/>
      <w:bookmarkStart w:id="120" w:name="_Toc256000029"/>
      <w:bookmarkStart w:id="121" w:name="_Toc256000060"/>
    </w:p>
    <w:p>
      <w:pPr>
        <w:pStyle w:val="3"/>
        <w:keepNext w:val="0"/>
        <w:keepLines w:val="0"/>
        <w:spacing w:before="299" w:after="299" w:line="240" w:lineRule="auto"/>
        <w:ind w:firstLine="0" w:firstLineChars="0"/>
        <w:jc w:val="center"/>
        <w:rPr>
          <w:rFonts w:ascii="黑体" w:hAnsi="黑体" w:eastAsia="黑体" w:cs="黑体"/>
          <w:b/>
          <w:sz w:val="56"/>
          <w:szCs w:val="56"/>
        </w:rPr>
      </w:pPr>
    </w:p>
    <w:p>
      <w:pPr>
        <w:pStyle w:val="3"/>
        <w:keepNext w:val="0"/>
        <w:keepLines w:val="0"/>
        <w:spacing w:before="299" w:after="299" w:line="240" w:lineRule="auto"/>
        <w:ind w:firstLine="0" w:firstLineChars="0"/>
        <w:jc w:val="center"/>
        <w:rPr>
          <w:rFonts w:ascii="黑体" w:hAnsi="黑体" w:eastAsia="黑体" w:cs="黑体"/>
          <w:b/>
          <w:sz w:val="56"/>
          <w:szCs w:val="56"/>
        </w:rPr>
      </w:pPr>
    </w:p>
    <w:p>
      <w:pPr>
        <w:pStyle w:val="3"/>
        <w:keepNext w:val="0"/>
        <w:keepLines w:val="0"/>
        <w:spacing w:before="299" w:after="299" w:line="240" w:lineRule="auto"/>
        <w:ind w:firstLine="0" w:firstLineChars="0"/>
        <w:jc w:val="center"/>
      </w:pPr>
      <w:r>
        <w:rPr>
          <w:rFonts w:ascii="黑体" w:hAnsi="黑体" w:eastAsia="黑体" w:cs="黑体"/>
          <w:b/>
          <w:sz w:val="56"/>
          <w:szCs w:val="56"/>
        </w:rPr>
        <w:t>第五部分</w:t>
      </w:r>
      <w:bookmarkEnd w:id="118"/>
      <w:bookmarkEnd w:id="119"/>
      <w:bookmarkEnd w:id="120"/>
      <w:bookmarkEnd w:id="121"/>
      <w:bookmarkStart w:id="122" w:name="_Toc256000030"/>
      <w:bookmarkStart w:id="123" w:name="_Toc256000061"/>
      <w:bookmarkStart w:id="124" w:name="_Toc256000123"/>
      <w:bookmarkStart w:id="125" w:name="_Toc256000092"/>
    </w:p>
    <w:p>
      <w:pPr>
        <w:pStyle w:val="3"/>
        <w:keepNext w:val="0"/>
        <w:keepLines w:val="0"/>
        <w:spacing w:before="299" w:after="299" w:line="240" w:lineRule="auto"/>
        <w:ind w:firstLine="0" w:firstLineChars="0"/>
        <w:jc w:val="center"/>
        <w:rPr>
          <w:rFonts w:ascii="黑体" w:hAnsi="黑体" w:eastAsia="黑体" w:cs="黑体"/>
          <w:b/>
          <w:sz w:val="56"/>
          <w:szCs w:val="56"/>
        </w:rPr>
      </w:pPr>
      <w:r>
        <w:rPr>
          <w:rFonts w:ascii="黑体" w:hAnsi="黑体" w:eastAsia="黑体" w:cs="黑体"/>
          <w:b/>
          <w:sz w:val="56"/>
          <w:szCs w:val="56"/>
        </w:rPr>
        <w:t>附件</w:t>
      </w:r>
      <w:bookmarkEnd w:id="122"/>
      <w:bookmarkEnd w:id="123"/>
      <w:bookmarkEnd w:id="124"/>
      <w:bookmarkEnd w:id="125"/>
    </w:p>
    <w:p>
      <w:pPr>
        <w:pStyle w:val="4"/>
        <w:rPr>
          <w:rFonts w:ascii="黑体" w:hAnsi="黑体" w:eastAsia="黑体" w:cs="黑体"/>
          <w:b/>
          <w:sz w:val="56"/>
          <w:szCs w:val="56"/>
        </w:rPr>
      </w:pPr>
    </w:p>
    <w:p>
      <w:pPr>
        <w:pStyle w:val="4"/>
        <w:rPr>
          <w:rFonts w:ascii="黑体" w:hAnsi="黑体" w:eastAsia="黑体" w:cs="黑体"/>
          <w:b/>
          <w:sz w:val="56"/>
          <w:szCs w:val="56"/>
        </w:rPr>
      </w:pPr>
    </w:p>
    <w:p>
      <w:pPr>
        <w:pStyle w:val="4"/>
        <w:rPr>
          <w:rFonts w:ascii="黑体" w:hAnsi="黑体" w:eastAsia="黑体" w:cs="黑体"/>
          <w:b/>
          <w:sz w:val="56"/>
          <w:szCs w:val="56"/>
        </w:rPr>
      </w:pPr>
    </w:p>
    <w:p>
      <w:pPr>
        <w:pStyle w:val="4"/>
        <w:rPr>
          <w:rFonts w:ascii="黑体" w:hAnsi="黑体" w:eastAsia="黑体" w:cs="黑体"/>
          <w:b/>
          <w:sz w:val="56"/>
          <w:szCs w:val="56"/>
        </w:rPr>
      </w:pPr>
    </w:p>
    <w:p>
      <w:pPr>
        <w:pStyle w:val="4"/>
        <w:rPr>
          <w:rFonts w:ascii="黑体" w:hAnsi="黑体" w:eastAsia="黑体" w:cs="黑体"/>
          <w:b/>
          <w:sz w:val="56"/>
          <w:szCs w:val="56"/>
        </w:rPr>
      </w:pPr>
    </w:p>
    <w:p>
      <w:pPr>
        <w:pStyle w:val="4"/>
        <w:rPr>
          <w:rFonts w:ascii="黑体" w:hAnsi="黑体" w:eastAsia="黑体" w:cs="黑体"/>
          <w:b/>
          <w:sz w:val="56"/>
          <w:szCs w:val="56"/>
        </w:rPr>
      </w:pPr>
    </w:p>
    <w:p>
      <w:pPr>
        <w:pStyle w:val="4"/>
        <w:rPr>
          <w:rFonts w:ascii="黑体" w:hAnsi="黑体" w:eastAsia="黑体" w:cs="黑体"/>
          <w:b/>
          <w:sz w:val="56"/>
          <w:szCs w:val="56"/>
        </w:rPr>
      </w:pPr>
    </w:p>
    <w:tbl>
      <w:tblPr>
        <w:tblStyle w:val="24"/>
        <w:tblW w:w="9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
        <w:gridCol w:w="580"/>
        <w:gridCol w:w="1938"/>
        <w:gridCol w:w="1666"/>
        <w:gridCol w:w="580"/>
        <w:gridCol w:w="762"/>
        <w:gridCol w:w="689"/>
        <w:gridCol w:w="768"/>
        <w:gridCol w:w="580"/>
        <w:gridCol w:w="398"/>
        <w:gridCol w:w="10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56"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9956"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0" w:hRule="atLeast"/>
        </w:trPr>
        <w:tc>
          <w:tcPr>
            <w:tcW w:w="963" w:type="dxa"/>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预算单位（盖章）：                                                                                                  </w:t>
            </w:r>
          </w:p>
        </w:tc>
        <w:tc>
          <w:tcPr>
            <w:tcW w:w="580"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1938"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1666"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580"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762" w:type="dxa"/>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5"/>
                <w:szCs w:val="15"/>
                <w:u w:val="none"/>
              </w:rPr>
            </w:pPr>
          </w:p>
        </w:tc>
        <w:tc>
          <w:tcPr>
            <w:tcW w:w="689"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768"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580"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398"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5"/>
                <w:szCs w:val="15"/>
                <w:u w:val="none"/>
              </w:rPr>
            </w:pPr>
          </w:p>
        </w:tc>
        <w:tc>
          <w:tcPr>
            <w:tcW w:w="1032" w:type="dxa"/>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1543"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193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义务教育阶段家庭经济困难学生营养餐补助</w:t>
            </w:r>
          </w:p>
        </w:tc>
        <w:tc>
          <w:tcPr>
            <w:tcW w:w="1666" w:type="dxa"/>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6"/>
                <w:szCs w:val="16"/>
                <w:u w:val="none"/>
              </w:rPr>
            </w:pPr>
          </w:p>
        </w:tc>
        <w:tc>
          <w:tcPr>
            <w:tcW w:w="580" w:type="dxa"/>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6"/>
                <w:szCs w:val="16"/>
                <w:u w:val="none"/>
              </w:rPr>
            </w:pPr>
          </w:p>
        </w:tc>
        <w:tc>
          <w:tcPr>
            <w:tcW w:w="762" w:type="dxa"/>
            <w:tcBorders>
              <w:top w:val="single" w:color="000000" w:sz="4" w:space="0"/>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6"/>
                <w:szCs w:val="16"/>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自评年度</w:t>
            </w:r>
          </w:p>
        </w:tc>
        <w:tc>
          <w:tcPr>
            <w:tcW w:w="27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15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w:t>
            </w:r>
          </w:p>
        </w:tc>
        <w:tc>
          <w:tcPr>
            <w:tcW w:w="4946"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湖里区教育局</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厦门市金尚中学</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60" w:hRule="atLeast"/>
        </w:trPr>
        <w:tc>
          <w:tcPr>
            <w:tcW w:w="15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年度预算执行情况</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年初预算数</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已调整数</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全年执行数</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执行率</w:t>
            </w:r>
          </w:p>
        </w:tc>
        <w:tc>
          <w:tcPr>
            <w:tcW w:w="5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设置分值</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得分</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15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年度资金总额</w:t>
            </w:r>
          </w:p>
        </w:tc>
        <w:tc>
          <w:tcPr>
            <w:tcW w:w="1666"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4.32</w:t>
            </w:r>
          </w:p>
        </w:tc>
        <w:tc>
          <w:tcPr>
            <w:tcW w:w="58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4.32</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3.2286</w:t>
            </w:r>
          </w:p>
        </w:tc>
        <w:tc>
          <w:tcPr>
            <w:tcW w:w="76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74.74%</w:t>
            </w:r>
          </w:p>
        </w:tc>
        <w:tc>
          <w:tcPr>
            <w:tcW w:w="5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39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个别困难生未在校用餐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15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其中：当年财政拨款</w:t>
            </w:r>
          </w:p>
        </w:tc>
        <w:tc>
          <w:tcPr>
            <w:tcW w:w="1666"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4.32</w:t>
            </w:r>
          </w:p>
        </w:tc>
        <w:tc>
          <w:tcPr>
            <w:tcW w:w="580"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4.32</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3.2286</w:t>
            </w:r>
          </w:p>
        </w:tc>
        <w:tc>
          <w:tcPr>
            <w:tcW w:w="76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74.74%</w:t>
            </w:r>
          </w:p>
        </w:tc>
        <w:tc>
          <w:tcPr>
            <w:tcW w:w="5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15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上年结转资金</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6"/>
                <w:szCs w:val="16"/>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6"/>
                <w:szCs w:val="16"/>
                <w:u w:val="none"/>
              </w:rPr>
            </w:pPr>
          </w:p>
        </w:tc>
        <w:tc>
          <w:tcPr>
            <w:tcW w:w="5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0" w:hRule="atLeast"/>
        </w:trPr>
        <w:tc>
          <w:tcPr>
            <w:tcW w:w="15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其他资金</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6"/>
                <w:szCs w:val="16"/>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6"/>
                <w:szCs w:val="16"/>
                <w:u w:val="none"/>
              </w:rPr>
            </w:pPr>
          </w:p>
        </w:tc>
        <w:tc>
          <w:tcPr>
            <w:tcW w:w="5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总体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目标</w:t>
            </w:r>
          </w:p>
        </w:tc>
        <w:tc>
          <w:tcPr>
            <w:tcW w:w="552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预期目标</w:t>
            </w:r>
          </w:p>
        </w:tc>
        <w:tc>
          <w:tcPr>
            <w:tcW w:w="346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52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346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6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52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46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7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指标类型</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绩效目标值</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实际完成值</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完成比例</w:t>
            </w:r>
          </w:p>
        </w:tc>
        <w:tc>
          <w:tcPr>
            <w:tcW w:w="580"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设置分值</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得分</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效</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指</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标</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完</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成</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情</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况</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产出指标</w:t>
            </w: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审核义务教育阶段阶段受助学生</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1"/>
                <w:szCs w:val="11"/>
                <w:u w:val="none"/>
              </w:rPr>
            </w:pPr>
            <w:r>
              <w:rPr>
                <w:rFonts w:ascii="宋体" w:hAnsi="宋体" w:eastAsia="宋体" w:cs="宋体"/>
                <w:i w:val="0"/>
                <w:iCs w:val="0"/>
                <w:color w:val="000000"/>
                <w:kern w:val="0"/>
                <w:sz w:val="11"/>
                <w:szCs w:val="11"/>
                <w:u w:val="none"/>
                <w:lang w:val="en-US" w:eastAsia="zh-CN" w:bidi="ar"/>
              </w:rPr>
              <w:t>定量</w:t>
            </w:r>
          </w:p>
        </w:tc>
        <w:tc>
          <w:tcPr>
            <w:tcW w:w="762"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大于等于59</w:t>
            </w:r>
          </w:p>
        </w:tc>
        <w:tc>
          <w:tcPr>
            <w:tcW w:w="689"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39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全年营养餐补助人数</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1"/>
                <w:szCs w:val="11"/>
                <w:u w:val="none"/>
              </w:rPr>
            </w:pPr>
            <w:r>
              <w:rPr>
                <w:rFonts w:ascii="宋体" w:hAnsi="宋体" w:eastAsia="宋体" w:cs="宋体"/>
                <w:i w:val="0"/>
                <w:iCs w:val="0"/>
                <w:color w:val="000000"/>
                <w:kern w:val="0"/>
                <w:sz w:val="11"/>
                <w:szCs w:val="11"/>
                <w:u w:val="none"/>
                <w:lang w:val="en-US" w:eastAsia="zh-CN" w:bidi="ar"/>
              </w:rPr>
              <w:t>定量</w:t>
            </w:r>
          </w:p>
        </w:tc>
        <w:tc>
          <w:tcPr>
            <w:tcW w:w="762"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大于等于56</w:t>
            </w:r>
          </w:p>
        </w:tc>
        <w:tc>
          <w:tcPr>
            <w:tcW w:w="689"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56</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39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营养餐发放标准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1"/>
                <w:szCs w:val="11"/>
                <w:u w:val="none"/>
              </w:rPr>
            </w:pPr>
            <w:r>
              <w:rPr>
                <w:rFonts w:ascii="宋体" w:hAnsi="宋体" w:eastAsia="宋体" w:cs="宋体"/>
                <w:i w:val="0"/>
                <w:iCs w:val="0"/>
                <w:color w:val="000000"/>
                <w:kern w:val="0"/>
                <w:sz w:val="11"/>
                <w:szCs w:val="11"/>
                <w:u w:val="none"/>
                <w:lang w:val="en-US" w:eastAsia="zh-CN" w:bidi="ar"/>
              </w:rPr>
              <w:t>定量</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6元/餐</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6元/餐</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5"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6"/>
                <w:szCs w:val="16"/>
                <w:u w:val="none"/>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义务教育困难生资助资金下拨及时率</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1"/>
                <w:szCs w:val="11"/>
                <w:u w:val="none"/>
              </w:rPr>
            </w:pPr>
            <w:r>
              <w:rPr>
                <w:rFonts w:ascii="宋体" w:hAnsi="宋体" w:eastAsia="宋体" w:cs="宋体"/>
                <w:i w:val="0"/>
                <w:iCs w:val="0"/>
                <w:color w:val="000000"/>
                <w:kern w:val="0"/>
                <w:sz w:val="11"/>
                <w:szCs w:val="11"/>
                <w:u w:val="none"/>
                <w:lang w:val="en-US" w:eastAsia="zh-CN" w:bidi="ar"/>
              </w:rPr>
              <w:t>定量</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5"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受资助对象满意度</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1"/>
                <w:szCs w:val="11"/>
                <w:u w:val="none"/>
              </w:rPr>
            </w:pPr>
            <w:r>
              <w:rPr>
                <w:rFonts w:ascii="宋体" w:hAnsi="宋体" w:eastAsia="宋体" w:cs="宋体"/>
                <w:i w:val="0"/>
                <w:iCs w:val="0"/>
                <w:color w:val="000000"/>
                <w:kern w:val="0"/>
                <w:sz w:val="11"/>
                <w:szCs w:val="11"/>
                <w:u w:val="none"/>
                <w:lang w:val="en-US" w:eastAsia="zh-CN" w:bidi="ar"/>
              </w:rPr>
              <w:t>定量</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大于等于90%</w:t>
            </w:r>
          </w:p>
        </w:tc>
        <w:tc>
          <w:tcPr>
            <w:tcW w:w="689"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98" w:type="dxa"/>
            <w:tcBorders>
              <w:top w:val="single" w:color="000000" w:sz="4" w:space="0"/>
              <w:left w:val="single" w:color="000000" w:sz="4" w:space="0"/>
              <w:bottom w:val="single" w:color="000000" w:sz="4" w:space="0"/>
              <w:right w:val="single" w:color="000000" w:sz="4" w:space="0"/>
            </w:tcBorders>
            <w:shd w:val="clear" w:color="auto" w:fill="E6B8B7"/>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794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总分</w:t>
            </w: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100</w:t>
            </w:r>
          </w:p>
        </w:tc>
        <w:tc>
          <w:tcPr>
            <w:tcW w:w="3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97</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15" w:hRule="atLeast"/>
        </w:trPr>
        <w:tc>
          <w:tcPr>
            <w:tcW w:w="99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1"/>
                <w:szCs w:val="11"/>
                <w:u w:val="none"/>
              </w:rPr>
            </w:pPr>
            <w:r>
              <w:rPr>
                <w:rFonts w:hint="eastAsia" w:ascii="宋体" w:hAnsi="宋体" w:eastAsia="宋体" w:cs="宋体"/>
                <w:i w:val="0"/>
                <w:iCs w:val="0"/>
                <w:color w:val="000000"/>
                <w:kern w:val="0"/>
                <w:sz w:val="11"/>
                <w:szCs w:val="11"/>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iCs w:val="0"/>
                <w:color w:val="000000"/>
                <w:kern w:val="0"/>
                <w:sz w:val="11"/>
                <w:szCs w:val="11"/>
                <w:u w:val="none"/>
                <w:lang w:val="en-US" w:eastAsia="zh-CN" w:bidi="ar"/>
              </w:rPr>
              <w:br w:type="textWrapping"/>
            </w:r>
            <w:r>
              <w:rPr>
                <w:rFonts w:hint="eastAsia" w:ascii="宋体" w:hAnsi="宋体" w:eastAsia="宋体" w:cs="宋体"/>
                <w:i w:val="0"/>
                <w:iCs w:val="0"/>
                <w:color w:val="000000"/>
                <w:kern w:val="0"/>
                <w:sz w:val="11"/>
                <w:szCs w:val="11"/>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iCs w:val="0"/>
                <w:color w:val="000000"/>
                <w:kern w:val="0"/>
                <w:sz w:val="11"/>
                <w:szCs w:val="11"/>
                <w:u w:val="none"/>
                <w:lang w:val="en-US" w:eastAsia="zh-CN" w:bidi="ar"/>
              </w:rPr>
              <w:br w:type="textWrapping"/>
            </w:r>
            <w:r>
              <w:rPr>
                <w:rFonts w:hint="eastAsia" w:ascii="宋体" w:hAnsi="宋体" w:eastAsia="宋体" w:cs="宋体"/>
                <w:i w:val="0"/>
                <w:iCs w:val="0"/>
                <w:color w:val="000000"/>
                <w:kern w:val="0"/>
                <w:sz w:val="11"/>
                <w:szCs w:val="11"/>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keepNext w:val="0"/>
        <w:keepLines w:val="0"/>
        <w:pageBreakBefore w:val="0"/>
        <w:widowControl w:val="0"/>
        <w:tabs>
          <w:tab w:val="left" w:pos="8415"/>
          <w:tab w:val="left" w:pos="11865"/>
        </w:tabs>
        <w:kinsoku/>
        <w:wordWrap/>
        <w:overflowPunct/>
        <w:topLinePunct w:val="0"/>
        <w:autoSpaceDE/>
        <w:autoSpaceDN/>
        <w:bidi w:val="0"/>
        <w:adjustRightInd/>
        <w:snapToGrid/>
        <w:jc w:val="both"/>
        <w:textAlignment w:val="auto"/>
        <w:rPr>
          <w:rFonts w:hint="default" w:ascii="黑体" w:hAnsi="黑体" w:eastAsia="黑体" w:cs="黑体"/>
          <w:b/>
          <w:bCs/>
          <w:kern w:val="0"/>
          <w:sz w:val="56"/>
          <w:szCs w:val="56"/>
          <w:lang w:val="en-US" w:eastAsia="zh-CN" w:bidi="ar-SA"/>
        </w:rPr>
      </w:pPr>
    </w:p>
    <w:sectPr>
      <w:footerReference r:id="rId16"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30</w:t>
    </w:r>
    <w:r>
      <w:rPr>
        <w:rFonts w:ascii="宋体" w:hAnsi="宋体" w:eastAsia="宋体" w:cs="宋体"/>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32</w:t>
    </w:r>
    <w:r>
      <w:rPr>
        <w:rFonts w:ascii="宋体" w:hAnsi="宋体" w:eastAsia="宋体" w:cs="宋体"/>
        <w:sz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40</w:t>
    </w:r>
    <w:r>
      <w:rPr>
        <w:rFonts w:ascii="宋体" w:hAnsi="宋体" w:eastAsia="宋体" w:cs="宋体"/>
        <w:sz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45</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9" w:lineRule="exact"/>
      <w:ind w:left="5343"/>
      <w:rPr>
        <w:rFonts w:ascii="等线" w:hAnsi="等线" w:eastAsia="等线" w:cs="等线"/>
        <w:sz w:val="18"/>
        <w:szCs w:val="18"/>
      </w:rPr>
    </w:pPr>
    <w:r>
      <w:rPr>
        <w:rFonts w:ascii="等线" w:hAnsi="等线" w:eastAsia="等线" w:cs="等线"/>
        <w:position w:val="3"/>
        <w:sz w:val="18"/>
        <w:szCs w:val="1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14</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18</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23</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26</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29</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63153E"/>
    <w:multiLevelType w:val="singleLevel"/>
    <w:tmpl w:val="E463153E"/>
    <w:lvl w:ilvl="0" w:tentative="0">
      <w:start w:val="7"/>
      <w:numFmt w:val="chineseCounting"/>
      <w:suff w:val="nothing"/>
      <w:lvlText w:val="%1、"/>
      <w:lvlJc w:val="left"/>
      <w:rPr>
        <w:rFonts w:hint="eastAsia"/>
      </w:rPr>
    </w:lvl>
  </w:abstractNum>
  <w:abstractNum w:abstractNumId="1">
    <w:nsid w:val="24BD2FA0"/>
    <w:multiLevelType w:val="singleLevel"/>
    <w:tmpl w:val="24BD2FA0"/>
    <w:lvl w:ilvl="0" w:tentative="0">
      <w:start w:val="9"/>
      <w:numFmt w:val="chineseCounting"/>
      <w:suff w:val="nothing"/>
      <w:lvlText w:val="%1、"/>
      <w:lvlJc w:val="left"/>
      <w:rPr>
        <w:rFonts w:hint="eastAsia"/>
      </w:rPr>
    </w:lvl>
  </w:abstractNum>
  <w:abstractNum w:abstractNumId="2">
    <w:nsid w:val="64F7CABD"/>
    <w:multiLevelType w:val="singleLevel"/>
    <w:tmpl w:val="64F7CABD"/>
    <w:lvl w:ilvl="0" w:tentative="0">
      <w:start w:val="8"/>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51EC1"/>
    <w:rsid w:val="026B46C2"/>
    <w:rsid w:val="05C23886"/>
    <w:rsid w:val="06AC2B40"/>
    <w:rsid w:val="0CD21114"/>
    <w:rsid w:val="10E15052"/>
    <w:rsid w:val="11E65FB2"/>
    <w:rsid w:val="13ED00D7"/>
    <w:rsid w:val="188E5359"/>
    <w:rsid w:val="1ABA0B77"/>
    <w:rsid w:val="21C77B1C"/>
    <w:rsid w:val="22394A78"/>
    <w:rsid w:val="25373A44"/>
    <w:rsid w:val="28E3573D"/>
    <w:rsid w:val="2AD134F7"/>
    <w:rsid w:val="2D6D0E33"/>
    <w:rsid w:val="3162605F"/>
    <w:rsid w:val="31B82191"/>
    <w:rsid w:val="36A20675"/>
    <w:rsid w:val="3AD30E05"/>
    <w:rsid w:val="3EDF7E1F"/>
    <w:rsid w:val="418C4BBB"/>
    <w:rsid w:val="41DF19BE"/>
    <w:rsid w:val="42F425C9"/>
    <w:rsid w:val="44B51262"/>
    <w:rsid w:val="451C5E07"/>
    <w:rsid w:val="46912E0E"/>
    <w:rsid w:val="49B90364"/>
    <w:rsid w:val="4A8F3112"/>
    <w:rsid w:val="4C31115D"/>
    <w:rsid w:val="4CA344C3"/>
    <w:rsid w:val="4F3A5808"/>
    <w:rsid w:val="52374280"/>
    <w:rsid w:val="56A37A75"/>
    <w:rsid w:val="5CAD6F80"/>
    <w:rsid w:val="5D381BE3"/>
    <w:rsid w:val="62B34F3A"/>
    <w:rsid w:val="67DE35D7"/>
    <w:rsid w:val="68757459"/>
    <w:rsid w:val="6AA9411E"/>
    <w:rsid w:val="6BDA34C2"/>
    <w:rsid w:val="6CC87188"/>
    <w:rsid w:val="6FBA0E2B"/>
    <w:rsid w:val="71F15DA2"/>
    <w:rsid w:val="783A1809"/>
    <w:rsid w:val="7BE71692"/>
    <w:rsid w:val="7F7126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9"/>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5"/>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4">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Body Text"/>
    <w:basedOn w:val="1"/>
    <w:semiHidden/>
    <w:qFormat/>
    <w:uiPriority w:val="0"/>
    <w:rPr>
      <w:rFonts w:ascii="Arial" w:hAnsi="Arial" w:eastAsia="Arial" w:cs="Arial"/>
      <w:sz w:val="21"/>
      <w:szCs w:val="21"/>
      <w:lang w:val="en-US" w:eastAsia="en-US" w:bidi="ar-SA"/>
    </w:rPr>
  </w:style>
  <w:style w:type="paragraph" w:styleId="10">
    <w:name w:val="toc 5"/>
    <w:basedOn w:val="1"/>
    <w:next w:val="1"/>
    <w:qFormat/>
    <w:uiPriority w:val="0"/>
    <w:pPr>
      <w:ind w:left="840"/>
      <w:jc w:val="left"/>
    </w:pPr>
    <w:rPr>
      <w:sz w:val="20"/>
      <w:szCs w:val="20"/>
    </w:rPr>
  </w:style>
  <w:style w:type="paragraph" w:styleId="11">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7"/>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4"/>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4"/>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paragraph" w:styleId="20">
    <w:name w:val="Normal (Web)"/>
    <w:basedOn w:val="1"/>
    <w:unhideWhenUsed/>
    <w:qFormat/>
    <w:uiPriority w:val="0"/>
    <w:pPr>
      <w:spacing w:before="100" w:beforeAutospacing="1" w:after="100" w:afterAutospacing="1"/>
      <w:jc w:val="both"/>
    </w:pPr>
    <w:rPr>
      <w:rFonts w:hint="eastAsia"/>
      <w:sz w:val="24"/>
      <w:szCs w:val="24"/>
    </w:rPr>
  </w:style>
  <w:style w:type="character" w:styleId="22">
    <w:name w:val="page number"/>
    <w:basedOn w:val="21"/>
    <w:qFormat/>
    <w:uiPriority w:val="0"/>
  </w:style>
  <w:style w:type="character" w:styleId="23">
    <w:name w:val="Hyperlink"/>
    <w:qFormat/>
    <w:uiPriority w:val="0"/>
    <w:rPr>
      <w:rFonts w:ascii="宋体" w:hAnsi="宋体" w:eastAsia="仿宋" w:cs="Times New Roman"/>
      <w:kern w:val="2"/>
      <w:sz w:val="32"/>
      <w:szCs w:val="32"/>
      <w:lang w:val="en-US" w:eastAsia="zh-CN" w:bidi="ar-SA"/>
    </w:rPr>
  </w:style>
  <w:style w:type="character" w:customStyle="1" w:styleId="25">
    <w:name w:val="标题 4 字符"/>
    <w:basedOn w:val="21"/>
    <w:link w:val="6"/>
    <w:qFormat/>
    <w:uiPriority w:val="0"/>
    <w:rPr>
      <w:rFonts w:ascii="Cambria" w:hAnsi="Cambria" w:eastAsia="仿宋"/>
      <w:bCs/>
      <w:kern w:val="2"/>
      <w:sz w:val="32"/>
      <w:szCs w:val="28"/>
    </w:rPr>
  </w:style>
  <w:style w:type="character" w:customStyle="1" w:styleId="26">
    <w:name w:val="无间隔 字符"/>
    <w:link w:val="4"/>
    <w:qFormat/>
    <w:locked/>
    <w:uiPriority w:val="0"/>
    <w:rPr>
      <w:rFonts w:eastAsia="仿宋_GB2312"/>
      <w:sz w:val="30"/>
      <w:szCs w:val="22"/>
      <w:lang w:bidi="ar-SA"/>
    </w:rPr>
  </w:style>
  <w:style w:type="character" w:customStyle="1" w:styleId="27">
    <w:name w:val="页脚 字符"/>
    <w:basedOn w:val="21"/>
    <w:link w:val="13"/>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字符"/>
    <w:basedOn w:val="21"/>
    <w:link w:val="5"/>
    <w:qFormat/>
    <w:uiPriority w:val="0"/>
    <w:rPr>
      <w:rFonts w:eastAsia="仿宋"/>
      <w:bCs/>
      <w:kern w:val="2"/>
      <w:sz w:val="32"/>
      <w:szCs w:val="32"/>
    </w:rPr>
  </w:style>
  <w:style w:type="paragraph" w:customStyle="1" w:styleId="30">
    <w:name w:val="MsoNormal"/>
    <w:basedOn w:val="1"/>
    <w:qFormat/>
    <w:uiPriority w:val="0"/>
  </w:style>
  <w:style w:type="paragraph" w:customStyle="1" w:styleId="31">
    <w:name w:val="p"/>
    <w:basedOn w:val="1"/>
    <w:qFormat/>
    <w:uiPriority w:val="0"/>
  </w:style>
  <w:style w:type="character" w:customStyle="1" w:styleId="32">
    <w:name w:val="15"/>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3428</Words>
  <Characters>4405</Characters>
  <Lines>1</Lines>
  <Paragraphs>1</Paragraphs>
  <TotalTime>0</TotalTime>
  <ScaleCrop>false</ScaleCrop>
  <LinksUpToDate>false</LinksUpToDate>
  <CharactersWithSpaces>5017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2025-09-16T05:08:36Z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5230B30B1E254F4DAB13B84256596F50_13</vt:lpwstr>
  </property>
  <property fmtid="{D5CDD505-2E9C-101B-9397-08002B2CF9AE}" pid="3" name="KSOProductBuildVer">
    <vt:lpwstr>2052-11.8.2.8053</vt:lpwstr>
  </property>
  <property fmtid="{D5CDD505-2E9C-101B-9397-08002B2CF9AE}" pid="4" name="KSOTemplateDocerSaveRecord">
    <vt:lpwstr>eyJoZGlkIjoiOTYxOGM3ODI5ODI2MmFmNzA3OTNlZTc0NTc5N2MxMGMiLCJ1c2VySWQiOiIxMjgzMTM0OTMwIn0=</vt:lpwstr>
  </property>
</Properties>
</file>