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widowControl/>
        <w:jc w:val="center"/>
        <w:rPr>
          <w:rFonts w:hint="eastAsia" w:ascii="方正小标宋简体" w:eastAsia="方正小标宋简体"/>
          <w:b/>
          <w:bCs/>
          <w:sz w:val="84"/>
          <w:szCs w:val="84"/>
          <w:highlight w:val="none"/>
        </w:rPr>
      </w:pPr>
      <w:r>
        <w:rPr>
          <w:rFonts w:hint="eastAsia" w:ascii="方正小标宋简体" w:eastAsia="方正小标宋简体"/>
          <w:b/>
          <w:bCs/>
          <w:sz w:val="84"/>
          <w:szCs w:val="84"/>
          <w:highlight w:val="none"/>
          <w:lang w:val="en-US" w:eastAsia="zh-CN"/>
        </w:rPr>
        <w:t>2024</w:t>
      </w:r>
      <w:r>
        <w:rPr>
          <w:rFonts w:hint="eastAsia" w:ascii="方正小标宋简体" w:eastAsia="方正小标宋简体"/>
          <w:b/>
          <w:bCs/>
          <w:sz w:val="84"/>
          <w:szCs w:val="84"/>
          <w:highlight w:val="none"/>
        </w:rPr>
        <w:t>年度</w:t>
      </w:r>
    </w:p>
    <w:p>
      <w:pPr>
        <w:widowControl/>
        <w:jc w:val="center"/>
        <w:rPr>
          <w:rFonts w:hint="eastAsia" w:ascii="方正小标宋简体" w:eastAsia="方正小标宋简体"/>
          <w:b/>
          <w:bCs/>
          <w:sz w:val="84"/>
          <w:szCs w:val="84"/>
          <w:highlight w:val="none"/>
        </w:rPr>
      </w:pPr>
      <w:r>
        <w:rPr>
          <w:rFonts w:hint="eastAsia" w:ascii="方正小标宋简体" w:eastAsia="方正小标宋简体"/>
          <w:b/>
          <w:bCs/>
          <w:sz w:val="84"/>
          <w:szCs w:val="84"/>
          <w:highlight w:val="none"/>
        </w:rPr>
        <w:t>厦门市金尚小学</w:t>
      </w:r>
    </w:p>
    <w:p>
      <w:pPr>
        <w:widowControl/>
        <w:jc w:val="center"/>
        <w:rPr>
          <w:rFonts w:hint="eastAsia" w:ascii="方正小标宋简体" w:eastAsia="方正小标宋简体"/>
          <w:b/>
          <w:bCs/>
          <w:sz w:val="84"/>
          <w:szCs w:val="84"/>
          <w:highlight w:val="none"/>
          <w:lang w:val="en-US" w:eastAsia="zh-CN"/>
        </w:rPr>
        <w:sectPr>
          <w:footerReference r:id="rId3" w:type="default"/>
          <w:pgSz w:w="11906" w:h="16838"/>
          <w:pgMar w:top="1440" w:right="1083" w:bottom="1440" w:left="1083"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方正小标宋简体" w:eastAsia="方正小标宋简体"/>
          <w:b/>
          <w:bCs/>
          <w:sz w:val="84"/>
          <w:szCs w:val="84"/>
          <w:highlight w:val="none"/>
          <w:lang w:val="en-US" w:eastAsia="zh-CN"/>
        </w:rPr>
        <w:t>单位</w:t>
      </w:r>
      <w:r>
        <w:rPr>
          <w:rFonts w:hint="eastAsia" w:ascii="方正小标宋简体" w:eastAsia="方正小标宋简体"/>
          <w:b/>
          <w:bCs/>
          <w:sz w:val="84"/>
          <w:szCs w:val="84"/>
          <w:highlight w:val="none"/>
        </w:rPr>
        <w:t>决算</w:t>
      </w:r>
    </w:p>
    <w:sdt>
      <w:sdtPr>
        <w:rPr>
          <w:rFonts w:hint="eastAsia" w:ascii="仿宋" w:hAnsi="仿宋" w:eastAsia="仿宋" w:cs="仿宋"/>
          <w:b/>
          <w:bCs/>
          <w:kern w:val="0"/>
          <w:sz w:val="32"/>
          <w:szCs w:val="32"/>
          <w:lang w:val="en-US" w:eastAsia="zh-CN"/>
        </w:rPr>
        <w:id w:val="147456983"/>
        <w15:color w:val="DBDBDB"/>
        <w:docPartObj>
          <w:docPartGallery w:val="Table of Contents"/>
          <w:docPartUnique/>
        </w:docPartObj>
      </w:sdtPr>
      <w:sdtEndPr>
        <w:rPr>
          <w:rFonts w:hint="eastAsia" w:ascii="宋体" w:hAnsi="宋体" w:eastAsia="宋体" w:cs="Times New Roman"/>
          <w:b/>
          <w:bCs/>
          <w:kern w:val="2"/>
          <w:sz w:val="32"/>
          <w:szCs w:val="32"/>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17"/>
            <w:tabs>
              <w:tab w:val="right" w:leader="dot" w:pos="9730"/>
            </w:tabs>
            <w:rPr>
              <w:rFonts w:asciiTheme="minorHAnsi" w:hAnsiTheme="minorHAnsi"/>
              <w:sz w:val="22"/>
            </w:rP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fldChar w:fldCharType="begin"/>
          </w:r>
          <w:r>
            <w:instrText xml:space="preserve"> HYPERLINK \l "_Toc256000093" </w:instrText>
          </w:r>
          <w:r>
            <w:fldChar w:fldCharType="separate"/>
          </w:r>
          <w:r>
            <w:rPr>
              <w:rStyle w:val="22"/>
              <w:rFonts w:ascii="黑体" w:hAnsi="黑体" w:eastAsia="黑体" w:cs="黑体"/>
            </w:rPr>
            <w:t>第一部分</w:t>
          </w:r>
          <w:r>
            <w:tab/>
          </w:r>
          <w:r>
            <w:fldChar w:fldCharType="begin"/>
          </w:r>
          <w:r>
            <w:instrText xml:space="preserve"> PAGEREF _Toc256000093 \h </w:instrText>
          </w:r>
          <w:r>
            <w:fldChar w:fldCharType="separate"/>
          </w:r>
          <w:r>
            <w:t>4</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"_Toc256000094" </w:instrText>
          </w:r>
          <w:r>
            <w:fldChar w:fldCharType="separate"/>
          </w:r>
          <w:r>
            <w:rPr>
              <w:rStyle w:val="22"/>
              <w:rFonts w:ascii="黑体" w:hAnsi="黑体" w:eastAsia="黑体" w:cs="黑体"/>
            </w:rPr>
            <w:t>单位概况</w:t>
          </w:r>
          <w:r>
            <w:tab/>
          </w:r>
          <w:r>
            <w:fldChar w:fldCharType="begin"/>
          </w:r>
          <w:r>
            <w:instrText xml:space="preserve"> PAGEREF _Toc256000094 \h </w:instrText>
          </w:r>
          <w:r>
            <w:fldChar w:fldCharType="separate"/>
          </w:r>
          <w:r>
            <w:t>4</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"_Toc256000095" </w:instrText>
          </w:r>
          <w:r>
            <w:fldChar w:fldCharType="separate"/>
          </w:r>
          <w:r>
            <w:rPr>
              <w:rStyle w:val="22"/>
              <w:rFonts w:ascii="黑体" w:hAnsi="黑体" w:eastAsia="黑体" w:cs="黑体"/>
            </w:rPr>
            <w:t>一、单位主要职责</w:t>
          </w:r>
          <w:r>
            <w:tab/>
          </w:r>
          <w:r>
            <w:fldChar w:fldCharType="begin"/>
          </w:r>
          <w:r>
            <w:instrText xml:space="preserve"> PAGEREF _Toc256000095 \h </w:instrText>
          </w:r>
          <w:r>
            <w:fldChar w:fldCharType="separate"/>
          </w:r>
          <w:r>
            <w:t>4</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"_Toc256000096" </w:instrText>
          </w:r>
          <w:r>
            <w:fldChar w:fldCharType="separate"/>
          </w:r>
          <w:r>
            <w:rPr>
              <w:rStyle w:val="22"/>
              <w:rFonts w:ascii="黑体" w:hAnsi="黑体" w:eastAsia="黑体" w:cs="黑体"/>
            </w:rPr>
            <w:t>二、单位基本情况</w:t>
          </w:r>
          <w:r>
            <w:tab/>
          </w:r>
          <w:r>
            <w:fldChar w:fldCharType="begin"/>
          </w:r>
          <w:r>
            <w:instrText xml:space="preserve"> PAGEREF _Toc256000096 \h </w:instrText>
          </w:r>
          <w:r>
            <w:fldChar w:fldCharType="separate"/>
          </w:r>
          <w:r>
            <w:t>4</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"_Toc256000097" </w:instrText>
          </w:r>
          <w:r>
            <w:fldChar w:fldCharType="separate"/>
          </w:r>
          <w:r>
            <w:rPr>
              <w:rStyle w:val="22"/>
              <w:rFonts w:ascii="黑体" w:hAnsi="黑体" w:eastAsia="黑体" w:cs="黑体"/>
            </w:rPr>
            <w:t>三、单位主要工作总结</w:t>
          </w:r>
          <w:r>
            <w:tab/>
          </w:r>
          <w:r>
            <w:fldChar w:fldCharType="begin"/>
          </w:r>
          <w:r>
            <w:instrText xml:space="preserve"> PAGEREF _Toc256000097 \h </w:instrText>
          </w:r>
          <w:r>
            <w:fldChar w:fldCharType="separate"/>
          </w:r>
          <w:r>
            <w:t>4</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"_Toc256000098" </w:instrText>
          </w:r>
          <w:r>
            <w:fldChar w:fldCharType="separate"/>
          </w:r>
          <w:r>
            <w:rPr>
              <w:rStyle w:val="22"/>
              <w:rFonts w:ascii="黑体" w:hAnsi="黑体" w:eastAsia="黑体" w:cs="黑体"/>
            </w:rPr>
            <w:t>第二部分</w:t>
          </w:r>
          <w:r>
            <w:tab/>
          </w:r>
          <w:r>
            <w:fldChar w:fldCharType="begin"/>
          </w:r>
          <w:r>
            <w:instrText xml:space="preserve"> PAGEREF _Toc256000098 \h </w:instrText>
          </w:r>
          <w:r>
            <w:fldChar w:fldCharType="separate"/>
          </w:r>
          <w:r>
            <w:t>5</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"_Toc256000099" </w:instrText>
          </w:r>
          <w:r>
            <w:fldChar w:fldCharType="separate"/>
          </w:r>
          <w:r>
            <w:rPr>
              <w:rStyle w:val="22"/>
              <w:rFonts w:ascii="黑体" w:hAnsi="黑体" w:eastAsia="黑体" w:cs="黑体"/>
            </w:rPr>
            <w:t>2024年度决算表</w:t>
          </w:r>
          <w:r>
            <w:tab/>
          </w:r>
          <w:r>
            <w:fldChar w:fldCharType="begin"/>
          </w:r>
          <w:r>
            <w:instrText xml:space="preserve"> PAGEREF _Toc256000099 \h </w:instrText>
          </w:r>
          <w:r>
            <w:fldChar w:fldCharType="separate"/>
          </w:r>
          <w:r>
            <w:t>5</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"_Toc256000100" </w:instrText>
          </w:r>
          <w:r>
            <w:fldChar w:fldCharType="separate"/>
          </w:r>
          <w:r>
            <w:rPr>
              <w:rStyle w:val="22"/>
              <w:rFonts w:ascii="黑体" w:hAnsi="黑体" w:eastAsia="黑体" w:cs="黑体"/>
            </w:rPr>
            <w:t>一、收入支出决算总表</w:t>
          </w:r>
          <w:r>
            <w:tab/>
          </w:r>
          <w:r>
            <w:fldChar w:fldCharType="begin"/>
          </w:r>
          <w:r>
            <w:instrText xml:space="preserve"> PAGEREF _Toc256000100 \h </w:instrText>
          </w:r>
          <w:r>
            <w:fldChar w:fldCharType="separate"/>
          </w:r>
          <w:r>
            <w:t>5</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"_Toc256000101" </w:instrText>
          </w:r>
          <w:r>
            <w:fldChar w:fldCharType="separate"/>
          </w:r>
          <w:r>
            <w:rPr>
              <w:rStyle w:val="22"/>
              <w:rFonts w:ascii="黑体" w:hAnsi="黑体" w:eastAsia="黑体" w:cs="黑体"/>
            </w:rPr>
            <w:t>二、收入决算表</w:t>
          </w:r>
          <w:r>
            <w:tab/>
          </w:r>
          <w:r>
            <w:fldChar w:fldCharType="begin"/>
          </w:r>
          <w:r>
            <w:instrText xml:space="preserve"> PAGEREF _Toc256000101 \h </w:instrText>
          </w:r>
          <w:r>
            <w:fldChar w:fldCharType="separate"/>
          </w:r>
          <w:r>
            <w:t>6</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"_Toc256000102" </w:instrText>
          </w:r>
          <w:r>
            <w:fldChar w:fldCharType="separate"/>
          </w:r>
          <w:r>
            <w:rPr>
              <w:rStyle w:val="22"/>
              <w:rFonts w:ascii="黑体" w:hAnsi="黑体" w:eastAsia="黑体" w:cs="黑体"/>
            </w:rPr>
            <w:t>三、支出决算表</w:t>
          </w:r>
          <w:r>
            <w:tab/>
          </w:r>
          <w:r>
            <w:fldChar w:fldCharType="begin"/>
          </w:r>
          <w:r>
            <w:instrText xml:space="preserve"> PAGEREF _Toc256000102 \h </w:instrText>
          </w:r>
          <w:r>
            <w:fldChar w:fldCharType="separate"/>
          </w:r>
          <w:r>
            <w:t>6</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"_Toc256000103" </w:instrText>
          </w:r>
          <w:r>
            <w:fldChar w:fldCharType="separate"/>
          </w:r>
          <w:r>
            <w:rPr>
              <w:rStyle w:val="22"/>
              <w:rFonts w:ascii="黑体" w:hAnsi="黑体" w:eastAsia="黑体" w:cs="黑体"/>
            </w:rPr>
            <w:t>四、财政拨款收入支出决算总表</w:t>
          </w:r>
          <w:r>
            <w:tab/>
          </w:r>
          <w:r>
            <w:fldChar w:fldCharType="begin"/>
          </w:r>
          <w:r>
            <w:instrText xml:space="preserve"> PAGEREF _Toc256000103 \h </w:instrText>
          </w:r>
          <w:r>
            <w:fldChar w:fldCharType="separate"/>
          </w:r>
          <w:r>
            <w:t>7</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"_Toc256000104" </w:instrText>
          </w:r>
          <w:r>
            <w:fldChar w:fldCharType="separate"/>
          </w:r>
          <w:r>
            <w:rPr>
              <w:rStyle w:val="22"/>
              <w:rFonts w:ascii="黑体" w:hAnsi="黑体" w:eastAsia="黑体" w:cs="黑体"/>
            </w:rPr>
            <w:t>五、一般公共预算财政拨款支出决算表</w:t>
          </w:r>
          <w:r>
            <w:tab/>
          </w:r>
          <w:r>
            <w:fldChar w:fldCharType="begin"/>
          </w:r>
          <w:r>
            <w:instrText xml:space="preserve"> PAGEREF _Toc256000104 \h </w:instrText>
          </w:r>
          <w:r>
            <w:fldChar w:fldCharType="separate"/>
          </w:r>
          <w:r>
            <w:t>8</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"_Toc256000105" </w:instrText>
          </w:r>
          <w:r>
            <w:fldChar w:fldCharType="separate"/>
          </w:r>
          <w:r>
            <w:rPr>
              <w:rStyle w:val="22"/>
              <w:rFonts w:ascii="黑体" w:hAnsi="黑体" w:eastAsia="黑体" w:cs="黑体"/>
            </w:rPr>
            <w:t>六、一般公共预算财政拨款基本支出决算表</w:t>
          </w:r>
          <w:r>
            <w:tab/>
          </w:r>
          <w:r>
            <w:fldChar w:fldCharType="begin"/>
          </w:r>
          <w:r>
            <w:instrText xml:space="preserve"> PAGEREF _Toc256000105 \h </w:instrText>
          </w:r>
          <w:r>
            <w:fldChar w:fldCharType="separate"/>
          </w:r>
          <w:r>
            <w:t>9</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"_Toc256000106" </w:instrText>
          </w:r>
          <w:r>
            <w:fldChar w:fldCharType="separate"/>
          </w:r>
          <w:r>
            <w:rPr>
              <w:rStyle w:val="22"/>
              <w:rFonts w:ascii="黑体" w:hAnsi="黑体" w:eastAsia="黑体" w:cs="黑体"/>
            </w:rPr>
            <w:t>七、一般公共预算财政拨款“三公”经费支出决算表</w:t>
          </w:r>
          <w:r>
            <w:tab/>
          </w:r>
          <w:r>
            <w:fldChar w:fldCharType="begin"/>
          </w:r>
          <w:r>
            <w:instrText xml:space="preserve"> PAGEREF _Toc256000106 \h </w:instrText>
          </w:r>
          <w:r>
            <w:fldChar w:fldCharType="separate"/>
          </w:r>
          <w:r>
            <w:t>10</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"_Toc256000107" </w:instrText>
          </w:r>
          <w:r>
            <w:fldChar w:fldCharType="separate"/>
          </w:r>
          <w:r>
            <w:rPr>
              <w:rStyle w:val="22"/>
              <w:rFonts w:ascii="黑体" w:hAnsi="黑体" w:eastAsia="黑体" w:cs="黑体"/>
            </w:rPr>
            <w:t>八、政府性基金预算财政拨款收入支出决算表</w:t>
          </w:r>
          <w:r>
            <w:tab/>
          </w:r>
          <w:r>
            <w:fldChar w:fldCharType="begin"/>
          </w:r>
          <w:r>
            <w:instrText xml:space="preserve"> PAGEREF _Toc256000107 \h </w:instrText>
          </w:r>
          <w:r>
            <w:fldChar w:fldCharType="separate"/>
          </w:r>
          <w:r>
            <w:t>11</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"_Toc256000108" </w:instrText>
          </w:r>
          <w:r>
            <w:fldChar w:fldCharType="separate"/>
          </w:r>
          <w:r>
            <w:rPr>
              <w:rStyle w:val="22"/>
              <w:rFonts w:ascii="黑体" w:hAnsi="黑体" w:eastAsia="黑体" w:cs="黑体"/>
            </w:rPr>
            <w:t>九、国有资本经营预算财政拨款支出决算表</w:t>
          </w:r>
          <w:r>
            <w:tab/>
          </w:r>
          <w:r>
            <w:fldChar w:fldCharType="begin"/>
          </w:r>
          <w:r>
            <w:instrText xml:space="preserve"> PAGEREF _Toc256000108 \h </w:instrText>
          </w:r>
          <w:r>
            <w:fldChar w:fldCharType="separate"/>
          </w:r>
          <w:r>
            <w:t>11</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"_Toc256000109" </w:instrText>
          </w:r>
          <w:r>
            <w:fldChar w:fldCharType="separate"/>
          </w:r>
          <w:r>
            <w:rPr>
              <w:rStyle w:val="22"/>
              <w:rFonts w:ascii="黑体" w:hAnsi="黑体" w:eastAsia="黑体" w:cs="黑体"/>
            </w:rPr>
            <w:t>第三部分</w:t>
          </w:r>
          <w:r>
            <w:tab/>
          </w:r>
          <w:r>
            <w:fldChar w:fldCharType="begin"/>
          </w:r>
          <w:r>
            <w:instrText xml:space="preserve"> PAGEREF _Toc256000109 \h </w:instrText>
          </w:r>
          <w:r>
            <w:fldChar w:fldCharType="separate"/>
          </w:r>
          <w:r>
            <w:t>12</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"_Toc256000110" </w:instrText>
          </w:r>
          <w:r>
            <w:fldChar w:fldCharType="separate"/>
          </w:r>
          <w:r>
            <w:rPr>
              <w:rStyle w:val="22"/>
              <w:rFonts w:ascii="黑体" w:hAnsi="黑体" w:eastAsia="黑体" w:cs="黑体"/>
            </w:rPr>
            <w:t>2024年度决算情况说明</w:t>
          </w:r>
          <w:r>
            <w:tab/>
          </w:r>
          <w:r>
            <w:fldChar w:fldCharType="begin"/>
          </w:r>
          <w:r>
            <w:instrText xml:space="preserve"> PAGEREF _Toc256000110 \h </w:instrText>
          </w:r>
          <w:r>
            <w:fldChar w:fldCharType="separate"/>
          </w:r>
          <w:r>
            <w:t>12</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"_Toc256000111" </w:instrText>
          </w:r>
          <w:r>
            <w:fldChar w:fldCharType="separate"/>
          </w:r>
          <w:r>
            <w:rPr>
              <w:rStyle w:val="22"/>
              <w:rFonts w:ascii="黑体" w:hAnsi="黑体" w:eastAsia="黑体" w:cs="黑体"/>
            </w:rPr>
            <w:t>一、收入支出决算总体情况说明</w:t>
          </w:r>
          <w:r>
            <w:tab/>
          </w:r>
          <w:r>
            <w:fldChar w:fldCharType="begin"/>
          </w:r>
          <w:r>
            <w:instrText xml:space="preserve"> PAGEREF _Toc256000111 \h </w:instrText>
          </w:r>
          <w:r>
            <w:fldChar w:fldCharType="separate"/>
          </w:r>
          <w:r>
            <w:t>12</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"_Toc256000112" </w:instrText>
          </w:r>
          <w:r>
            <w:fldChar w:fldCharType="separate"/>
          </w:r>
          <w:r>
            <w:rPr>
              <w:rStyle w:val="22"/>
              <w:rFonts w:ascii="黑体" w:hAnsi="黑体" w:eastAsia="黑体" w:cs="黑体"/>
            </w:rPr>
            <w:t>二、财政拨款收入支出决算总体情况说明</w:t>
          </w:r>
          <w:r>
            <w:tab/>
          </w:r>
          <w:r>
            <w:fldChar w:fldCharType="begin"/>
          </w:r>
          <w:r>
            <w:instrText xml:space="preserve"> PAGEREF _Toc256000112 \h </w:instrText>
          </w:r>
          <w:r>
            <w:fldChar w:fldCharType="separate"/>
          </w:r>
          <w:r>
            <w:t>13</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"_Toc256000113" </w:instrText>
          </w:r>
          <w:r>
            <w:fldChar w:fldCharType="separate"/>
          </w:r>
          <w:r>
            <w:rPr>
              <w:rStyle w:val="22"/>
              <w:rFonts w:ascii="黑体" w:hAnsi="黑体" w:eastAsia="黑体" w:cs="黑体"/>
            </w:rPr>
            <w:t>三、一般公共预算拨款支出决算情况说明</w:t>
          </w:r>
          <w:r>
            <w:tab/>
          </w:r>
          <w:r>
            <w:fldChar w:fldCharType="begin"/>
          </w:r>
          <w:r>
            <w:instrText xml:space="preserve"> PAGEREF _Toc256000113 \h </w:instrText>
          </w:r>
          <w:r>
            <w:fldChar w:fldCharType="separate"/>
          </w:r>
          <w:r>
            <w:t>13</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"_Toc256000114" </w:instrText>
          </w:r>
          <w:r>
            <w:fldChar w:fldCharType="separate"/>
          </w:r>
          <w:r>
            <w:rPr>
              <w:rStyle w:val="22"/>
              <w:rFonts w:ascii="黑体" w:hAnsi="黑体" w:eastAsia="黑体" w:cs="黑体"/>
            </w:rPr>
            <w:t>四、政府性基金预算财政拨款支出决算情况说明</w:t>
          </w:r>
          <w:r>
            <w:tab/>
          </w:r>
          <w:r>
            <w:fldChar w:fldCharType="begin"/>
          </w:r>
          <w:r>
            <w:instrText xml:space="preserve"> PAGEREF _Toc256000114 \h </w:instrText>
          </w:r>
          <w:r>
            <w:fldChar w:fldCharType="separate"/>
          </w:r>
          <w:r>
            <w:t>14</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"_Toc256000115" </w:instrText>
          </w:r>
          <w:r>
            <w:fldChar w:fldCharType="separate"/>
          </w:r>
          <w:r>
            <w:rPr>
              <w:rStyle w:val="22"/>
              <w:rFonts w:ascii="黑体" w:hAnsi="黑体" w:eastAsia="黑体" w:cs="黑体"/>
            </w:rPr>
            <w:t>五、国有资本经营预算财政拨款支出决算情况说明</w:t>
          </w:r>
          <w:r>
            <w:tab/>
          </w:r>
          <w:r>
            <w:fldChar w:fldCharType="begin"/>
          </w:r>
          <w:r>
            <w:instrText xml:space="preserve"> PAGEREF _Toc256000115 \h </w:instrText>
          </w:r>
          <w:r>
            <w:fldChar w:fldCharType="separate"/>
          </w:r>
          <w:r>
            <w:t>14</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"_Toc256000116" </w:instrText>
          </w:r>
          <w:r>
            <w:fldChar w:fldCharType="separate"/>
          </w:r>
          <w:r>
            <w:rPr>
              <w:rStyle w:val="22"/>
              <w:rFonts w:ascii="黑体" w:hAnsi="黑体" w:eastAsia="黑体" w:cs="黑体"/>
            </w:rPr>
            <w:t>六、一般公共预算财政拨款基本支出决算情况说明</w:t>
          </w:r>
          <w:r>
            <w:tab/>
          </w:r>
          <w:r>
            <w:fldChar w:fldCharType="begin"/>
          </w:r>
          <w:r>
            <w:instrText xml:space="preserve"> PAGEREF _Toc256000116 \h </w:instrText>
          </w:r>
          <w:r>
            <w:fldChar w:fldCharType="separate"/>
          </w:r>
          <w:r>
            <w:t>14</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"_Toc256000117" </w:instrText>
          </w:r>
          <w:r>
            <w:fldChar w:fldCharType="separate"/>
          </w:r>
          <w:r>
            <w:rPr>
              <w:rStyle w:val="22"/>
              <w:rFonts w:ascii="黑体" w:hAnsi="黑体" w:eastAsia="黑体" w:cs="黑体"/>
            </w:rPr>
            <w:t>七、一般公共预算拨款“三公”经费支出决算情况说明</w:t>
          </w:r>
          <w:r>
            <w:tab/>
          </w:r>
          <w:r>
            <w:fldChar w:fldCharType="begin"/>
          </w:r>
          <w:r>
            <w:instrText xml:space="preserve"> PAGEREF _Toc256000117 \h </w:instrText>
          </w:r>
          <w:r>
            <w:fldChar w:fldCharType="separate"/>
          </w:r>
          <w:r>
            <w:t>15</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"_Toc256000118" </w:instrText>
          </w:r>
          <w:r>
            <w:fldChar w:fldCharType="separate"/>
          </w:r>
          <w:r>
            <w:rPr>
              <w:rStyle w:val="22"/>
              <w:rFonts w:ascii="黑体" w:hAnsi="黑体" w:eastAsia="黑体" w:cs="黑体"/>
            </w:rPr>
            <w:t>八、预算绩效情况说明</w:t>
          </w:r>
          <w:r>
            <w:tab/>
          </w:r>
          <w:r>
            <w:fldChar w:fldCharType="begin"/>
          </w:r>
          <w:r>
            <w:instrText xml:space="preserve"> PAGEREF _Toc256000118 \h </w:instrText>
          </w:r>
          <w:r>
            <w:fldChar w:fldCharType="separate"/>
          </w:r>
          <w:r>
            <w:t>15</w:t>
          </w:r>
          <w:r>
            <w:fldChar w:fldCharType="end"/>
          </w:r>
          <w:r>
            <w:fldChar w:fldCharType="end"/>
          </w:r>
        </w:p>
        <w:p>
          <w:pPr>
            <w:pStyle w:val="10"/>
            <w:tabs>
              <w:tab w:val="right" w:leader="dot" w:pos="9730"/>
            </w:tabs>
            <w:rPr>
              <w:rFonts w:asciiTheme="minorHAnsi" w:hAnsiTheme="minorHAnsi"/>
              <w:sz w:val="22"/>
            </w:rPr>
          </w:pPr>
          <w:r>
            <w:fldChar w:fldCharType="begin"/>
          </w:r>
          <w:r>
            <w:instrText xml:space="preserve"> HYPERLINK \l "_Toc256000119" </w:instrText>
          </w:r>
          <w:r>
            <w:fldChar w:fldCharType="separate"/>
          </w:r>
          <w:r>
            <w:rPr>
              <w:rStyle w:val="22"/>
              <w:rFonts w:ascii="黑体" w:hAnsi="黑体" w:eastAsia="黑体" w:cs="黑体"/>
            </w:rPr>
            <w:t>九、其他重要事项说明</w:t>
          </w:r>
          <w:r>
            <w:tab/>
          </w:r>
          <w:r>
            <w:fldChar w:fldCharType="begin"/>
          </w:r>
          <w:r>
            <w:instrText xml:space="preserve"> PAGEREF _Toc256000119 \h </w:instrText>
          </w:r>
          <w:r>
            <w:fldChar w:fldCharType="separate"/>
          </w:r>
          <w:r>
            <w:t>15</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"_Toc256000120" </w:instrText>
          </w:r>
          <w:r>
            <w:fldChar w:fldCharType="separate"/>
          </w:r>
          <w:r>
            <w:rPr>
              <w:rStyle w:val="22"/>
              <w:rFonts w:ascii="黑体" w:hAnsi="黑体" w:eastAsia="黑体" w:cs="黑体"/>
            </w:rPr>
            <w:t>第四部分</w:t>
          </w:r>
          <w:r>
            <w:tab/>
          </w:r>
          <w:r>
            <w:fldChar w:fldCharType="begin"/>
          </w:r>
          <w:r>
            <w:instrText xml:space="preserve"> PAGEREF _Toc256000120 \h </w:instrText>
          </w:r>
          <w:r>
            <w:fldChar w:fldCharType="separate"/>
          </w:r>
          <w:r>
            <w:t>17</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"_Toc256000121" </w:instrText>
          </w:r>
          <w:r>
            <w:fldChar w:fldCharType="separate"/>
          </w:r>
          <w:r>
            <w:rPr>
              <w:rStyle w:val="22"/>
              <w:rFonts w:ascii="黑体" w:hAnsi="黑体" w:eastAsia="黑体" w:cs="黑体"/>
            </w:rPr>
            <w:t>名词解释</w:t>
          </w:r>
          <w:r>
            <w:tab/>
          </w:r>
          <w:r>
            <w:fldChar w:fldCharType="begin"/>
          </w:r>
          <w:r>
            <w:instrText xml:space="preserve"> PAGEREF _Toc256000121 \h </w:instrText>
          </w:r>
          <w:r>
            <w:fldChar w:fldCharType="separate"/>
          </w:r>
          <w:r>
            <w:t>17</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"_Toc256000122" </w:instrText>
          </w:r>
          <w:r>
            <w:fldChar w:fldCharType="separate"/>
          </w:r>
          <w:r>
            <w:rPr>
              <w:rStyle w:val="22"/>
              <w:rFonts w:ascii="黑体" w:hAnsi="黑体" w:eastAsia="黑体" w:cs="黑体"/>
            </w:rPr>
            <w:t>第五部分</w:t>
          </w:r>
          <w:r>
            <w:tab/>
          </w:r>
          <w:r>
            <w:fldChar w:fldCharType="begin"/>
          </w:r>
          <w:r>
            <w:instrText xml:space="preserve"> PAGEREF _Toc256000122 \h </w:instrText>
          </w:r>
          <w:r>
            <w:fldChar w:fldCharType="separate"/>
          </w:r>
          <w:r>
            <w:t>19</w:t>
          </w:r>
          <w:r>
            <w:fldChar w:fldCharType="end"/>
          </w:r>
          <w:r>
            <w:fldChar w:fldCharType="end"/>
          </w:r>
        </w:p>
        <w:p>
          <w:pPr>
            <w:pStyle w:val="17"/>
            <w:tabs>
              <w:tab w:val="right" w:leader="dot" w:pos="9730"/>
            </w:tabs>
            <w:rPr>
              <w:rFonts w:asciiTheme="minorHAnsi" w:hAnsiTheme="minorHAnsi"/>
              <w:sz w:val="22"/>
            </w:rPr>
          </w:pPr>
          <w:r>
            <w:fldChar w:fldCharType="begin"/>
          </w:r>
          <w:r>
            <w:instrText xml:space="preserve"> HYPERLINK \l "_Toc256000123" </w:instrText>
          </w:r>
          <w:r>
            <w:fldChar w:fldCharType="separate"/>
          </w:r>
          <w:r>
            <w:rPr>
              <w:rStyle w:val="22"/>
              <w:rFonts w:ascii="黑体" w:hAnsi="黑体" w:eastAsia="黑体" w:cs="黑体"/>
            </w:rPr>
            <w:t>附件</w:t>
          </w:r>
          <w:r>
            <w:tab/>
          </w:r>
          <w:r>
            <w:fldChar w:fldCharType="begin"/>
          </w:r>
          <w:r>
            <w:instrText xml:space="preserve"> PAGEREF _Toc256000123 \h </w:instrText>
          </w:r>
          <w:r>
            <w:fldChar w:fldCharType="separate"/>
          </w:r>
          <w:r>
            <w:t>19</w:t>
          </w:r>
          <w:r>
            <w:fldChar w:fldCharType="end"/>
          </w:r>
          <w:r>
            <w:fldChar w:fldCharType="end"/>
          </w:r>
        </w:p>
        <w:p>
          <w:pPr>
            <w:adjustRightInd w:val="0"/>
            <w:snapToGrid w:val="0"/>
            <w:rPr>
              <w:rFonts w:hint="eastAsia" w:ascii="仿宋" w:hAnsi="仿宋" w:eastAsia="仿宋" w:cs="仿宋"/>
              <w:b w:val="0"/>
              <w:bCs/>
              <w:kern w:val="2"/>
              <w:sz w:val="32"/>
              <w:szCs w:val="32"/>
              <w:lang w:val="en-US" w:eastAsia="zh-CN" w:bidi="ar-SA"/>
            </w:rPr>
            <w:sectPr>
              <w:footerReference r:id="rId4" w:type="default"/>
              <w:pgSz w:w="11906" w:h="16838"/>
              <w:pgMar w:top="1440" w:right="1083" w:bottom="1440" w:left="1083" w:header="0" w:footer="720" w:gutter="0"/>
              <w:cols w:space="0" w:num="1"/>
              <w:rtlGutter w:val="0"/>
              <w:docGrid w:type="lines" w:linePitch="317" w:charSpace="0"/>
            </w:sectPr>
          </w:pPr>
          <w:r>
            <w:rPr>
              <w:rFonts w:hint="eastAsia" w:ascii="仿宋" w:hAnsi="仿宋" w:eastAsia="仿宋" w:cs="仿宋"/>
              <w:b w:val="0"/>
              <w:bCs/>
              <w:kern w:val="2"/>
              <w:sz w:val="32"/>
              <w:szCs w:val="32"/>
              <w:lang w:val="en-US" w:eastAsia="zh-CN" w:bidi="ar-SA"/>
            </w:rPr>
            <w:fldChar w:fldCharType="end"/>
          </w:r>
        </w:p>
      </w:sdtContent>
    </w:sdt>
    <w:p>
      <w:pPr>
        <w:pStyle w:val="3"/>
        <w:keepNext w:val="0"/>
        <w:keepLines w:val="0"/>
        <w:spacing w:before="100" w:after="100" w:line="240" w:lineRule="auto"/>
        <w:ind w:left="0" w:right="0" w:firstLine="0" w:firstLineChars="0"/>
        <w:jc w:val="center"/>
        <w:rPr>
          <w:rFonts w:hint="eastAsia" w:ascii="仿宋" w:hAnsi="仿宋" w:eastAsia="仿宋" w:cs="仿宋"/>
          <w:b/>
          <w:spacing w:val="0"/>
          <w:sz w:val="32"/>
          <w:szCs w:val="32"/>
        </w:rPr>
      </w:pPr>
      <w:bookmarkStart w:id="0" w:name="_Toc256000093"/>
      <w:bookmarkStart w:id="1" w:name="_Toc256000000"/>
      <w:bookmarkStart w:id="2" w:name="_Toc256000031"/>
      <w:bookmarkStart w:id="3" w:name="_Toc256000062"/>
      <w:bookmarkStart w:id="4" w:name="a000"/>
      <w:r>
        <w:rPr>
          <w:rFonts w:hint="eastAsia" w:ascii="仿宋" w:hAnsi="仿宋" w:eastAsia="仿宋" w:cs="仿宋"/>
          <w:b/>
          <w:spacing w:val="0"/>
          <w:sz w:val="32"/>
          <w:szCs w:val="32"/>
        </w:rPr>
        <w:t>第一部分</w:t>
      </w:r>
      <w:bookmarkEnd w:id="0"/>
      <w:bookmarkEnd w:id="1"/>
      <w:bookmarkEnd w:id="2"/>
      <w:bookmarkEnd w:id="3"/>
      <w:r>
        <w:rPr>
          <w:rFonts w:hint="eastAsia" w:ascii="仿宋" w:hAnsi="仿宋" w:cs="仿宋"/>
          <w:b/>
          <w:spacing w:val="0"/>
          <w:sz w:val="32"/>
          <w:szCs w:val="32"/>
          <w:lang w:val="en-US" w:eastAsia="zh-CN"/>
        </w:rPr>
        <w:t xml:space="preserve"> </w:t>
      </w:r>
      <w:bookmarkStart w:id="5" w:name="_Toc256000094"/>
      <w:bookmarkStart w:id="6" w:name="_Toc256000063"/>
      <w:bookmarkStart w:id="7" w:name="_Toc256000001"/>
      <w:bookmarkStart w:id="8" w:name="_Toc256000032"/>
      <w:r>
        <w:rPr>
          <w:rFonts w:hint="eastAsia" w:ascii="仿宋" w:hAnsi="仿宋" w:eastAsia="仿宋" w:cs="仿宋"/>
          <w:b/>
          <w:spacing w:val="0"/>
          <w:sz w:val="32"/>
          <w:szCs w:val="32"/>
        </w:rPr>
        <w:t>单位概况</w:t>
      </w:r>
      <w:bookmarkEnd w:id="5"/>
      <w:bookmarkEnd w:id="6"/>
      <w:bookmarkEnd w:id="7"/>
      <w:bookmarkEnd w:id="8"/>
    </w:p>
    <w:p>
      <w:pPr>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仿宋" w:hAnsi="仿宋" w:eastAsia="仿宋" w:cs="仿宋"/>
          <w:b/>
          <w:bCs/>
          <w:kern w:val="0"/>
          <w:sz w:val="32"/>
          <w:szCs w:val="32"/>
        </w:rPr>
      </w:pPr>
      <w:bookmarkStart w:id="9" w:name="_Toc256000002"/>
      <w:bookmarkStart w:id="10" w:name="_Toc256000095"/>
      <w:bookmarkStart w:id="11" w:name="_Toc256000064"/>
      <w:bookmarkStart w:id="12" w:name="_Toc256000033"/>
      <w:r>
        <w:rPr>
          <w:rFonts w:hint="eastAsia" w:ascii="仿宋" w:hAnsi="仿宋" w:eastAsia="仿宋" w:cs="仿宋"/>
          <w:b/>
          <w:spacing w:val="0"/>
          <w:sz w:val="32"/>
          <w:szCs w:val="32"/>
        </w:rPr>
        <w:t>一、单位主要职责</w:t>
      </w:r>
      <w:bookmarkEnd w:id="9"/>
      <w:bookmarkEnd w:id="10"/>
      <w:bookmarkEnd w:id="11"/>
      <w:bookmarkEnd w:id="12"/>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厦门市金尚小学单位的主要职责是：</w:t>
      </w:r>
    </w:p>
    <w:p>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 xml:space="preserve">（一）实施小学义务教育，促进基础教育发展。 </w:t>
      </w:r>
    </w:p>
    <w:p>
      <w:pPr>
        <w:pStyle w:val="29"/>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pacing w:val="0"/>
          <w:kern w:val="0"/>
          <w:sz w:val="32"/>
          <w:szCs w:val="32"/>
        </w:rPr>
      </w:pPr>
      <w:r>
        <w:rPr>
          <w:rFonts w:hint="eastAsia" w:ascii="仿宋" w:hAnsi="仿宋" w:eastAsia="仿宋" w:cs="仿宋"/>
          <w:b w:val="0"/>
          <w:bCs w:val="0"/>
          <w:kern w:val="0"/>
          <w:sz w:val="32"/>
          <w:szCs w:val="32"/>
        </w:rPr>
        <w:t>（二）小学学历教育。</w:t>
      </w:r>
    </w:p>
    <w:p>
      <w:pPr>
        <w:keepNext w:val="0"/>
        <w:keepLines w:val="0"/>
        <w:pageBreakBefore w:val="0"/>
        <w:kinsoku/>
        <w:wordWrap/>
        <w:overflowPunct/>
        <w:topLinePunct w:val="0"/>
        <w:autoSpaceDE/>
        <w:autoSpaceDN/>
        <w:bidi w:val="0"/>
        <w:adjustRightInd/>
        <w:snapToGrid/>
        <w:spacing w:before="0" w:after="0" w:line="560" w:lineRule="exact"/>
        <w:ind w:left="0" w:right="0" w:firstLine="643" w:firstLineChars="200"/>
        <w:jc w:val="both"/>
        <w:textAlignment w:val="auto"/>
        <w:outlineLvl w:val="9"/>
        <w:rPr>
          <w:rFonts w:hint="eastAsia" w:ascii="仿宋" w:hAnsi="仿宋" w:eastAsia="仿宋" w:cs="仿宋"/>
          <w:b/>
          <w:bCs/>
          <w:kern w:val="0"/>
          <w:sz w:val="32"/>
          <w:szCs w:val="32"/>
        </w:rPr>
      </w:pPr>
      <w:bookmarkStart w:id="13" w:name="_Toc256000034"/>
      <w:bookmarkStart w:id="14" w:name="_Toc256000003"/>
      <w:bookmarkStart w:id="15" w:name="_Toc256000096"/>
      <w:bookmarkStart w:id="16" w:name="_Toc256000065"/>
      <w:r>
        <w:rPr>
          <w:rFonts w:hint="eastAsia" w:ascii="仿宋" w:hAnsi="仿宋" w:eastAsia="仿宋" w:cs="仿宋"/>
          <w:b/>
          <w:spacing w:val="0"/>
          <w:sz w:val="32"/>
          <w:szCs w:val="32"/>
        </w:rPr>
        <w:t>二、单位基本情况</w:t>
      </w:r>
      <w:bookmarkEnd w:id="13"/>
      <w:bookmarkEnd w:id="14"/>
      <w:bookmarkEnd w:id="15"/>
      <w:bookmarkEnd w:id="16"/>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从决算单位构成看，</w:t>
      </w:r>
      <w:r>
        <w:rPr>
          <w:rFonts w:hint="eastAsia" w:ascii="仿宋" w:hAnsi="仿宋" w:eastAsia="仿宋" w:cs="仿宋"/>
          <w:spacing w:val="0"/>
          <w:kern w:val="0"/>
          <w:sz w:val="28"/>
          <w:szCs w:val="28"/>
          <w:highlight w:val="none"/>
        </w:rPr>
        <w:t>本单位</w:t>
      </w:r>
      <w:r>
        <w:rPr>
          <w:rFonts w:hint="eastAsia" w:ascii="仿宋" w:hAnsi="仿宋" w:eastAsia="仿宋" w:cs="仿宋"/>
          <w:b w:val="0"/>
          <w:bCs w:val="0"/>
          <w:kern w:val="0"/>
          <w:sz w:val="32"/>
          <w:szCs w:val="32"/>
        </w:rPr>
        <w:t>包括</w:t>
      </w:r>
      <w:r>
        <w:rPr>
          <w:rFonts w:hint="eastAsia" w:ascii="仿宋" w:hAnsi="仿宋" w:eastAsia="仿宋" w:cs="仿宋"/>
          <w:b w:val="0"/>
          <w:bCs w:val="0"/>
          <w:kern w:val="0"/>
          <w:sz w:val="32"/>
          <w:szCs w:val="32"/>
          <w:lang w:val="en-US" w:eastAsia="zh-CN"/>
        </w:rPr>
        <w:t>4</w:t>
      </w:r>
      <w:r>
        <w:rPr>
          <w:rFonts w:hint="eastAsia" w:ascii="仿宋" w:hAnsi="仿宋" w:eastAsia="仿宋" w:cs="仿宋"/>
          <w:b w:val="0"/>
          <w:bCs w:val="0"/>
          <w:kern w:val="0"/>
          <w:sz w:val="32"/>
          <w:szCs w:val="32"/>
        </w:rPr>
        <w:t>个</w:t>
      </w:r>
      <w:r>
        <w:rPr>
          <w:rFonts w:hint="eastAsia" w:ascii="仿宋" w:hAnsi="仿宋" w:eastAsia="仿宋" w:cs="仿宋"/>
          <w:b w:val="0"/>
          <w:bCs w:val="0"/>
          <w:kern w:val="0"/>
          <w:sz w:val="32"/>
          <w:szCs w:val="32"/>
          <w:lang w:eastAsia="zh-CN"/>
        </w:rPr>
        <w:t>内设机构</w:t>
      </w:r>
      <w:r>
        <w:rPr>
          <w:rFonts w:hint="eastAsia" w:ascii="仿宋" w:hAnsi="仿宋" w:eastAsia="仿宋" w:cs="仿宋"/>
          <w:b w:val="0"/>
          <w:bCs w:val="0"/>
          <w:kern w:val="0"/>
          <w:sz w:val="32"/>
          <w:szCs w:val="32"/>
          <w:lang w:val="en-US" w:eastAsia="zh-CN"/>
        </w:rPr>
        <w:t>,</w:t>
      </w:r>
      <w:r>
        <w:rPr>
          <w:rFonts w:hint="eastAsia" w:ascii="仿宋" w:hAnsi="仿宋" w:eastAsia="仿宋" w:cs="仿宋"/>
          <w:spacing w:val="0"/>
          <w:kern w:val="0"/>
          <w:sz w:val="32"/>
          <w:szCs w:val="32"/>
        </w:rPr>
        <w:t>其中：列入2024年决算编制范围的单位详细情况见下表:</w:t>
      </w:r>
    </w:p>
    <w:tbl>
      <w:tblPr>
        <w:tblStyle w:val="23"/>
        <w:tblW w:w="76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241"/>
        <w:gridCol w:w="5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55" w:hRule="atLeast"/>
          <w:tblHeader/>
          <w:jc w:val="center"/>
        </w:trPr>
        <w:tc>
          <w:tcPr>
            <w:tcW w:w="2241" w:type="dxa"/>
            <w:noWrap w:val="0"/>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9"/>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序号</w:t>
            </w:r>
          </w:p>
        </w:tc>
        <w:tc>
          <w:tcPr>
            <w:tcW w:w="5398" w:type="dxa"/>
            <w:noWrap w:val="0"/>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9"/>
              <w:rPr>
                <w:rFonts w:hint="eastAsia" w:ascii="仿宋" w:hAnsi="仿宋" w:eastAsia="仿宋" w:cs="仿宋"/>
                <w:b w:val="0"/>
                <w:bCs w:val="0"/>
                <w:i w:val="0"/>
                <w:iCs w:val="0"/>
                <w:smallCaps w:val="0"/>
                <w:color w:val="000000"/>
                <w:kern w:val="0"/>
                <w:sz w:val="32"/>
                <w:szCs w:val="32"/>
              </w:rPr>
            </w:pPr>
            <w:r>
              <w:rPr>
                <w:rFonts w:hint="eastAsia" w:ascii="仿宋" w:hAnsi="仿宋" w:eastAsia="仿宋" w:cs="仿宋"/>
                <w:b w:val="0"/>
                <w:bCs w:val="0"/>
                <w:i w:val="0"/>
                <w:iCs w:val="0"/>
                <w:smallCaps w:val="0"/>
                <w:color w:val="000000"/>
                <w:kern w:val="0"/>
                <w:sz w:val="32"/>
                <w:szCs w:val="32"/>
              </w:rPr>
              <w:t>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464" w:hRule="atLeast"/>
          <w:tblHeader/>
          <w:jc w:val="center"/>
        </w:trPr>
        <w:tc>
          <w:tcPr>
            <w:tcW w:w="2241" w:type="dxa"/>
            <w:noWrap w:val="0"/>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9"/>
              <w:rPr>
                <w:rFonts w:hint="eastAsia" w:ascii="仿宋" w:hAnsi="仿宋" w:eastAsia="仿宋" w:cs="仿宋"/>
                <w:b w:val="0"/>
                <w:bCs w:val="0"/>
                <w:i w:val="0"/>
                <w:iCs w:val="0"/>
                <w:smallCaps w:val="0"/>
                <w:color w:val="000000"/>
                <w:kern w:val="0"/>
                <w:sz w:val="32"/>
                <w:szCs w:val="32"/>
                <w:lang w:val="en-US" w:eastAsia="zh-CN"/>
              </w:rPr>
            </w:pPr>
            <w:r>
              <w:rPr>
                <w:rFonts w:hint="eastAsia" w:ascii="仿宋" w:hAnsi="仿宋" w:eastAsia="仿宋" w:cs="仿宋"/>
                <w:b w:val="0"/>
                <w:bCs w:val="0"/>
                <w:i w:val="0"/>
                <w:iCs w:val="0"/>
                <w:smallCaps w:val="0"/>
                <w:color w:val="000000"/>
                <w:kern w:val="0"/>
                <w:sz w:val="32"/>
                <w:szCs w:val="32"/>
                <w:lang w:val="en-US" w:eastAsia="zh-CN"/>
              </w:rPr>
              <w:t>1</w:t>
            </w:r>
          </w:p>
        </w:tc>
        <w:tc>
          <w:tcPr>
            <w:tcW w:w="5398" w:type="dxa"/>
            <w:noWrap w:val="0"/>
            <w:tcMar>
              <w:top w:w="22" w:type="dxa"/>
              <w:left w:w="22" w:type="dxa"/>
              <w:bottom w:w="22" w:type="dxa"/>
              <w:right w:w="22"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9"/>
              <w:rPr>
                <w:rFonts w:hint="eastAsia" w:ascii="仿宋" w:hAnsi="仿宋" w:eastAsia="仿宋" w:cs="仿宋"/>
                <w:b w:val="0"/>
                <w:bCs w:val="0"/>
                <w:i w:val="0"/>
                <w:iCs w:val="0"/>
                <w:smallCaps w:val="0"/>
                <w:color w:val="000000"/>
                <w:kern w:val="0"/>
                <w:sz w:val="32"/>
                <w:szCs w:val="32"/>
                <w:lang w:eastAsia="zh-CN"/>
              </w:rPr>
            </w:pPr>
            <w:r>
              <w:rPr>
                <w:rFonts w:hint="eastAsia" w:ascii="仿宋" w:hAnsi="仿宋" w:eastAsia="仿宋" w:cs="仿宋"/>
                <w:b w:val="0"/>
                <w:bCs w:val="0"/>
                <w:kern w:val="0"/>
                <w:sz w:val="32"/>
                <w:szCs w:val="32"/>
              </w:rPr>
              <w:t>厦门市</w:t>
            </w:r>
            <w:r>
              <w:rPr>
                <w:rFonts w:hint="eastAsia" w:ascii="仿宋" w:hAnsi="仿宋" w:eastAsia="仿宋" w:cs="仿宋"/>
                <w:b w:val="0"/>
                <w:bCs w:val="0"/>
                <w:kern w:val="0"/>
                <w:sz w:val="32"/>
                <w:szCs w:val="32"/>
                <w:lang w:eastAsia="zh-CN"/>
              </w:rPr>
              <w:t>金尚</w:t>
            </w:r>
            <w:r>
              <w:rPr>
                <w:rFonts w:hint="eastAsia" w:ascii="仿宋" w:hAnsi="仿宋" w:eastAsia="仿宋" w:cs="仿宋"/>
                <w:b w:val="0"/>
                <w:bCs w:val="0"/>
                <w:kern w:val="0"/>
                <w:sz w:val="32"/>
                <w:szCs w:val="32"/>
              </w:rPr>
              <w:t>小学</w:t>
            </w:r>
          </w:p>
        </w:tc>
      </w:tr>
    </w:tbl>
    <w:p>
      <w:pPr>
        <w:keepNext w:val="0"/>
        <w:keepLines w:val="0"/>
        <w:pageBreakBefore w:val="0"/>
        <w:kinsoku/>
        <w:wordWrap/>
        <w:overflowPunct/>
        <w:topLinePunct w:val="0"/>
        <w:autoSpaceDE/>
        <w:autoSpaceDN/>
        <w:bidi w:val="0"/>
        <w:adjustRightInd/>
        <w:snapToGrid/>
        <w:spacing w:before="0" w:after="0" w:line="560" w:lineRule="exact"/>
        <w:ind w:left="0" w:right="0" w:firstLine="643" w:firstLineChars="200"/>
        <w:jc w:val="both"/>
        <w:textAlignment w:val="auto"/>
        <w:outlineLvl w:val="9"/>
        <w:rPr>
          <w:rFonts w:hint="eastAsia" w:ascii="仿宋" w:hAnsi="仿宋" w:eastAsia="仿宋" w:cs="仿宋"/>
          <w:b/>
          <w:bCs/>
          <w:kern w:val="0"/>
          <w:sz w:val="32"/>
          <w:szCs w:val="32"/>
        </w:rPr>
      </w:pPr>
      <w:bookmarkStart w:id="17" w:name="_Toc256000097"/>
      <w:bookmarkStart w:id="18" w:name="_Toc256000066"/>
      <w:bookmarkStart w:id="19" w:name="_Toc256000004"/>
      <w:bookmarkStart w:id="20" w:name="_Toc256000035"/>
      <w:r>
        <w:rPr>
          <w:rFonts w:hint="eastAsia" w:ascii="仿宋" w:hAnsi="仿宋" w:eastAsia="仿宋" w:cs="仿宋"/>
          <w:b/>
          <w:spacing w:val="0"/>
          <w:sz w:val="32"/>
          <w:szCs w:val="32"/>
        </w:rPr>
        <w:t>三、单位主要工作总结</w:t>
      </w:r>
      <w:bookmarkEnd w:id="17"/>
      <w:bookmarkEnd w:id="18"/>
      <w:bookmarkEnd w:id="19"/>
      <w:bookmarkEnd w:id="20"/>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2024年，厦门市金尚小学主要任务是：</w:t>
      </w:r>
      <w:r>
        <w:rPr>
          <w:rFonts w:hint="eastAsia" w:ascii="仿宋" w:hAnsi="仿宋" w:eastAsia="仿宋" w:cs="仿宋"/>
          <w:snapToGrid w:val="0"/>
          <w:color w:val="000000"/>
          <w:spacing w:val="0"/>
          <w:kern w:val="0"/>
          <w:sz w:val="32"/>
          <w:szCs w:val="32"/>
          <w:lang w:val="en-US" w:eastAsia="zh-CN" w:bidi="ar"/>
        </w:rPr>
        <w:t>在区教育工委的领导下，按照新时代党的建设总要求和区教育工委部署，</w:t>
      </w:r>
      <w:r>
        <w:rPr>
          <w:rFonts w:hint="eastAsia" w:ascii="仿宋" w:hAnsi="仿宋" w:eastAsia="仿宋" w:cs="仿宋"/>
          <w:bCs/>
          <w:color w:val="auto"/>
          <w:kern w:val="2"/>
          <w:sz w:val="32"/>
          <w:szCs w:val="32"/>
          <w:u w:color="000000"/>
          <w:lang w:val="en-US" w:eastAsia="zh-CN" w:bidi="ar-SA"/>
        </w:rPr>
        <w:t>以人民为中心发展教育，加快建设高质量教育体系，发展素质教育，促进教育公平精神，认真落实中共中央办公厅、国务院、教育部文件精神，结合市、区教育局、市教科院和区进修学校的工作部署，紧扣立德树人的根本任务，立足“双实验区”建设目标，以教学研训评一体化为核心，着力教师队伍建设，规范教改实践，扎实开展学校的各项工作。</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pacing w:val="0"/>
          <w:kern w:val="0"/>
          <w:sz w:val="32"/>
          <w:szCs w:val="32"/>
        </w:rPr>
        <w:t>围绕上述任务，重点完成了以下工作：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 xml:space="preserve">一、深化理论武装，坚定不移用党的创新理论指导实践。 </w:t>
      </w:r>
    </w:p>
    <w:p>
      <w:pPr>
        <w:keepNext w:val="0"/>
        <w:keepLines w:val="0"/>
        <w:pageBreakBefore w:val="0"/>
        <w:kinsoku/>
        <w:wordWrap/>
        <w:overflowPunct/>
        <w:topLinePunct w:val="0"/>
        <w:autoSpaceDE/>
        <w:autoSpaceDN/>
        <w:bidi w:val="0"/>
        <w:adjustRightInd/>
        <w:snapToGrid/>
        <w:spacing w:beforeAutospacing="0" w:afterAutospacing="0" w:line="560" w:lineRule="exact"/>
        <w:ind w:right="0" w:firstLine="640" w:firstLineChars="200"/>
        <w:jc w:val="both"/>
        <w:textAlignment w:val="auto"/>
        <w:outlineLvl w:val="9"/>
        <w:rPr>
          <w:rFonts w:hint="eastAsia"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二、力促特色创新做德育,多维一体建设显成效。</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zh-CN" w:eastAsia="zh-CN" w:bidi="ar-SA"/>
        </w:rPr>
        <w:t>三、推动教改深化</w:t>
      </w:r>
      <w:r>
        <w:rPr>
          <w:rFonts w:hint="eastAsia" w:ascii="仿宋" w:hAnsi="仿宋" w:eastAsia="仿宋" w:cs="仿宋"/>
          <w:spacing w:val="0"/>
          <w:kern w:val="0"/>
          <w:sz w:val="32"/>
          <w:szCs w:val="32"/>
          <w:lang w:val="en-US" w:eastAsia="zh-CN" w:bidi="ar-SA"/>
        </w:rPr>
        <w:t>做教务，持续推进</w:t>
      </w:r>
      <w:r>
        <w:rPr>
          <w:rFonts w:hint="eastAsia" w:ascii="仿宋" w:hAnsi="仿宋" w:eastAsia="仿宋" w:cs="仿宋"/>
          <w:spacing w:val="0"/>
          <w:sz w:val="32"/>
          <w:szCs w:val="32"/>
          <w:lang w:val="en-US" w:eastAsia="zh-CN"/>
        </w:rPr>
        <w:t>点燃教育实践。</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spacing w:val="0"/>
          <w:kern w:val="0"/>
          <w:sz w:val="32"/>
          <w:szCs w:val="32"/>
          <w:lang w:val="en-US" w:eastAsia="zh-CN" w:bidi="ar-SA"/>
        </w:rPr>
      </w:pPr>
      <w:r>
        <w:rPr>
          <w:rFonts w:hint="eastAsia" w:ascii="仿宋" w:hAnsi="仿宋" w:eastAsia="仿宋" w:cs="仿宋"/>
          <w:spacing w:val="0"/>
          <w:sz w:val="32"/>
          <w:szCs w:val="32"/>
          <w:lang w:val="en-US" w:eastAsia="zh-CN"/>
        </w:rPr>
        <w:t>四、开展科学教育创特色，点燃创新火种培育英才。</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0" w:firstLineChars="200"/>
        <w:jc w:val="both"/>
        <w:textAlignment w:val="auto"/>
        <w:outlineLvl w:val="9"/>
        <w:rPr>
          <w:rFonts w:hint="eastAsia"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五、扎实暖心服务做后勤，筑牢校园保障无忧环境。</w:t>
      </w:r>
    </w:p>
    <w:p>
      <w:pPr>
        <w:pStyle w:val="3"/>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6"/>
          <w:szCs w:val="36"/>
        </w:rPr>
      </w:pPr>
      <w:bookmarkStart w:id="21" w:name="_Toc256000036"/>
      <w:bookmarkStart w:id="22" w:name="_Toc256000098"/>
      <w:bookmarkStart w:id="23" w:name="_Toc256000005"/>
      <w:bookmarkStart w:id="24" w:name="_Toc256000067"/>
      <w:r>
        <w:rPr>
          <w:rFonts w:hint="eastAsia" w:ascii="仿宋" w:hAnsi="仿宋" w:eastAsia="仿宋" w:cs="仿宋"/>
          <w:b/>
          <w:spacing w:val="0"/>
          <w:sz w:val="32"/>
          <w:szCs w:val="32"/>
        </w:rPr>
        <w:t>第二部分</w:t>
      </w:r>
      <w:bookmarkEnd w:id="21"/>
      <w:bookmarkEnd w:id="22"/>
      <w:bookmarkEnd w:id="23"/>
      <w:bookmarkEnd w:id="24"/>
      <w:r>
        <w:rPr>
          <w:rFonts w:hint="eastAsia" w:ascii="仿宋" w:hAnsi="仿宋" w:eastAsia="仿宋" w:cs="仿宋"/>
          <w:b/>
          <w:spacing w:val="0"/>
          <w:sz w:val="32"/>
          <w:szCs w:val="32"/>
        </w:rPr>
        <w:t> </w:t>
      </w:r>
      <w:bookmarkStart w:id="25" w:name="_Toc256000099"/>
      <w:bookmarkStart w:id="26" w:name="_Toc256000037"/>
      <w:bookmarkStart w:id="27" w:name="_Toc256000006"/>
      <w:bookmarkStart w:id="28" w:name="_Toc256000068"/>
      <w:r>
        <w:rPr>
          <w:rFonts w:hint="eastAsia" w:ascii="仿宋" w:hAnsi="仿宋" w:eastAsia="仿宋" w:cs="仿宋"/>
          <w:b/>
          <w:spacing w:val="0"/>
          <w:sz w:val="32"/>
          <w:szCs w:val="32"/>
        </w:rPr>
        <w:t>2024年度决算表</w:t>
      </w:r>
      <w:bookmarkEnd w:id="25"/>
      <w:bookmarkEnd w:id="26"/>
      <w:bookmarkEnd w:id="27"/>
      <w:bookmarkEnd w:id="28"/>
    </w:p>
    <w:p>
      <w:pPr>
        <w:widowControl/>
        <w:spacing w:before="240" w:after="240"/>
        <w:jc w:val="left"/>
        <w:rPr>
          <w:rFonts w:hint="eastAsia" w:ascii="仿宋" w:hAnsi="仿宋" w:eastAsia="仿宋" w:cs="仿宋"/>
          <w:b/>
          <w:bCs/>
          <w:kern w:val="0"/>
          <w:sz w:val="32"/>
          <w:szCs w:val="32"/>
        </w:rPr>
      </w:pPr>
      <w:bookmarkStart w:id="29" w:name="_Toc256000038"/>
      <w:bookmarkStart w:id="30" w:name="_Toc256000069"/>
      <w:bookmarkStart w:id="31" w:name="_Toc256000007"/>
      <w:bookmarkStart w:id="32" w:name="_Toc256000100"/>
      <w:r>
        <w:rPr>
          <w:rFonts w:hint="eastAsia" w:ascii="仿宋" w:hAnsi="仿宋" w:eastAsia="仿宋" w:cs="仿宋"/>
          <w:b/>
          <w:spacing w:val="0"/>
          <w:sz w:val="32"/>
          <w:szCs w:val="32"/>
        </w:rPr>
        <w:t>一、收入支出决算总表</w:t>
      </w:r>
      <w:bookmarkEnd w:id="29"/>
      <w:bookmarkEnd w:id="30"/>
      <w:bookmarkEnd w:id="31"/>
      <w:bookmarkEnd w:id="32"/>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188" w:type="dxa"/>
        <w:jc w:val="center"/>
        <w:tblInd w:w="-528" w:type="dxa"/>
        <w:tblLayout w:type="fixed"/>
        <w:tblCellMar>
          <w:top w:w="15" w:type="dxa"/>
          <w:left w:w="15" w:type="dxa"/>
          <w:bottom w:w="15" w:type="dxa"/>
          <w:right w:w="15" w:type="dxa"/>
        </w:tblCellMar>
      </w:tblPr>
      <w:tblGrid>
        <w:gridCol w:w="2970"/>
        <w:gridCol w:w="495"/>
        <w:gridCol w:w="801"/>
        <w:gridCol w:w="3300"/>
        <w:gridCol w:w="517"/>
        <w:gridCol w:w="1105"/>
      </w:tblGrid>
      <w:tr>
        <w:tblPrEx>
          <w:tblLayout w:type="fixed"/>
          <w:tblCellMar>
            <w:top w:w="15" w:type="dxa"/>
            <w:left w:w="15" w:type="dxa"/>
            <w:bottom w:w="15" w:type="dxa"/>
            <w:right w:w="15" w:type="dxa"/>
          </w:tblCellMar>
        </w:tblPrEx>
        <w:trPr>
          <w:trHeight w:val="90" w:hRule="atLeast"/>
          <w:tblHeader/>
          <w:jc w:val="center"/>
        </w:trPr>
        <w:tc>
          <w:tcPr>
            <w:tcW w:w="9188" w:type="dxa"/>
            <w:gridSpan w:val="6"/>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收入支出决算总表</w:t>
            </w:r>
          </w:p>
        </w:tc>
      </w:tr>
      <w:tr>
        <w:tblPrEx>
          <w:tblLayout w:type="fixed"/>
          <w:tblCellMar>
            <w:top w:w="15" w:type="dxa"/>
            <w:left w:w="15" w:type="dxa"/>
            <w:bottom w:w="15" w:type="dxa"/>
            <w:right w:w="15" w:type="dxa"/>
          </w:tblCellMar>
        </w:tblPrEx>
        <w:trPr>
          <w:trHeight w:val="0" w:hRule="atLeast"/>
          <w:tblHeader/>
          <w:jc w:val="center"/>
        </w:trPr>
        <w:tc>
          <w:tcPr>
            <w:tcW w:w="297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单位：厦门市金尚小学</w:t>
            </w:r>
          </w:p>
        </w:tc>
        <w:tc>
          <w:tcPr>
            <w:tcW w:w="49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0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622"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4266"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w:t>
            </w:r>
          </w:p>
        </w:tc>
        <w:tc>
          <w:tcPr>
            <w:tcW w:w="4922"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一、一般公共预算财政拨款收入</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3,139.91</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一、一般公共服务支出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二、政府性基金预算财政拨款收入</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二、外交支出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三、国有资本经营预算财政拨款收入</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三、国防支出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四、上级补助收入</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四、公共安全支出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五、事业收入</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五、教育支出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2,654.64</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六、经营收入</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六、科学技术支出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七、附属单位上缴收入</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七、文化旅游体育与传媒支出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八、其他收入</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八、社会保障和就业支出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363.57</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九、卫生健康支出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109.35</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3,143.36</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3,143.36</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使用非财政拨款结余（含专用结余）</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结余分配</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9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4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80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3,143.36</w:t>
            </w:r>
          </w:p>
        </w:tc>
        <w:tc>
          <w:tcPr>
            <w:tcW w:w="330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51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10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3,143.36</w:t>
            </w:r>
          </w:p>
        </w:tc>
      </w:tr>
      <w:tr>
        <w:tblPrEx>
          <w:tblLayout w:type="fixed"/>
          <w:tblCellMar>
            <w:top w:w="15" w:type="dxa"/>
            <w:left w:w="15" w:type="dxa"/>
            <w:bottom w:w="15" w:type="dxa"/>
            <w:right w:w="15" w:type="dxa"/>
          </w:tblCellMar>
        </w:tblPrEx>
        <w:trPr>
          <w:trHeight w:val="0" w:hRule="atLeast"/>
          <w:jc w:val="center"/>
        </w:trPr>
        <w:tc>
          <w:tcPr>
            <w:tcW w:w="9188" w:type="dxa"/>
            <w:gridSpan w:val="6"/>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w:t>
            </w:r>
            <w:r>
              <w:rPr>
                <w:rFonts w:ascii="Times New Roman" w:hAnsi="Times New Roman" w:eastAsia="Times New Roman" w:cs="Times New Roman"/>
                <w:b w:val="0"/>
                <w:bCs w:val="0"/>
                <w:i w:val="0"/>
                <w:iCs w:val="0"/>
                <w:smallCaps w:val="0"/>
                <w:color w:val="000000"/>
                <w:kern w:val="0"/>
                <w:sz w:val="18"/>
                <w:szCs w:val="18"/>
              </w:rPr>
              <w:t>1.</w:t>
            </w:r>
            <w:r>
              <w:rPr>
                <w:rFonts w:ascii="宋体" w:hAnsi="宋体" w:eastAsia="宋体" w:cs="宋体"/>
                <w:b w:val="0"/>
                <w:bCs w:val="0"/>
                <w:i w:val="0"/>
                <w:iCs w:val="0"/>
                <w:smallCaps w:val="0"/>
                <w:color w:val="000000"/>
                <w:kern w:val="0"/>
                <w:sz w:val="18"/>
                <w:szCs w:val="18"/>
              </w:rPr>
              <w:t>本表反映部门本年度的总收支和年末结转结余情况。</w:t>
            </w:r>
          </w:p>
        </w:tc>
      </w:tr>
      <w:tr>
        <w:tblPrEx>
          <w:tblLayout w:type="fixed"/>
          <w:tblCellMar>
            <w:top w:w="15" w:type="dxa"/>
            <w:left w:w="15" w:type="dxa"/>
            <w:bottom w:w="15" w:type="dxa"/>
            <w:right w:w="15" w:type="dxa"/>
          </w:tblCellMar>
        </w:tblPrEx>
        <w:trPr>
          <w:trHeight w:val="0" w:hRule="atLeast"/>
          <w:jc w:val="center"/>
        </w:trPr>
        <w:tc>
          <w:tcPr>
            <w:tcW w:w="9188" w:type="dxa"/>
            <w:gridSpan w:val="6"/>
            <w:noWrap w:val="0"/>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r>
              <w:rPr>
                <w:rFonts w:ascii="宋体" w:hAnsi="宋体" w:eastAsia="宋体" w:cs="宋体"/>
                <w:b w:val="0"/>
                <w:bCs w:val="0"/>
                <w:i w:val="0"/>
                <w:iCs w:val="0"/>
                <w:smallCaps w:val="0"/>
                <w:color w:val="000000"/>
                <w:kern w:val="0"/>
                <w:sz w:val="18"/>
                <w:szCs w:val="18"/>
              </w:rPr>
              <w:t>本套报表金额单位转换时可能存在尾数误差。</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5"/>
        <w:keepNext w:val="0"/>
        <w:keepLines w:val="0"/>
        <w:spacing w:before="100" w:after="100" w:line="240" w:lineRule="auto"/>
        <w:ind w:left="720" w:right="0" w:hanging="720" w:firstLineChars="0"/>
        <w:rPr>
          <w:rFonts w:hint="eastAsia" w:ascii="仿宋" w:hAnsi="仿宋" w:eastAsia="仿宋" w:cs="仿宋"/>
          <w:b/>
          <w:bCs/>
          <w:kern w:val="0"/>
          <w:sz w:val="32"/>
          <w:szCs w:val="32"/>
        </w:rPr>
      </w:pPr>
      <w:bookmarkStart w:id="33" w:name="_Toc256000039"/>
      <w:bookmarkStart w:id="34" w:name="_Toc256000008"/>
      <w:bookmarkStart w:id="35" w:name="_Toc256000101"/>
      <w:bookmarkStart w:id="36" w:name="_Toc256000070"/>
      <w:r>
        <w:rPr>
          <w:rFonts w:hint="eastAsia" w:ascii="仿宋" w:hAnsi="仿宋" w:eastAsia="仿宋" w:cs="仿宋"/>
          <w:b/>
          <w:spacing w:val="0"/>
          <w:sz w:val="32"/>
          <w:szCs w:val="32"/>
        </w:rPr>
        <w:t>二、收入决算表</w:t>
      </w:r>
      <w:bookmarkEnd w:id="33"/>
      <w:bookmarkEnd w:id="34"/>
      <w:bookmarkEnd w:id="35"/>
      <w:bookmarkEnd w:id="36"/>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296" w:type="dxa"/>
        <w:jc w:val="center"/>
        <w:tblInd w:w="-230" w:type="dxa"/>
        <w:tblLayout w:type="fixed"/>
        <w:tblCellMar>
          <w:top w:w="15" w:type="dxa"/>
          <w:left w:w="15" w:type="dxa"/>
          <w:bottom w:w="15" w:type="dxa"/>
          <w:right w:w="15" w:type="dxa"/>
        </w:tblCellMar>
      </w:tblPr>
      <w:tblGrid>
        <w:gridCol w:w="672"/>
        <w:gridCol w:w="2063"/>
        <w:gridCol w:w="779"/>
        <w:gridCol w:w="840"/>
        <w:gridCol w:w="912"/>
        <w:gridCol w:w="1008"/>
        <w:gridCol w:w="1007"/>
        <w:gridCol w:w="1008"/>
        <w:gridCol w:w="1007"/>
      </w:tblGrid>
      <w:tr>
        <w:tblPrEx>
          <w:tblLayout w:type="fixed"/>
          <w:tblCellMar>
            <w:top w:w="15" w:type="dxa"/>
            <w:left w:w="15" w:type="dxa"/>
            <w:bottom w:w="15" w:type="dxa"/>
            <w:right w:w="15" w:type="dxa"/>
          </w:tblCellMar>
        </w:tblPrEx>
        <w:trPr>
          <w:trHeight w:val="0" w:hRule="atLeast"/>
          <w:tblHeader/>
          <w:jc w:val="center"/>
        </w:trPr>
        <w:tc>
          <w:tcPr>
            <w:tcW w:w="9296"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32"/>
                <w:szCs w:val="32"/>
              </w:rPr>
              <w:t>收入决算表</w:t>
            </w:r>
          </w:p>
        </w:tc>
      </w:tr>
      <w:tr>
        <w:tblPrEx>
          <w:tblLayout w:type="fixed"/>
          <w:tblCellMar>
            <w:top w:w="15" w:type="dxa"/>
            <w:left w:w="15" w:type="dxa"/>
            <w:bottom w:w="15" w:type="dxa"/>
            <w:right w:w="15" w:type="dxa"/>
          </w:tblCellMar>
        </w:tblPrEx>
        <w:trPr>
          <w:trHeight w:val="0" w:hRule="atLeast"/>
          <w:jc w:val="center"/>
        </w:trPr>
        <w:tc>
          <w:tcPr>
            <w:tcW w:w="4354"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部门</w:t>
            </w:r>
            <w:r>
              <w:rPr>
                <w:rFonts w:ascii="Times New Roman" w:hAnsi="Times New Roman" w:eastAsia="Times New Roman" w:cs="Times New Roman"/>
                <w:b w:val="0"/>
                <w:bCs w:val="0"/>
                <w:i w:val="0"/>
                <w:iCs w:val="0"/>
                <w:smallCaps w:val="0"/>
                <w:color w:val="000000"/>
                <w:kern w:val="0"/>
                <w:sz w:val="16"/>
                <w:szCs w:val="16"/>
              </w:rPr>
              <w:t>/</w:t>
            </w:r>
            <w:r>
              <w:rPr>
                <w:rFonts w:ascii="宋体" w:hAnsi="宋体" w:eastAsia="宋体" w:cs="宋体"/>
                <w:b w:val="0"/>
                <w:bCs w:val="0"/>
                <w:i w:val="0"/>
                <w:iCs w:val="0"/>
                <w:smallCaps w:val="0"/>
                <w:color w:val="000000"/>
                <w:kern w:val="0"/>
                <w:sz w:val="16"/>
                <w:szCs w:val="16"/>
              </w:rPr>
              <w:t>单位：厦门市金尚小学</w:t>
            </w:r>
          </w:p>
        </w:tc>
        <w:tc>
          <w:tcPr>
            <w:tcW w:w="91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2024</w:t>
            </w:r>
            <w:r>
              <w:rPr>
                <w:rFonts w:ascii="宋体" w:hAnsi="宋体" w:eastAsia="宋体" w:cs="宋体"/>
                <w:b w:val="0"/>
                <w:bCs w:val="0"/>
                <w:i w:val="0"/>
                <w:iCs w:val="0"/>
                <w:smallCaps w:val="0"/>
                <w:color w:val="000000"/>
                <w:kern w:val="0"/>
                <w:sz w:val="16"/>
                <w:szCs w:val="16"/>
              </w:rPr>
              <w:t>年度</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015"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r>
              <w:rPr>
                <w:rFonts w:ascii="宋体" w:hAnsi="宋体" w:eastAsia="宋体" w:cs="宋体"/>
                <w:b w:val="0"/>
                <w:bCs w:val="0"/>
                <w:i w:val="0"/>
                <w:iCs w:val="0"/>
                <w:smallCaps w:val="0"/>
                <w:color w:val="000000"/>
                <w:kern w:val="0"/>
                <w:sz w:val="16"/>
                <w:szCs w:val="16"/>
              </w:rPr>
              <w:t>金额单位：万元</w:t>
            </w:r>
          </w:p>
        </w:tc>
      </w:tr>
      <w:tr>
        <w:tblPrEx>
          <w:tblLayout w:type="fixed"/>
          <w:tblCellMar>
            <w:top w:w="15" w:type="dxa"/>
            <w:left w:w="15" w:type="dxa"/>
            <w:bottom w:w="15" w:type="dxa"/>
            <w:right w:w="15" w:type="dxa"/>
          </w:tblCellMar>
        </w:tblPrEx>
        <w:trPr>
          <w:trHeight w:val="0" w:hRule="atLeast"/>
          <w:tblHeader/>
          <w:jc w:val="center"/>
        </w:trPr>
        <w:tc>
          <w:tcPr>
            <w:tcW w:w="273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项目</w:t>
            </w:r>
          </w:p>
        </w:tc>
        <w:tc>
          <w:tcPr>
            <w:tcW w:w="77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本年收入合计</w:t>
            </w:r>
          </w:p>
        </w:tc>
        <w:tc>
          <w:tcPr>
            <w:tcW w:w="84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财政拨款收入</w:t>
            </w:r>
            <w:r>
              <w:rPr>
                <w:rFonts w:ascii="Times New Roman" w:hAnsi="Times New Roman" w:eastAsia="Times New Roman" w:cs="Times New Roman"/>
                <w:b w:val="0"/>
                <w:bCs w:val="0"/>
                <w:i w:val="0"/>
                <w:iCs w:val="0"/>
                <w:smallCaps w:val="0"/>
                <w:color w:val="000000"/>
                <w:kern w:val="0"/>
                <w:sz w:val="16"/>
                <w:szCs w:val="16"/>
              </w:rPr>
              <w:t xml:space="preserve"> </w:t>
            </w:r>
          </w:p>
        </w:tc>
        <w:tc>
          <w:tcPr>
            <w:tcW w:w="91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上级补助收入</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事业收入</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经营收入</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附属单位上缴收入</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其他收入</w:t>
            </w:r>
          </w:p>
        </w:tc>
      </w:tr>
      <w:tr>
        <w:tblPrEx>
          <w:tblLayout w:type="fixed"/>
          <w:tblCellMar>
            <w:top w:w="15" w:type="dxa"/>
            <w:left w:w="15" w:type="dxa"/>
            <w:bottom w:w="15" w:type="dxa"/>
            <w:right w:w="15" w:type="dxa"/>
          </w:tblCellMar>
        </w:tblPrEx>
        <w:trPr>
          <w:trHeight w:val="312" w:hRule="atLeast"/>
          <w:tblHeader/>
          <w:jc w:val="center"/>
        </w:trPr>
        <w:tc>
          <w:tcPr>
            <w:tcW w:w="67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科目代码</w:t>
            </w:r>
          </w:p>
        </w:tc>
        <w:tc>
          <w:tcPr>
            <w:tcW w:w="206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科目名称</w:t>
            </w:r>
          </w:p>
        </w:tc>
        <w:tc>
          <w:tcPr>
            <w:tcW w:w="779"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6"/>
                <w:szCs w:val="16"/>
              </w:rPr>
            </w:pPr>
          </w:p>
        </w:tc>
        <w:tc>
          <w:tcPr>
            <w:tcW w:w="840"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6"/>
                <w:szCs w:val="16"/>
              </w:rPr>
            </w:pPr>
          </w:p>
        </w:tc>
        <w:tc>
          <w:tcPr>
            <w:tcW w:w="91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6"/>
                <w:szCs w:val="16"/>
              </w:rPr>
            </w:pPr>
          </w:p>
        </w:tc>
        <w:tc>
          <w:tcPr>
            <w:tcW w:w="1008"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6"/>
                <w:szCs w:val="16"/>
              </w:rPr>
            </w:pPr>
          </w:p>
        </w:tc>
        <w:tc>
          <w:tcPr>
            <w:tcW w:w="100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6"/>
                <w:szCs w:val="16"/>
              </w:rPr>
            </w:pPr>
          </w:p>
        </w:tc>
        <w:tc>
          <w:tcPr>
            <w:tcW w:w="1008"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6"/>
                <w:szCs w:val="16"/>
              </w:rPr>
            </w:pPr>
          </w:p>
        </w:tc>
        <w:tc>
          <w:tcPr>
            <w:tcW w:w="100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6"/>
                <w:szCs w:val="16"/>
              </w:rPr>
            </w:pPr>
          </w:p>
        </w:tc>
      </w:tr>
      <w:tr>
        <w:tblPrEx>
          <w:tblLayout w:type="fixed"/>
          <w:tblCellMar>
            <w:top w:w="15" w:type="dxa"/>
            <w:left w:w="15" w:type="dxa"/>
            <w:bottom w:w="15" w:type="dxa"/>
            <w:right w:w="15" w:type="dxa"/>
          </w:tblCellMar>
        </w:tblPrEx>
        <w:trPr>
          <w:trHeight w:val="312" w:hRule="atLeast"/>
          <w:tblHeader/>
          <w:jc w:val="center"/>
        </w:trPr>
        <w:tc>
          <w:tcPr>
            <w:tcW w:w="67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6"/>
                <w:szCs w:val="16"/>
              </w:rPr>
            </w:pPr>
          </w:p>
        </w:tc>
        <w:tc>
          <w:tcPr>
            <w:tcW w:w="206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6"/>
                <w:szCs w:val="16"/>
              </w:rPr>
            </w:pPr>
          </w:p>
        </w:tc>
        <w:tc>
          <w:tcPr>
            <w:tcW w:w="779"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6"/>
                <w:szCs w:val="16"/>
              </w:rPr>
            </w:pPr>
          </w:p>
        </w:tc>
        <w:tc>
          <w:tcPr>
            <w:tcW w:w="840"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6"/>
                <w:szCs w:val="16"/>
              </w:rPr>
            </w:pPr>
          </w:p>
        </w:tc>
        <w:tc>
          <w:tcPr>
            <w:tcW w:w="91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6"/>
                <w:szCs w:val="16"/>
              </w:rPr>
            </w:pPr>
          </w:p>
        </w:tc>
        <w:tc>
          <w:tcPr>
            <w:tcW w:w="1008"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6"/>
                <w:szCs w:val="16"/>
              </w:rPr>
            </w:pPr>
          </w:p>
        </w:tc>
        <w:tc>
          <w:tcPr>
            <w:tcW w:w="100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6"/>
                <w:szCs w:val="16"/>
              </w:rPr>
            </w:pPr>
          </w:p>
        </w:tc>
        <w:tc>
          <w:tcPr>
            <w:tcW w:w="1008"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6"/>
                <w:szCs w:val="16"/>
              </w:rPr>
            </w:pPr>
          </w:p>
        </w:tc>
        <w:tc>
          <w:tcPr>
            <w:tcW w:w="100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6"/>
                <w:szCs w:val="16"/>
              </w:rPr>
            </w:pPr>
          </w:p>
        </w:tc>
      </w:tr>
      <w:tr>
        <w:tblPrEx>
          <w:tblLayout w:type="fixed"/>
          <w:tblCellMar>
            <w:top w:w="15" w:type="dxa"/>
            <w:left w:w="15" w:type="dxa"/>
            <w:bottom w:w="15" w:type="dxa"/>
            <w:right w:w="15" w:type="dxa"/>
          </w:tblCellMar>
        </w:tblPrEx>
        <w:trPr>
          <w:trHeight w:val="0" w:hRule="atLeast"/>
          <w:jc w:val="center"/>
        </w:trPr>
        <w:tc>
          <w:tcPr>
            <w:tcW w:w="273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栏次</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7</w:t>
            </w:r>
          </w:p>
        </w:tc>
      </w:tr>
      <w:tr>
        <w:tblPrEx>
          <w:tblLayout w:type="fixed"/>
          <w:tblCellMar>
            <w:top w:w="15" w:type="dxa"/>
            <w:left w:w="15" w:type="dxa"/>
            <w:bottom w:w="15" w:type="dxa"/>
            <w:right w:w="15" w:type="dxa"/>
          </w:tblCellMar>
        </w:tblPrEx>
        <w:trPr>
          <w:trHeight w:val="0" w:hRule="atLeast"/>
          <w:jc w:val="center"/>
        </w:trPr>
        <w:tc>
          <w:tcPr>
            <w:tcW w:w="273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合计</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3,143.36</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3,143.36</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205</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教育支出</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2,654.64</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2,654.64</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20502</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普通教育</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2,212.38</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2,212.38</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2050202</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小学教育</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2,057.59</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2,057.59</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2050299</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其他普通教育支出</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154.79</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154.79</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20509</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教育费附加安排的支出</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441.7</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441.7</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2050999</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其他教育费附加安排的支出</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441.7</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441.7</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20599</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其他教育支出</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0.55</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0.55</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2059999</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其他教育支出</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0.55</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0.55</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208</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社会保障和就业支出</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363.57</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363.57</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20805</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行政事业单位养老支出</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363.57</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363.57</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2080502</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事业单位离退休</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92.93</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92.93</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2080505</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机关事业单位基本养老保险缴费支出</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169.03</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169.03</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2080506</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机关事业单位职业年金缴费支出</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101.61</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101.61</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210</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卫生健康支出</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109.35</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109.35</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21011</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行政事业单位医疗</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109.35</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109.35</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2101102</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事业单位医疗</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72.37</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72.37</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2101199</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其他行政事业单位医疗支出</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36.98</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36.98</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221</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住房保障支出</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12.35</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12.35</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22102</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住房改革支出</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12.35</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12.35</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2210203</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购房补贴</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12.35</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12.35</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229</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其他支出</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3.45</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3.45</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22960</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彩票公益金安排的支出</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3.45</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3.45</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67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2296003</w:t>
            </w:r>
          </w:p>
        </w:tc>
        <w:tc>
          <w:tcPr>
            <w:tcW w:w="206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用于体育事业的彩票公益金支出</w:t>
            </w:r>
          </w:p>
        </w:tc>
        <w:tc>
          <w:tcPr>
            <w:tcW w:w="77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3.45</w:t>
            </w:r>
          </w:p>
        </w:tc>
        <w:tc>
          <w:tcPr>
            <w:tcW w:w="84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3.45</w:t>
            </w:r>
          </w:p>
        </w:tc>
        <w:tc>
          <w:tcPr>
            <w:tcW w:w="9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0" w:hRule="atLeast"/>
          <w:jc w:val="center"/>
        </w:trPr>
        <w:tc>
          <w:tcPr>
            <w:tcW w:w="9296"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注：本表反映部门本年度取得的各项收入情况。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5"/>
        <w:keepNext w:val="0"/>
        <w:keepLines w:val="0"/>
        <w:spacing w:before="100" w:after="100" w:line="240" w:lineRule="auto"/>
        <w:ind w:left="0" w:leftChars="0" w:right="0" w:firstLine="0" w:firstLineChars="0"/>
        <w:rPr>
          <w:rFonts w:hint="eastAsia" w:ascii="仿宋" w:hAnsi="仿宋" w:eastAsia="仿宋" w:cs="仿宋"/>
          <w:b/>
          <w:bCs/>
          <w:kern w:val="0"/>
          <w:sz w:val="32"/>
          <w:szCs w:val="32"/>
        </w:rPr>
      </w:pPr>
      <w:bookmarkStart w:id="37" w:name="_Toc256000009"/>
      <w:bookmarkStart w:id="38" w:name="_Toc256000071"/>
      <w:bookmarkStart w:id="39" w:name="_Toc256000040"/>
      <w:bookmarkStart w:id="40" w:name="_Toc256000102"/>
      <w:r>
        <w:rPr>
          <w:rFonts w:hint="eastAsia" w:ascii="仿宋" w:hAnsi="仿宋" w:eastAsia="仿宋" w:cs="仿宋"/>
          <w:b/>
          <w:spacing w:val="0"/>
          <w:sz w:val="32"/>
          <w:szCs w:val="32"/>
        </w:rPr>
        <w:t>三、支出决算表</w:t>
      </w:r>
      <w:bookmarkEnd w:id="37"/>
      <w:bookmarkEnd w:id="38"/>
      <w:bookmarkEnd w:id="39"/>
      <w:bookmarkEnd w:id="40"/>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066" w:type="dxa"/>
        <w:jc w:val="center"/>
        <w:tblInd w:w="0" w:type="dxa"/>
        <w:tblLayout w:type="fixed"/>
        <w:tblCellMar>
          <w:top w:w="15" w:type="dxa"/>
          <w:left w:w="15" w:type="dxa"/>
          <w:bottom w:w="15" w:type="dxa"/>
          <w:right w:w="15" w:type="dxa"/>
        </w:tblCellMar>
      </w:tblPr>
      <w:tblGrid>
        <w:gridCol w:w="929"/>
        <w:gridCol w:w="2604"/>
        <w:gridCol w:w="922"/>
        <w:gridCol w:w="922"/>
        <w:gridCol w:w="923"/>
        <w:gridCol w:w="922"/>
        <w:gridCol w:w="922"/>
        <w:gridCol w:w="922"/>
      </w:tblGrid>
      <w:tr>
        <w:tblPrEx>
          <w:tblLayout w:type="fixed"/>
          <w:tblCellMar>
            <w:top w:w="15" w:type="dxa"/>
            <w:left w:w="15" w:type="dxa"/>
            <w:bottom w:w="15" w:type="dxa"/>
            <w:right w:w="15" w:type="dxa"/>
          </w:tblCellMar>
        </w:tblPrEx>
        <w:trPr>
          <w:trHeight w:val="0" w:hRule="atLeast"/>
          <w:tblHeader/>
          <w:jc w:val="center"/>
        </w:trPr>
        <w:tc>
          <w:tcPr>
            <w:tcW w:w="9066" w:type="dxa"/>
            <w:gridSpan w:val="8"/>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支出决算表</w:t>
            </w:r>
          </w:p>
        </w:tc>
      </w:tr>
      <w:tr>
        <w:tblPrEx>
          <w:tblLayout w:type="fixed"/>
          <w:tblCellMar>
            <w:top w:w="15" w:type="dxa"/>
            <w:left w:w="15" w:type="dxa"/>
            <w:bottom w:w="15" w:type="dxa"/>
            <w:right w:w="15" w:type="dxa"/>
          </w:tblCellMar>
        </w:tblPrEx>
        <w:trPr>
          <w:trHeight w:val="0" w:hRule="atLeast"/>
          <w:jc w:val="center"/>
        </w:trPr>
        <w:tc>
          <w:tcPr>
            <w:tcW w:w="4455"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单位：厦门市金尚小学</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92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44"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tblHeader/>
          <w:jc w:val="center"/>
        </w:trPr>
        <w:tc>
          <w:tcPr>
            <w:tcW w:w="353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92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上缴上级支出</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经营支出</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对附属单位补助支出</w:t>
            </w:r>
          </w:p>
        </w:tc>
      </w:tr>
      <w:tr>
        <w:tblPrEx>
          <w:tblLayout w:type="fixed"/>
          <w:tblCellMar>
            <w:top w:w="15" w:type="dxa"/>
            <w:left w:w="15" w:type="dxa"/>
            <w:bottom w:w="15" w:type="dxa"/>
            <w:right w:w="15" w:type="dxa"/>
          </w:tblCellMar>
        </w:tblPrEx>
        <w:trPr>
          <w:trHeight w:val="0" w:hRule="atLeast"/>
          <w:tblHeader/>
          <w:jc w:val="center"/>
        </w:trPr>
        <w:tc>
          <w:tcPr>
            <w:tcW w:w="929"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260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922" w:type="dxa"/>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3" w:type="dxa"/>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tblHeader/>
          <w:jc w:val="center"/>
        </w:trPr>
        <w:tc>
          <w:tcPr>
            <w:tcW w:w="929"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604"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3" w:type="dxa"/>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353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rPr>
          <w:trHeight w:val="0" w:hRule="atLeast"/>
          <w:jc w:val="center"/>
        </w:trPr>
        <w:tc>
          <w:tcPr>
            <w:tcW w:w="3533"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3,143.36</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2,592.73</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550.63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2,654.64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2,107.46</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547.18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2,212.38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2,107.46</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104.93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2,057.59</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2,057.59</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154.79</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49.87</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104.93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441.7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441.7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441.7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441.7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0.55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0.55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2059999</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0.55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0.55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363.57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363.57</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363.57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363.57</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92.93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92.93</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169.03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169.03</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101.61</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101.61</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109.35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109.35</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109.35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109.35</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72.37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72.37</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36.98</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36.98</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2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260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8"/>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注：本表反映部门本年度各项支出情况。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r>
        <w:rPr>
          <w:rFonts w:ascii="Times New Roman" w:hAnsi="Times New Roman" w:eastAsia="Times New Roman" w:cs="Times New Roman"/>
          <w:spacing w:val="0"/>
          <w:kern w:val="0"/>
          <w:sz w:val="27"/>
          <w:szCs w:val="27"/>
        </w:rPr>
        <w:t> </w:t>
      </w:r>
    </w:p>
    <w:p>
      <w:pPr>
        <w:pStyle w:val="5"/>
        <w:keepNext w:val="0"/>
        <w:keepLines w:val="0"/>
        <w:spacing w:before="100" w:after="100" w:line="240" w:lineRule="auto"/>
        <w:ind w:left="720" w:right="0" w:hanging="720" w:firstLineChars="0"/>
        <w:rPr>
          <w:rFonts w:hint="eastAsia" w:ascii="仿宋" w:hAnsi="仿宋" w:eastAsia="仿宋" w:cs="仿宋"/>
          <w:b/>
          <w:bCs/>
          <w:kern w:val="0"/>
          <w:sz w:val="32"/>
          <w:szCs w:val="32"/>
        </w:rPr>
      </w:pPr>
      <w:bookmarkStart w:id="41" w:name="_Toc256000072"/>
      <w:bookmarkStart w:id="42" w:name="_Toc256000041"/>
      <w:bookmarkStart w:id="43" w:name="_Toc256000103"/>
      <w:bookmarkStart w:id="44" w:name="_Toc256000010"/>
      <w:r>
        <w:rPr>
          <w:rFonts w:hint="eastAsia" w:ascii="仿宋" w:hAnsi="仿宋" w:eastAsia="仿宋" w:cs="仿宋"/>
          <w:b/>
          <w:spacing w:val="0"/>
          <w:sz w:val="32"/>
          <w:szCs w:val="32"/>
        </w:rPr>
        <w:t>四、财政拨款收入支出决算总表</w:t>
      </w:r>
      <w:bookmarkEnd w:id="41"/>
      <w:bookmarkEnd w:id="42"/>
      <w:bookmarkEnd w:id="43"/>
      <w:bookmarkEnd w:id="44"/>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10039" w:type="dxa"/>
        <w:jc w:val="center"/>
        <w:tblInd w:w="-740" w:type="dxa"/>
        <w:tblLayout w:type="fixed"/>
        <w:tblCellMar>
          <w:top w:w="15" w:type="dxa"/>
          <w:left w:w="15" w:type="dxa"/>
          <w:bottom w:w="15" w:type="dxa"/>
          <w:right w:w="15" w:type="dxa"/>
        </w:tblCellMar>
      </w:tblPr>
      <w:tblGrid>
        <w:gridCol w:w="2413"/>
        <w:gridCol w:w="341"/>
        <w:gridCol w:w="634"/>
        <w:gridCol w:w="2523"/>
        <w:gridCol w:w="420"/>
        <w:gridCol w:w="766"/>
        <w:gridCol w:w="1019"/>
        <w:gridCol w:w="946"/>
        <w:gridCol w:w="977"/>
      </w:tblGrid>
      <w:tr>
        <w:tblPrEx>
          <w:tblLayout w:type="fixed"/>
          <w:tblCellMar>
            <w:top w:w="15" w:type="dxa"/>
            <w:left w:w="15" w:type="dxa"/>
            <w:bottom w:w="15" w:type="dxa"/>
            <w:right w:w="15" w:type="dxa"/>
          </w:tblCellMar>
        </w:tblPrEx>
        <w:trPr>
          <w:tblHeader/>
          <w:jc w:val="center"/>
        </w:trPr>
        <w:tc>
          <w:tcPr>
            <w:tcW w:w="10039"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32"/>
                <w:szCs w:val="32"/>
              </w:rPr>
              <w:t>财政拨款收入支出决算总表</w:t>
            </w:r>
          </w:p>
        </w:tc>
      </w:tr>
      <w:tr>
        <w:tblPrEx>
          <w:tblLayout w:type="fixed"/>
          <w:tblCellMar>
            <w:top w:w="15" w:type="dxa"/>
            <w:left w:w="15" w:type="dxa"/>
            <w:bottom w:w="15" w:type="dxa"/>
            <w:right w:w="15" w:type="dxa"/>
          </w:tblCellMar>
        </w:tblPrEx>
        <w:trPr>
          <w:tblHeader/>
          <w:jc w:val="center"/>
        </w:trPr>
        <w:tc>
          <w:tcPr>
            <w:tcW w:w="24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部门</w:t>
            </w:r>
            <w:r>
              <w:rPr>
                <w:rFonts w:ascii="Times New Roman" w:hAnsi="Times New Roman" w:eastAsia="Times New Roman" w:cs="Times New Roman"/>
                <w:b w:val="0"/>
                <w:bCs w:val="0"/>
                <w:i w:val="0"/>
                <w:iCs w:val="0"/>
                <w:smallCaps w:val="0"/>
                <w:color w:val="000000"/>
                <w:kern w:val="0"/>
                <w:sz w:val="16"/>
                <w:szCs w:val="16"/>
              </w:rPr>
              <w:t>/</w:t>
            </w:r>
            <w:r>
              <w:rPr>
                <w:rFonts w:ascii="宋体" w:hAnsi="宋体" w:eastAsia="宋体" w:cs="宋体"/>
                <w:b w:val="0"/>
                <w:bCs w:val="0"/>
                <w:i w:val="0"/>
                <w:iCs w:val="0"/>
                <w:smallCaps w:val="0"/>
                <w:color w:val="000000"/>
                <w:kern w:val="0"/>
                <w:sz w:val="16"/>
                <w:szCs w:val="16"/>
              </w:rPr>
              <w:t>单位：厦门市金尚小学</w:t>
            </w:r>
          </w:p>
        </w:tc>
        <w:tc>
          <w:tcPr>
            <w:tcW w:w="34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6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18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2024</w:t>
            </w:r>
            <w:r>
              <w:rPr>
                <w:rFonts w:ascii="宋体" w:hAnsi="宋体" w:eastAsia="宋体" w:cs="宋体"/>
                <w:b w:val="0"/>
                <w:bCs w:val="0"/>
                <w:i w:val="0"/>
                <w:iCs w:val="0"/>
                <w:smallCaps w:val="0"/>
                <w:color w:val="000000"/>
                <w:kern w:val="0"/>
                <w:sz w:val="16"/>
                <w:szCs w:val="16"/>
              </w:rPr>
              <w:t>年度</w:t>
            </w: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923"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r>
              <w:rPr>
                <w:rFonts w:ascii="宋体" w:hAnsi="宋体" w:eastAsia="宋体" w:cs="宋体"/>
                <w:b w:val="0"/>
                <w:bCs w:val="0"/>
                <w:i w:val="0"/>
                <w:iCs w:val="0"/>
                <w:smallCaps w:val="0"/>
                <w:color w:val="000000"/>
                <w:kern w:val="0"/>
                <w:sz w:val="16"/>
                <w:szCs w:val="16"/>
              </w:rPr>
              <w:t>金额单位：万元</w:t>
            </w:r>
          </w:p>
        </w:tc>
      </w:tr>
      <w:tr>
        <w:tblPrEx>
          <w:tblLayout w:type="fixed"/>
          <w:tblCellMar>
            <w:top w:w="15" w:type="dxa"/>
            <w:left w:w="15" w:type="dxa"/>
            <w:bottom w:w="15" w:type="dxa"/>
            <w:right w:w="15" w:type="dxa"/>
          </w:tblCellMar>
        </w:tblPrEx>
        <w:trPr>
          <w:jc w:val="center"/>
        </w:trPr>
        <w:tc>
          <w:tcPr>
            <w:tcW w:w="338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收入</w:t>
            </w:r>
          </w:p>
        </w:tc>
        <w:tc>
          <w:tcPr>
            <w:tcW w:w="6651"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支出</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项目</w:t>
            </w:r>
            <w:r>
              <w:rPr>
                <w:rFonts w:ascii="Times New Roman" w:hAnsi="Times New Roman" w:eastAsia="Times New Roman" w:cs="Times New Roman"/>
                <w:b w:val="0"/>
                <w:bCs w:val="0"/>
                <w:i w:val="0"/>
                <w:iCs w:val="0"/>
                <w:smallCaps w:val="0"/>
                <w:color w:val="000000"/>
                <w:kern w:val="0"/>
                <w:sz w:val="16"/>
                <w:szCs w:val="16"/>
              </w:rPr>
              <w:t xml:space="preserve">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行次</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金额</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项目</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行次</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合计</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一般公共预算财政拨款</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政府性基金预算财政拨款</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国有资本经营预算财政拨款</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栏次</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栏次</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一、一般公共预算财政拨款</w:t>
            </w:r>
            <w:r>
              <w:rPr>
                <w:rFonts w:ascii="Times New Roman" w:hAnsi="Times New Roman" w:eastAsia="Times New Roman" w:cs="Times New Roman"/>
                <w:b w:val="0"/>
                <w:bCs w:val="0"/>
                <w:i w:val="0"/>
                <w:iCs w:val="0"/>
                <w:smallCaps w:val="0"/>
                <w:color w:val="000000"/>
                <w:kern w:val="0"/>
                <w:sz w:val="16"/>
                <w:szCs w:val="16"/>
              </w:rPr>
              <w:t xml:space="preserve">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3,139.91</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一、一般公共服务支出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33</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二、政府性基金预算财政拨款</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3.45</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二、外交支出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34</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三、国有资本经营预算财政拨款</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三、国防支出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35</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四、公共安全支出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36</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五、教育支出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37</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2,654.64</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2,654.64</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trHeight w:val="90" w:hRule="atLeast"/>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6</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六、科学技术支出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38</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7</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七、文化旅游体育与传媒支出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39</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8</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八、社会保障和就业支出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40</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363.57</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363.57</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9</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九、卫生健康支出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41</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109.35</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109.35</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10</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十、节能环保支出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42</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11</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十一、城乡社区支出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43</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12</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十二、农林水支出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44</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13</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十三、交通运输支出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45</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14</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十四、资源勘探工业信息等支出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46</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15</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十五、商业服务业等支出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47</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16</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十六、金融支出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48</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17</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十七、援助其他地区支出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49</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18</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十八、自然资源海洋气象等支出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50</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19</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十九、住房保障支出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51</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12.35</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12.35</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20</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二十、粮油物资储备支出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52</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21</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二十一、国有资本经营预算支出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53</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22</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二十二、灾害防治及应急管理支出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54</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23</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二十三、其他支出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55</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3.45</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3.45</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24</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二十四、债务还本支出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56</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25</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二十五、债务付息支出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57</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26</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二十六、抗疫特别国债安排的支出</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58</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本年收入合计</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27</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3,143.36</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本年支出合计</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59</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3,143.36</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3,139.91</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3.45</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年初财政拨款结转和结余</w:t>
            </w:r>
            <w:r>
              <w:rPr>
                <w:rFonts w:ascii="Times New Roman" w:hAnsi="Times New Roman" w:eastAsia="Times New Roman" w:cs="Times New Roman"/>
                <w:b w:val="0"/>
                <w:bCs w:val="0"/>
                <w:i w:val="0"/>
                <w:iCs w:val="0"/>
                <w:smallCaps w:val="0"/>
                <w:color w:val="000000"/>
                <w:kern w:val="0"/>
                <w:sz w:val="16"/>
                <w:szCs w:val="16"/>
              </w:rPr>
              <w:t xml:space="preserve">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28</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年末财政拨款结转和结余</w:t>
            </w:r>
            <w:r>
              <w:rPr>
                <w:rFonts w:ascii="Times New Roman" w:hAnsi="Times New Roman" w:eastAsia="Times New Roman" w:cs="Times New Roman"/>
                <w:b w:val="0"/>
                <w:bCs w:val="0"/>
                <w:i w:val="0"/>
                <w:iCs w:val="0"/>
                <w:smallCaps w:val="0"/>
                <w:color w:val="000000"/>
                <w:kern w:val="0"/>
                <w:sz w:val="16"/>
                <w:szCs w:val="16"/>
              </w:rPr>
              <w:t xml:space="preserve"> </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60</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一、一般公共预算财政拨款</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29</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61</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二、政府性基金预算财政拨款</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30</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62</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三、国有资本经营预算财政拨款</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31</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63</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24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总计</w:t>
            </w:r>
            <w:r>
              <w:rPr>
                <w:rFonts w:ascii="Times New Roman" w:hAnsi="Times New Roman" w:eastAsia="Times New Roman" w:cs="Times New Roman"/>
                <w:b w:val="0"/>
                <w:bCs w:val="0"/>
                <w:i w:val="0"/>
                <w:iCs w:val="0"/>
                <w:smallCaps w:val="0"/>
                <w:color w:val="000000"/>
                <w:kern w:val="0"/>
                <w:sz w:val="16"/>
                <w:szCs w:val="16"/>
              </w:rPr>
              <w:t xml:space="preserve"> </w:t>
            </w:r>
          </w:p>
        </w:tc>
        <w:tc>
          <w:tcPr>
            <w:tcW w:w="34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32</w:t>
            </w:r>
          </w:p>
        </w:tc>
        <w:tc>
          <w:tcPr>
            <w:tcW w:w="6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3,143.36</w:t>
            </w:r>
          </w:p>
        </w:tc>
        <w:tc>
          <w:tcPr>
            <w:tcW w:w="25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总计</w:t>
            </w:r>
            <w:r>
              <w:rPr>
                <w:rFonts w:ascii="Times New Roman" w:hAnsi="Times New Roman" w:eastAsia="Times New Roman" w:cs="Times New Roman"/>
                <w:b w:val="0"/>
                <w:bCs w:val="0"/>
                <w:i w:val="0"/>
                <w:iCs w:val="0"/>
                <w:smallCaps w:val="0"/>
                <w:color w:val="000000"/>
                <w:kern w:val="0"/>
                <w:sz w:val="16"/>
                <w:szCs w:val="16"/>
              </w:rPr>
              <w:t xml:space="preserve"> </w:t>
            </w:r>
          </w:p>
        </w:tc>
        <w:tc>
          <w:tcPr>
            <w:tcW w:w="4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64</w:t>
            </w:r>
          </w:p>
        </w:tc>
        <w:tc>
          <w:tcPr>
            <w:tcW w:w="76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3,143.36</w:t>
            </w:r>
          </w:p>
        </w:tc>
        <w:tc>
          <w:tcPr>
            <w:tcW w:w="1019"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3,139.91</w:t>
            </w:r>
          </w:p>
        </w:tc>
        <w:tc>
          <w:tcPr>
            <w:tcW w:w="94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3.45</w:t>
            </w:r>
          </w:p>
        </w:tc>
        <w:tc>
          <w:tcPr>
            <w:tcW w:w="97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6"/>
                <w:szCs w:val="16"/>
              </w:rPr>
            </w:pPr>
            <w:r>
              <w:rPr>
                <w:rFonts w:ascii="Times New Roman" w:hAnsi="Times New Roman" w:eastAsia="Times New Roman" w:cs="Times New Roman"/>
                <w:b w:val="0"/>
                <w:bCs w:val="0"/>
                <w:i w:val="0"/>
                <w:iCs w:val="0"/>
                <w:smallCaps w:val="0"/>
                <w:color w:val="000000"/>
                <w:kern w:val="0"/>
                <w:sz w:val="16"/>
                <w:szCs w:val="16"/>
              </w:rPr>
              <w:t> </w:t>
            </w:r>
          </w:p>
        </w:tc>
      </w:tr>
      <w:tr>
        <w:tblPrEx>
          <w:tblLayout w:type="fixed"/>
          <w:tblCellMar>
            <w:top w:w="15" w:type="dxa"/>
            <w:left w:w="15" w:type="dxa"/>
            <w:bottom w:w="15" w:type="dxa"/>
            <w:right w:w="15" w:type="dxa"/>
          </w:tblCellMar>
        </w:tblPrEx>
        <w:trPr>
          <w:jc w:val="center"/>
        </w:trPr>
        <w:tc>
          <w:tcPr>
            <w:tcW w:w="10039"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6"/>
                <w:szCs w:val="16"/>
              </w:rPr>
            </w:pPr>
            <w:r>
              <w:rPr>
                <w:rFonts w:ascii="宋体" w:hAnsi="宋体" w:eastAsia="宋体" w:cs="宋体"/>
                <w:b w:val="0"/>
                <w:bCs w:val="0"/>
                <w:i w:val="0"/>
                <w:iCs w:val="0"/>
                <w:smallCaps w:val="0"/>
                <w:color w:val="000000"/>
                <w:kern w:val="0"/>
                <w:sz w:val="16"/>
                <w:szCs w:val="16"/>
              </w:rPr>
              <w:t>注：本表反映部门本年度一般公共预算财政拨款、政府性基金预算财政拨款和国有资本经营预算财政拨款的总收支和年末结转结余情况。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0"/>
        <w:widowControl/>
        <w:spacing w:before="100" w:after="100"/>
        <w:ind w:left="0" w:right="0" w:firstLine="0"/>
        <w:jc w:val="left"/>
        <w:rPr>
          <w:rFonts w:hint="eastAsia" w:ascii="仿宋" w:hAnsi="仿宋" w:eastAsia="仿宋" w:cs="仿宋"/>
          <w:b/>
          <w:bCs/>
          <w:kern w:val="0"/>
          <w:sz w:val="32"/>
          <w:szCs w:val="32"/>
        </w:rPr>
      </w:pPr>
      <w:r>
        <w:rPr>
          <w:rFonts w:ascii="Times New Roman" w:hAnsi="Times New Roman" w:eastAsia="Times New Roman" w:cs="Times New Roman"/>
          <w:spacing w:val="0"/>
          <w:kern w:val="0"/>
          <w:sz w:val="27"/>
          <w:szCs w:val="27"/>
        </w:rPr>
        <w:t> </w:t>
      </w:r>
      <w:bookmarkStart w:id="45" w:name="_Toc256000104"/>
      <w:bookmarkStart w:id="46" w:name="_Toc256000042"/>
      <w:bookmarkStart w:id="47" w:name="_Toc256000073"/>
      <w:bookmarkStart w:id="48" w:name="_Toc256000011"/>
      <w:r>
        <w:rPr>
          <w:rFonts w:hint="eastAsia" w:ascii="仿宋" w:hAnsi="仿宋" w:eastAsia="仿宋" w:cs="仿宋"/>
          <w:b/>
          <w:spacing w:val="0"/>
          <w:sz w:val="32"/>
          <w:szCs w:val="32"/>
        </w:rPr>
        <w:t>五、一般公共预算财政拨款支出决算表</w:t>
      </w:r>
      <w:bookmarkEnd w:id="45"/>
      <w:bookmarkEnd w:id="46"/>
      <w:bookmarkEnd w:id="47"/>
      <w:bookmarkEnd w:id="48"/>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066" w:type="dxa"/>
        <w:jc w:val="center"/>
        <w:tblInd w:w="0" w:type="dxa"/>
        <w:tblLayout w:type="fixed"/>
        <w:tblCellMar>
          <w:top w:w="15" w:type="dxa"/>
          <w:left w:w="15" w:type="dxa"/>
          <w:bottom w:w="15" w:type="dxa"/>
          <w:right w:w="15" w:type="dxa"/>
        </w:tblCellMar>
      </w:tblPr>
      <w:tblGrid>
        <w:gridCol w:w="1113"/>
        <w:gridCol w:w="3987"/>
        <w:gridCol w:w="1322"/>
        <w:gridCol w:w="1322"/>
        <w:gridCol w:w="1322"/>
      </w:tblGrid>
      <w:tr>
        <w:tblPrEx>
          <w:tblLayout w:type="fixed"/>
          <w:tblCellMar>
            <w:top w:w="15" w:type="dxa"/>
            <w:left w:w="15" w:type="dxa"/>
            <w:bottom w:w="15" w:type="dxa"/>
            <w:right w:w="15" w:type="dxa"/>
          </w:tblCellMar>
        </w:tblPrEx>
        <w:trPr>
          <w:trHeight w:val="0" w:hRule="atLeast"/>
          <w:tblHeader/>
          <w:jc w:val="center"/>
        </w:trPr>
        <w:tc>
          <w:tcPr>
            <w:tcW w:w="9066" w:type="dxa"/>
            <w:gridSpan w:val="5"/>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一般公共预算财政拨款支出决算表</w:t>
            </w:r>
          </w:p>
        </w:tc>
      </w:tr>
      <w:tr>
        <w:tblPrEx>
          <w:tblLayout w:type="fixed"/>
          <w:tblCellMar>
            <w:top w:w="15" w:type="dxa"/>
            <w:left w:w="15" w:type="dxa"/>
            <w:bottom w:w="15" w:type="dxa"/>
            <w:right w:w="15" w:type="dxa"/>
          </w:tblCellMar>
        </w:tblPrEx>
        <w:trPr>
          <w:trHeight w:val="0" w:hRule="atLeast"/>
          <w:jc w:val="center"/>
        </w:trPr>
        <w:tc>
          <w:tcPr>
            <w:tcW w:w="6422"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单位：厦门市金尚小学</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5100"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3966"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rHeight w:val="312" w:hRule="atLeast"/>
          <w:tblHeader/>
          <w:jc w:val="center"/>
        </w:trPr>
        <w:tc>
          <w:tcPr>
            <w:tcW w:w="11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398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rHeight w:val="312" w:hRule="atLeast"/>
          <w:tblHeader/>
          <w:jc w:val="center"/>
        </w:trPr>
        <w:tc>
          <w:tcPr>
            <w:tcW w:w="111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98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tblHeader/>
          <w:jc w:val="center"/>
        </w:trPr>
        <w:tc>
          <w:tcPr>
            <w:tcW w:w="111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398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rPr>
          <w:trHeight w:val="0" w:hRule="atLeast"/>
          <w:jc w:val="center"/>
        </w:trPr>
        <w:tc>
          <w:tcPr>
            <w:tcW w:w="5100"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3,139.91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2,592.73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547.18</w:t>
            </w:r>
          </w:p>
        </w:tc>
      </w:tr>
      <w:tr>
        <w:tblPrEx>
          <w:tblLayout w:type="fixed"/>
          <w:tblCellMar>
            <w:top w:w="15" w:type="dxa"/>
            <w:left w:w="15" w:type="dxa"/>
            <w:bottom w:w="15" w:type="dxa"/>
            <w:right w:w="15" w:type="dxa"/>
          </w:tblCellMar>
        </w:tblPrEx>
        <w:trPr>
          <w:trHeight w:val="0" w:hRule="atLeast"/>
          <w:jc w:val="center"/>
        </w:trPr>
        <w:tc>
          <w:tcPr>
            <w:tcW w:w="11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39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2,654.64</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2,107.46</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547.18</w:t>
            </w:r>
          </w:p>
        </w:tc>
      </w:tr>
      <w:tr>
        <w:tblPrEx>
          <w:tblLayout w:type="fixed"/>
          <w:tblCellMar>
            <w:top w:w="15" w:type="dxa"/>
            <w:left w:w="15" w:type="dxa"/>
            <w:bottom w:w="15" w:type="dxa"/>
            <w:right w:w="15" w:type="dxa"/>
          </w:tblCellMar>
        </w:tblPrEx>
        <w:trPr>
          <w:trHeight w:val="0" w:hRule="atLeast"/>
          <w:jc w:val="center"/>
        </w:trPr>
        <w:tc>
          <w:tcPr>
            <w:tcW w:w="11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39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2,212.38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2,107.46</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104.93</w:t>
            </w:r>
          </w:p>
        </w:tc>
      </w:tr>
      <w:tr>
        <w:tblPrEx>
          <w:tblLayout w:type="fixed"/>
          <w:tblCellMar>
            <w:top w:w="15" w:type="dxa"/>
            <w:left w:w="15" w:type="dxa"/>
            <w:bottom w:w="15" w:type="dxa"/>
            <w:right w:w="15" w:type="dxa"/>
          </w:tblCellMar>
        </w:tblPrEx>
        <w:trPr>
          <w:trHeight w:val="0" w:hRule="atLeast"/>
          <w:jc w:val="center"/>
        </w:trPr>
        <w:tc>
          <w:tcPr>
            <w:tcW w:w="11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39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2,057.59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2,057.59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1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39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154.79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49.87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104.93</w:t>
            </w:r>
          </w:p>
        </w:tc>
      </w:tr>
      <w:tr>
        <w:tblPrEx>
          <w:tblLayout w:type="fixed"/>
          <w:tblCellMar>
            <w:top w:w="15" w:type="dxa"/>
            <w:left w:w="15" w:type="dxa"/>
            <w:bottom w:w="15" w:type="dxa"/>
            <w:right w:w="15" w:type="dxa"/>
          </w:tblCellMar>
        </w:tblPrEx>
        <w:trPr>
          <w:trHeight w:val="0" w:hRule="atLeast"/>
          <w:jc w:val="center"/>
        </w:trPr>
        <w:tc>
          <w:tcPr>
            <w:tcW w:w="11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39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441.7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441.7</w:t>
            </w:r>
          </w:p>
        </w:tc>
      </w:tr>
      <w:tr>
        <w:tblPrEx>
          <w:tblLayout w:type="fixed"/>
          <w:tblCellMar>
            <w:top w:w="15" w:type="dxa"/>
            <w:left w:w="15" w:type="dxa"/>
            <w:bottom w:w="15" w:type="dxa"/>
            <w:right w:w="15" w:type="dxa"/>
          </w:tblCellMar>
        </w:tblPrEx>
        <w:trPr>
          <w:trHeight w:val="0" w:hRule="atLeast"/>
          <w:jc w:val="center"/>
        </w:trPr>
        <w:tc>
          <w:tcPr>
            <w:tcW w:w="11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39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441.7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441.7</w:t>
            </w:r>
          </w:p>
        </w:tc>
      </w:tr>
      <w:tr>
        <w:tblPrEx>
          <w:tblLayout w:type="fixed"/>
          <w:tblCellMar>
            <w:top w:w="15" w:type="dxa"/>
            <w:left w:w="15" w:type="dxa"/>
            <w:bottom w:w="15" w:type="dxa"/>
            <w:right w:w="15" w:type="dxa"/>
          </w:tblCellMar>
        </w:tblPrEx>
        <w:trPr>
          <w:trHeight w:val="0" w:hRule="atLeast"/>
          <w:jc w:val="center"/>
        </w:trPr>
        <w:tc>
          <w:tcPr>
            <w:tcW w:w="11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w:t>
            </w:r>
          </w:p>
        </w:tc>
        <w:tc>
          <w:tcPr>
            <w:tcW w:w="39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0.55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0.55</w:t>
            </w:r>
          </w:p>
        </w:tc>
      </w:tr>
      <w:tr>
        <w:tblPrEx>
          <w:tblLayout w:type="fixed"/>
          <w:tblCellMar>
            <w:top w:w="15" w:type="dxa"/>
            <w:left w:w="15" w:type="dxa"/>
            <w:bottom w:w="15" w:type="dxa"/>
            <w:right w:w="15" w:type="dxa"/>
          </w:tblCellMar>
        </w:tblPrEx>
        <w:trPr>
          <w:trHeight w:val="0" w:hRule="atLeast"/>
          <w:jc w:val="center"/>
        </w:trPr>
        <w:tc>
          <w:tcPr>
            <w:tcW w:w="11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2059999</w:t>
            </w:r>
          </w:p>
        </w:tc>
        <w:tc>
          <w:tcPr>
            <w:tcW w:w="39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0.55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0.55</w:t>
            </w:r>
          </w:p>
        </w:tc>
      </w:tr>
      <w:tr>
        <w:tblPrEx>
          <w:tblLayout w:type="fixed"/>
          <w:tblCellMar>
            <w:top w:w="15" w:type="dxa"/>
            <w:left w:w="15" w:type="dxa"/>
            <w:bottom w:w="15" w:type="dxa"/>
            <w:right w:w="15" w:type="dxa"/>
          </w:tblCellMar>
        </w:tblPrEx>
        <w:trPr>
          <w:trHeight w:val="0" w:hRule="atLeast"/>
          <w:jc w:val="center"/>
        </w:trPr>
        <w:tc>
          <w:tcPr>
            <w:tcW w:w="11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39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363.57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363.57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1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39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363.57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363.57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1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39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92.93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92.93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1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39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169.03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169.03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1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39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101.61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101.61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1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39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109.35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109.35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1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39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109.35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109.35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1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39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72.37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72.37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1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39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36.98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36.98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1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39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1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39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1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398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12.35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5"/>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注：本表反映部门本年度一般公共预算财政拨款支出情况。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0"/>
        <w:widowControl/>
        <w:spacing w:before="100" w:after="100"/>
        <w:ind w:left="0" w:right="0" w:firstLine="0"/>
        <w:jc w:val="left"/>
        <w:rPr>
          <w:rFonts w:hint="eastAsia" w:ascii="仿宋" w:hAnsi="仿宋" w:eastAsia="仿宋" w:cs="仿宋"/>
          <w:b/>
          <w:spacing w:val="0"/>
          <w:sz w:val="32"/>
          <w:szCs w:val="32"/>
        </w:rPr>
      </w:pPr>
      <w:r>
        <w:rPr>
          <w:rFonts w:ascii="宋体" w:hAnsi="宋体" w:cs="宋体"/>
          <w:spacing w:val="0"/>
          <w:kern w:val="0"/>
          <w:sz w:val="24"/>
        </w:rPr>
        <w:t> </w:t>
      </w:r>
      <w:bookmarkStart w:id="49" w:name="_Toc256000105"/>
      <w:bookmarkStart w:id="50" w:name="_Toc256000043"/>
      <w:bookmarkStart w:id="51" w:name="_Toc256000074"/>
      <w:bookmarkStart w:id="52" w:name="_Toc256000012"/>
      <w:r>
        <w:rPr>
          <w:rFonts w:hint="eastAsia" w:ascii="仿宋" w:hAnsi="仿宋" w:eastAsia="仿宋" w:cs="仿宋"/>
          <w:b/>
          <w:spacing w:val="0"/>
          <w:sz w:val="32"/>
          <w:szCs w:val="32"/>
        </w:rPr>
        <w:t>六、一般公共预算财政拨款基本支出决算表</w:t>
      </w:r>
      <w:bookmarkEnd w:id="49"/>
      <w:bookmarkEnd w:id="50"/>
      <w:bookmarkEnd w:id="51"/>
      <w:bookmarkEnd w:id="52"/>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066" w:type="dxa"/>
        <w:jc w:val="center"/>
        <w:tblInd w:w="0" w:type="dxa"/>
        <w:tblLayout w:type="fixed"/>
        <w:tblCellMar>
          <w:top w:w="15" w:type="dxa"/>
          <w:left w:w="15" w:type="dxa"/>
          <w:bottom w:w="15" w:type="dxa"/>
          <w:right w:w="15" w:type="dxa"/>
        </w:tblCellMar>
      </w:tblPr>
      <w:tblGrid>
        <w:gridCol w:w="734"/>
        <w:gridCol w:w="1395"/>
        <w:gridCol w:w="892"/>
        <w:gridCol w:w="743"/>
        <w:gridCol w:w="1470"/>
        <w:gridCol w:w="810"/>
        <w:gridCol w:w="780"/>
        <w:gridCol w:w="1620"/>
        <w:gridCol w:w="622"/>
      </w:tblGrid>
      <w:tr>
        <w:tblPrEx>
          <w:tblLayout w:type="fixed"/>
          <w:tblCellMar>
            <w:top w:w="15" w:type="dxa"/>
            <w:left w:w="15" w:type="dxa"/>
            <w:bottom w:w="15" w:type="dxa"/>
            <w:right w:w="15" w:type="dxa"/>
          </w:tblCellMar>
        </w:tblPrEx>
        <w:trPr>
          <w:trHeight w:val="0" w:hRule="atLeast"/>
          <w:tblHeader/>
          <w:jc w:val="center"/>
        </w:trPr>
        <w:tc>
          <w:tcPr>
            <w:tcW w:w="9066" w:type="dxa"/>
            <w:gridSpan w:val="9"/>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32"/>
                <w:szCs w:val="32"/>
              </w:rPr>
              <w:t>一般公共预算财政拨款基本支出决算表</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139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89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4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147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81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8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2242"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公开06表</w:t>
            </w:r>
          </w:p>
        </w:tc>
      </w:tr>
      <w:tr>
        <w:tblPrEx>
          <w:tblLayout w:type="fixed"/>
          <w:tblCellMar>
            <w:top w:w="15" w:type="dxa"/>
            <w:left w:w="15" w:type="dxa"/>
            <w:bottom w:w="15" w:type="dxa"/>
            <w:right w:w="15" w:type="dxa"/>
          </w:tblCellMar>
        </w:tblPrEx>
        <w:trPr>
          <w:trHeight w:val="0" w:hRule="atLeast"/>
          <w:tblHeader/>
          <w:jc w:val="center"/>
        </w:trPr>
        <w:tc>
          <w:tcPr>
            <w:tcW w:w="3764"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部门/单位：厦门市金尚小学</w:t>
            </w:r>
          </w:p>
        </w:tc>
        <w:tc>
          <w:tcPr>
            <w:tcW w:w="147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2024年度</w:t>
            </w:r>
          </w:p>
        </w:tc>
        <w:tc>
          <w:tcPr>
            <w:tcW w:w="81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8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2242"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金额单位：万元</w:t>
            </w:r>
          </w:p>
        </w:tc>
      </w:tr>
      <w:tr>
        <w:tblPrEx>
          <w:tblLayout w:type="fixed"/>
          <w:tblCellMar>
            <w:top w:w="15" w:type="dxa"/>
            <w:left w:w="15" w:type="dxa"/>
            <w:bottom w:w="15" w:type="dxa"/>
            <w:right w:w="15" w:type="dxa"/>
          </w:tblCellMar>
        </w:tblPrEx>
        <w:trPr>
          <w:trHeight w:val="312" w:hRule="atLeast"/>
          <w:tblHeader/>
          <w:jc w:val="center"/>
        </w:trPr>
        <w:tc>
          <w:tcPr>
            <w:tcW w:w="7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经济分类科目编码</w:t>
            </w:r>
          </w:p>
        </w:tc>
        <w:tc>
          <w:tcPr>
            <w:tcW w:w="139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科目名称</w:t>
            </w:r>
          </w:p>
        </w:tc>
        <w:tc>
          <w:tcPr>
            <w:tcW w:w="89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金额</w:t>
            </w:r>
          </w:p>
        </w:tc>
        <w:tc>
          <w:tcPr>
            <w:tcW w:w="74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经济分类科目编码</w:t>
            </w:r>
          </w:p>
        </w:tc>
        <w:tc>
          <w:tcPr>
            <w:tcW w:w="147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科目名称</w:t>
            </w:r>
          </w:p>
        </w:tc>
        <w:tc>
          <w:tcPr>
            <w:tcW w:w="81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金额</w:t>
            </w:r>
          </w:p>
        </w:tc>
        <w:tc>
          <w:tcPr>
            <w:tcW w:w="78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经济分类科目编码</w:t>
            </w:r>
          </w:p>
        </w:tc>
        <w:tc>
          <w:tcPr>
            <w:tcW w:w="1620"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科目名称</w:t>
            </w:r>
          </w:p>
        </w:tc>
        <w:tc>
          <w:tcPr>
            <w:tcW w:w="6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trHeight w:val="312" w:hRule="atLeast"/>
          <w:tblHeader/>
          <w:jc w:val="center"/>
        </w:trPr>
        <w:tc>
          <w:tcPr>
            <w:tcW w:w="734"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139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89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74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1470"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810"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780"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1620"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622"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301</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工资福利支出</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2,267.01</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商品和服务支出</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216.21</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30703</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国内债务发行费用</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30101</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基本工资</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326.25</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30201</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办公费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103.83</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30704</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国外债务发行费用</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30102</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津贴补贴</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425.34</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30202</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印刷费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310</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资本性支出</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11.77</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30103</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奖金</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688.6</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30203</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咨询费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31001</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房屋建筑物购建</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30106</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伙食补助费</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30204</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手续费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31002</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办公设备购置</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11.77</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30107</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绩效工资</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117.91</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30205</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水费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1.68</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31003</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专用设备购置</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30108</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机关事业单位基本养老保险缴费</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170.16</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30206</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电费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12.62</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31005</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基础设施建设</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30109</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职业年金缴费</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101.61</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30207</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邮电费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0.49</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31006</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大型修缮</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30110</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职工基本医疗保险缴费</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72.37</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30208</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取暖费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31007</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信息网络及软件购置更新</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30111</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公务员医疗补助缴费</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30209</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物业管理费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31008</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物资储备</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30112</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其他社会保障缴费</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50.32</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30211</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差旅费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31009</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土地补偿</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30113</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住房公积金</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183.88</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30212</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因公出国（境）费用</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31010</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安置补助</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30114</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医疗费</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30213</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维修（护）费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13.55</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31011</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地上附着物和青苗补偿</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30199</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其他工资福利支出</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130.57</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30214</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租赁费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31012</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拆迁补偿</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303</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对个人和家庭的补助</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97.75</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30215</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会议费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31013</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公务用车购置</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30301</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离休费</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30216</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培训费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15.64</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31019</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其他交通工具购置</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30302</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退休费</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30217</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公务接待费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31021</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文物和陈列品购置</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30303</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退职（役）费</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30218</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专用材料费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31022</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无形资产购置</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30304</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抚恤金</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30224</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被装购置费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31099</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其他资本性支出</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30305</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生活补助</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30225</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专用燃料费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312</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对企业补助</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30306</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救济费</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30226</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劳务费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5.02</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31201</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资本金注入</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30307</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医疗费补助</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30227</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委托业务费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7.91</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31203</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政府投资基金股权投资</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30308</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助学金</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30228</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工会经费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41.37</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31204</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费用补贴</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30309</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奖励金</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4.82</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30229</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福利费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2.12</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31205</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利息补贴</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30310</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个人农业生产补贴</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30231</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公务用车运行维护费</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31206</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其他资本性补助</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30311</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代缴社会保险费</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30239</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其他交通费用</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1.15</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31299</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其他对企业补助</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30399</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其他对个人和家庭的补助</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92.93</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30240</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税金及附加费用</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399</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其他支出</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30299</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其他商品和服务支出</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10.84</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39907</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国家赔偿费用支出</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307</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债务利息及费用支出</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39908</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对民间非营利组织和群众性自治组织补贴</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30701</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国内债务付息</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39909</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经常性赠与</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30702</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国外债务付息</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39910</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资本性赠与</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7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13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4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147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39999</w:t>
            </w:r>
          </w:p>
        </w:tc>
        <w:tc>
          <w:tcPr>
            <w:tcW w:w="162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其他支出</w:t>
            </w:r>
          </w:p>
        </w:tc>
        <w:tc>
          <w:tcPr>
            <w:tcW w:w="6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2129"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xml:space="preserve">人员经费合计 </w:t>
            </w:r>
          </w:p>
        </w:tc>
        <w:tc>
          <w:tcPr>
            <w:tcW w:w="89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2,364.76</w:t>
            </w:r>
          </w:p>
        </w:tc>
        <w:tc>
          <w:tcPr>
            <w:tcW w:w="3803"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公用经费合计</w:t>
            </w:r>
          </w:p>
        </w:tc>
        <w:tc>
          <w:tcPr>
            <w:tcW w:w="2242"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227.97</w:t>
            </w:r>
          </w:p>
        </w:tc>
      </w:tr>
      <w:tr>
        <w:tblPrEx>
          <w:tblLayout w:type="fixed"/>
          <w:tblCellMar>
            <w:top w:w="15" w:type="dxa"/>
            <w:left w:w="15" w:type="dxa"/>
            <w:bottom w:w="15" w:type="dxa"/>
            <w:right w:w="15" w:type="dxa"/>
          </w:tblCellMar>
        </w:tblPrEx>
        <w:trPr>
          <w:trHeight w:val="0" w:hRule="atLeast"/>
          <w:tblHeader/>
          <w:jc w:val="center"/>
        </w:trPr>
        <w:tc>
          <w:tcPr>
            <w:tcW w:w="9066" w:type="dxa"/>
            <w:gridSpan w:val="9"/>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注：本表反映部门本年度一般公共预算财政拨款基本支出明细情况。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30"/>
        <w:widowControl/>
        <w:spacing w:before="100" w:after="100"/>
        <w:ind w:left="0" w:right="0" w:firstLine="0"/>
        <w:jc w:val="left"/>
        <w:rPr>
          <w:rFonts w:hint="eastAsia" w:ascii="仿宋" w:hAnsi="仿宋" w:eastAsia="仿宋" w:cs="仿宋"/>
          <w:b/>
          <w:bCs/>
          <w:kern w:val="0"/>
          <w:sz w:val="32"/>
          <w:szCs w:val="32"/>
        </w:rPr>
      </w:pPr>
      <w:r>
        <w:rPr>
          <w:rFonts w:ascii="Times New Roman" w:hAnsi="Times New Roman" w:eastAsia="Times New Roman" w:cs="Times New Roman"/>
          <w:spacing w:val="0"/>
          <w:kern w:val="0"/>
          <w:sz w:val="27"/>
          <w:szCs w:val="27"/>
        </w:rPr>
        <w:t> </w:t>
      </w:r>
      <w:bookmarkStart w:id="53" w:name="_Toc256000106"/>
      <w:bookmarkStart w:id="54" w:name="_Toc256000044"/>
      <w:bookmarkStart w:id="55" w:name="_Toc256000013"/>
      <w:bookmarkStart w:id="56" w:name="_Toc256000075"/>
      <w:r>
        <w:rPr>
          <w:rFonts w:hint="eastAsia" w:ascii="仿宋" w:hAnsi="仿宋" w:eastAsia="仿宋" w:cs="仿宋"/>
          <w:b/>
          <w:spacing w:val="0"/>
          <w:sz w:val="32"/>
          <w:szCs w:val="32"/>
        </w:rPr>
        <w:t>七、一般公共预算财政拨款“三公”经费支出决算表</w:t>
      </w:r>
      <w:bookmarkEnd w:id="53"/>
      <w:bookmarkEnd w:id="54"/>
      <w:bookmarkEnd w:id="55"/>
      <w:bookmarkEnd w:id="56"/>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066" w:type="dxa"/>
        <w:jc w:val="center"/>
        <w:tblInd w:w="0" w:type="dxa"/>
        <w:tblLayout w:type="fixed"/>
        <w:tblCellMar>
          <w:top w:w="15" w:type="dxa"/>
          <w:left w:w="15" w:type="dxa"/>
          <w:bottom w:w="15" w:type="dxa"/>
          <w:right w:w="15" w:type="dxa"/>
        </w:tblCellMar>
      </w:tblPr>
      <w:tblGrid>
        <w:gridCol w:w="755"/>
        <w:gridCol w:w="755"/>
        <w:gridCol w:w="755"/>
        <w:gridCol w:w="755"/>
        <w:gridCol w:w="756"/>
        <w:gridCol w:w="755"/>
        <w:gridCol w:w="755"/>
        <w:gridCol w:w="756"/>
        <w:gridCol w:w="1"/>
        <w:gridCol w:w="755"/>
        <w:gridCol w:w="1"/>
        <w:gridCol w:w="755"/>
        <w:gridCol w:w="755"/>
        <w:gridCol w:w="757"/>
      </w:tblGrid>
      <w:tr>
        <w:tblPrEx>
          <w:tblLayout w:type="fixed"/>
          <w:tblCellMar>
            <w:top w:w="15" w:type="dxa"/>
            <w:left w:w="15" w:type="dxa"/>
            <w:bottom w:w="15" w:type="dxa"/>
            <w:right w:w="15" w:type="dxa"/>
          </w:tblCellMar>
        </w:tblPrEx>
        <w:trPr>
          <w:trHeight w:val="0" w:hRule="atLeast"/>
          <w:tblHeader/>
          <w:jc w:val="center"/>
        </w:trPr>
        <w:tc>
          <w:tcPr>
            <w:tcW w:w="9066" w:type="dxa"/>
            <w:gridSpan w:val="14"/>
            <w:noWrap w:val="0"/>
            <w:tcMar>
              <w:top w:w="20" w:type="dxa"/>
              <w:left w:w="20" w:type="dxa"/>
              <w:bottom w:w="20" w:type="dxa"/>
              <w:right w:w="20" w:type="dxa"/>
            </w:tcMar>
            <w:vAlign w:val="center"/>
          </w:tcPr>
          <w:p>
            <w:pPr>
              <w:widowControl/>
              <w:spacing w:line="900" w:lineRule="atLeast"/>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32"/>
                <w:szCs w:val="32"/>
              </w:rPr>
              <w:t>一般公共预算财政拨款“三公”经费支出决算</w:t>
            </w:r>
          </w:p>
        </w:tc>
      </w:tr>
      <w:tr>
        <w:tblPrEx>
          <w:tblLayout w:type="fixed"/>
          <w:tblCellMar>
            <w:top w:w="15" w:type="dxa"/>
            <w:left w:w="15" w:type="dxa"/>
            <w:bottom w:w="15" w:type="dxa"/>
            <w:right w:w="15" w:type="dxa"/>
          </w:tblCellMar>
        </w:tblPrEx>
        <w:trPr>
          <w:trHeight w:val="0" w:hRule="atLeast"/>
          <w:jc w:val="center"/>
        </w:trPr>
        <w:tc>
          <w:tcPr>
            <w:tcW w:w="4531" w:type="dxa"/>
            <w:gridSpan w:val="6"/>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部门/单位：厦门市金尚小学</w:t>
            </w:r>
          </w:p>
        </w:tc>
        <w:tc>
          <w:tcPr>
            <w:tcW w:w="1512"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2024年度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w:t>
            </w:r>
          </w:p>
        </w:tc>
        <w:tc>
          <w:tcPr>
            <w:tcW w:w="2267" w:type="dxa"/>
            <w:gridSpan w:val="3"/>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金额单位：万元</w:t>
            </w:r>
          </w:p>
        </w:tc>
      </w:tr>
      <w:tr>
        <w:tblPrEx>
          <w:tblLayout w:type="fixed"/>
          <w:tblCellMar>
            <w:top w:w="15" w:type="dxa"/>
            <w:left w:w="15" w:type="dxa"/>
            <w:bottom w:w="15" w:type="dxa"/>
            <w:right w:w="15" w:type="dxa"/>
          </w:tblCellMar>
        </w:tblPrEx>
        <w:trPr>
          <w:trHeight w:val="0" w:hRule="atLeast"/>
          <w:jc w:val="center"/>
        </w:trPr>
        <w:tc>
          <w:tcPr>
            <w:tcW w:w="4531" w:type="dxa"/>
            <w:gridSpan w:val="6"/>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预算数</w:t>
            </w:r>
          </w:p>
        </w:tc>
        <w:tc>
          <w:tcPr>
            <w:tcW w:w="4535" w:type="dxa"/>
            <w:gridSpan w:val="8"/>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决算数</w:t>
            </w:r>
          </w:p>
        </w:tc>
      </w:tr>
      <w:tr>
        <w:tblPrEx>
          <w:tblLayout w:type="fixed"/>
          <w:tblCellMar>
            <w:top w:w="15" w:type="dxa"/>
            <w:left w:w="15" w:type="dxa"/>
            <w:bottom w:w="15" w:type="dxa"/>
            <w:right w:w="15" w:type="dxa"/>
          </w:tblCellMar>
        </w:tblPrEx>
        <w:trPr>
          <w:trHeight w:val="0" w:hRule="atLeast"/>
          <w:tblHeader/>
          <w:jc w:val="center"/>
        </w:trPr>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合计</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因公出国 （境）费</w:t>
            </w:r>
          </w:p>
        </w:tc>
        <w:tc>
          <w:tcPr>
            <w:tcW w:w="2266"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公务用车购置及运行维护费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公务接待费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合计</w:t>
            </w:r>
          </w:p>
        </w:tc>
        <w:tc>
          <w:tcPr>
            <w:tcW w:w="75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因公出国 （境）费</w:t>
            </w:r>
          </w:p>
        </w:tc>
        <w:tc>
          <w:tcPr>
            <w:tcW w:w="2267" w:type="dxa"/>
            <w:gridSpan w:val="5"/>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公务用车购置及运行维护费</w:t>
            </w:r>
          </w:p>
        </w:tc>
        <w:tc>
          <w:tcPr>
            <w:tcW w:w="75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公务接待费</w:t>
            </w:r>
          </w:p>
        </w:tc>
      </w:tr>
      <w:tr>
        <w:tblPrEx>
          <w:tblLayout w:type="fixed"/>
          <w:tblCellMar>
            <w:top w:w="15" w:type="dxa"/>
            <w:left w:w="15" w:type="dxa"/>
            <w:bottom w:w="15" w:type="dxa"/>
            <w:right w:w="15" w:type="dxa"/>
          </w:tblCellMar>
        </w:tblPrEx>
        <w:trPr>
          <w:trHeight w:val="312" w:hRule="atLeast"/>
          <w:tblHeader/>
          <w:jc w:val="center"/>
        </w:trPr>
        <w:tc>
          <w:tcPr>
            <w:tcW w:w="75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xml:space="preserve">小计 </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公务用车购置费</w:t>
            </w:r>
          </w:p>
        </w:tc>
        <w:tc>
          <w:tcPr>
            <w:tcW w:w="75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公务用车运行维护费</w:t>
            </w:r>
          </w:p>
        </w:tc>
        <w:tc>
          <w:tcPr>
            <w:tcW w:w="75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756"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 xml:space="preserve">小计 </w:t>
            </w: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公务用车购置费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公务用车运行维护费</w:t>
            </w:r>
          </w:p>
        </w:tc>
        <w:tc>
          <w:tcPr>
            <w:tcW w:w="75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12" w:hRule="atLeast"/>
          <w:tblHeader/>
          <w:jc w:val="center"/>
        </w:trPr>
        <w:tc>
          <w:tcPr>
            <w:tcW w:w="75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756"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756"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c>
          <w:tcPr>
            <w:tcW w:w="757"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hint="eastAsia" w:ascii="仿宋" w:hAnsi="仿宋" w:eastAsia="仿宋" w:cs="仿宋"/>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1</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2</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3</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4</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5</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6</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7</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8</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9</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10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11</w:t>
            </w:r>
          </w:p>
        </w:tc>
        <w:tc>
          <w:tcPr>
            <w:tcW w:w="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12</w:t>
            </w:r>
          </w:p>
        </w:tc>
      </w:tr>
      <w:tr>
        <w:tblPrEx>
          <w:tblLayout w:type="fixed"/>
          <w:tblCellMar>
            <w:top w:w="15" w:type="dxa"/>
            <w:left w:w="15" w:type="dxa"/>
            <w:bottom w:w="15" w:type="dxa"/>
            <w:right w:w="15" w:type="dxa"/>
          </w:tblCellMar>
        </w:tblPrEx>
        <w:trPr>
          <w:trHeight w:val="0" w:hRule="atLeast"/>
          <w:jc w:val="center"/>
        </w:trPr>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bookmarkStart w:id="125" w:name="_GoBack" w:colFirst="1" w:colLast="11"/>
            <w:r>
              <w:rPr>
                <w:rFonts w:hint="eastAsia" w:ascii="仿宋" w:hAnsi="仿宋" w:eastAsia="仿宋" w:cs="仿宋"/>
                <w:b w:val="0"/>
                <w:bCs w:val="0"/>
                <w:i w:val="0"/>
                <w:iCs w:val="0"/>
                <w:smallCaps w:val="0"/>
                <w:color w:val="000000"/>
                <w:kern w:val="0"/>
                <w:sz w:val="18"/>
                <w:szCs w:val="18"/>
                <w:lang w:val="en-US" w:eastAsia="zh-CN"/>
              </w:rPr>
              <w:t>0</w:t>
            </w:r>
            <w:r>
              <w:rPr>
                <w:rFonts w:hint="eastAsia" w:ascii="仿宋" w:hAnsi="仿宋" w:eastAsia="仿宋" w:cs="仿宋"/>
                <w:b w:val="0"/>
                <w:bCs w:val="0"/>
                <w:i w:val="0"/>
                <w:iCs w:val="0"/>
                <w:smallCaps w:val="0"/>
                <w:color w:val="000000"/>
                <w:kern w:val="0"/>
                <w:sz w:val="18"/>
                <w:szCs w:val="18"/>
              </w:rPr>
              <w:t> </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lang w:val="en-US" w:eastAsia="zh-CN"/>
              </w:rPr>
              <w:t>0</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lang w:val="en-US" w:eastAsia="zh-CN"/>
              </w:rPr>
              <w:t>0</w:t>
            </w:r>
          </w:p>
        </w:tc>
        <w:tc>
          <w:tcPr>
            <w:tcW w:w="75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lang w:val="en-US" w:eastAsia="zh-CN"/>
              </w:rPr>
              <w:t>0</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lang w:val="en-US" w:eastAsia="zh-CN"/>
              </w:rPr>
              <w:t>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lang w:val="en-US" w:eastAsia="zh-CN"/>
              </w:rPr>
              <w:t>0</w:t>
            </w:r>
          </w:p>
        </w:tc>
        <w:tc>
          <w:tcPr>
            <w:tcW w:w="75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lang w:val="en-US" w:eastAsia="zh-CN"/>
              </w:rPr>
              <w:t>0</w:t>
            </w:r>
          </w:p>
        </w:tc>
      </w:tr>
      <w:bookmarkEnd w:id="125"/>
      <w:tr>
        <w:tblPrEx>
          <w:tblLayout w:type="fixed"/>
          <w:tblCellMar>
            <w:top w:w="15" w:type="dxa"/>
            <w:left w:w="15" w:type="dxa"/>
            <w:bottom w:w="15" w:type="dxa"/>
            <w:right w:w="15" w:type="dxa"/>
          </w:tblCellMar>
        </w:tblPrEx>
        <w:trPr>
          <w:trHeight w:val="0" w:hRule="atLeast"/>
          <w:jc w:val="center"/>
        </w:trPr>
        <w:tc>
          <w:tcPr>
            <w:tcW w:w="9066" w:type="dxa"/>
            <w:gridSpan w:val="14"/>
            <w:noWrap w:val="0"/>
            <w:tcMar>
              <w:top w:w="20" w:type="dxa"/>
              <w:left w:w="20" w:type="dxa"/>
              <w:bottom w:w="20" w:type="dxa"/>
              <w:right w:w="20" w:type="dxa"/>
            </w:tcMar>
            <w:vAlign w:val="center"/>
          </w:tcPr>
          <w:p>
            <w:pPr>
              <w:widowControl/>
              <w:spacing w:line="375" w:lineRule="atLeast"/>
              <w:jc w:val="left"/>
              <w:rPr>
                <w:rFonts w:hint="eastAsia" w:ascii="仿宋" w:hAnsi="仿宋" w:eastAsia="仿宋" w:cs="仿宋"/>
                <w:b w:val="0"/>
                <w:bCs w:val="0"/>
                <w:i w:val="0"/>
                <w:iCs w:val="0"/>
                <w:smallCaps w:val="0"/>
                <w:color w:val="000000"/>
                <w:kern w:val="0"/>
                <w:sz w:val="18"/>
                <w:szCs w:val="18"/>
              </w:rPr>
            </w:pPr>
            <w:r>
              <w:rPr>
                <w:rFonts w:hint="eastAsia" w:ascii="仿宋" w:hAnsi="仿宋" w:eastAsia="仿宋" w:cs="仿宋"/>
                <w:b w:val="0"/>
                <w:bCs w:val="0"/>
                <w:i w:val="0"/>
                <w:iCs w:val="0"/>
                <w:smallCaps w:val="0"/>
                <w:color w:val="000000"/>
                <w:kern w:val="0"/>
                <w:sz w:val="18"/>
                <w:szCs w:val="18"/>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widowControl/>
        <w:ind w:firstLine="480" w:firstLineChars="200"/>
        <w:jc w:val="left"/>
        <w:rPr>
          <w:rFonts w:hint="eastAsia" w:ascii="仿宋" w:hAnsi="仿宋" w:eastAsia="仿宋" w:cs="仿宋"/>
          <w:kern w:val="0"/>
          <w:sz w:val="28"/>
          <w:szCs w:val="28"/>
          <w:lang w:val="en-US" w:eastAsia="zh-CN"/>
        </w:rPr>
      </w:pPr>
      <w:r>
        <w:rPr>
          <w:rFonts w:ascii="Times New Roman" w:hAnsi="Times New Roman" w:eastAsia="Times New Roman" w:cs="Times New Roman"/>
          <w:kern w:val="0"/>
          <w:sz w:val="24"/>
        </w:rPr>
        <w:t> </w:t>
      </w:r>
      <w:r>
        <w:rPr>
          <w:rFonts w:hint="eastAsia" w:eastAsia="宋体" w:cs="Times New Roman"/>
          <w:kern w:val="0"/>
          <w:sz w:val="24"/>
          <w:lang w:val="en-US" w:eastAsia="zh-CN"/>
        </w:rPr>
        <w:t xml:space="preserve">         </w:t>
      </w:r>
      <w:r>
        <w:rPr>
          <w:rFonts w:hint="eastAsia" w:ascii="仿宋" w:hAnsi="仿宋" w:eastAsia="仿宋" w:cs="仿宋"/>
          <w:kern w:val="0"/>
          <w:sz w:val="28"/>
          <w:szCs w:val="28"/>
          <w:lang w:eastAsia="zh-CN"/>
        </w:rPr>
        <w:t>本单位</w:t>
      </w:r>
      <w:r>
        <w:rPr>
          <w:rFonts w:hint="eastAsia" w:ascii="仿宋" w:hAnsi="仿宋" w:eastAsia="仿宋" w:cs="仿宋"/>
          <w:kern w:val="0"/>
          <w:sz w:val="28"/>
          <w:szCs w:val="28"/>
          <w:lang w:val="en-US" w:eastAsia="zh-CN"/>
        </w:rPr>
        <w:t>2024年度没有使用一般公共预算财政拨款安排的“三公”经费支出。</w:t>
      </w:r>
    </w:p>
    <w:p>
      <w:pPr>
        <w:pStyle w:val="5"/>
        <w:keepNext w:val="0"/>
        <w:keepLines w:val="0"/>
        <w:spacing w:before="100" w:after="100" w:line="240" w:lineRule="auto"/>
        <w:ind w:left="720" w:right="0" w:hanging="720" w:firstLineChars="0"/>
        <w:rPr>
          <w:rFonts w:hint="eastAsia" w:ascii="仿宋" w:hAnsi="仿宋" w:eastAsia="仿宋" w:cs="仿宋"/>
          <w:b/>
          <w:spacing w:val="0"/>
          <w:sz w:val="32"/>
          <w:szCs w:val="32"/>
        </w:rPr>
      </w:pPr>
      <w:bookmarkStart w:id="57" w:name="_Toc256000014"/>
      <w:bookmarkStart w:id="58" w:name="_Toc256000045"/>
      <w:bookmarkStart w:id="59" w:name="_Toc256000076"/>
      <w:bookmarkStart w:id="60" w:name="_Toc256000107"/>
      <w:r>
        <w:rPr>
          <w:rFonts w:hint="eastAsia" w:ascii="仿宋" w:hAnsi="仿宋" w:eastAsia="仿宋" w:cs="仿宋"/>
          <w:b/>
          <w:spacing w:val="0"/>
          <w:sz w:val="32"/>
          <w:szCs w:val="32"/>
        </w:rPr>
        <w:t>八、政府性基金预算财政拨款收入支出决算表</w:t>
      </w:r>
      <w:bookmarkEnd w:id="57"/>
      <w:bookmarkEnd w:id="58"/>
      <w:bookmarkEnd w:id="59"/>
      <w:bookmarkEnd w:id="60"/>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066" w:type="dxa"/>
        <w:jc w:val="center"/>
        <w:tblInd w:w="0" w:type="dxa"/>
        <w:tblLayout w:type="fixed"/>
        <w:tblCellMar>
          <w:top w:w="15" w:type="dxa"/>
          <w:left w:w="15" w:type="dxa"/>
          <w:bottom w:w="15" w:type="dxa"/>
          <w:right w:w="15" w:type="dxa"/>
        </w:tblCellMar>
      </w:tblPr>
      <w:tblGrid>
        <w:gridCol w:w="1133"/>
        <w:gridCol w:w="1133"/>
        <w:gridCol w:w="1133"/>
        <w:gridCol w:w="1134"/>
        <w:gridCol w:w="1133"/>
        <w:gridCol w:w="1133"/>
        <w:gridCol w:w="1134"/>
        <w:gridCol w:w="1133"/>
      </w:tblGrid>
      <w:tr>
        <w:tblPrEx>
          <w:tblLayout w:type="fixed"/>
          <w:tblCellMar>
            <w:top w:w="15" w:type="dxa"/>
            <w:left w:w="15" w:type="dxa"/>
            <w:bottom w:w="15" w:type="dxa"/>
            <w:right w:w="15" w:type="dxa"/>
          </w:tblCellMar>
        </w:tblPrEx>
        <w:trPr>
          <w:trHeight w:val="0" w:hRule="atLeast"/>
          <w:tblHeader/>
          <w:jc w:val="center"/>
        </w:trPr>
        <w:tc>
          <w:tcPr>
            <w:tcW w:w="9066" w:type="dxa"/>
            <w:gridSpan w:val="8"/>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政府性基金预算财政拨款收入支出决算表</w:t>
            </w:r>
          </w:p>
        </w:tc>
      </w:tr>
      <w:tr>
        <w:tblPrEx>
          <w:tblLayout w:type="fixed"/>
          <w:tblCellMar>
            <w:top w:w="15" w:type="dxa"/>
            <w:left w:w="15" w:type="dxa"/>
            <w:bottom w:w="15" w:type="dxa"/>
            <w:right w:w="15" w:type="dxa"/>
          </w:tblCellMar>
        </w:tblPrEx>
        <w:trPr>
          <w:trHeight w:val="0" w:hRule="atLeast"/>
          <w:jc w:val="center"/>
        </w:trPr>
        <w:tc>
          <w:tcPr>
            <w:tcW w:w="4533"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单位：厦门市金尚小学</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tblHeader/>
          <w:jc w:val="center"/>
        </w:trPr>
        <w:tc>
          <w:tcPr>
            <w:tcW w:w="226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1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w:t>
            </w:r>
          </w:p>
        </w:tc>
        <w:tc>
          <w:tcPr>
            <w:tcW w:w="340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p>
        </w:tc>
      </w:tr>
      <w:tr>
        <w:tblPrEx>
          <w:tblLayout w:type="fixed"/>
          <w:tblCellMar>
            <w:top w:w="15" w:type="dxa"/>
            <w:left w:w="15" w:type="dxa"/>
            <w:bottom w:w="15" w:type="dxa"/>
            <w:right w:w="15" w:type="dxa"/>
          </w:tblCellMar>
        </w:tblPrEx>
        <w:trPr>
          <w:trHeight w:val="312" w:hRule="atLeast"/>
          <w:tblHeader/>
          <w:jc w:val="center"/>
        </w:trPr>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支出功能分类科目编码</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13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11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c>
          <w:tcPr>
            <w:tcW w:w="113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12" w:hRule="atLeast"/>
          <w:tblHeader/>
          <w:jc w:val="center"/>
        </w:trPr>
        <w:tc>
          <w:tcPr>
            <w:tcW w:w="113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226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rPr>
          <w:trHeight w:val="0" w:hRule="atLeast"/>
          <w:jc w:val="center"/>
        </w:trPr>
        <w:tc>
          <w:tcPr>
            <w:tcW w:w="226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8"/>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注：本表反映部门本年度政府性基金预算财政拨款收入、支出及结转和结余情况。</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p>
    <w:p>
      <w:pPr>
        <w:pStyle w:val="29"/>
        <w:widowControl/>
        <w:spacing w:before="100" w:after="100"/>
        <w:ind w:right="0"/>
        <w:jc w:val="left"/>
        <w:rPr>
          <w:rFonts w:hint="eastAsia" w:ascii="仿宋" w:hAnsi="仿宋" w:eastAsia="仿宋" w:cs="仿宋"/>
          <w:b/>
          <w:bCs/>
          <w:kern w:val="0"/>
          <w:sz w:val="32"/>
          <w:szCs w:val="32"/>
        </w:rPr>
      </w:pPr>
      <w:bookmarkStart w:id="61" w:name="_Toc256000108"/>
      <w:bookmarkStart w:id="62" w:name="_Toc256000015"/>
      <w:bookmarkStart w:id="63" w:name="_Toc256000046"/>
      <w:bookmarkStart w:id="64" w:name="_Toc256000077"/>
      <w:r>
        <w:rPr>
          <w:rFonts w:hint="eastAsia" w:ascii="仿宋" w:hAnsi="仿宋" w:eastAsia="仿宋" w:cs="仿宋"/>
          <w:b/>
          <w:spacing w:val="0"/>
          <w:sz w:val="32"/>
          <w:szCs w:val="32"/>
        </w:rPr>
        <w:t>九、国有资本经营预算财政拨款支出决算表</w:t>
      </w:r>
      <w:bookmarkEnd w:id="61"/>
      <w:bookmarkEnd w:id="62"/>
      <w:bookmarkEnd w:id="63"/>
      <w:bookmarkEnd w:id="64"/>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3"/>
        <w:tblW w:w="9066" w:type="dxa"/>
        <w:jc w:val="center"/>
        <w:tblInd w:w="0" w:type="dxa"/>
        <w:tblLayout w:type="fixed"/>
        <w:tblCellMar>
          <w:top w:w="15" w:type="dxa"/>
          <w:left w:w="15" w:type="dxa"/>
          <w:bottom w:w="15" w:type="dxa"/>
          <w:right w:w="15" w:type="dxa"/>
        </w:tblCellMar>
      </w:tblPr>
      <w:tblGrid>
        <w:gridCol w:w="1813"/>
        <w:gridCol w:w="1813"/>
        <w:gridCol w:w="1813"/>
        <w:gridCol w:w="1814"/>
        <w:gridCol w:w="1813"/>
      </w:tblGrid>
      <w:tr>
        <w:tblPrEx>
          <w:tblLayout w:type="fixed"/>
          <w:tblCellMar>
            <w:top w:w="15" w:type="dxa"/>
            <w:left w:w="15" w:type="dxa"/>
            <w:bottom w:w="15" w:type="dxa"/>
            <w:right w:w="15" w:type="dxa"/>
          </w:tblCellMar>
        </w:tblPrEx>
        <w:trPr>
          <w:trHeight w:val="0" w:hRule="atLeast"/>
          <w:tblHeader/>
          <w:jc w:val="center"/>
        </w:trPr>
        <w:tc>
          <w:tcPr>
            <w:tcW w:w="9066" w:type="dxa"/>
            <w:gridSpan w:val="5"/>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国有资本经营预算财政拨款支出决算表</w:t>
            </w:r>
          </w:p>
        </w:tc>
      </w:tr>
      <w:tr>
        <w:tblPrEx>
          <w:tblLayout w:type="fixed"/>
          <w:tblCellMar>
            <w:top w:w="15" w:type="dxa"/>
            <w:left w:w="15" w:type="dxa"/>
            <w:bottom w:w="15" w:type="dxa"/>
            <w:right w:w="15" w:type="dxa"/>
          </w:tblCellMar>
        </w:tblPrEx>
        <w:trPr>
          <w:trHeight w:val="0" w:hRule="atLeast"/>
          <w:jc w:val="center"/>
        </w:trPr>
        <w:tc>
          <w:tcPr>
            <w:tcW w:w="362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单位：厦门市金尚小学</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81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362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544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rHeight w:val="312" w:hRule="atLeast"/>
          <w:tblHeader/>
          <w:jc w:val="center"/>
        </w:trPr>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81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rHeight w:val="312" w:hRule="atLeast"/>
          <w:tblHeader/>
          <w:jc w:val="center"/>
        </w:trPr>
        <w:tc>
          <w:tcPr>
            <w:tcW w:w="181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4"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12" w:hRule="atLeast"/>
          <w:tblHeader/>
          <w:jc w:val="center"/>
        </w:trPr>
        <w:tc>
          <w:tcPr>
            <w:tcW w:w="181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4"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noWrap w:val="0"/>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362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rPr>
          <w:trHeight w:val="0" w:hRule="atLeast"/>
          <w:jc w:val="center"/>
        </w:trPr>
        <w:tc>
          <w:tcPr>
            <w:tcW w:w="362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5"/>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注：本表反映部门本年度国有资本经营预算财政拨款支出情况。</w:t>
            </w:r>
          </w:p>
        </w:tc>
      </w:tr>
      <w:tr>
        <w:tblPrEx>
          <w:tblLayout w:type="fixed"/>
          <w:tblCellMar>
            <w:top w:w="15" w:type="dxa"/>
            <w:left w:w="15" w:type="dxa"/>
            <w:bottom w:w="15" w:type="dxa"/>
            <w:right w:w="15" w:type="dxa"/>
          </w:tblCellMar>
        </w:tblPrEx>
        <w:trPr>
          <w:trHeight w:val="0" w:hRule="atLeast"/>
          <w:jc w:val="center"/>
        </w:trPr>
        <w:tc>
          <w:tcPr>
            <w:tcW w:w="9066" w:type="dxa"/>
            <w:gridSpan w:val="5"/>
            <w:noWrap w:val="0"/>
            <w:tcMar>
              <w:top w:w="20" w:type="dxa"/>
              <w:left w:w="20" w:type="dxa"/>
              <w:bottom w:w="20" w:type="dxa"/>
              <w:right w:w="20" w:type="dxa"/>
            </w:tcMar>
            <w:vAlign w:val="center"/>
          </w:tcPr>
          <w:p>
            <w:pPr>
              <w:widowControl/>
              <w:spacing w:line="375" w:lineRule="atLeast"/>
              <w:ind w:firstLine="560" w:firstLineChars="200"/>
              <w:jc w:val="left"/>
              <w:rPr>
                <w:rFonts w:ascii="宋体" w:hAnsi="宋体" w:eastAsia="宋体" w:cs="宋体"/>
                <w:b w:val="0"/>
                <w:bCs w:val="0"/>
                <w:i w:val="0"/>
                <w:iCs w:val="0"/>
                <w:smallCaps w:val="0"/>
                <w:color w:val="000000"/>
                <w:kern w:val="0"/>
                <w:sz w:val="18"/>
                <w:szCs w:val="18"/>
              </w:rPr>
            </w:pPr>
            <w:r>
              <w:rPr>
                <w:rFonts w:hint="eastAsia" w:ascii="仿宋" w:hAnsi="仿宋" w:eastAsia="仿宋" w:cs="仿宋"/>
                <w:kern w:val="0"/>
                <w:sz w:val="28"/>
                <w:szCs w:val="28"/>
                <w:lang w:eastAsia="zh-CN"/>
              </w:rPr>
              <w:t>本单位</w:t>
            </w:r>
            <w:r>
              <w:rPr>
                <w:rFonts w:hint="eastAsia" w:ascii="仿宋" w:hAnsi="仿宋" w:eastAsia="仿宋" w:cs="仿宋"/>
                <w:kern w:val="0"/>
                <w:sz w:val="28"/>
                <w:szCs w:val="28"/>
                <w:lang w:val="en-US" w:eastAsia="zh-CN"/>
              </w:rPr>
              <w:t>2024年度没有使用国有资本经营预算财政拨款</w:t>
            </w:r>
            <w:r>
              <w:rPr>
                <w:rFonts w:hint="eastAsia" w:ascii="仿宋" w:hAnsi="仿宋" w:eastAsia="仿宋" w:cs="仿宋"/>
                <w:kern w:val="0"/>
                <w:sz w:val="28"/>
                <w:szCs w:val="28"/>
              </w:rPr>
              <w:t>安排的</w:t>
            </w:r>
            <w:r>
              <w:rPr>
                <w:rFonts w:hint="eastAsia" w:ascii="仿宋" w:hAnsi="仿宋" w:eastAsia="仿宋" w:cs="仿宋"/>
                <w:kern w:val="0"/>
                <w:sz w:val="28"/>
                <w:szCs w:val="28"/>
                <w:lang w:eastAsia="zh-CN"/>
              </w:rPr>
              <w:t>支出</w:t>
            </w:r>
            <w:r>
              <w:rPr>
                <w:rFonts w:hint="eastAsia" w:ascii="仿宋" w:hAnsi="仿宋" w:eastAsia="仿宋" w:cs="仿宋"/>
                <w:kern w:val="0"/>
                <w:sz w:val="28"/>
                <w:szCs w:val="28"/>
                <w:lang w:val="en-US" w:eastAsia="zh-CN"/>
              </w:rPr>
              <w:t>。</w:t>
            </w:r>
          </w:p>
        </w:tc>
      </w:tr>
    </w:tbl>
    <w:p>
      <w:pPr>
        <w:pStyle w:val="3"/>
        <w:keepNext w:val="0"/>
        <w:keepLines w:val="0"/>
        <w:spacing w:before="100" w:after="100" w:line="240" w:lineRule="auto"/>
        <w:ind w:left="0" w:right="0" w:firstLine="0" w:firstLineChars="0"/>
        <w:jc w:val="center"/>
        <w:rPr>
          <w:rFonts w:ascii="Times New Roman" w:hAnsi="Times New Roman" w:eastAsia="Times New Roman" w:cs="Times New Roman"/>
          <w:kern w:val="0"/>
          <w:sz w:val="24"/>
        </w:rPr>
      </w:pPr>
    </w:p>
    <w:p>
      <w:pPr>
        <w:pStyle w:val="3"/>
        <w:keepNext w:val="0"/>
        <w:keepLines w:val="0"/>
        <w:spacing w:before="100" w:after="100" w:line="240" w:lineRule="auto"/>
        <w:ind w:left="0" w:right="0" w:firstLine="0" w:firstLineChars="0"/>
        <w:jc w:val="center"/>
        <w:rPr>
          <w:rFonts w:ascii="Times New Roman" w:hAnsi="Times New Roman" w:eastAsia="Times New Roman" w:cs="Times New Roman"/>
          <w:kern w:val="0"/>
          <w:sz w:val="24"/>
        </w:rPr>
      </w:pPr>
      <w:r>
        <w:rPr>
          <w:rFonts w:ascii="Times New Roman" w:hAnsi="Times New Roman" w:eastAsia="Times New Roman" w:cs="Times New Roman"/>
          <w:kern w:val="0"/>
          <w:sz w:val="24"/>
        </w:rPr>
        <w:t> </w:t>
      </w:r>
      <w:bookmarkStart w:id="65" w:name="_Toc256000078"/>
      <w:bookmarkStart w:id="66" w:name="_Toc256000016"/>
      <w:bookmarkStart w:id="67" w:name="_Toc256000109"/>
      <w:bookmarkStart w:id="68" w:name="_Toc256000047"/>
    </w:p>
    <w:p>
      <w:pPr>
        <w:pStyle w:val="3"/>
        <w:keepNext w:val="0"/>
        <w:keepLines w:val="0"/>
        <w:spacing w:before="100" w:after="100" w:line="240" w:lineRule="auto"/>
        <w:ind w:left="0" w:right="0" w:firstLine="0" w:firstLineChars="0"/>
        <w:jc w:val="center"/>
        <w:rPr>
          <w:rFonts w:ascii="Times New Roman" w:hAnsi="Times New Roman" w:eastAsia="Times New Roman" w:cs="Times New Roman"/>
          <w:kern w:val="0"/>
          <w:sz w:val="24"/>
        </w:rPr>
      </w:pPr>
    </w:p>
    <w:p>
      <w:pPr>
        <w:pStyle w:val="3"/>
        <w:keepNext w:val="0"/>
        <w:keepLines w:val="0"/>
        <w:spacing w:before="100" w:after="100" w:line="240" w:lineRule="auto"/>
        <w:ind w:left="0" w:right="0" w:firstLine="0" w:firstLineChars="0"/>
        <w:jc w:val="center"/>
        <w:rPr>
          <w:rFonts w:ascii="Times New Roman" w:hAnsi="Times New Roman" w:eastAsia="Times New Roman" w:cs="Times New Roman"/>
          <w:kern w:val="0"/>
          <w:sz w:val="24"/>
        </w:rPr>
      </w:pPr>
    </w:p>
    <w:p>
      <w:pPr>
        <w:pStyle w:val="3"/>
        <w:keepNext w:val="0"/>
        <w:keepLines w:val="0"/>
        <w:spacing w:before="100" w:after="100" w:line="240" w:lineRule="auto"/>
        <w:ind w:left="0" w:right="0" w:firstLine="0" w:firstLineChars="0"/>
        <w:jc w:val="center"/>
        <w:rPr>
          <w:rFonts w:ascii="Times New Roman" w:hAnsi="Times New Roman" w:eastAsia="Times New Roman" w:cs="Times New Roman"/>
          <w:kern w:val="0"/>
          <w:sz w:val="24"/>
        </w:rPr>
      </w:pPr>
    </w:p>
    <w:p>
      <w:pPr>
        <w:pStyle w:val="3"/>
        <w:keepNext w:val="0"/>
        <w:keepLines w:val="0"/>
        <w:spacing w:before="100" w:after="100" w:line="240" w:lineRule="auto"/>
        <w:ind w:left="0" w:right="0" w:firstLine="0" w:firstLineChars="0"/>
        <w:jc w:val="center"/>
        <w:rPr>
          <w:rFonts w:ascii="Times New Roman" w:hAnsi="Times New Roman" w:eastAsia="Times New Roman" w:cs="Times New Roman"/>
          <w:kern w:val="0"/>
          <w:sz w:val="24"/>
        </w:rPr>
      </w:pPr>
    </w:p>
    <w:p>
      <w:pPr>
        <w:pStyle w:val="3"/>
        <w:keepNext w:val="0"/>
        <w:keepLines w:val="0"/>
        <w:spacing w:before="100" w:after="100" w:line="240" w:lineRule="auto"/>
        <w:ind w:left="0" w:right="0" w:firstLine="0" w:firstLineChars="0"/>
        <w:jc w:val="center"/>
        <w:rPr>
          <w:rFonts w:ascii="Times New Roman" w:hAnsi="Times New Roman" w:eastAsia="Times New Roman" w:cs="Times New Roman"/>
          <w:kern w:val="0"/>
          <w:sz w:val="24"/>
        </w:rPr>
      </w:pPr>
    </w:p>
    <w:p>
      <w:pPr>
        <w:pStyle w:val="3"/>
        <w:keepNext w:val="0"/>
        <w:keepLines w:val="0"/>
        <w:spacing w:before="100" w:after="100" w:line="240" w:lineRule="auto"/>
        <w:ind w:left="0" w:right="0" w:firstLine="0" w:firstLineChars="0"/>
        <w:jc w:val="center"/>
        <w:rPr>
          <w:rFonts w:ascii="Times New Roman" w:hAnsi="Times New Roman" w:eastAsia="Times New Roman" w:cs="Times New Roman"/>
          <w:kern w:val="0"/>
          <w:sz w:val="24"/>
        </w:rPr>
      </w:pPr>
    </w:p>
    <w:p>
      <w:pPr>
        <w:pStyle w:val="3"/>
        <w:keepNext w:val="0"/>
        <w:keepLines w:val="0"/>
        <w:spacing w:before="100" w:after="100" w:line="240" w:lineRule="auto"/>
        <w:ind w:left="0" w:right="0" w:firstLine="0" w:firstLineChars="0"/>
        <w:jc w:val="center"/>
        <w:rPr>
          <w:rFonts w:hint="eastAsia" w:ascii="仿宋" w:hAnsi="仿宋" w:eastAsia="仿宋" w:cs="仿宋"/>
          <w:b/>
          <w:spacing w:val="0"/>
          <w:sz w:val="32"/>
          <w:szCs w:val="32"/>
        </w:rPr>
      </w:pPr>
      <w:r>
        <w:rPr>
          <w:rFonts w:hint="eastAsia" w:ascii="仿宋" w:hAnsi="仿宋" w:eastAsia="仿宋" w:cs="仿宋"/>
          <w:b/>
          <w:spacing w:val="0"/>
          <w:sz w:val="32"/>
          <w:szCs w:val="32"/>
        </w:rPr>
        <w:t>第三部分</w:t>
      </w:r>
      <w:bookmarkEnd w:id="65"/>
      <w:bookmarkEnd w:id="66"/>
      <w:bookmarkEnd w:id="67"/>
      <w:bookmarkEnd w:id="68"/>
      <w:r>
        <w:rPr>
          <w:rFonts w:hint="eastAsia" w:ascii="仿宋" w:hAnsi="仿宋" w:eastAsia="仿宋" w:cs="仿宋"/>
          <w:b/>
          <w:spacing w:val="0"/>
          <w:sz w:val="32"/>
          <w:szCs w:val="32"/>
        </w:rPr>
        <w:t> </w:t>
      </w:r>
      <w:bookmarkStart w:id="69" w:name="_Toc256000110"/>
      <w:bookmarkStart w:id="70" w:name="_Toc256000079"/>
      <w:bookmarkStart w:id="71" w:name="_Toc256000017"/>
      <w:bookmarkStart w:id="72" w:name="_Toc256000048"/>
      <w:r>
        <w:rPr>
          <w:rFonts w:hint="eastAsia" w:ascii="仿宋" w:hAnsi="仿宋" w:cs="仿宋"/>
          <w:b/>
          <w:spacing w:val="0"/>
          <w:sz w:val="32"/>
          <w:szCs w:val="32"/>
          <w:lang w:val="en-US" w:eastAsia="zh-CN"/>
        </w:rPr>
        <w:t xml:space="preserve"> </w:t>
      </w:r>
      <w:r>
        <w:rPr>
          <w:rFonts w:hint="eastAsia" w:ascii="仿宋" w:hAnsi="仿宋" w:eastAsia="仿宋" w:cs="仿宋"/>
          <w:b/>
          <w:spacing w:val="0"/>
          <w:sz w:val="32"/>
          <w:szCs w:val="32"/>
        </w:rPr>
        <w:t>2024年度决算情况说明</w:t>
      </w:r>
      <w:bookmarkEnd w:id="69"/>
      <w:bookmarkEnd w:id="70"/>
      <w:bookmarkEnd w:id="71"/>
      <w:bookmarkEnd w:id="72"/>
    </w:p>
    <w:p>
      <w:pPr>
        <w:keepNext w:val="0"/>
        <w:keepLines w:val="0"/>
        <w:pageBreakBefore w:val="0"/>
        <w:kinsoku/>
        <w:wordWrap/>
        <w:overflowPunct/>
        <w:topLinePunct w:val="0"/>
        <w:autoSpaceDE/>
        <w:autoSpaceDN/>
        <w:bidi w:val="0"/>
        <w:adjustRightInd/>
        <w:snapToGrid/>
        <w:spacing w:before="0" w:after="0" w:line="560" w:lineRule="exact"/>
        <w:ind w:left="0" w:right="0" w:firstLine="562" w:firstLineChars="200"/>
        <w:jc w:val="both"/>
        <w:textAlignment w:val="auto"/>
        <w:outlineLvl w:val="9"/>
        <w:rPr>
          <w:rFonts w:hint="eastAsia" w:ascii="仿宋" w:hAnsi="仿宋" w:eastAsia="仿宋" w:cs="仿宋"/>
          <w:b/>
          <w:bCs/>
          <w:kern w:val="0"/>
          <w:sz w:val="28"/>
          <w:szCs w:val="28"/>
        </w:rPr>
      </w:pPr>
      <w:bookmarkStart w:id="73" w:name="_Toc256000111"/>
      <w:bookmarkStart w:id="74" w:name="_Toc256000080"/>
      <w:bookmarkStart w:id="75" w:name="_Toc256000018"/>
      <w:bookmarkStart w:id="76" w:name="_Toc256000049"/>
      <w:r>
        <w:rPr>
          <w:rFonts w:hint="eastAsia" w:ascii="仿宋" w:hAnsi="仿宋" w:eastAsia="仿宋" w:cs="仿宋"/>
          <w:b/>
          <w:spacing w:val="0"/>
          <w:sz w:val="28"/>
          <w:szCs w:val="28"/>
        </w:rPr>
        <w:t>一、收入支出决算总体情况说明</w:t>
      </w:r>
      <w:bookmarkEnd w:id="73"/>
      <w:bookmarkEnd w:id="74"/>
      <w:bookmarkEnd w:id="75"/>
      <w:bookmarkEnd w:id="76"/>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（一）收入支出决算总体情况说明</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2024年度本单位收入总计3143.36万元，支出总计3143.36万元，与上年决算数相比，各增加84.51万元，各增长2.76%。主要</w:t>
      </w:r>
      <w:r>
        <w:rPr>
          <w:rFonts w:hint="eastAsia" w:ascii="仿宋" w:hAnsi="仿宋" w:eastAsia="仿宋" w:cs="仿宋"/>
          <w:b w:val="0"/>
          <w:bCs w:val="0"/>
          <w:kern w:val="0"/>
          <w:sz w:val="28"/>
          <w:szCs w:val="28"/>
        </w:rPr>
        <w:t>是校园建设投入增加。</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（二）收入决算情况说明</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2024年度收入3143.36万元，比上年决算数</w:t>
      </w:r>
      <w:r>
        <w:rPr>
          <w:rFonts w:hint="eastAsia" w:ascii="仿宋" w:hAnsi="仿宋" w:eastAsia="仿宋" w:cs="仿宋"/>
          <w:kern w:val="0"/>
          <w:sz w:val="28"/>
          <w:szCs w:val="28"/>
        </w:rPr>
        <w:t>增加</w:t>
      </w:r>
      <w:r>
        <w:rPr>
          <w:rFonts w:hint="eastAsia" w:ascii="仿宋" w:hAnsi="仿宋" w:eastAsia="仿宋" w:cs="仿宋"/>
          <w:spacing w:val="0"/>
          <w:kern w:val="0"/>
          <w:sz w:val="28"/>
          <w:szCs w:val="28"/>
        </w:rPr>
        <w:t>84.51万元，</w:t>
      </w:r>
      <w:r>
        <w:rPr>
          <w:rFonts w:hint="eastAsia" w:ascii="仿宋" w:hAnsi="仿宋" w:eastAsia="仿宋" w:cs="仿宋"/>
          <w:kern w:val="0"/>
          <w:sz w:val="28"/>
          <w:szCs w:val="28"/>
        </w:rPr>
        <w:t>增长</w:t>
      </w:r>
      <w:r>
        <w:rPr>
          <w:rFonts w:hint="eastAsia" w:ascii="仿宋" w:hAnsi="仿宋" w:eastAsia="仿宋" w:cs="仿宋"/>
          <w:spacing w:val="0"/>
          <w:kern w:val="0"/>
          <w:sz w:val="28"/>
          <w:szCs w:val="28"/>
        </w:rPr>
        <w:t>2.76%，具体情况如下：</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1.一般公共预算财政拨款收入3139.91万元。</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2.政府性基金预算财政拨款收入3.45万元。</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3.国有资本经营预算财政拨款收入0万元。</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4.上级补助收入0万元。</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5.事业收入0万元。</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6.经营收入0万元。</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7.附属单位上缴收入0万元。</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8.其他收入0万元。</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（三）支出决算情况说明</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2024年度支出3143.36万元，比上年决算数增加84.51万元，增长2.76%，具体情况如下：</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1.基本支出2592.73万元。其中，人员支出2364.76万元，公用支出227.97万元。</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2.项目支出550.63万元。</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3.上缴上级支出0万元。</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4.经营支出0万元。</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5.对附属单位补助支出0万元。</w:t>
      </w:r>
    </w:p>
    <w:p>
      <w:pPr>
        <w:keepNext w:val="0"/>
        <w:keepLines w:val="0"/>
        <w:pageBreakBefore w:val="0"/>
        <w:kinsoku/>
        <w:wordWrap/>
        <w:overflowPunct/>
        <w:topLinePunct w:val="0"/>
        <w:autoSpaceDE/>
        <w:autoSpaceDN/>
        <w:bidi w:val="0"/>
        <w:adjustRightInd/>
        <w:snapToGrid/>
        <w:spacing w:before="0" w:after="0" w:line="560" w:lineRule="exact"/>
        <w:ind w:left="0" w:right="0" w:firstLine="562" w:firstLineChars="200"/>
        <w:jc w:val="both"/>
        <w:textAlignment w:val="auto"/>
        <w:outlineLvl w:val="9"/>
        <w:rPr>
          <w:rFonts w:hint="eastAsia" w:ascii="仿宋" w:hAnsi="仿宋" w:eastAsia="仿宋" w:cs="仿宋"/>
          <w:b/>
          <w:bCs/>
          <w:kern w:val="0"/>
          <w:sz w:val="28"/>
          <w:szCs w:val="28"/>
        </w:rPr>
      </w:pPr>
      <w:bookmarkStart w:id="77" w:name="_Toc256000019"/>
      <w:bookmarkStart w:id="78" w:name="_Toc256000081"/>
      <w:bookmarkStart w:id="79" w:name="_Toc256000050"/>
      <w:bookmarkStart w:id="80" w:name="_Toc256000112"/>
      <w:r>
        <w:rPr>
          <w:rFonts w:hint="eastAsia" w:ascii="仿宋" w:hAnsi="仿宋" w:eastAsia="仿宋" w:cs="仿宋"/>
          <w:b/>
          <w:spacing w:val="0"/>
          <w:sz w:val="28"/>
          <w:szCs w:val="28"/>
        </w:rPr>
        <w:t>二、财政拨款收入支出决算总体情况说明</w:t>
      </w:r>
      <w:bookmarkEnd w:id="77"/>
      <w:bookmarkEnd w:id="78"/>
      <w:bookmarkEnd w:id="79"/>
      <w:bookmarkEnd w:id="80"/>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2024年度财政拨款收入总计3143.36万元，支出总计3143.36万元，与上年决算数相比，各增加84.51万元，增长2.76%，主要</w:t>
      </w:r>
      <w:r>
        <w:rPr>
          <w:rFonts w:hint="eastAsia" w:ascii="仿宋" w:hAnsi="仿宋" w:eastAsia="仿宋" w:cs="仿宋"/>
          <w:b w:val="0"/>
          <w:bCs w:val="0"/>
          <w:kern w:val="0"/>
          <w:sz w:val="28"/>
          <w:szCs w:val="28"/>
        </w:rPr>
        <w:t>是校园建设投入增加。</w:t>
      </w:r>
    </w:p>
    <w:p>
      <w:pPr>
        <w:keepNext w:val="0"/>
        <w:keepLines w:val="0"/>
        <w:pageBreakBefore w:val="0"/>
        <w:kinsoku/>
        <w:wordWrap/>
        <w:overflowPunct/>
        <w:topLinePunct w:val="0"/>
        <w:autoSpaceDE/>
        <w:autoSpaceDN/>
        <w:bidi w:val="0"/>
        <w:adjustRightInd/>
        <w:snapToGrid/>
        <w:spacing w:before="0" w:after="0" w:line="560" w:lineRule="exact"/>
        <w:ind w:left="0" w:right="0" w:firstLine="562" w:firstLineChars="200"/>
        <w:jc w:val="both"/>
        <w:textAlignment w:val="auto"/>
        <w:outlineLvl w:val="9"/>
        <w:rPr>
          <w:rFonts w:hint="eastAsia" w:ascii="仿宋" w:hAnsi="仿宋" w:eastAsia="仿宋" w:cs="仿宋"/>
          <w:b/>
          <w:bCs/>
          <w:kern w:val="0"/>
          <w:sz w:val="28"/>
          <w:szCs w:val="28"/>
        </w:rPr>
      </w:pPr>
      <w:bookmarkStart w:id="81" w:name="_Toc256000020"/>
      <w:bookmarkStart w:id="82" w:name="_Toc256000113"/>
      <w:bookmarkStart w:id="83" w:name="_Toc256000082"/>
      <w:bookmarkStart w:id="84" w:name="_Toc256000051"/>
      <w:r>
        <w:rPr>
          <w:rFonts w:hint="eastAsia" w:ascii="仿宋" w:hAnsi="仿宋" w:eastAsia="仿宋" w:cs="仿宋"/>
          <w:b/>
          <w:spacing w:val="0"/>
          <w:sz w:val="28"/>
          <w:szCs w:val="28"/>
        </w:rPr>
        <w:t>三、一般公共预算拨款支出决算情况说明</w:t>
      </w:r>
      <w:bookmarkEnd w:id="81"/>
      <w:bookmarkEnd w:id="82"/>
      <w:bookmarkEnd w:id="83"/>
      <w:bookmarkEnd w:id="84"/>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2024年一般公共预算支出3139.91万元，比上年决算数增加97.68万元，增长3.21%，具体情况如下(按</w:t>
      </w:r>
      <w:r>
        <w:rPr>
          <w:rStyle w:val="31"/>
          <w:rFonts w:hint="eastAsia" w:ascii="仿宋" w:hAnsi="仿宋" w:eastAsia="仿宋" w:cs="仿宋"/>
          <w:spacing w:val="0"/>
          <w:kern w:val="0"/>
          <w:sz w:val="28"/>
          <w:szCs w:val="28"/>
        </w:rPr>
        <w:t>项级科目</w:t>
      </w:r>
      <w:r>
        <w:rPr>
          <w:rFonts w:hint="eastAsia" w:ascii="仿宋" w:hAnsi="仿宋" w:eastAsia="仿宋" w:cs="仿宋"/>
          <w:spacing w:val="0"/>
          <w:kern w:val="0"/>
          <w:sz w:val="28"/>
          <w:szCs w:val="28"/>
        </w:rPr>
        <w:t>分类统计)：</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color w:val="auto"/>
          <w:spacing w:val="0"/>
          <w:kern w:val="0"/>
          <w:sz w:val="28"/>
          <w:szCs w:val="28"/>
        </w:rPr>
      </w:pPr>
      <w:r>
        <w:rPr>
          <w:rFonts w:hint="eastAsia" w:ascii="仿宋" w:hAnsi="仿宋" w:eastAsia="仿宋" w:cs="仿宋"/>
          <w:spacing w:val="0"/>
          <w:kern w:val="0"/>
          <w:sz w:val="28"/>
          <w:szCs w:val="28"/>
        </w:rPr>
        <w:t>（一）2050202 小学教育2,057.59万元，较上年决算数减少83.53万元，下降3.90%</w:t>
      </w:r>
      <w:r>
        <w:rPr>
          <w:rFonts w:hint="eastAsia" w:ascii="仿宋" w:hAnsi="仿宋" w:eastAsia="仿宋" w:cs="仿宋"/>
          <w:color w:val="auto"/>
          <w:spacing w:val="0"/>
          <w:kern w:val="0"/>
          <w:sz w:val="28"/>
          <w:szCs w:val="28"/>
        </w:rPr>
        <w:t>。主要原因是</w:t>
      </w:r>
      <w:r>
        <w:rPr>
          <w:rFonts w:hint="eastAsia" w:ascii="仿宋" w:hAnsi="仿宋" w:eastAsia="仿宋" w:cs="仿宋"/>
          <w:color w:val="auto"/>
          <w:spacing w:val="0"/>
          <w:kern w:val="0"/>
          <w:sz w:val="28"/>
          <w:szCs w:val="28"/>
          <w:lang w:eastAsia="zh-CN"/>
        </w:rPr>
        <w:t>人员减少</w:t>
      </w:r>
      <w:r>
        <w:rPr>
          <w:rFonts w:hint="eastAsia" w:ascii="仿宋" w:hAnsi="仿宋" w:eastAsia="仿宋" w:cs="仿宋"/>
          <w:color w:val="auto"/>
          <w:spacing w:val="0"/>
          <w:kern w:val="0"/>
          <w:sz w:val="28"/>
          <w:szCs w:val="28"/>
        </w:rPr>
        <w:t>。</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b w:val="0"/>
          <w:bCs w:val="0"/>
          <w:kern w:val="0"/>
          <w:sz w:val="28"/>
          <w:szCs w:val="28"/>
          <w:lang w:eastAsia="zh-CN"/>
        </w:rPr>
      </w:pPr>
      <w:r>
        <w:rPr>
          <w:rFonts w:hint="eastAsia" w:ascii="仿宋" w:hAnsi="仿宋" w:eastAsia="仿宋" w:cs="仿宋"/>
          <w:spacing w:val="0"/>
          <w:kern w:val="0"/>
          <w:sz w:val="28"/>
          <w:szCs w:val="28"/>
        </w:rPr>
        <w:t>（二）2050299 其他普通教育支出154.79万元，较上年决算数增加15.95万元，增长11.49%。主要原因</w:t>
      </w:r>
      <w:r>
        <w:rPr>
          <w:rFonts w:hint="eastAsia" w:ascii="仿宋" w:hAnsi="仿宋" w:eastAsia="仿宋" w:cs="仿宋"/>
          <w:spacing w:val="0"/>
          <w:kern w:val="0"/>
          <w:sz w:val="28"/>
          <w:szCs w:val="28"/>
          <w:lang w:eastAsia="zh-CN"/>
        </w:rPr>
        <w:t>是</w:t>
      </w:r>
      <w:r>
        <w:rPr>
          <w:rFonts w:hint="eastAsia" w:ascii="仿宋" w:hAnsi="仿宋" w:eastAsia="仿宋" w:cs="仿宋"/>
          <w:b w:val="0"/>
          <w:bCs w:val="0"/>
          <w:kern w:val="0"/>
          <w:sz w:val="28"/>
          <w:szCs w:val="28"/>
          <w:lang w:eastAsia="zh-CN"/>
        </w:rPr>
        <w:t>经费来源调整。</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spacing w:val="0"/>
          <w:kern w:val="0"/>
          <w:sz w:val="28"/>
          <w:szCs w:val="28"/>
        </w:rPr>
      </w:pPr>
      <w:r>
        <w:rPr>
          <w:rFonts w:hint="eastAsia" w:ascii="仿宋" w:hAnsi="仿宋" w:eastAsia="仿宋" w:cs="仿宋"/>
          <w:spacing w:val="0"/>
          <w:kern w:val="0"/>
          <w:sz w:val="28"/>
          <w:szCs w:val="28"/>
        </w:rPr>
        <w:t>（三）2050999 其他教育费附加安排的支出441.70万元，较上年决算数增加150.20万元，增长51.53%。主要原因是校园</w:t>
      </w:r>
      <w:r>
        <w:rPr>
          <w:rFonts w:hint="eastAsia" w:ascii="仿宋" w:hAnsi="仿宋" w:eastAsia="仿宋" w:cs="仿宋"/>
          <w:spacing w:val="0"/>
          <w:kern w:val="0"/>
          <w:sz w:val="28"/>
          <w:szCs w:val="28"/>
          <w:lang w:eastAsia="zh-CN"/>
        </w:rPr>
        <w:t>场地及</w:t>
      </w:r>
      <w:r>
        <w:rPr>
          <w:rFonts w:hint="eastAsia" w:ascii="仿宋" w:hAnsi="仿宋" w:eastAsia="仿宋" w:cs="仿宋"/>
          <w:spacing w:val="0"/>
          <w:kern w:val="0"/>
          <w:sz w:val="28"/>
          <w:szCs w:val="28"/>
        </w:rPr>
        <w:t>设施</w:t>
      </w:r>
      <w:r>
        <w:rPr>
          <w:rFonts w:hint="eastAsia" w:ascii="仿宋" w:hAnsi="仿宋" w:eastAsia="仿宋" w:cs="仿宋"/>
          <w:spacing w:val="0"/>
          <w:kern w:val="0"/>
          <w:sz w:val="28"/>
          <w:szCs w:val="28"/>
          <w:lang w:eastAsia="zh-CN"/>
        </w:rPr>
        <w:t>改造整修</w:t>
      </w:r>
      <w:r>
        <w:rPr>
          <w:rFonts w:hint="eastAsia" w:ascii="仿宋" w:hAnsi="仿宋" w:eastAsia="仿宋" w:cs="仿宋"/>
          <w:spacing w:val="0"/>
          <w:kern w:val="0"/>
          <w:sz w:val="28"/>
          <w:szCs w:val="28"/>
        </w:rPr>
        <w:t>投入增加。</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spacing w:val="0"/>
          <w:kern w:val="0"/>
          <w:sz w:val="28"/>
          <w:szCs w:val="28"/>
          <w:lang w:eastAsia="zh-CN"/>
        </w:rPr>
      </w:pPr>
      <w:r>
        <w:rPr>
          <w:rFonts w:hint="eastAsia" w:ascii="仿宋" w:hAnsi="仿宋" w:eastAsia="仿宋" w:cs="仿宋"/>
          <w:spacing w:val="0"/>
          <w:kern w:val="0"/>
          <w:sz w:val="28"/>
          <w:szCs w:val="28"/>
        </w:rPr>
        <w:t>（四）2059999 其他教育支出0.55万元，较上年决算数减少0.25万元，下降31.25%。主要原因是</w:t>
      </w:r>
      <w:r>
        <w:rPr>
          <w:rFonts w:hint="eastAsia" w:ascii="仿宋" w:hAnsi="仿宋" w:eastAsia="仿宋" w:cs="仿宋"/>
          <w:spacing w:val="0"/>
          <w:kern w:val="0"/>
          <w:sz w:val="28"/>
          <w:szCs w:val="28"/>
          <w:lang w:eastAsia="zh-CN"/>
        </w:rPr>
        <w:t>学校夏令营活动经费支出减少。</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spacing w:val="0"/>
          <w:kern w:val="0"/>
          <w:sz w:val="28"/>
          <w:szCs w:val="28"/>
          <w:lang w:eastAsia="zh-CN"/>
        </w:rPr>
      </w:pPr>
      <w:r>
        <w:rPr>
          <w:rFonts w:hint="eastAsia" w:ascii="仿宋" w:hAnsi="仿宋" w:eastAsia="仿宋" w:cs="仿宋"/>
          <w:spacing w:val="0"/>
          <w:kern w:val="0"/>
          <w:sz w:val="28"/>
          <w:szCs w:val="28"/>
        </w:rPr>
        <w:t>（五）2080502 事业单位离退休92.93万元，较上年决算数增加11.77万元，增长14.51%。主要原因是退休人员增加</w:t>
      </w:r>
      <w:r>
        <w:rPr>
          <w:rFonts w:hint="eastAsia" w:ascii="仿宋" w:hAnsi="仿宋" w:eastAsia="仿宋" w:cs="仿宋"/>
          <w:spacing w:val="0"/>
          <w:kern w:val="0"/>
          <w:sz w:val="28"/>
          <w:szCs w:val="28"/>
          <w:lang w:eastAsia="zh-CN"/>
        </w:rPr>
        <w:t>。</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spacing w:val="0"/>
          <w:kern w:val="0"/>
          <w:sz w:val="28"/>
          <w:szCs w:val="28"/>
        </w:rPr>
      </w:pPr>
      <w:r>
        <w:rPr>
          <w:rFonts w:hint="eastAsia" w:ascii="仿宋" w:hAnsi="仿宋" w:eastAsia="仿宋" w:cs="仿宋"/>
          <w:spacing w:val="0"/>
          <w:kern w:val="0"/>
          <w:sz w:val="28"/>
          <w:szCs w:val="28"/>
        </w:rPr>
        <w:t>（六）2080505 机关事业单位基本养老保险缴费支出169.03万元，较上年决算数减少4.98万元，下降2.86%。主要原因是</w:t>
      </w:r>
      <w:r>
        <w:rPr>
          <w:rFonts w:hint="eastAsia" w:ascii="仿宋" w:hAnsi="仿宋" w:eastAsia="仿宋" w:cs="仿宋"/>
          <w:spacing w:val="0"/>
          <w:kern w:val="0"/>
          <w:sz w:val="28"/>
          <w:szCs w:val="28"/>
          <w:lang w:eastAsia="zh-CN"/>
        </w:rPr>
        <w:t>缴费人数减少及</w:t>
      </w:r>
      <w:r>
        <w:rPr>
          <w:rFonts w:hint="eastAsia" w:ascii="仿宋" w:hAnsi="仿宋" w:eastAsia="仿宋" w:cs="仿宋"/>
          <w:spacing w:val="0"/>
          <w:kern w:val="0"/>
          <w:sz w:val="28"/>
          <w:szCs w:val="28"/>
        </w:rPr>
        <w:t>养老保险缴费基数调整。</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spacing w:val="0"/>
          <w:kern w:val="0"/>
          <w:sz w:val="28"/>
          <w:szCs w:val="28"/>
          <w:lang w:eastAsia="zh-CN"/>
        </w:rPr>
      </w:pPr>
      <w:r>
        <w:rPr>
          <w:rFonts w:hint="eastAsia" w:ascii="仿宋" w:hAnsi="仿宋" w:eastAsia="仿宋" w:cs="仿宋"/>
          <w:spacing w:val="0"/>
          <w:kern w:val="0"/>
          <w:sz w:val="28"/>
          <w:szCs w:val="28"/>
        </w:rPr>
        <w:t>（七）2080506 机关事业单位职业年金缴费支出101.61万元，较上年决算数增加5.03万元，增长5.21%。主要原因是</w:t>
      </w:r>
      <w:r>
        <w:rPr>
          <w:rFonts w:hint="eastAsia" w:ascii="仿宋" w:hAnsi="仿宋" w:eastAsia="仿宋" w:cs="仿宋"/>
          <w:spacing w:val="0"/>
          <w:kern w:val="0"/>
          <w:sz w:val="28"/>
          <w:szCs w:val="28"/>
          <w:lang w:eastAsia="zh-CN"/>
        </w:rPr>
        <w:t>退休人员职业年金缴费记实支出增加及缴费基数调整。</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spacing w:val="0"/>
          <w:kern w:val="0"/>
          <w:sz w:val="28"/>
          <w:szCs w:val="28"/>
          <w:lang w:eastAsia="zh-CN"/>
        </w:rPr>
      </w:pPr>
      <w:r>
        <w:rPr>
          <w:rFonts w:hint="eastAsia" w:ascii="仿宋" w:hAnsi="仿宋" w:eastAsia="仿宋" w:cs="仿宋"/>
          <w:spacing w:val="0"/>
          <w:kern w:val="0"/>
          <w:sz w:val="28"/>
          <w:szCs w:val="28"/>
        </w:rPr>
        <w:t>（八）2101102 事业单位医疗72.37万元，较上年决算数减少2.08万元，下降2.80%。主要原因是</w:t>
      </w:r>
      <w:r>
        <w:rPr>
          <w:rFonts w:hint="eastAsia" w:ascii="仿宋" w:hAnsi="仿宋" w:eastAsia="仿宋" w:cs="仿宋"/>
          <w:spacing w:val="0"/>
          <w:kern w:val="0"/>
          <w:sz w:val="28"/>
          <w:szCs w:val="28"/>
          <w:lang w:eastAsia="zh-CN"/>
        </w:rPr>
        <w:t>缴费人数减少及医社保缴费基数调整。</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spacing w:val="0"/>
          <w:kern w:val="0"/>
          <w:sz w:val="28"/>
          <w:szCs w:val="28"/>
          <w:lang w:eastAsia="zh-CN"/>
        </w:rPr>
      </w:pPr>
      <w:r>
        <w:rPr>
          <w:rFonts w:hint="eastAsia" w:ascii="仿宋" w:hAnsi="仿宋" w:eastAsia="仿宋" w:cs="仿宋"/>
          <w:spacing w:val="0"/>
          <w:kern w:val="0"/>
          <w:sz w:val="28"/>
          <w:szCs w:val="28"/>
        </w:rPr>
        <w:t>（九）2101199 其他行政事业单位医疗支出36.98万元，较上年决算数减少1.06万元，下降2.80%。主要原因是</w:t>
      </w:r>
      <w:r>
        <w:rPr>
          <w:rFonts w:hint="eastAsia" w:ascii="仿宋" w:hAnsi="仿宋" w:eastAsia="仿宋" w:cs="仿宋"/>
          <w:spacing w:val="0"/>
          <w:kern w:val="0"/>
          <w:sz w:val="28"/>
          <w:szCs w:val="28"/>
          <w:lang w:eastAsia="zh-CN"/>
        </w:rPr>
        <w:t>缴费人数减少及医社保缴费基数调整。</w:t>
      </w:r>
    </w:p>
    <w:p>
      <w:pPr>
        <w:pStyle w:val="29"/>
        <w:keepNext w:val="0"/>
        <w:keepLines w:val="0"/>
        <w:pageBreakBefore w:val="0"/>
        <w:widowControl/>
        <w:kinsoku/>
        <w:wordWrap/>
        <w:overflowPunct/>
        <w:topLinePunct w:val="0"/>
        <w:autoSpaceDE/>
        <w:autoSpaceDN/>
        <w:bidi w:val="0"/>
        <w:adjustRightInd/>
        <w:snapToGrid/>
        <w:spacing w:line="560" w:lineRule="exact"/>
        <w:ind w:left="0" w:firstLine="560" w:firstLineChars="200"/>
        <w:jc w:val="both"/>
        <w:textAlignment w:val="auto"/>
        <w:outlineLvl w:val="9"/>
        <w:rPr>
          <w:rFonts w:hint="eastAsia" w:ascii="仿宋" w:hAnsi="仿宋" w:eastAsia="仿宋" w:cs="仿宋"/>
          <w:kern w:val="0"/>
          <w:sz w:val="28"/>
          <w:szCs w:val="28"/>
          <w:lang w:eastAsia="zh-CN"/>
        </w:rPr>
      </w:pPr>
      <w:r>
        <w:rPr>
          <w:rFonts w:hint="eastAsia" w:ascii="仿宋" w:hAnsi="仿宋" w:eastAsia="仿宋" w:cs="仿宋"/>
          <w:spacing w:val="0"/>
          <w:kern w:val="0"/>
          <w:sz w:val="28"/>
          <w:szCs w:val="28"/>
        </w:rPr>
        <w:t>（十）2210203 购房补贴12.35万元，较上年决算数增加12.35万元，增长100%。主要原因是</w:t>
      </w:r>
      <w:r>
        <w:rPr>
          <w:rFonts w:hint="eastAsia" w:ascii="仿宋" w:hAnsi="仿宋" w:eastAsia="仿宋" w:cs="仿宋"/>
          <w:spacing w:val="0"/>
          <w:kern w:val="0"/>
          <w:sz w:val="28"/>
          <w:szCs w:val="28"/>
          <w:lang w:eastAsia="zh-CN"/>
        </w:rPr>
        <w:t>住房货币化补贴支出增加。</w:t>
      </w:r>
    </w:p>
    <w:p>
      <w:pPr>
        <w:keepNext w:val="0"/>
        <w:keepLines w:val="0"/>
        <w:pageBreakBefore w:val="0"/>
        <w:kinsoku/>
        <w:wordWrap/>
        <w:overflowPunct/>
        <w:topLinePunct w:val="0"/>
        <w:autoSpaceDE/>
        <w:autoSpaceDN/>
        <w:bidi w:val="0"/>
        <w:adjustRightInd/>
        <w:snapToGrid/>
        <w:spacing w:before="0" w:after="0" w:line="560" w:lineRule="exact"/>
        <w:ind w:left="0" w:right="0" w:firstLine="562" w:firstLineChars="200"/>
        <w:jc w:val="both"/>
        <w:textAlignment w:val="auto"/>
        <w:outlineLvl w:val="9"/>
        <w:rPr>
          <w:rFonts w:hint="eastAsia" w:ascii="仿宋" w:hAnsi="仿宋" w:eastAsia="仿宋" w:cs="仿宋"/>
          <w:b/>
          <w:bCs/>
          <w:kern w:val="0"/>
          <w:sz w:val="28"/>
          <w:szCs w:val="28"/>
        </w:rPr>
      </w:pPr>
      <w:bookmarkStart w:id="85" w:name="_Toc256000083"/>
      <w:bookmarkStart w:id="86" w:name="_Toc256000114"/>
      <w:bookmarkStart w:id="87" w:name="_Toc256000052"/>
      <w:bookmarkStart w:id="88" w:name="_Toc256000021"/>
      <w:r>
        <w:rPr>
          <w:rFonts w:hint="eastAsia" w:ascii="仿宋" w:hAnsi="仿宋" w:eastAsia="仿宋" w:cs="仿宋"/>
          <w:b/>
          <w:spacing w:val="0"/>
          <w:sz w:val="28"/>
          <w:szCs w:val="28"/>
        </w:rPr>
        <w:t>四、政府性基金预算财政拨款支出决算情况说明</w:t>
      </w:r>
      <w:bookmarkEnd w:id="85"/>
      <w:bookmarkEnd w:id="86"/>
      <w:bookmarkEnd w:id="87"/>
      <w:bookmarkEnd w:id="88"/>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2024年度政府性基金支出3.45万元，比上年决算数</w:t>
      </w:r>
      <w:r>
        <w:rPr>
          <w:rFonts w:hint="eastAsia" w:ascii="仿宋" w:hAnsi="仿宋" w:eastAsia="仿宋" w:cs="仿宋"/>
          <w:spacing w:val="0"/>
          <w:kern w:val="0"/>
          <w:sz w:val="28"/>
          <w:szCs w:val="28"/>
          <w:lang w:eastAsia="zh-CN"/>
        </w:rPr>
        <w:t>减少</w:t>
      </w:r>
      <w:r>
        <w:rPr>
          <w:rFonts w:hint="eastAsia" w:ascii="仿宋" w:hAnsi="仿宋" w:eastAsia="仿宋" w:cs="仿宋"/>
          <w:spacing w:val="0"/>
          <w:kern w:val="0"/>
          <w:sz w:val="28"/>
          <w:szCs w:val="28"/>
        </w:rPr>
        <w:t>13.17万元，</w:t>
      </w:r>
      <w:r>
        <w:rPr>
          <w:rFonts w:hint="eastAsia" w:ascii="仿宋" w:hAnsi="仿宋" w:eastAsia="仿宋" w:cs="仿宋"/>
          <w:spacing w:val="0"/>
          <w:kern w:val="0"/>
          <w:sz w:val="28"/>
          <w:szCs w:val="28"/>
          <w:lang w:eastAsia="zh-CN"/>
        </w:rPr>
        <w:t>下降</w:t>
      </w:r>
      <w:r>
        <w:rPr>
          <w:rFonts w:hint="eastAsia" w:ascii="仿宋" w:hAnsi="仿宋" w:eastAsia="仿宋" w:cs="仿宋"/>
          <w:spacing w:val="0"/>
          <w:kern w:val="0"/>
          <w:sz w:val="28"/>
          <w:szCs w:val="28"/>
        </w:rPr>
        <w:t>79.25%，具体情况如下(按项级科目统计)：</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2296003 用于体育事业的彩票公益金支出3.45万元，较上年决算数</w:t>
      </w:r>
      <w:r>
        <w:rPr>
          <w:rFonts w:hint="eastAsia" w:ascii="仿宋" w:hAnsi="仿宋" w:eastAsia="仿宋" w:cs="仿宋"/>
          <w:spacing w:val="0"/>
          <w:kern w:val="0"/>
          <w:sz w:val="28"/>
          <w:szCs w:val="28"/>
          <w:highlight w:val="none"/>
        </w:rPr>
        <w:t>减少13.17万元，下降79.</w:t>
      </w:r>
      <w:r>
        <w:rPr>
          <w:rFonts w:hint="eastAsia" w:ascii="仿宋" w:hAnsi="仿宋" w:eastAsia="仿宋" w:cs="仿宋"/>
          <w:spacing w:val="0"/>
          <w:kern w:val="0"/>
          <w:sz w:val="28"/>
          <w:szCs w:val="28"/>
        </w:rPr>
        <w:t>25%。主要原因是</w:t>
      </w:r>
      <w:r>
        <w:rPr>
          <w:rFonts w:hint="eastAsia" w:ascii="仿宋" w:hAnsi="仿宋" w:eastAsia="仿宋" w:cs="仿宋"/>
          <w:b w:val="0"/>
          <w:bCs w:val="0"/>
          <w:kern w:val="0"/>
          <w:sz w:val="28"/>
          <w:szCs w:val="28"/>
          <w:lang w:eastAsia="zh-CN"/>
        </w:rPr>
        <w:t>学校体育场地设施对外开放经费支出从“</w:t>
      </w:r>
      <w:r>
        <w:rPr>
          <w:rFonts w:hint="eastAsia" w:ascii="仿宋" w:hAnsi="仿宋" w:eastAsia="仿宋" w:cs="仿宋"/>
          <w:spacing w:val="0"/>
          <w:kern w:val="0"/>
          <w:sz w:val="28"/>
          <w:szCs w:val="28"/>
        </w:rPr>
        <w:t>用于体育事业的彩票公益金支出</w:t>
      </w:r>
      <w:r>
        <w:rPr>
          <w:rFonts w:hint="eastAsia" w:ascii="仿宋" w:hAnsi="仿宋" w:eastAsia="仿宋" w:cs="仿宋"/>
          <w:b w:val="0"/>
          <w:bCs w:val="0"/>
          <w:kern w:val="0"/>
          <w:sz w:val="28"/>
          <w:szCs w:val="28"/>
          <w:lang w:eastAsia="zh-CN"/>
        </w:rPr>
        <w:t>”调整为“其他普通教育支出”。</w:t>
      </w:r>
    </w:p>
    <w:p>
      <w:pPr>
        <w:keepNext w:val="0"/>
        <w:keepLines w:val="0"/>
        <w:pageBreakBefore w:val="0"/>
        <w:kinsoku/>
        <w:wordWrap/>
        <w:overflowPunct/>
        <w:topLinePunct w:val="0"/>
        <w:autoSpaceDE/>
        <w:autoSpaceDN/>
        <w:bidi w:val="0"/>
        <w:adjustRightInd/>
        <w:snapToGrid/>
        <w:spacing w:before="0" w:after="0" w:line="560" w:lineRule="exact"/>
        <w:ind w:left="0" w:right="0" w:firstLine="562" w:firstLineChars="200"/>
        <w:jc w:val="both"/>
        <w:textAlignment w:val="auto"/>
        <w:outlineLvl w:val="9"/>
        <w:rPr>
          <w:rFonts w:hint="eastAsia" w:ascii="仿宋" w:hAnsi="仿宋" w:eastAsia="仿宋" w:cs="仿宋"/>
          <w:b/>
          <w:bCs/>
          <w:kern w:val="0"/>
          <w:sz w:val="28"/>
          <w:szCs w:val="28"/>
        </w:rPr>
      </w:pPr>
      <w:bookmarkStart w:id="89" w:name="_Toc256000053"/>
      <w:bookmarkStart w:id="90" w:name="_Toc256000115"/>
      <w:bookmarkStart w:id="91" w:name="_Toc256000022"/>
      <w:bookmarkStart w:id="92" w:name="_Toc256000084"/>
      <w:r>
        <w:rPr>
          <w:rFonts w:hint="eastAsia" w:ascii="仿宋" w:hAnsi="仿宋" w:eastAsia="仿宋" w:cs="仿宋"/>
          <w:b/>
          <w:spacing w:val="0"/>
          <w:sz w:val="28"/>
          <w:szCs w:val="28"/>
        </w:rPr>
        <w:t>五、国有资本经营预算财政拨款支出决算情况说明</w:t>
      </w:r>
      <w:bookmarkEnd w:id="89"/>
      <w:bookmarkEnd w:id="90"/>
      <w:bookmarkEnd w:id="91"/>
      <w:bookmarkEnd w:id="92"/>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spacing w:val="0"/>
          <w:kern w:val="0"/>
          <w:sz w:val="28"/>
          <w:szCs w:val="28"/>
        </w:rPr>
      </w:pPr>
      <w:r>
        <w:rPr>
          <w:rFonts w:hint="eastAsia" w:ascii="仿宋" w:hAnsi="仿宋" w:eastAsia="仿宋" w:cs="仿宋"/>
          <w:spacing w:val="0"/>
          <w:kern w:val="0"/>
          <w:sz w:val="28"/>
          <w:szCs w:val="28"/>
        </w:rPr>
        <w:t>2024年度国有资本经营预算支出0万元，比上年决算数增加0万元，增长0%，具体情况如下(按项级科目统计)：</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spacing w:val="0"/>
          <w:kern w:val="0"/>
          <w:sz w:val="28"/>
          <w:szCs w:val="28"/>
        </w:rPr>
      </w:pPr>
      <w:r>
        <w:rPr>
          <w:rFonts w:hint="eastAsia" w:ascii="仿宋" w:hAnsi="仿宋" w:eastAsia="仿宋" w:cs="仿宋"/>
          <w:spacing w:val="0"/>
          <w:kern w:val="0"/>
          <w:sz w:val="28"/>
          <w:szCs w:val="28"/>
        </w:rPr>
        <w:t>本单位2024年度没有使用国有资本经营预算财政拨款安排的支出。</w:t>
      </w:r>
    </w:p>
    <w:p>
      <w:pPr>
        <w:keepNext w:val="0"/>
        <w:keepLines w:val="0"/>
        <w:pageBreakBefore w:val="0"/>
        <w:kinsoku/>
        <w:wordWrap/>
        <w:overflowPunct/>
        <w:topLinePunct w:val="0"/>
        <w:autoSpaceDE/>
        <w:autoSpaceDN/>
        <w:bidi w:val="0"/>
        <w:adjustRightInd/>
        <w:snapToGrid/>
        <w:spacing w:before="0" w:after="0" w:line="560" w:lineRule="exact"/>
        <w:ind w:left="0" w:right="0" w:firstLine="562" w:firstLineChars="200"/>
        <w:jc w:val="both"/>
        <w:textAlignment w:val="auto"/>
        <w:outlineLvl w:val="9"/>
        <w:rPr>
          <w:rFonts w:hint="eastAsia" w:ascii="仿宋" w:hAnsi="仿宋" w:eastAsia="仿宋" w:cs="仿宋"/>
          <w:b/>
          <w:bCs/>
          <w:kern w:val="0"/>
          <w:sz w:val="28"/>
          <w:szCs w:val="28"/>
        </w:rPr>
      </w:pPr>
      <w:bookmarkStart w:id="93" w:name="_Toc256000085"/>
      <w:bookmarkStart w:id="94" w:name="_Toc256000054"/>
      <w:bookmarkStart w:id="95" w:name="_Toc256000023"/>
      <w:bookmarkStart w:id="96" w:name="_Toc256000116"/>
      <w:r>
        <w:rPr>
          <w:rFonts w:hint="eastAsia" w:ascii="仿宋" w:hAnsi="仿宋" w:eastAsia="仿宋" w:cs="仿宋"/>
          <w:b/>
          <w:spacing w:val="0"/>
          <w:sz w:val="28"/>
          <w:szCs w:val="28"/>
        </w:rPr>
        <w:t>六、一般公共预算财政拨款基本支出决算情况说明</w:t>
      </w:r>
      <w:bookmarkEnd w:id="93"/>
      <w:bookmarkEnd w:id="94"/>
      <w:bookmarkEnd w:id="95"/>
      <w:bookmarkEnd w:id="96"/>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2024年度一般公共预算财政拨款基本支出2592.73万元，其中：</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一）人员经费2364.76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二）公用经费227.97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keepNext w:val="0"/>
        <w:keepLines w:val="0"/>
        <w:pageBreakBefore w:val="0"/>
        <w:kinsoku/>
        <w:wordWrap/>
        <w:overflowPunct/>
        <w:topLinePunct w:val="0"/>
        <w:autoSpaceDE/>
        <w:autoSpaceDN/>
        <w:bidi w:val="0"/>
        <w:adjustRightInd/>
        <w:snapToGrid/>
        <w:spacing w:before="0" w:after="0" w:line="560" w:lineRule="exact"/>
        <w:ind w:left="0" w:right="0" w:firstLine="562" w:firstLineChars="200"/>
        <w:jc w:val="both"/>
        <w:textAlignment w:val="auto"/>
        <w:outlineLvl w:val="9"/>
        <w:rPr>
          <w:rFonts w:hint="eastAsia" w:ascii="仿宋" w:hAnsi="仿宋" w:eastAsia="仿宋" w:cs="仿宋"/>
          <w:b/>
          <w:bCs/>
          <w:kern w:val="0"/>
          <w:sz w:val="28"/>
          <w:szCs w:val="28"/>
        </w:rPr>
      </w:pPr>
      <w:bookmarkStart w:id="97" w:name="_Toc256000117"/>
      <w:bookmarkStart w:id="98" w:name="_Toc256000055"/>
      <w:bookmarkStart w:id="99" w:name="_Toc256000024"/>
      <w:bookmarkStart w:id="100" w:name="_Toc256000086"/>
      <w:r>
        <w:rPr>
          <w:rFonts w:hint="eastAsia" w:ascii="仿宋" w:hAnsi="仿宋" w:eastAsia="仿宋" w:cs="仿宋"/>
          <w:b/>
          <w:spacing w:val="0"/>
          <w:sz w:val="28"/>
          <w:szCs w:val="28"/>
        </w:rPr>
        <w:t>七、一般公共预算拨款“三公”经费支出决算情况说明</w:t>
      </w:r>
      <w:bookmarkEnd w:id="97"/>
      <w:bookmarkEnd w:id="98"/>
      <w:bookmarkEnd w:id="99"/>
      <w:bookmarkEnd w:id="100"/>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2024年度一般公共预算拨款“三公”经费支出0万元，完成全年预算的0%；较上年增加0万元，增长0%。与全年预算持平。主要原因是本</w:t>
      </w:r>
      <w:r>
        <w:rPr>
          <w:rFonts w:hint="eastAsia" w:ascii="仿宋" w:hAnsi="仿宋" w:eastAsia="仿宋" w:cs="仿宋"/>
          <w:spacing w:val="0"/>
          <w:kern w:val="0"/>
          <w:sz w:val="28"/>
          <w:szCs w:val="28"/>
          <w:lang w:eastAsia="zh-CN"/>
        </w:rPr>
        <w:t>单位</w:t>
      </w:r>
      <w:r>
        <w:rPr>
          <w:rFonts w:hint="eastAsia" w:ascii="仿宋" w:hAnsi="仿宋" w:eastAsia="仿宋" w:cs="仿宋"/>
          <w:spacing w:val="0"/>
          <w:kern w:val="0"/>
          <w:sz w:val="28"/>
          <w:szCs w:val="28"/>
        </w:rPr>
        <w:t>没有使用“三公”经费支出。具体情况如下：</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lang w:eastAsia="zh-CN"/>
        </w:rPr>
      </w:pPr>
      <w:r>
        <w:rPr>
          <w:rFonts w:hint="eastAsia" w:ascii="仿宋" w:hAnsi="仿宋" w:eastAsia="仿宋" w:cs="仿宋"/>
          <w:spacing w:val="0"/>
          <w:kern w:val="0"/>
          <w:sz w:val="28"/>
          <w:szCs w:val="28"/>
        </w:rPr>
        <w:t>（一）因公出国（境）费支出0万元，完成全年预算的0%；较上年增加0万元，增长0%。全年安排本单位组织的出国团组0 个，参加其他单位出国团组</w:t>
      </w:r>
      <w:r>
        <w:rPr>
          <w:rFonts w:hint="eastAsia" w:ascii="仿宋" w:hAnsi="仿宋" w:eastAsia="仿宋" w:cs="仿宋"/>
          <w:spacing w:val="0"/>
          <w:kern w:val="0"/>
          <w:sz w:val="28"/>
          <w:szCs w:val="28"/>
          <w:lang w:val="en-US" w:eastAsia="zh-CN"/>
        </w:rPr>
        <w:t>0</w:t>
      </w:r>
      <w:r>
        <w:rPr>
          <w:rFonts w:hint="eastAsia" w:ascii="仿宋" w:hAnsi="仿宋" w:eastAsia="仿宋" w:cs="仿宋"/>
          <w:spacing w:val="0"/>
          <w:kern w:val="0"/>
          <w:sz w:val="28"/>
          <w:szCs w:val="28"/>
        </w:rPr>
        <w:t>个；全年因公出国（境）累计0人次。主要原因是本年无因公出国（境）费支出</w:t>
      </w:r>
      <w:r>
        <w:rPr>
          <w:rFonts w:hint="eastAsia" w:ascii="仿宋" w:hAnsi="仿宋" w:eastAsia="仿宋" w:cs="仿宋"/>
          <w:spacing w:val="0"/>
          <w:kern w:val="0"/>
          <w:sz w:val="28"/>
          <w:szCs w:val="28"/>
          <w:lang w:eastAsia="zh-CN"/>
        </w:rPr>
        <w:t>。</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（二）公务用车购置及运行费支出0万元，完成全年预算的0%；较上年增加0万元，增长0%。</w:t>
      </w:r>
      <w:r>
        <w:rPr>
          <w:rFonts w:hint="eastAsia" w:ascii="仿宋" w:hAnsi="仿宋" w:eastAsia="仿宋" w:cs="仿宋"/>
          <w:spacing w:val="0"/>
          <w:kern w:val="0"/>
          <w:sz w:val="28"/>
          <w:szCs w:val="28"/>
          <w:lang w:eastAsia="zh-CN"/>
        </w:rPr>
        <w:t>主要是没有购置公务用车及运行维护费的支出</w:t>
      </w:r>
      <w:r>
        <w:rPr>
          <w:rFonts w:hint="eastAsia" w:ascii="仿宋" w:hAnsi="仿宋" w:eastAsia="仿宋" w:cs="仿宋"/>
          <w:spacing w:val="0"/>
          <w:kern w:val="0"/>
          <w:sz w:val="28"/>
          <w:szCs w:val="28"/>
        </w:rPr>
        <w:t>。其中：</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spacing w:val="0"/>
          <w:kern w:val="0"/>
          <w:sz w:val="28"/>
          <w:szCs w:val="28"/>
          <w:lang w:eastAsia="zh-CN"/>
        </w:rPr>
      </w:pPr>
      <w:r>
        <w:rPr>
          <w:rFonts w:hint="eastAsia" w:ascii="仿宋" w:hAnsi="仿宋" w:eastAsia="仿宋" w:cs="仿宋"/>
          <w:spacing w:val="0"/>
          <w:kern w:val="0"/>
          <w:sz w:val="28"/>
          <w:szCs w:val="28"/>
        </w:rPr>
        <w:t>公务用车购置费支出0万元，完成全年预算的0%；较上年增加0万元，增长0%。2024年公务用车购置0辆，主要是本</w:t>
      </w:r>
      <w:r>
        <w:rPr>
          <w:rFonts w:hint="eastAsia" w:ascii="仿宋" w:hAnsi="仿宋" w:eastAsia="仿宋" w:cs="仿宋"/>
          <w:spacing w:val="0"/>
          <w:kern w:val="0"/>
          <w:sz w:val="28"/>
          <w:szCs w:val="28"/>
          <w:lang w:eastAsia="zh-CN"/>
        </w:rPr>
        <w:t>单位</w:t>
      </w:r>
      <w:r>
        <w:rPr>
          <w:rFonts w:hint="eastAsia" w:ascii="仿宋" w:hAnsi="仿宋" w:eastAsia="仿宋" w:cs="仿宋"/>
          <w:spacing w:val="0"/>
          <w:kern w:val="0"/>
          <w:sz w:val="28"/>
          <w:szCs w:val="28"/>
        </w:rPr>
        <w:t>没有购置公务用车</w:t>
      </w:r>
      <w:r>
        <w:rPr>
          <w:rFonts w:hint="eastAsia" w:ascii="仿宋" w:hAnsi="仿宋" w:eastAsia="仿宋" w:cs="仿宋"/>
          <w:spacing w:val="0"/>
          <w:kern w:val="0"/>
          <w:sz w:val="28"/>
          <w:szCs w:val="28"/>
          <w:lang w:eastAsia="zh-CN"/>
        </w:rPr>
        <w:t>。</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公务用车运行费支出0万元，完成全年预算的0%；较上年增加0万元，增长0%。与全年预算持平。主要是本</w:t>
      </w:r>
      <w:r>
        <w:rPr>
          <w:rFonts w:hint="eastAsia" w:ascii="仿宋" w:hAnsi="仿宋" w:eastAsia="仿宋" w:cs="仿宋"/>
          <w:spacing w:val="0"/>
          <w:kern w:val="0"/>
          <w:sz w:val="28"/>
          <w:szCs w:val="28"/>
          <w:lang w:eastAsia="zh-CN"/>
        </w:rPr>
        <w:t>单位</w:t>
      </w:r>
      <w:r>
        <w:rPr>
          <w:rFonts w:hint="eastAsia" w:ascii="仿宋" w:hAnsi="仿宋" w:eastAsia="仿宋" w:cs="仿宋"/>
          <w:spacing w:val="0"/>
          <w:kern w:val="0"/>
          <w:sz w:val="28"/>
          <w:szCs w:val="28"/>
        </w:rPr>
        <w:t>没有公务用车运行</w:t>
      </w:r>
      <w:r>
        <w:rPr>
          <w:rFonts w:hint="eastAsia" w:ascii="仿宋" w:hAnsi="仿宋" w:eastAsia="仿宋" w:cs="仿宋"/>
          <w:spacing w:val="0"/>
          <w:kern w:val="0"/>
          <w:sz w:val="28"/>
          <w:szCs w:val="28"/>
          <w:lang w:eastAsia="zh-CN"/>
        </w:rPr>
        <w:t>维护</w:t>
      </w:r>
      <w:r>
        <w:rPr>
          <w:rFonts w:hint="eastAsia" w:ascii="仿宋" w:hAnsi="仿宋" w:eastAsia="仿宋" w:cs="仿宋"/>
          <w:spacing w:val="0"/>
          <w:kern w:val="0"/>
          <w:sz w:val="28"/>
          <w:szCs w:val="28"/>
        </w:rPr>
        <w:t>费</w:t>
      </w:r>
      <w:r>
        <w:rPr>
          <w:rFonts w:hint="eastAsia" w:ascii="仿宋" w:hAnsi="仿宋" w:eastAsia="仿宋" w:cs="仿宋"/>
          <w:spacing w:val="0"/>
          <w:kern w:val="0"/>
          <w:sz w:val="28"/>
          <w:szCs w:val="28"/>
          <w:lang w:eastAsia="zh-CN"/>
        </w:rPr>
        <w:t>的支出</w:t>
      </w:r>
      <w:r>
        <w:rPr>
          <w:rFonts w:hint="eastAsia" w:ascii="仿宋" w:hAnsi="仿宋" w:eastAsia="仿宋" w:cs="仿宋"/>
          <w:spacing w:val="0"/>
          <w:kern w:val="0"/>
          <w:sz w:val="28"/>
          <w:szCs w:val="28"/>
        </w:rPr>
        <w:t>。截至2024年12月31日，本单位公务用车保有量为0 辆。</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lang w:eastAsia="zh-CN"/>
        </w:rPr>
      </w:pPr>
      <w:r>
        <w:rPr>
          <w:rFonts w:hint="eastAsia" w:ascii="仿宋" w:hAnsi="仿宋" w:eastAsia="仿宋" w:cs="仿宋"/>
          <w:spacing w:val="0"/>
          <w:kern w:val="0"/>
          <w:sz w:val="28"/>
          <w:szCs w:val="28"/>
        </w:rPr>
        <w:t>（三）公务接待费支出0万元，完成全年预算的 0%；较上年增加0万元，增长0%。与全年预算持平。累计接待0批次、0人次。主要是</w:t>
      </w:r>
      <w:r>
        <w:rPr>
          <w:rFonts w:hint="eastAsia" w:ascii="仿宋" w:hAnsi="仿宋" w:eastAsia="仿宋" w:cs="仿宋"/>
          <w:spacing w:val="0"/>
          <w:kern w:val="0"/>
          <w:sz w:val="28"/>
          <w:szCs w:val="28"/>
          <w:lang w:eastAsia="zh-CN"/>
        </w:rPr>
        <w:t>本年无</w:t>
      </w:r>
      <w:r>
        <w:rPr>
          <w:rFonts w:hint="eastAsia" w:ascii="仿宋" w:hAnsi="仿宋" w:eastAsia="仿宋" w:cs="仿宋"/>
          <w:spacing w:val="0"/>
          <w:kern w:val="0"/>
          <w:sz w:val="28"/>
          <w:szCs w:val="28"/>
        </w:rPr>
        <w:t>公务接待费支出</w:t>
      </w:r>
      <w:r>
        <w:rPr>
          <w:rFonts w:hint="eastAsia" w:ascii="仿宋" w:hAnsi="仿宋" w:eastAsia="仿宋" w:cs="仿宋"/>
          <w:spacing w:val="0"/>
          <w:kern w:val="0"/>
          <w:sz w:val="28"/>
          <w:szCs w:val="28"/>
          <w:lang w:eastAsia="zh-CN"/>
        </w:rPr>
        <w:t>。</w:t>
      </w:r>
    </w:p>
    <w:p>
      <w:pPr>
        <w:keepNext w:val="0"/>
        <w:keepLines w:val="0"/>
        <w:pageBreakBefore w:val="0"/>
        <w:kinsoku/>
        <w:wordWrap/>
        <w:overflowPunct/>
        <w:topLinePunct w:val="0"/>
        <w:autoSpaceDE/>
        <w:autoSpaceDN/>
        <w:bidi w:val="0"/>
        <w:adjustRightInd/>
        <w:snapToGrid/>
        <w:spacing w:before="0" w:after="0" w:line="560" w:lineRule="exact"/>
        <w:ind w:left="0" w:right="0" w:firstLine="562" w:firstLineChars="200"/>
        <w:jc w:val="both"/>
        <w:textAlignment w:val="auto"/>
        <w:outlineLvl w:val="9"/>
        <w:rPr>
          <w:rFonts w:hint="eastAsia" w:ascii="仿宋" w:hAnsi="仿宋" w:eastAsia="仿宋" w:cs="仿宋"/>
          <w:b/>
          <w:bCs/>
          <w:kern w:val="0"/>
          <w:sz w:val="28"/>
          <w:szCs w:val="28"/>
        </w:rPr>
      </w:pPr>
      <w:bookmarkStart w:id="101" w:name="_Toc256000087"/>
      <w:bookmarkStart w:id="102" w:name="_Toc256000056"/>
      <w:bookmarkStart w:id="103" w:name="_Toc256000025"/>
      <w:bookmarkStart w:id="104" w:name="_Toc256000118"/>
      <w:r>
        <w:rPr>
          <w:rFonts w:hint="eastAsia" w:ascii="仿宋" w:hAnsi="仿宋" w:eastAsia="仿宋" w:cs="仿宋"/>
          <w:b/>
          <w:spacing w:val="0"/>
          <w:sz w:val="28"/>
          <w:szCs w:val="28"/>
        </w:rPr>
        <w:t>八、预算绩效情况说明</w:t>
      </w:r>
      <w:bookmarkEnd w:id="101"/>
      <w:bookmarkEnd w:id="102"/>
      <w:bookmarkEnd w:id="103"/>
      <w:bookmarkEnd w:id="104"/>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highlight w:val="none"/>
        </w:rPr>
      </w:pPr>
      <w:r>
        <w:rPr>
          <w:rFonts w:hint="eastAsia" w:ascii="仿宋" w:hAnsi="仿宋" w:eastAsia="仿宋" w:cs="仿宋"/>
          <w:spacing w:val="0"/>
          <w:kern w:val="0"/>
          <w:sz w:val="28"/>
          <w:szCs w:val="28"/>
          <w:highlight w:val="none"/>
        </w:rPr>
        <w:t>根据预算绩效管理要求，本单位组织对2024年度</w:t>
      </w:r>
      <w:r>
        <w:rPr>
          <w:rFonts w:hint="eastAsia" w:ascii="仿宋" w:hAnsi="仿宋" w:eastAsia="仿宋" w:cs="仿宋"/>
          <w:spacing w:val="0"/>
          <w:kern w:val="0"/>
          <w:sz w:val="28"/>
          <w:szCs w:val="28"/>
          <w:highlight w:val="none"/>
          <w:lang w:val="en-US" w:eastAsia="zh-CN"/>
        </w:rPr>
        <w:t>1</w:t>
      </w:r>
      <w:r>
        <w:rPr>
          <w:rFonts w:hint="eastAsia" w:ascii="仿宋" w:hAnsi="仿宋" w:eastAsia="仿宋" w:cs="仿宋"/>
          <w:spacing w:val="0"/>
          <w:kern w:val="0"/>
          <w:sz w:val="28"/>
          <w:szCs w:val="28"/>
          <w:highlight w:val="none"/>
        </w:rPr>
        <w:t>个项目实施单位自评，</w:t>
      </w:r>
      <w:r>
        <w:rPr>
          <w:rFonts w:hint="eastAsia" w:ascii="仿宋" w:hAnsi="仿宋" w:eastAsia="仿宋" w:cs="仿宋"/>
          <w:spacing w:val="0"/>
          <w:kern w:val="0"/>
          <w:sz w:val="28"/>
          <w:szCs w:val="28"/>
          <w:highlight w:val="none"/>
          <w:lang w:eastAsia="zh-CN"/>
        </w:rPr>
        <w:t>具体项目为</w:t>
      </w:r>
      <w:r>
        <w:rPr>
          <w:rFonts w:hint="eastAsia" w:ascii="仿宋" w:hAnsi="仿宋" w:eastAsia="仿宋" w:cs="仿宋"/>
          <w:spacing w:val="0"/>
          <w:kern w:val="0"/>
          <w:sz w:val="28"/>
          <w:szCs w:val="28"/>
          <w:highlight w:val="none"/>
        </w:rPr>
        <w:t>义务教育阶段家庭经济困难学生营养餐补助，涉及财政拨款资金共计</w:t>
      </w:r>
      <w:r>
        <w:rPr>
          <w:rFonts w:hint="eastAsia" w:ascii="仿宋" w:hAnsi="仿宋" w:eastAsia="仿宋" w:cs="仿宋"/>
          <w:spacing w:val="0"/>
          <w:kern w:val="0"/>
          <w:sz w:val="28"/>
          <w:szCs w:val="28"/>
          <w:highlight w:val="none"/>
          <w:lang w:val="en-US" w:eastAsia="zh-CN"/>
        </w:rPr>
        <w:t>0.3222</w:t>
      </w:r>
      <w:r>
        <w:rPr>
          <w:rFonts w:hint="eastAsia" w:ascii="仿宋" w:hAnsi="仿宋" w:eastAsia="仿宋" w:cs="仿宋"/>
          <w:spacing w:val="0"/>
          <w:kern w:val="0"/>
          <w:sz w:val="28"/>
          <w:szCs w:val="28"/>
          <w:highlight w:val="none"/>
        </w:rPr>
        <w:t>万元。（《项目支出绩效自评表》详见附件）</w:t>
      </w:r>
    </w:p>
    <w:p>
      <w:pPr>
        <w:keepNext w:val="0"/>
        <w:keepLines w:val="0"/>
        <w:pageBreakBefore w:val="0"/>
        <w:kinsoku/>
        <w:wordWrap/>
        <w:overflowPunct/>
        <w:topLinePunct w:val="0"/>
        <w:autoSpaceDE/>
        <w:autoSpaceDN/>
        <w:bidi w:val="0"/>
        <w:adjustRightInd/>
        <w:snapToGrid/>
        <w:spacing w:before="0" w:after="0" w:line="560" w:lineRule="exact"/>
        <w:ind w:left="0" w:right="0" w:firstLine="562" w:firstLineChars="200"/>
        <w:jc w:val="both"/>
        <w:textAlignment w:val="auto"/>
        <w:outlineLvl w:val="9"/>
        <w:rPr>
          <w:rFonts w:hint="eastAsia" w:ascii="仿宋" w:hAnsi="仿宋" w:eastAsia="仿宋" w:cs="仿宋"/>
          <w:b/>
          <w:bCs/>
          <w:kern w:val="0"/>
          <w:sz w:val="28"/>
          <w:szCs w:val="28"/>
        </w:rPr>
      </w:pPr>
      <w:bookmarkStart w:id="105" w:name="_Toc256000088"/>
      <w:bookmarkStart w:id="106" w:name="_Toc256000026"/>
      <w:bookmarkStart w:id="107" w:name="_Toc256000057"/>
      <w:bookmarkStart w:id="108" w:name="_Toc256000119"/>
      <w:r>
        <w:rPr>
          <w:rFonts w:hint="eastAsia" w:ascii="仿宋" w:hAnsi="仿宋" w:eastAsia="仿宋" w:cs="仿宋"/>
          <w:b/>
          <w:spacing w:val="0"/>
          <w:sz w:val="28"/>
          <w:szCs w:val="28"/>
        </w:rPr>
        <w:t>九、其他重要事项说明</w:t>
      </w:r>
      <w:bookmarkEnd w:id="105"/>
      <w:bookmarkEnd w:id="106"/>
      <w:bookmarkEnd w:id="107"/>
      <w:bookmarkEnd w:id="108"/>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2" w:firstLineChars="200"/>
        <w:jc w:val="both"/>
        <w:textAlignment w:val="auto"/>
        <w:outlineLvl w:val="9"/>
        <w:rPr>
          <w:rFonts w:hint="eastAsia" w:ascii="仿宋" w:hAnsi="仿宋" w:eastAsia="仿宋" w:cs="仿宋"/>
          <w:kern w:val="0"/>
          <w:sz w:val="28"/>
          <w:szCs w:val="28"/>
        </w:rPr>
      </w:pPr>
      <w:r>
        <w:rPr>
          <w:rStyle w:val="31"/>
          <w:rFonts w:hint="eastAsia" w:ascii="仿宋" w:hAnsi="仿宋" w:eastAsia="仿宋" w:cs="仿宋"/>
          <w:b/>
          <w:bCs/>
          <w:spacing w:val="0"/>
          <w:kern w:val="0"/>
          <w:sz w:val="28"/>
          <w:szCs w:val="28"/>
        </w:rPr>
        <w:t>（一）机关运行经费</w:t>
      </w:r>
      <w:r>
        <w:rPr>
          <w:rFonts w:hint="eastAsia" w:ascii="仿宋" w:hAnsi="仿宋" w:eastAsia="仿宋" w:cs="仿宋"/>
          <w:spacing w:val="0"/>
          <w:kern w:val="0"/>
          <w:sz w:val="28"/>
          <w:szCs w:val="28"/>
        </w:rPr>
        <w:t> </w:t>
      </w:r>
    </w:p>
    <w:p>
      <w:pPr>
        <w:pStyle w:val="29"/>
        <w:keepNext w:val="0"/>
        <w:keepLines w:val="0"/>
        <w:pageBreakBefore w:val="0"/>
        <w:widowControl/>
        <w:kinsoku/>
        <w:wordWrap/>
        <w:overflowPunct/>
        <w:topLinePunct w:val="0"/>
        <w:autoSpaceDE/>
        <w:autoSpaceDN/>
        <w:bidi w:val="0"/>
        <w:adjustRightInd/>
        <w:snapToGrid/>
        <w:spacing w:line="560" w:lineRule="exact"/>
        <w:ind w:right="0" w:firstLine="560" w:firstLineChars="200"/>
        <w:jc w:val="both"/>
        <w:textAlignment w:val="auto"/>
        <w:outlineLvl w:val="9"/>
        <w:rPr>
          <w:rFonts w:hint="eastAsia" w:ascii="仿宋" w:hAnsi="仿宋" w:eastAsia="仿宋" w:cs="仿宋"/>
          <w:spacing w:val="0"/>
          <w:kern w:val="0"/>
          <w:sz w:val="28"/>
          <w:szCs w:val="28"/>
          <w:lang w:eastAsia="zh-CN"/>
        </w:rPr>
      </w:pPr>
      <w:r>
        <w:rPr>
          <w:rFonts w:hint="eastAsia" w:ascii="仿宋" w:hAnsi="仿宋" w:eastAsia="仿宋" w:cs="仿宋"/>
          <w:spacing w:val="0"/>
          <w:kern w:val="0"/>
          <w:sz w:val="28"/>
          <w:szCs w:val="28"/>
        </w:rPr>
        <w:t>2024年度机关运行经费支出0万元，比上年决算数增加（减少）</w:t>
      </w:r>
      <w:r>
        <w:rPr>
          <w:rFonts w:hint="eastAsia" w:ascii="仿宋" w:hAnsi="仿宋" w:eastAsia="仿宋" w:cs="仿宋"/>
          <w:spacing w:val="0"/>
          <w:kern w:val="0"/>
          <w:sz w:val="28"/>
          <w:szCs w:val="28"/>
          <w:lang w:val="en-US" w:eastAsia="zh-CN"/>
        </w:rPr>
        <w:t>0</w:t>
      </w:r>
      <w:r>
        <w:rPr>
          <w:rFonts w:hint="eastAsia" w:ascii="仿宋" w:hAnsi="仿宋" w:eastAsia="仿宋" w:cs="仿宋"/>
          <w:spacing w:val="0"/>
          <w:kern w:val="0"/>
          <w:sz w:val="28"/>
          <w:szCs w:val="28"/>
        </w:rPr>
        <w:t>万元，增长（下降）</w:t>
      </w:r>
      <w:r>
        <w:rPr>
          <w:rFonts w:hint="eastAsia" w:ascii="仿宋" w:hAnsi="仿宋" w:eastAsia="仿宋" w:cs="仿宋"/>
          <w:spacing w:val="0"/>
          <w:kern w:val="0"/>
          <w:sz w:val="28"/>
          <w:szCs w:val="28"/>
          <w:lang w:val="en-US" w:eastAsia="zh-CN"/>
        </w:rPr>
        <w:t>0</w:t>
      </w:r>
      <w:r>
        <w:rPr>
          <w:rFonts w:hint="eastAsia" w:ascii="仿宋" w:hAnsi="仿宋" w:eastAsia="仿宋" w:cs="仿宋"/>
          <w:spacing w:val="0"/>
          <w:kern w:val="0"/>
          <w:sz w:val="28"/>
          <w:szCs w:val="28"/>
        </w:rPr>
        <w:t>%，</w:t>
      </w:r>
      <w:r>
        <w:rPr>
          <w:rFonts w:hint="eastAsia" w:ascii="仿宋" w:hAnsi="仿宋" w:eastAsia="仿宋" w:cs="仿宋"/>
          <w:spacing w:val="0"/>
          <w:kern w:val="0"/>
          <w:sz w:val="28"/>
          <w:szCs w:val="28"/>
          <w:lang w:eastAsia="zh-CN"/>
        </w:rPr>
        <w:t>主要原因是</w:t>
      </w:r>
      <w:r>
        <w:rPr>
          <w:rFonts w:hint="eastAsia" w:ascii="仿宋" w:hAnsi="仿宋" w:eastAsia="仿宋" w:cs="仿宋"/>
          <w:spacing w:val="0"/>
          <w:kern w:val="0"/>
          <w:sz w:val="28"/>
          <w:szCs w:val="28"/>
        </w:rPr>
        <w:t>本单位为事业单位</w:t>
      </w:r>
      <w:r>
        <w:rPr>
          <w:rFonts w:hint="eastAsia" w:ascii="仿宋" w:hAnsi="仿宋" w:eastAsia="仿宋" w:cs="仿宋"/>
          <w:spacing w:val="0"/>
          <w:kern w:val="0"/>
          <w:sz w:val="28"/>
          <w:szCs w:val="28"/>
          <w:lang w:eastAsia="zh-CN"/>
        </w:rPr>
        <w:t>，</w:t>
      </w:r>
      <w:r>
        <w:rPr>
          <w:rFonts w:hint="eastAsia" w:ascii="仿宋" w:hAnsi="仿宋" w:eastAsia="仿宋" w:cs="仿宋"/>
          <w:spacing w:val="0"/>
          <w:kern w:val="0"/>
          <w:sz w:val="28"/>
          <w:szCs w:val="28"/>
        </w:rPr>
        <w:t>没有机关运行经费</w:t>
      </w:r>
      <w:r>
        <w:rPr>
          <w:rFonts w:hint="eastAsia" w:ascii="仿宋" w:hAnsi="仿宋" w:eastAsia="仿宋" w:cs="仿宋"/>
          <w:spacing w:val="0"/>
          <w:kern w:val="0"/>
          <w:sz w:val="28"/>
          <w:szCs w:val="28"/>
          <w:lang w:eastAsia="zh-CN"/>
        </w:rPr>
        <w:t>。</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2" w:firstLineChars="200"/>
        <w:jc w:val="both"/>
        <w:textAlignment w:val="auto"/>
        <w:outlineLvl w:val="9"/>
        <w:rPr>
          <w:rFonts w:hint="eastAsia" w:ascii="仿宋" w:hAnsi="仿宋" w:eastAsia="仿宋" w:cs="仿宋"/>
          <w:kern w:val="0"/>
          <w:sz w:val="28"/>
          <w:szCs w:val="28"/>
        </w:rPr>
      </w:pPr>
      <w:r>
        <w:rPr>
          <w:rStyle w:val="31"/>
          <w:rFonts w:hint="eastAsia" w:ascii="仿宋" w:hAnsi="仿宋" w:eastAsia="仿宋" w:cs="仿宋"/>
          <w:b/>
          <w:bCs/>
          <w:spacing w:val="0"/>
          <w:kern w:val="0"/>
          <w:sz w:val="28"/>
          <w:szCs w:val="28"/>
        </w:rPr>
        <w:t>（二）政府采购情况</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本单位2024年度政府采购支出总额145.87万元，其中：政府采购货物支出145.87万元、政府采购工程支出0万元、政府采购服务支出0万元。授予中小企业合同金额145.87万元，占政府采购支出总额的100.00%，其中：授予小微企业合同金额145.87万元，占授予中小企业合同金额的100.00%；货物采购授予中小企业合同金额占货物支出金额的</w:t>
      </w:r>
      <w:r>
        <w:rPr>
          <w:rFonts w:hint="eastAsia" w:ascii="仿宋" w:hAnsi="仿宋" w:eastAsia="仿宋" w:cs="仿宋"/>
          <w:spacing w:val="0"/>
          <w:kern w:val="0"/>
          <w:sz w:val="28"/>
          <w:szCs w:val="28"/>
          <w:lang w:val="en-US" w:eastAsia="zh-CN"/>
        </w:rPr>
        <w:t>100</w:t>
      </w:r>
      <w:r>
        <w:rPr>
          <w:rFonts w:hint="eastAsia" w:ascii="仿宋" w:hAnsi="仿宋" w:eastAsia="仿宋" w:cs="仿宋"/>
          <w:spacing w:val="0"/>
          <w:kern w:val="0"/>
          <w:sz w:val="28"/>
          <w:szCs w:val="28"/>
        </w:rPr>
        <w:t>%，工程采购授予中小企业合同金额占工程支出金额的</w:t>
      </w:r>
      <w:r>
        <w:rPr>
          <w:rFonts w:hint="eastAsia" w:ascii="仿宋" w:hAnsi="仿宋" w:eastAsia="仿宋" w:cs="仿宋"/>
          <w:spacing w:val="0"/>
          <w:kern w:val="0"/>
          <w:sz w:val="28"/>
          <w:szCs w:val="28"/>
          <w:lang w:val="en-US" w:eastAsia="zh-CN"/>
        </w:rPr>
        <w:t>0</w:t>
      </w:r>
      <w:r>
        <w:rPr>
          <w:rFonts w:hint="eastAsia" w:ascii="仿宋" w:hAnsi="仿宋" w:eastAsia="仿宋" w:cs="仿宋"/>
          <w:spacing w:val="0"/>
          <w:kern w:val="0"/>
          <w:sz w:val="28"/>
          <w:szCs w:val="28"/>
        </w:rPr>
        <w:t>%，服务采购授予中小企业合同金额占服务支出金额的</w:t>
      </w:r>
      <w:r>
        <w:rPr>
          <w:rFonts w:hint="eastAsia" w:ascii="仿宋" w:hAnsi="仿宋" w:eastAsia="仿宋" w:cs="仿宋"/>
          <w:b w:val="0"/>
          <w:bCs w:val="0"/>
          <w:color w:val="auto"/>
          <w:kern w:val="0"/>
          <w:sz w:val="28"/>
          <w:szCs w:val="28"/>
          <w:lang w:val="en-US" w:eastAsia="zh-CN"/>
        </w:rPr>
        <w:t>0</w:t>
      </w:r>
      <w:r>
        <w:rPr>
          <w:rFonts w:hint="eastAsia" w:ascii="仿宋" w:hAnsi="仿宋" w:eastAsia="仿宋" w:cs="仿宋"/>
          <w:b w:val="0"/>
          <w:bCs w:val="0"/>
          <w:color w:val="auto"/>
          <w:kern w:val="0"/>
          <w:sz w:val="28"/>
          <w:szCs w:val="28"/>
        </w:rPr>
        <w:t>%。</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2" w:firstLineChars="200"/>
        <w:jc w:val="both"/>
        <w:textAlignment w:val="auto"/>
        <w:outlineLvl w:val="9"/>
        <w:rPr>
          <w:rFonts w:hint="eastAsia" w:ascii="仿宋" w:hAnsi="仿宋" w:eastAsia="仿宋" w:cs="仿宋"/>
          <w:kern w:val="0"/>
          <w:sz w:val="28"/>
          <w:szCs w:val="28"/>
        </w:rPr>
      </w:pPr>
      <w:r>
        <w:rPr>
          <w:rStyle w:val="31"/>
          <w:rFonts w:hint="eastAsia" w:ascii="仿宋" w:hAnsi="仿宋" w:eastAsia="仿宋" w:cs="仿宋"/>
          <w:b/>
          <w:bCs/>
          <w:spacing w:val="0"/>
          <w:kern w:val="0"/>
          <w:sz w:val="28"/>
          <w:szCs w:val="28"/>
        </w:rPr>
        <w:t>（三）国有资产占用使用情况</w:t>
      </w:r>
      <w:r>
        <w:rPr>
          <w:rFonts w:hint="eastAsia" w:ascii="仿宋" w:hAnsi="仿宋" w:eastAsia="仿宋" w:cs="仿宋"/>
          <w:spacing w:val="0"/>
          <w:kern w:val="0"/>
          <w:sz w:val="28"/>
          <w:szCs w:val="28"/>
        </w:rPr>
        <w:t> </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仿宋" w:hAnsi="仿宋" w:eastAsia="仿宋" w:cs="仿宋"/>
          <w:kern w:val="0"/>
          <w:sz w:val="28"/>
          <w:szCs w:val="28"/>
        </w:rPr>
      </w:pPr>
      <w:r>
        <w:rPr>
          <w:rFonts w:hint="eastAsia" w:ascii="仿宋" w:hAnsi="仿宋" w:eastAsia="仿宋" w:cs="仿宋"/>
          <w:spacing w:val="0"/>
          <w:kern w:val="0"/>
          <w:sz w:val="28"/>
          <w:szCs w:val="28"/>
        </w:rPr>
        <w:t xml:space="preserve">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   </w:t>
      </w:r>
    </w:p>
    <w:p>
      <w:pPr>
        <w:keepNext w:val="0"/>
        <w:keepLines w:val="0"/>
        <w:pageBreakBefore w:val="0"/>
        <w:kinsoku/>
        <w:wordWrap/>
        <w:overflowPunct/>
        <w:topLinePunct w:val="0"/>
        <w:autoSpaceDE/>
        <w:autoSpaceDN/>
        <w:bidi w:val="0"/>
        <w:adjustRightInd/>
        <w:snapToGrid/>
        <w:spacing w:line="560" w:lineRule="exact"/>
        <w:ind w:left="0" w:firstLine="560" w:firstLineChars="200"/>
        <w:jc w:val="both"/>
        <w:textAlignment w:val="auto"/>
        <w:outlineLvl w:val="9"/>
        <w:rPr>
          <w:rFonts w:hint="eastAsia" w:ascii="仿宋" w:hAnsi="仿宋" w:eastAsia="仿宋" w:cs="仿宋"/>
          <w:sz w:val="28"/>
          <w:szCs w:val="28"/>
        </w:rPr>
        <w:sectPr>
          <w:footerReference r:id="rId5" w:type="default"/>
          <w:pgSz w:w="11906" w:h="16838"/>
          <w:pgMar w:top="1440" w:right="720" w:bottom="1440" w:left="72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3"/>
        <w:keepNext w:val="0"/>
        <w:keepLines w:val="0"/>
        <w:spacing w:before="100" w:after="100" w:line="240" w:lineRule="auto"/>
        <w:ind w:left="0" w:right="0" w:firstLine="0" w:firstLineChars="0"/>
        <w:jc w:val="center"/>
        <w:rPr>
          <w:rFonts w:ascii="Times New Roman" w:hAnsi="Times New Roman" w:eastAsia="Times New Roman" w:cs="Times New Roman"/>
          <w:kern w:val="0"/>
          <w:sz w:val="24"/>
        </w:rPr>
      </w:pPr>
      <w:bookmarkStart w:id="109" w:name="_Toc256000089"/>
      <w:bookmarkStart w:id="110" w:name="_Toc256000027"/>
      <w:bookmarkStart w:id="111" w:name="_Toc256000120"/>
      <w:bookmarkStart w:id="112" w:name="_Toc256000058"/>
      <w:r>
        <w:rPr>
          <w:rFonts w:hint="eastAsia" w:ascii="仿宋" w:hAnsi="仿宋" w:eastAsia="仿宋" w:cs="仿宋"/>
          <w:b/>
          <w:bCs w:val="0"/>
          <w:kern w:val="0"/>
          <w:sz w:val="32"/>
          <w:szCs w:val="32"/>
        </w:rPr>
        <w:t>第四部分</w:t>
      </w:r>
      <w:bookmarkEnd w:id="109"/>
      <w:bookmarkEnd w:id="110"/>
      <w:bookmarkEnd w:id="111"/>
      <w:bookmarkEnd w:id="112"/>
      <w:bookmarkStart w:id="113" w:name="_Toc256000121"/>
      <w:bookmarkStart w:id="114" w:name="_Toc256000028"/>
      <w:bookmarkStart w:id="115" w:name="_Toc256000059"/>
      <w:bookmarkStart w:id="116" w:name="_Toc256000090"/>
      <w:r>
        <w:rPr>
          <w:rFonts w:hint="eastAsia" w:ascii="仿宋" w:hAnsi="仿宋" w:eastAsia="仿宋" w:cs="仿宋"/>
          <w:b/>
          <w:bCs w:val="0"/>
          <w:kern w:val="0"/>
          <w:sz w:val="32"/>
          <w:szCs w:val="32"/>
          <w:lang w:val="en-US" w:eastAsia="zh-CN"/>
        </w:rPr>
        <w:t xml:space="preserve"> </w:t>
      </w:r>
      <w:r>
        <w:rPr>
          <w:rFonts w:hint="eastAsia" w:ascii="仿宋" w:hAnsi="仿宋" w:eastAsia="仿宋" w:cs="仿宋"/>
          <w:b/>
          <w:bCs w:val="0"/>
          <w:kern w:val="0"/>
          <w:sz w:val="32"/>
          <w:szCs w:val="32"/>
        </w:rPr>
        <w:t>名词解释</w:t>
      </w:r>
      <w:bookmarkEnd w:id="113"/>
      <w:bookmarkEnd w:id="114"/>
      <w:bookmarkEnd w:id="115"/>
      <w:bookmarkEnd w:id="116"/>
    </w:p>
    <w:p>
      <w:pPr>
        <w:keepNext w:val="0"/>
        <w:keepLines w:val="0"/>
        <w:pageBreakBefore w:val="0"/>
        <w:widowControl/>
        <w:kinsoku/>
        <w:wordWrap/>
        <w:overflowPunct/>
        <w:topLinePunct w:val="0"/>
        <w:autoSpaceDE/>
        <w:autoSpaceDN/>
        <w:bidi w:val="0"/>
        <w:adjustRightInd/>
        <w:snapToGrid/>
        <w:spacing w:line="560" w:lineRule="exact"/>
        <w:ind w:firstLine="562" w:firstLineChars="200"/>
        <w:jc w:val="both"/>
        <w:textAlignment w:val="auto"/>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一、财政拨款收入：</w:t>
      </w:r>
      <w:r>
        <w:rPr>
          <w:rFonts w:ascii="仿宋" w:hAnsi="仿宋" w:eastAsia="仿宋" w:cs="仿宋"/>
          <w:spacing w:val="0"/>
          <w:kern w:val="0"/>
          <w:sz w:val="28"/>
          <w:szCs w:val="28"/>
        </w:rPr>
        <w:t>指单位从本级财政单位取得的财政预算资金，包括一般公共预算财政拨款、政府性基金预算财政拨款和国有资本经营预算财政拨款。</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2" w:firstLineChars="200"/>
        <w:jc w:val="both"/>
        <w:textAlignment w:val="auto"/>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二、事业收入：</w:t>
      </w:r>
      <w:r>
        <w:rPr>
          <w:rFonts w:ascii="仿宋" w:hAnsi="仿宋" w:eastAsia="仿宋" w:cs="仿宋"/>
          <w:spacing w:val="0"/>
          <w:kern w:val="0"/>
          <w:sz w:val="28"/>
          <w:szCs w:val="28"/>
        </w:rPr>
        <w:t>指事业单位开展专业业务活动及辅助活动所取得的收入。</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2" w:firstLineChars="200"/>
        <w:jc w:val="both"/>
        <w:textAlignment w:val="auto"/>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三、经营收入：</w:t>
      </w:r>
      <w:r>
        <w:rPr>
          <w:rFonts w:ascii="仿宋" w:hAnsi="仿宋" w:eastAsia="仿宋" w:cs="仿宋"/>
          <w:spacing w:val="0"/>
          <w:kern w:val="0"/>
          <w:sz w:val="28"/>
          <w:szCs w:val="28"/>
        </w:rPr>
        <w:t>指事业单位在专业业务活动及其辅助活动之外开展非独立核算经营活动取得的收入。</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2" w:firstLineChars="200"/>
        <w:jc w:val="both"/>
        <w:textAlignment w:val="auto"/>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四、其他收入：</w:t>
      </w:r>
      <w:r>
        <w:rPr>
          <w:rFonts w:ascii="仿宋" w:hAnsi="仿宋" w:eastAsia="仿宋" w:cs="仿宋"/>
          <w:spacing w:val="0"/>
          <w:kern w:val="0"/>
          <w:sz w:val="28"/>
          <w:szCs w:val="28"/>
        </w:rPr>
        <w:t>指除上述“财政拨款收入”“事业收入”</w:t>
      </w:r>
      <w:r>
        <w:rPr>
          <w:rFonts w:ascii="宋体" w:hAnsi="宋体" w:cs="宋体"/>
          <w:spacing w:val="0"/>
          <w:kern w:val="0"/>
          <w:sz w:val="28"/>
          <w:szCs w:val="28"/>
        </w:rPr>
        <w:t> </w:t>
      </w:r>
      <w:r>
        <w:rPr>
          <w:rFonts w:ascii="仿宋" w:hAnsi="仿宋" w:eastAsia="仿宋" w:cs="仿宋"/>
          <w:spacing w:val="0"/>
          <w:kern w:val="0"/>
          <w:sz w:val="28"/>
          <w:szCs w:val="28"/>
        </w:rPr>
        <w:t>“上级补助收入”“附属单位上缴收入”“经营收入”等以外取得的各项收入。主要是事业单位固定资产出租收入等。</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2" w:firstLineChars="200"/>
        <w:jc w:val="both"/>
        <w:textAlignment w:val="auto"/>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五、使用非财政拨款结余：</w:t>
      </w:r>
      <w:r>
        <w:rPr>
          <w:rFonts w:ascii="仿宋" w:hAnsi="仿宋" w:eastAsia="仿宋" w:cs="仿宋"/>
          <w:spacing w:val="0"/>
          <w:kern w:val="0"/>
          <w:sz w:val="28"/>
          <w:szCs w:val="28"/>
        </w:rPr>
        <w:t>指事业单位使用以前年度积累的非财政拨款结余弥补当年收支差额的金额。</w:t>
      </w:r>
    </w:p>
    <w:p>
      <w:pPr>
        <w:pStyle w:val="29"/>
        <w:keepNext w:val="0"/>
        <w:keepLines w:val="0"/>
        <w:pageBreakBefore w:val="0"/>
        <w:widowControl/>
        <w:kinsoku/>
        <w:wordWrap/>
        <w:overflowPunct/>
        <w:topLinePunct w:val="0"/>
        <w:autoSpaceDE/>
        <w:autoSpaceDN/>
        <w:bidi w:val="0"/>
        <w:adjustRightInd/>
        <w:snapToGrid/>
        <w:spacing w:line="560" w:lineRule="exact"/>
        <w:ind w:left="0" w:right="0" w:firstLine="562" w:firstLineChars="200"/>
        <w:jc w:val="both"/>
        <w:textAlignment w:val="auto"/>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六、年初结转和结余：</w:t>
      </w:r>
      <w:r>
        <w:rPr>
          <w:rFonts w:ascii="仿宋" w:hAnsi="仿宋" w:eastAsia="仿宋" w:cs="仿宋"/>
          <w:spacing w:val="0"/>
          <w:kern w:val="0"/>
          <w:sz w:val="28"/>
          <w:szCs w:val="28"/>
        </w:rPr>
        <w:t>指单位以前年度尚未完成、结转到本年仍按原规定用途继续使用的资金，或项目已完成等产生的结余资金。</w:t>
      </w:r>
    </w:p>
    <w:p>
      <w:pPr>
        <w:pStyle w:val="30"/>
        <w:keepNext w:val="0"/>
        <w:keepLines w:val="0"/>
        <w:pageBreakBefore w:val="0"/>
        <w:widowControl/>
        <w:kinsoku/>
        <w:wordWrap/>
        <w:overflowPunct/>
        <w:topLinePunct w:val="0"/>
        <w:autoSpaceDE/>
        <w:autoSpaceDN/>
        <w:bidi w:val="0"/>
        <w:adjustRightInd/>
        <w:snapToGrid/>
        <w:spacing w:line="560" w:lineRule="exact"/>
        <w:ind w:left="0" w:right="0" w:firstLine="562" w:firstLineChars="200"/>
        <w:jc w:val="both"/>
        <w:textAlignment w:val="auto"/>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七、结余分配：</w:t>
      </w:r>
      <w:r>
        <w:rPr>
          <w:rFonts w:ascii="仿宋" w:hAnsi="仿宋" w:eastAsia="仿宋" w:cs="仿宋"/>
          <w:spacing w:val="0"/>
          <w:kern w:val="0"/>
          <w:sz w:val="28"/>
          <w:szCs w:val="28"/>
        </w:rPr>
        <w:t>指事业单位按照会计制度规定缴纳的所得税、提取的专用结余以及转入非财政拨款结余的金额等。</w:t>
      </w:r>
    </w:p>
    <w:p>
      <w:pPr>
        <w:pStyle w:val="30"/>
        <w:keepNext w:val="0"/>
        <w:keepLines w:val="0"/>
        <w:pageBreakBefore w:val="0"/>
        <w:widowControl/>
        <w:kinsoku/>
        <w:wordWrap/>
        <w:overflowPunct/>
        <w:topLinePunct w:val="0"/>
        <w:autoSpaceDE/>
        <w:autoSpaceDN/>
        <w:bidi w:val="0"/>
        <w:adjustRightInd/>
        <w:snapToGrid/>
        <w:spacing w:line="560" w:lineRule="exact"/>
        <w:ind w:left="0" w:right="0" w:firstLine="562" w:firstLineChars="200"/>
        <w:jc w:val="both"/>
        <w:textAlignment w:val="auto"/>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八、年末结转和结余：</w:t>
      </w:r>
      <w:r>
        <w:rPr>
          <w:rFonts w:ascii="仿宋" w:hAnsi="仿宋" w:eastAsia="仿宋" w:cs="仿宋"/>
          <w:spacing w:val="0"/>
          <w:kern w:val="0"/>
          <w:sz w:val="28"/>
          <w:szCs w:val="28"/>
        </w:rPr>
        <w:t>指单位按有关规定结转到下年或以后年度继续使用的资金，或项目已完成等产生的结余资金。</w:t>
      </w:r>
    </w:p>
    <w:p>
      <w:pPr>
        <w:pStyle w:val="30"/>
        <w:keepNext w:val="0"/>
        <w:keepLines w:val="0"/>
        <w:pageBreakBefore w:val="0"/>
        <w:widowControl/>
        <w:kinsoku/>
        <w:wordWrap/>
        <w:overflowPunct/>
        <w:topLinePunct w:val="0"/>
        <w:autoSpaceDE/>
        <w:autoSpaceDN/>
        <w:bidi w:val="0"/>
        <w:adjustRightInd/>
        <w:snapToGrid/>
        <w:spacing w:line="560" w:lineRule="exact"/>
        <w:ind w:left="0" w:right="0" w:firstLine="562" w:firstLineChars="200"/>
        <w:jc w:val="both"/>
        <w:textAlignment w:val="auto"/>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九、基本支出：</w:t>
      </w:r>
      <w:r>
        <w:rPr>
          <w:rFonts w:ascii="仿宋" w:hAnsi="仿宋" w:eastAsia="仿宋" w:cs="仿宋"/>
          <w:spacing w:val="0"/>
          <w:kern w:val="0"/>
          <w:sz w:val="28"/>
          <w:szCs w:val="28"/>
        </w:rPr>
        <w:t>指为保障机构正常运转、完成日常工作任务而发生的人员支出和公用支出。</w:t>
      </w:r>
    </w:p>
    <w:p>
      <w:pPr>
        <w:pStyle w:val="30"/>
        <w:keepNext w:val="0"/>
        <w:keepLines w:val="0"/>
        <w:pageBreakBefore w:val="0"/>
        <w:widowControl/>
        <w:kinsoku/>
        <w:wordWrap/>
        <w:overflowPunct/>
        <w:topLinePunct w:val="0"/>
        <w:autoSpaceDE/>
        <w:autoSpaceDN/>
        <w:bidi w:val="0"/>
        <w:adjustRightInd/>
        <w:snapToGrid/>
        <w:spacing w:line="560" w:lineRule="exact"/>
        <w:ind w:left="0" w:right="0" w:firstLine="562" w:firstLineChars="200"/>
        <w:jc w:val="both"/>
        <w:textAlignment w:val="auto"/>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十、项目支出：</w:t>
      </w:r>
      <w:r>
        <w:rPr>
          <w:rFonts w:ascii="仿宋" w:hAnsi="仿宋" w:eastAsia="仿宋" w:cs="仿宋"/>
          <w:spacing w:val="0"/>
          <w:kern w:val="0"/>
          <w:sz w:val="28"/>
          <w:szCs w:val="28"/>
        </w:rPr>
        <w:t>指在基本支出之外为完成特定行政任务和事业发展目标所发生的支出。</w:t>
      </w:r>
    </w:p>
    <w:p>
      <w:pPr>
        <w:pStyle w:val="30"/>
        <w:keepNext w:val="0"/>
        <w:keepLines w:val="0"/>
        <w:pageBreakBefore w:val="0"/>
        <w:widowControl/>
        <w:kinsoku/>
        <w:wordWrap/>
        <w:overflowPunct/>
        <w:topLinePunct w:val="0"/>
        <w:autoSpaceDE/>
        <w:autoSpaceDN/>
        <w:bidi w:val="0"/>
        <w:adjustRightInd/>
        <w:snapToGrid/>
        <w:spacing w:line="560" w:lineRule="exact"/>
        <w:ind w:left="0" w:right="0" w:firstLine="562" w:firstLineChars="200"/>
        <w:jc w:val="both"/>
        <w:textAlignment w:val="auto"/>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十一、经营支出：</w:t>
      </w:r>
      <w:r>
        <w:rPr>
          <w:rFonts w:ascii="仿宋" w:hAnsi="仿宋" w:eastAsia="仿宋" w:cs="仿宋"/>
          <w:spacing w:val="0"/>
          <w:kern w:val="0"/>
          <w:sz w:val="28"/>
          <w:szCs w:val="28"/>
        </w:rPr>
        <w:t>指事业单位在专业业务活动及其辅助活动之外开展非独立核算经营活动发生的支出。</w:t>
      </w:r>
    </w:p>
    <w:p>
      <w:pPr>
        <w:pStyle w:val="30"/>
        <w:keepNext w:val="0"/>
        <w:keepLines w:val="0"/>
        <w:pageBreakBefore w:val="0"/>
        <w:widowControl/>
        <w:kinsoku/>
        <w:wordWrap/>
        <w:overflowPunct/>
        <w:topLinePunct w:val="0"/>
        <w:autoSpaceDE/>
        <w:autoSpaceDN/>
        <w:bidi w:val="0"/>
        <w:adjustRightInd/>
        <w:snapToGrid/>
        <w:spacing w:line="560" w:lineRule="exact"/>
        <w:ind w:left="0" w:right="0" w:firstLine="562" w:firstLineChars="200"/>
        <w:jc w:val="both"/>
        <w:textAlignment w:val="auto"/>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十二、“三公”经费：</w:t>
      </w:r>
      <w:r>
        <w:rPr>
          <w:rFonts w:ascii="仿宋" w:hAnsi="仿宋" w:eastAsia="仿宋" w:cs="仿宋"/>
          <w:spacing w:val="0"/>
          <w:kern w:val="0"/>
          <w:sz w:val="28"/>
          <w:szCs w:val="28"/>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30"/>
        <w:keepNext w:val="0"/>
        <w:keepLines w:val="0"/>
        <w:pageBreakBefore w:val="0"/>
        <w:widowControl/>
        <w:kinsoku/>
        <w:wordWrap/>
        <w:overflowPunct/>
        <w:topLinePunct w:val="0"/>
        <w:autoSpaceDE/>
        <w:autoSpaceDN/>
        <w:bidi w:val="0"/>
        <w:adjustRightInd/>
        <w:snapToGrid/>
        <w:spacing w:line="560" w:lineRule="exact"/>
        <w:ind w:left="0" w:right="0" w:firstLine="562" w:firstLineChars="200"/>
        <w:jc w:val="both"/>
        <w:textAlignment w:val="auto"/>
        <w:rPr>
          <w:rFonts w:ascii="Times New Roman" w:hAnsi="Times New Roman" w:eastAsia="Times New Roman" w:cs="Times New Roman"/>
          <w:kern w:val="0"/>
          <w:sz w:val="28"/>
          <w:szCs w:val="28"/>
        </w:rPr>
      </w:pPr>
      <w:r>
        <w:rPr>
          <w:rStyle w:val="31"/>
          <w:rFonts w:ascii="仿宋" w:hAnsi="仿宋" w:eastAsia="仿宋" w:cs="仿宋"/>
          <w:b/>
          <w:bCs/>
          <w:spacing w:val="0"/>
          <w:kern w:val="0"/>
          <w:sz w:val="28"/>
          <w:szCs w:val="28"/>
        </w:rPr>
        <w:t>十三、机关运行经费：</w:t>
      </w:r>
      <w:r>
        <w:rPr>
          <w:rFonts w:ascii="仿宋" w:hAnsi="仿宋" w:eastAsia="仿宋" w:cs="仿宋"/>
          <w:spacing w:val="0"/>
          <w:kern w:val="0"/>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9"/>
        <w:widowControl/>
        <w:spacing w:before="240" w:after="240"/>
        <w:jc w:val="left"/>
        <w:rPr>
          <w:rFonts w:ascii="Times New Roman" w:hAnsi="Times New Roman" w:eastAsia="Times New Roman" w:cs="Times New Roman"/>
          <w:kern w:val="0"/>
          <w:sz w:val="24"/>
        </w:rPr>
      </w:pPr>
    </w:p>
    <w:p>
      <w:pPr>
        <w:sectPr>
          <w:footerReference r:id="rId6" w:type="default"/>
          <w:pgSz w:w="11906" w:h="16838"/>
          <w:pgMar w:top="1440" w:right="720" w:bottom="1440" w:left="72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3"/>
        <w:keepNext w:val="0"/>
        <w:keepLines w:val="0"/>
        <w:spacing w:before="100" w:after="100" w:line="240" w:lineRule="auto"/>
        <w:ind w:left="0" w:right="0" w:firstLine="0" w:firstLineChars="0"/>
        <w:jc w:val="center"/>
        <w:rPr>
          <w:rFonts w:hint="eastAsia" w:ascii="仿宋" w:hAnsi="仿宋" w:eastAsia="仿宋" w:cs="仿宋"/>
          <w:b/>
          <w:bCs w:val="0"/>
          <w:kern w:val="0"/>
          <w:sz w:val="32"/>
          <w:szCs w:val="32"/>
        </w:rPr>
      </w:pPr>
      <w:bookmarkStart w:id="117" w:name="_Toc256000060"/>
      <w:bookmarkStart w:id="118" w:name="_Toc256000029"/>
      <w:bookmarkStart w:id="119" w:name="_Toc256000091"/>
      <w:bookmarkStart w:id="120" w:name="_Toc256000122"/>
      <w:r>
        <w:rPr>
          <w:rFonts w:hint="eastAsia" w:ascii="仿宋" w:hAnsi="仿宋" w:eastAsia="仿宋" w:cs="仿宋"/>
          <w:b/>
          <w:bCs w:val="0"/>
          <w:kern w:val="0"/>
          <w:sz w:val="32"/>
          <w:szCs w:val="32"/>
        </w:rPr>
        <w:t>第五部分</w:t>
      </w:r>
      <w:bookmarkEnd w:id="117"/>
      <w:bookmarkEnd w:id="118"/>
      <w:bookmarkEnd w:id="119"/>
      <w:bookmarkEnd w:id="120"/>
      <w:r>
        <w:rPr>
          <w:rFonts w:hint="eastAsia" w:ascii="仿宋" w:hAnsi="仿宋" w:eastAsia="仿宋" w:cs="仿宋"/>
          <w:b/>
          <w:bCs w:val="0"/>
          <w:kern w:val="0"/>
          <w:sz w:val="32"/>
          <w:szCs w:val="32"/>
        </w:rPr>
        <w:t> </w:t>
      </w:r>
      <w:bookmarkStart w:id="121" w:name="_Toc256000061"/>
      <w:bookmarkStart w:id="122" w:name="_Toc256000092"/>
      <w:bookmarkStart w:id="123" w:name="_Toc256000123"/>
      <w:bookmarkStart w:id="124" w:name="_Toc256000030"/>
      <w:r>
        <w:rPr>
          <w:rFonts w:hint="eastAsia" w:ascii="仿宋" w:hAnsi="仿宋" w:eastAsia="仿宋" w:cs="仿宋"/>
          <w:b/>
          <w:bCs w:val="0"/>
          <w:kern w:val="0"/>
          <w:sz w:val="32"/>
          <w:szCs w:val="32"/>
          <w:lang w:val="en-US" w:eastAsia="zh-CN"/>
        </w:rPr>
        <w:t xml:space="preserve"> </w:t>
      </w:r>
      <w:r>
        <w:rPr>
          <w:rFonts w:hint="eastAsia" w:ascii="仿宋" w:hAnsi="仿宋" w:eastAsia="仿宋" w:cs="仿宋"/>
          <w:b/>
          <w:bCs w:val="0"/>
          <w:kern w:val="0"/>
          <w:sz w:val="32"/>
          <w:szCs w:val="32"/>
        </w:rPr>
        <w:t>附件</w:t>
      </w:r>
      <w:bookmarkEnd w:id="121"/>
      <w:bookmarkEnd w:id="122"/>
      <w:bookmarkEnd w:id="123"/>
      <w:bookmarkEnd w:id="124"/>
    </w:p>
    <w:tbl>
      <w:tblPr>
        <w:tblStyle w:val="23"/>
        <w:tblW w:w="9770" w:type="dxa"/>
        <w:jc w:val="center"/>
        <w:tblInd w:w="0" w:type="dxa"/>
        <w:shd w:val="clear" w:color="auto" w:fill="auto"/>
        <w:tblLayout w:type="fixed"/>
        <w:tblCellMar>
          <w:top w:w="0" w:type="dxa"/>
          <w:left w:w="0" w:type="dxa"/>
          <w:bottom w:w="0" w:type="dxa"/>
          <w:right w:w="0" w:type="dxa"/>
        </w:tblCellMar>
      </w:tblPr>
      <w:tblGrid>
        <w:gridCol w:w="1097"/>
        <w:gridCol w:w="966"/>
        <w:gridCol w:w="1117"/>
        <w:gridCol w:w="1300"/>
        <w:gridCol w:w="1083"/>
        <w:gridCol w:w="1017"/>
        <w:gridCol w:w="1070"/>
        <w:gridCol w:w="660"/>
        <w:gridCol w:w="503"/>
        <w:gridCol w:w="450"/>
        <w:gridCol w:w="507"/>
      </w:tblGrid>
      <w:tr>
        <w:tblPrEx>
          <w:shd w:val="clear" w:color="auto" w:fill="auto"/>
          <w:tblLayout w:type="fixed"/>
          <w:tblCellMar>
            <w:top w:w="0" w:type="dxa"/>
            <w:left w:w="0" w:type="dxa"/>
            <w:bottom w:w="0" w:type="dxa"/>
            <w:right w:w="0" w:type="dxa"/>
          </w:tblCellMar>
        </w:tblPrEx>
        <w:trPr>
          <w:trHeight w:val="375" w:hRule="atLeast"/>
          <w:jc w:val="center"/>
        </w:trPr>
        <w:tc>
          <w:tcPr>
            <w:tcW w:w="9770"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32"/>
                <w:szCs w:val="32"/>
                <w:u w:val="none"/>
                <w:lang w:val="en-US" w:eastAsia="zh-CN" w:bidi="ar"/>
              </w:rPr>
              <w:t>部门（单位）项目支出绩效自评表</w:t>
            </w:r>
          </w:p>
        </w:tc>
      </w:tr>
      <w:tr>
        <w:tblPrEx>
          <w:shd w:val="clear" w:color="auto" w:fill="auto"/>
          <w:tblLayout w:type="fixed"/>
          <w:tblCellMar>
            <w:top w:w="0" w:type="dxa"/>
            <w:left w:w="0" w:type="dxa"/>
            <w:bottom w:w="0" w:type="dxa"/>
            <w:right w:w="0" w:type="dxa"/>
          </w:tblCellMar>
        </w:tblPrEx>
        <w:trPr>
          <w:trHeight w:val="360" w:hRule="atLeast"/>
          <w:jc w:val="center"/>
        </w:trPr>
        <w:tc>
          <w:tcPr>
            <w:tcW w:w="9770"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（2024年度）</w:t>
            </w:r>
          </w:p>
        </w:tc>
      </w:tr>
      <w:tr>
        <w:tblPrEx>
          <w:shd w:val="clear" w:color="auto" w:fill="auto"/>
          <w:tblLayout w:type="fixed"/>
          <w:tblCellMar>
            <w:top w:w="0" w:type="dxa"/>
            <w:left w:w="0" w:type="dxa"/>
            <w:bottom w:w="0" w:type="dxa"/>
            <w:right w:w="0" w:type="dxa"/>
          </w:tblCellMar>
        </w:tblPrEx>
        <w:trPr>
          <w:trHeight w:val="390" w:hRule="atLeast"/>
          <w:jc w:val="center"/>
        </w:trPr>
        <w:tc>
          <w:tcPr>
            <w:tcW w:w="3180" w:type="dxa"/>
            <w:gridSpan w:val="3"/>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预算单位（盖章）： 厦门市金尚小学                                                                                                 </w:t>
            </w:r>
          </w:p>
        </w:tc>
        <w:tc>
          <w:tcPr>
            <w:tcW w:w="1300" w:type="dxa"/>
            <w:tcBorders>
              <w:top w:val="nil"/>
              <w:left w:val="nil"/>
              <w:bottom w:val="single" w:color="000000" w:sz="4" w:space="0"/>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83"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17" w:type="dxa"/>
            <w:tcBorders>
              <w:top w:val="nil"/>
              <w:left w:val="nil"/>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70" w:type="dxa"/>
            <w:tcBorders>
              <w:top w:val="nil"/>
              <w:left w:val="nil"/>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60" w:type="dxa"/>
            <w:tcBorders>
              <w:top w:val="nil"/>
              <w:left w:val="nil"/>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60" w:type="dxa"/>
            <w:gridSpan w:val="3"/>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单位：万元</w:t>
            </w:r>
          </w:p>
        </w:tc>
      </w:tr>
      <w:tr>
        <w:tblPrEx>
          <w:shd w:val="clear" w:color="auto" w:fill="auto"/>
          <w:tblLayout w:type="fixed"/>
          <w:tblCellMar>
            <w:top w:w="0" w:type="dxa"/>
            <w:left w:w="0" w:type="dxa"/>
            <w:bottom w:w="0" w:type="dxa"/>
            <w:right w:w="0" w:type="dxa"/>
          </w:tblCellMar>
        </w:tblPrEx>
        <w:trPr>
          <w:trHeight w:val="360" w:hRule="atLeast"/>
          <w:jc w:val="center"/>
        </w:trPr>
        <w:tc>
          <w:tcPr>
            <w:tcW w:w="1097"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5483" w:type="dxa"/>
            <w:gridSpan w:val="5"/>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义务教育阶段家庭经济困难学生营养餐补助</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自评年度</w:t>
            </w:r>
          </w:p>
        </w:tc>
        <w:tc>
          <w:tcPr>
            <w:tcW w:w="212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2024年1月1日-2024年12月31日</w:t>
            </w:r>
          </w:p>
        </w:tc>
      </w:tr>
      <w:tr>
        <w:tblPrEx>
          <w:shd w:val="clear" w:color="auto" w:fill="auto"/>
          <w:tblLayout w:type="fixed"/>
          <w:tblCellMar>
            <w:top w:w="0" w:type="dxa"/>
            <w:left w:w="0" w:type="dxa"/>
            <w:bottom w:w="0" w:type="dxa"/>
            <w:right w:w="0" w:type="dxa"/>
          </w:tblCellMar>
        </w:tblPrEx>
        <w:trPr>
          <w:trHeight w:val="36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w:t>
            </w:r>
          </w:p>
        </w:tc>
        <w:tc>
          <w:tcPr>
            <w:tcW w:w="5483" w:type="dxa"/>
            <w:gridSpan w:val="5"/>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湖里区教育局</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161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厦门市金尚小学</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660" w:hRule="atLeast"/>
          <w:jc w:val="center"/>
        </w:trPr>
        <w:tc>
          <w:tcPr>
            <w:tcW w:w="109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年度预算执行情况</w:t>
            </w: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已调整数</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调整后预算数</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执行率</w:t>
            </w:r>
          </w:p>
        </w:tc>
        <w:tc>
          <w:tcPr>
            <w:tcW w:w="503"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shd w:val="clear" w:color="auto" w:fill="auto"/>
          <w:tblLayout w:type="fixed"/>
          <w:tblCellMar>
            <w:top w:w="0" w:type="dxa"/>
            <w:left w:w="0" w:type="dxa"/>
            <w:bottom w:w="0" w:type="dxa"/>
            <w:right w:w="0" w:type="dxa"/>
          </w:tblCellMar>
        </w:tblPrEx>
        <w:trPr>
          <w:trHeight w:val="330"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0.36</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0.36</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0.3222</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89.50%</w:t>
            </w:r>
          </w:p>
        </w:tc>
        <w:tc>
          <w:tcPr>
            <w:tcW w:w="503"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按学生实际人数及用餐数补助</w:t>
            </w:r>
          </w:p>
        </w:tc>
      </w:tr>
      <w:tr>
        <w:tblPrEx>
          <w:shd w:val="clear" w:color="auto" w:fill="auto"/>
          <w:tblLayout w:type="fixed"/>
          <w:tblCellMar>
            <w:top w:w="0" w:type="dxa"/>
            <w:left w:w="0" w:type="dxa"/>
            <w:bottom w:w="0" w:type="dxa"/>
            <w:right w:w="0" w:type="dxa"/>
          </w:tblCellMar>
        </w:tblPrEx>
        <w:trPr>
          <w:trHeight w:val="330"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0.36</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0.36</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0.3222</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89.50%</w:t>
            </w:r>
          </w:p>
        </w:tc>
        <w:tc>
          <w:tcPr>
            <w:tcW w:w="503"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330"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上年结转资金</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03"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330"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其他资金</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03"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375" w:hRule="atLeast"/>
          <w:jc w:val="center"/>
        </w:trPr>
        <w:tc>
          <w:tcPr>
            <w:tcW w:w="109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总体</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目标</w:t>
            </w:r>
          </w:p>
        </w:tc>
        <w:tc>
          <w:tcPr>
            <w:tcW w:w="5483"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319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tblPrEx>
          <w:shd w:val="clear" w:color="auto" w:fill="auto"/>
          <w:tblLayout w:type="fixed"/>
          <w:tblCellMar>
            <w:top w:w="0" w:type="dxa"/>
            <w:left w:w="0" w:type="dxa"/>
            <w:bottom w:w="0" w:type="dxa"/>
            <w:right w:w="0" w:type="dxa"/>
          </w:tblCellMar>
        </w:tblPrEx>
        <w:trPr>
          <w:trHeight w:val="270"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483"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w:t>
            </w:r>
          </w:p>
        </w:tc>
        <w:tc>
          <w:tcPr>
            <w:tcW w:w="319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2024年完成春、秋两季关于我区义务教育阶段公办校（学校提供午餐）家庭经济困难学生营养餐补助对象审核及资金下拨。</w:t>
            </w:r>
          </w:p>
        </w:tc>
      </w:tr>
      <w:tr>
        <w:tblPrEx>
          <w:shd w:val="clear" w:color="auto" w:fill="auto"/>
          <w:tblLayout w:type="fixed"/>
          <w:tblCellMar>
            <w:top w:w="0" w:type="dxa"/>
            <w:left w:w="0" w:type="dxa"/>
            <w:bottom w:w="0" w:type="dxa"/>
            <w:right w:w="0" w:type="dxa"/>
          </w:tblCellMar>
        </w:tblPrEx>
        <w:trPr>
          <w:trHeight w:val="1176"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483"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19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80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指标类型</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绩效目标值</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实际完成值</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完成比例</w:t>
            </w:r>
          </w:p>
        </w:tc>
        <w:tc>
          <w:tcPr>
            <w:tcW w:w="503"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shd w:val="clear" w:color="auto" w:fill="auto"/>
          <w:tblLayout w:type="fixed"/>
          <w:tblCellMar>
            <w:top w:w="0" w:type="dxa"/>
            <w:left w:w="0" w:type="dxa"/>
            <w:bottom w:w="0" w:type="dxa"/>
            <w:right w:w="0" w:type="dxa"/>
          </w:tblCellMar>
        </w:tblPrEx>
        <w:trPr>
          <w:trHeight w:val="980" w:hRule="atLeast"/>
          <w:jc w:val="center"/>
        </w:trPr>
        <w:tc>
          <w:tcPr>
            <w:tcW w:w="109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效</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完</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成</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情</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况</w:t>
            </w:r>
          </w:p>
        </w:tc>
        <w:tc>
          <w:tcPr>
            <w:tcW w:w="96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产出指标</w:t>
            </w: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审核义务教育阶段受助学生</w:t>
            </w:r>
          </w:p>
        </w:tc>
        <w:tc>
          <w:tcPr>
            <w:tcW w:w="10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大于等于13人</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13人</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00"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全年营养餐补助学生</w:t>
            </w:r>
          </w:p>
        </w:tc>
        <w:tc>
          <w:tcPr>
            <w:tcW w:w="10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大于等于6人</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6人</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00"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营养餐发放标准</w:t>
            </w:r>
          </w:p>
        </w:tc>
        <w:tc>
          <w:tcPr>
            <w:tcW w:w="10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00"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义务教育困难生资助资金下拨及时率</w:t>
            </w:r>
          </w:p>
        </w:tc>
        <w:tc>
          <w:tcPr>
            <w:tcW w:w="10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15"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96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效益指标</w:t>
            </w:r>
          </w:p>
        </w:tc>
        <w:tc>
          <w:tcPr>
            <w:tcW w:w="11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3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改善受助学生学习生活质量</w:t>
            </w:r>
          </w:p>
        </w:tc>
        <w:tc>
          <w:tcPr>
            <w:tcW w:w="10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0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50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00" w:hRule="atLeast"/>
          <w:jc w:val="center"/>
        </w:trPr>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11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受资助对象满意度</w:t>
            </w:r>
          </w:p>
        </w:tc>
        <w:tc>
          <w:tcPr>
            <w:tcW w:w="10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1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大于等于90%</w:t>
            </w:r>
          </w:p>
        </w:tc>
        <w:tc>
          <w:tcPr>
            <w:tcW w:w="1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6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540" w:hRule="atLeast"/>
          <w:jc w:val="center"/>
        </w:trPr>
        <w:tc>
          <w:tcPr>
            <w:tcW w:w="831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总分</w:t>
            </w:r>
          </w:p>
        </w:tc>
        <w:tc>
          <w:tcPr>
            <w:tcW w:w="5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w:t>
            </w:r>
          </w:p>
        </w:tc>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1515" w:hRule="atLeast"/>
          <w:jc w:val="center"/>
        </w:trPr>
        <w:tc>
          <w:tcPr>
            <w:tcW w:w="977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填表说明：1.年度总体目标和绩效指标中的“具体指标”“年度指标值”按照部门预算批复的绩效目标填写，必须有量化指标。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tbl>
    <w:p>
      <w:pPr>
        <w:pStyle w:val="29"/>
        <w:widowControl/>
        <w:spacing w:before="240" w:after="240"/>
        <w:jc w:val="both"/>
        <w:rPr>
          <w:rFonts w:ascii="Times New Roman" w:hAnsi="Times New Roman" w:eastAsia="Times New Roman" w:cs="Times New Roman"/>
          <w:kern w:val="0"/>
          <w:sz w:val="18"/>
          <w:szCs w:val="18"/>
        </w:r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bookmarkEnd w:id="4"/>
    <w:p>
      <w:pPr>
        <w:tabs>
          <w:tab w:val="left" w:pos="8415"/>
        </w:tabs>
      </w:pPr>
    </w:p>
    <w:p>
      <w:pPr>
        <w:keepNext w:val="0"/>
        <w:keepLines w:val="0"/>
        <w:pageBreakBefore w:val="0"/>
        <w:widowControl w:val="0"/>
        <w:tabs>
          <w:tab w:val="left" w:pos="8415"/>
        </w:tabs>
        <w:kinsoku/>
        <w:wordWrap/>
        <w:overflowPunct/>
        <w:topLinePunct w:val="0"/>
        <w:autoSpaceDE/>
        <w:autoSpaceDN/>
        <w:bidi w:val="0"/>
        <w:adjustRightInd/>
        <w:snapToGrid/>
        <w:textAlignment w:val="auto"/>
      </w:pPr>
    </w:p>
    <w:sectPr>
      <w:footerReference r:id="rId7" w:type="default"/>
      <w:pgSz w:w="11906" w:h="16838"/>
      <w:pgMar w:top="1984" w:right="1083" w:bottom="1984" w:left="1083"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38</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41</w:t>
    </w:r>
    <w:r>
      <w:rPr>
        <w:rFonts w:ascii="宋体" w:hAnsi="宋体" w:eastAsia="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3ZWQyN2VjY2FkOTY5MGUxMzllZTFiZjJlMjY3OWIifQ=="/>
  </w:docVars>
  <w:rsids>
    <w:rsidRoot w:val="00172A27"/>
    <w:rsid w:val="020B074A"/>
    <w:rsid w:val="02E971C4"/>
    <w:rsid w:val="0A243F4F"/>
    <w:rsid w:val="0D69484D"/>
    <w:rsid w:val="0EE54824"/>
    <w:rsid w:val="1BAD2F00"/>
    <w:rsid w:val="2133003B"/>
    <w:rsid w:val="21940588"/>
    <w:rsid w:val="21D57263"/>
    <w:rsid w:val="26925CAE"/>
    <w:rsid w:val="27285544"/>
    <w:rsid w:val="28C67198"/>
    <w:rsid w:val="2CE94E42"/>
    <w:rsid w:val="31A438B6"/>
    <w:rsid w:val="39F21C0C"/>
    <w:rsid w:val="3BFF260F"/>
    <w:rsid w:val="43444FF7"/>
    <w:rsid w:val="43B94632"/>
    <w:rsid w:val="4CC6676C"/>
    <w:rsid w:val="500707EB"/>
    <w:rsid w:val="518E34D5"/>
    <w:rsid w:val="534B6B70"/>
    <w:rsid w:val="563B2401"/>
    <w:rsid w:val="5CFFD0A9"/>
    <w:rsid w:val="5E544D4F"/>
    <w:rsid w:val="64131F33"/>
    <w:rsid w:val="70D5467E"/>
    <w:rsid w:val="73BE373E"/>
    <w:rsid w:val="76A35046"/>
    <w:rsid w:val="79081CF1"/>
    <w:rsid w:val="7965433F"/>
    <w:rsid w:val="7A8B6F0D"/>
    <w:rsid w:val="7AF6743F"/>
    <w:rsid w:val="7ED44C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3">
    <w:name w:val="heading 2"/>
    <w:basedOn w:val="4"/>
    <w:next w:val="4"/>
    <w:qFormat/>
    <w:uiPriority w:val="0"/>
    <w:pPr>
      <w:keepNext/>
      <w:keepLines/>
      <w:spacing w:before="260" w:after="260" w:line="416" w:lineRule="auto"/>
      <w:outlineLvl w:val="1"/>
    </w:pPr>
    <w:rPr>
      <w:rFonts w:ascii="Arial" w:hAnsi="Arial" w:eastAsia="仿宋"/>
      <w:bCs/>
      <w:sz w:val="32"/>
      <w:szCs w:val="32"/>
    </w:rPr>
  </w:style>
  <w:style w:type="paragraph" w:styleId="5">
    <w:name w:val="heading 3"/>
    <w:basedOn w:val="4"/>
    <w:next w:val="4"/>
    <w:link w:val="28"/>
    <w:qFormat/>
    <w:uiPriority w:val="0"/>
    <w:pPr>
      <w:keepNext/>
      <w:keepLines/>
      <w:spacing w:before="260" w:after="260" w:line="416" w:lineRule="auto"/>
      <w:outlineLvl w:val="2"/>
    </w:pPr>
    <w:rPr>
      <w:rFonts w:eastAsia="仿宋"/>
      <w:bCs/>
      <w:sz w:val="32"/>
      <w:szCs w:val="32"/>
    </w:rPr>
  </w:style>
  <w:style w:type="paragraph" w:styleId="6">
    <w:name w:val="heading 4"/>
    <w:basedOn w:val="4"/>
    <w:next w:val="4"/>
    <w:link w:val="24"/>
    <w:qFormat/>
    <w:uiPriority w:val="0"/>
    <w:pPr>
      <w:keepNext/>
      <w:keepLines/>
      <w:spacing w:before="280" w:after="290" w:line="376" w:lineRule="auto"/>
      <w:outlineLvl w:val="3"/>
    </w:pPr>
    <w:rPr>
      <w:rFonts w:ascii="Cambria" w:hAnsi="Cambria" w:eastAsia="仿宋"/>
      <w:bCs/>
      <w:sz w:val="32"/>
      <w:szCs w:val="28"/>
    </w:rPr>
  </w:style>
  <w:style w:type="character" w:default="1" w:styleId="20">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styleId="4">
    <w:name w:val="No Spacing"/>
    <w:link w:val="25"/>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7">
    <w:name w:val="toc 7"/>
    <w:basedOn w:val="1"/>
    <w:next w:val="1"/>
    <w:qFormat/>
    <w:uiPriority w:val="0"/>
    <w:pPr>
      <w:ind w:left="1260"/>
      <w:jc w:val="left"/>
    </w:pPr>
    <w:rPr>
      <w:sz w:val="20"/>
      <w:szCs w:val="20"/>
    </w:rPr>
  </w:style>
  <w:style w:type="paragraph" w:styleId="8">
    <w:name w:val="Document Map"/>
    <w:basedOn w:val="1"/>
    <w:qFormat/>
    <w:uiPriority w:val="0"/>
    <w:pPr>
      <w:shd w:val="clear" w:color="auto" w:fill="000080"/>
    </w:pPr>
  </w:style>
  <w:style w:type="paragraph" w:styleId="9">
    <w:name w:val="toc 5"/>
    <w:basedOn w:val="1"/>
    <w:next w:val="1"/>
    <w:qFormat/>
    <w:uiPriority w:val="0"/>
    <w:pPr>
      <w:ind w:left="840"/>
      <w:jc w:val="left"/>
    </w:pPr>
    <w:rPr>
      <w:sz w:val="20"/>
      <w:szCs w:val="20"/>
    </w:rPr>
  </w:style>
  <w:style w:type="paragraph" w:styleId="10">
    <w:name w:val="toc 3"/>
    <w:next w:val="5"/>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1">
    <w:name w:val="toc 8"/>
    <w:basedOn w:val="1"/>
    <w:next w:val="1"/>
    <w:qFormat/>
    <w:uiPriority w:val="0"/>
    <w:pPr>
      <w:ind w:left="1470"/>
      <w:jc w:val="left"/>
    </w:pPr>
    <w:rPr>
      <w:sz w:val="20"/>
      <w:szCs w:val="20"/>
    </w:rPr>
  </w:style>
  <w:style w:type="paragraph" w:styleId="12">
    <w:name w:val="footer"/>
    <w:basedOn w:val="1"/>
    <w:link w:val="26"/>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next w:val="4"/>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5">
    <w:name w:val="toc 4"/>
    <w:basedOn w:val="1"/>
    <w:next w:val="1"/>
    <w:qFormat/>
    <w:uiPriority w:val="0"/>
    <w:pPr>
      <w:ind w:left="630"/>
      <w:jc w:val="left"/>
    </w:pPr>
    <w:rPr>
      <w:sz w:val="20"/>
      <w:szCs w:val="20"/>
    </w:rPr>
  </w:style>
  <w:style w:type="paragraph" w:styleId="16">
    <w:name w:val="toc 6"/>
    <w:basedOn w:val="1"/>
    <w:next w:val="1"/>
    <w:qFormat/>
    <w:uiPriority w:val="0"/>
    <w:pPr>
      <w:ind w:left="1050"/>
      <w:jc w:val="left"/>
    </w:pPr>
    <w:rPr>
      <w:sz w:val="20"/>
      <w:szCs w:val="20"/>
    </w:rPr>
  </w:style>
  <w:style w:type="paragraph" w:styleId="17">
    <w:name w:val="toc 2"/>
    <w:next w:val="4"/>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18">
    <w:name w:val="toc 9"/>
    <w:basedOn w:val="1"/>
    <w:next w:val="1"/>
    <w:qFormat/>
    <w:uiPriority w:val="0"/>
    <w:pPr>
      <w:ind w:left="1680"/>
      <w:jc w:val="left"/>
    </w:pPr>
    <w:rPr>
      <w:sz w:val="20"/>
      <w:szCs w:val="20"/>
    </w:rPr>
  </w:style>
  <w:style w:type="paragraph" w:styleId="19">
    <w:name w:val="Normal (Web)"/>
    <w:basedOn w:val="1"/>
    <w:unhideWhenUsed/>
    <w:qFormat/>
    <w:uiPriority w:val="0"/>
    <w:pPr>
      <w:spacing w:beforeAutospacing="1" w:afterAutospacing="1"/>
      <w:jc w:val="left"/>
    </w:pPr>
    <w:rPr>
      <w:kern w:val="0"/>
      <w:sz w:val="24"/>
    </w:rPr>
  </w:style>
  <w:style w:type="character" w:styleId="21">
    <w:name w:val="page number"/>
    <w:basedOn w:val="20"/>
    <w:qFormat/>
    <w:uiPriority w:val="0"/>
  </w:style>
  <w:style w:type="character" w:styleId="22">
    <w:name w:val="Hyperlink"/>
    <w:qFormat/>
    <w:uiPriority w:val="0"/>
    <w:rPr>
      <w:rFonts w:ascii="宋体" w:hAnsi="宋体" w:eastAsia="仿宋" w:cs="Times New Roman"/>
      <w:kern w:val="2"/>
      <w:sz w:val="32"/>
      <w:szCs w:val="32"/>
      <w:lang w:val="en-US" w:eastAsia="zh-CN" w:bidi="ar-SA"/>
    </w:rPr>
  </w:style>
  <w:style w:type="character" w:customStyle="1" w:styleId="24">
    <w:name w:val="标题 4 字符"/>
    <w:basedOn w:val="20"/>
    <w:link w:val="6"/>
    <w:qFormat/>
    <w:uiPriority w:val="0"/>
    <w:rPr>
      <w:rFonts w:ascii="Cambria" w:hAnsi="Cambria" w:eastAsia="仿宋"/>
      <w:bCs/>
      <w:kern w:val="2"/>
      <w:sz w:val="32"/>
      <w:szCs w:val="28"/>
    </w:rPr>
  </w:style>
  <w:style w:type="character" w:customStyle="1" w:styleId="25">
    <w:name w:val="无间隔 字符"/>
    <w:link w:val="4"/>
    <w:qFormat/>
    <w:locked/>
    <w:uiPriority w:val="0"/>
    <w:rPr>
      <w:rFonts w:eastAsia="仿宋_GB2312"/>
      <w:sz w:val="30"/>
      <w:szCs w:val="22"/>
      <w:lang w:bidi="ar-SA"/>
    </w:rPr>
  </w:style>
  <w:style w:type="character" w:customStyle="1" w:styleId="26">
    <w:name w:val="页脚 字符"/>
    <w:basedOn w:val="20"/>
    <w:link w:val="12"/>
    <w:qFormat/>
    <w:uiPriority w:val="0"/>
    <w:rPr>
      <w:kern w:val="2"/>
      <w:sz w:val="18"/>
      <w:szCs w:val="18"/>
    </w:rPr>
  </w:style>
  <w:style w:type="paragraph" w:styleId="27">
    <w:name w:val="List Paragraph"/>
    <w:basedOn w:val="1"/>
    <w:qFormat/>
    <w:uiPriority w:val="0"/>
    <w:pPr>
      <w:ind w:firstLine="420" w:firstLineChars="200"/>
    </w:pPr>
  </w:style>
  <w:style w:type="character" w:customStyle="1" w:styleId="28">
    <w:name w:val="标题 3 字符"/>
    <w:basedOn w:val="20"/>
    <w:link w:val="5"/>
    <w:qFormat/>
    <w:uiPriority w:val="0"/>
    <w:rPr>
      <w:rFonts w:eastAsia="仿宋"/>
      <w:bCs/>
      <w:kern w:val="2"/>
      <w:sz w:val="32"/>
      <w:szCs w:val="32"/>
    </w:rPr>
  </w:style>
  <w:style w:type="paragraph" w:customStyle="1" w:styleId="29">
    <w:name w:val="MsoNormal"/>
    <w:basedOn w:val="1"/>
    <w:qFormat/>
    <w:uiPriority w:val="0"/>
  </w:style>
  <w:style w:type="paragraph" w:customStyle="1" w:styleId="30">
    <w:name w:val="p"/>
    <w:basedOn w:val="1"/>
    <w:qFormat/>
    <w:uiPriority w:val="0"/>
  </w:style>
  <w:style w:type="character" w:customStyle="1" w:styleId="31">
    <w:name w:val="15"/>
    <w:basedOn w:val="2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43</Pages>
  <Words>8123</Words>
  <Characters>10446</Characters>
  <Lines>1</Lines>
  <Paragraphs>1</Paragraphs>
  <TotalTime>0</TotalTime>
  <ScaleCrop>false</ScaleCrop>
  <LinksUpToDate>false</LinksUpToDate>
  <CharactersWithSpaces>11289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2022-03-23T20:40:00Z</dcterms:created>
  <dc:creator>Administrator</dc:creator>
  <cp:lastModifiedBy>Administrator</cp:lastModifiedBy>
  <cp:lastPrinted>2021-04-16T08:45:00Z</cp:lastPrinted>
  <dcterms:modified xsi:type="dcterms:W3CDTF">2025-09-16T05:08:02Z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D5B0EECD93755EA73D336768CA142BA9</vt:lpwstr>
  </property>
  <property fmtid="{D5CDD505-2E9C-101B-9397-08002B2CF9AE}" pid="3" name="KSOProductBuildVer">
    <vt:lpwstr>2052-11.8.2.8053</vt:lpwstr>
  </property>
  <property fmtid="{D5CDD505-2E9C-101B-9397-08002B2CF9AE}" pid="4" name="KSOTemplateDocerSaveRecord">
    <vt:lpwstr>eyJoZGlkIjoiMGU0NWVkNDhlOTkyOTEzYmI4NjBkNjJlZWJjYTAyZDQiLCJ1c2VySWQiOiI0MjEyNzUxNjYifQ==</vt:lpwstr>
  </property>
</Properties>
</file>