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lang w:val="en-US" w:eastAsia="zh-CN"/>
        </w:rPr>
        <w:t>2024</w:t>
      </w:r>
      <w:r>
        <w:rPr>
          <w:rFonts w:hint="eastAsia" w:ascii="方正小标宋简体" w:eastAsia="方正小标宋简体"/>
          <w:b/>
          <w:bCs/>
          <w:sz w:val="48"/>
          <w:szCs w:val="48"/>
          <w:highlight w:val="none"/>
        </w:rPr>
        <w:t>年度</w:t>
      </w: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rPr>
        <w:t>厦门市金山小学</w:t>
      </w:r>
    </w:p>
    <w:p>
      <w:pPr>
        <w:widowControl/>
        <w:jc w:val="center"/>
        <w:rPr>
          <w:rFonts w:hint="eastAsia" w:ascii="方正小标宋简体" w:eastAsia="方正小标宋简体"/>
          <w:b/>
          <w:bCs/>
          <w:sz w:val="48"/>
          <w:szCs w:val="48"/>
          <w:highlight w:val="none"/>
          <w:lang w:val="en-US" w:eastAsia="zh-CN"/>
        </w:rPr>
        <w:sectPr>
          <w:pgSz w:w="11906" w:h="16838"/>
          <w:pgMar w:top="1440" w:right="1080" w:bottom="1440" w:left="1080"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48"/>
          <w:szCs w:val="48"/>
          <w:highlight w:val="none"/>
          <w:lang w:val="en-US" w:eastAsia="zh-CN"/>
        </w:rPr>
        <w:t>单位</w:t>
      </w:r>
      <w:r>
        <w:rPr>
          <w:rFonts w:hint="eastAsia" w:ascii="方正小标宋简体" w:eastAsia="方正小标宋简体"/>
          <w:b/>
          <w:bCs/>
          <w:sz w:val="48"/>
          <w:szCs w:val="48"/>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目录</w:t>
          </w:r>
        </w:p>
        <w:p>
          <w:pPr>
            <w:pStyle w:val="20"/>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b w:val="0"/>
              <w:bCs/>
              <w:kern w:val="2"/>
              <w:sz w:val="32"/>
              <w:szCs w:val="32"/>
              <w:lang w:val="en-US" w:eastAsia="zh-CN" w:bidi="ar-SA"/>
            </w:rPr>
            <w:fldChar w:fldCharType="begin"/>
          </w:r>
          <w:r>
            <w:rPr>
              <w:rFonts w:hint="eastAsia" w:ascii="仿宋_GB2312" w:hAnsi="仿宋_GB2312" w:eastAsia="仿宋_GB2312" w:cs="仿宋_GB2312"/>
              <w:b w:val="0"/>
              <w:bCs/>
              <w:kern w:val="2"/>
              <w:sz w:val="32"/>
              <w:szCs w:val="32"/>
              <w:lang w:val="en-US" w:eastAsia="zh-CN" w:bidi="ar-SA"/>
            </w:rPr>
            <w:instrText xml:space="preserve">TOC \o "1-3" \h \u </w:instrText>
          </w:r>
          <w:r>
            <w:rPr>
              <w:rFonts w:hint="eastAsia" w:ascii="仿宋_GB2312" w:hAnsi="仿宋_GB2312" w:eastAsia="仿宋_GB2312" w:cs="仿宋_GB2312"/>
              <w:b w:val="0"/>
              <w:bCs/>
              <w:kern w:val="2"/>
              <w:sz w:val="32"/>
              <w:szCs w:val="32"/>
              <w:lang w:val="en-US" w:eastAsia="zh-CN" w:bidi="ar-SA"/>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"_Toc256000093"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第一部分</w:t>
          </w:r>
          <w:r>
            <w:rPr>
              <w:rStyle w:val="24"/>
              <w:rFonts w:hint="eastAsia" w:ascii="仿宋_GB2312" w:hAnsi="仿宋_GB2312" w:eastAsia="仿宋_GB2312" w:cs="仿宋_GB2312"/>
              <w:sz w:val="32"/>
              <w:szCs w:val="32"/>
              <w:lang w:val="en-US"/>
            </w:rPr>
            <w:t xml:space="preserve">  </w:t>
          </w:r>
          <w:r>
            <w:rPr>
              <w:rStyle w:val="24"/>
              <w:rFonts w:hint="eastAsia" w:ascii="仿宋_GB2312" w:hAnsi="仿宋_GB2312" w:eastAsia="仿宋_GB2312" w:cs="仿宋_GB2312"/>
              <w:sz w:val="32"/>
              <w:szCs w:val="32"/>
            </w:rPr>
            <w:t>单位概况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"_Toc256000095"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一、单位主要职责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"_Toc256000096"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二、单位基本情况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"_Toc256000097"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三、单位主要工作总结</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20"/>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"_Toc256000098"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第二部分</w:t>
          </w:r>
          <w:r>
            <w:rPr>
              <w:rStyle w:val="24"/>
              <w:rFonts w:hint="eastAsia" w:ascii="仿宋_GB2312" w:hAnsi="仿宋_GB2312" w:eastAsia="仿宋_GB2312" w:cs="仿宋_GB2312"/>
              <w:sz w:val="32"/>
              <w:szCs w:val="32"/>
              <w:lang w:val="en-US"/>
            </w:rPr>
            <w:t xml:space="preserve">  </w:t>
          </w:r>
          <w:r>
            <w:rPr>
              <w:rStyle w:val="24"/>
              <w:rFonts w:hint="eastAsia" w:ascii="仿宋_GB2312" w:hAnsi="仿宋_GB2312" w:eastAsia="仿宋_GB2312" w:cs="仿宋_GB2312"/>
              <w:sz w:val="32"/>
              <w:szCs w:val="32"/>
            </w:rPr>
            <w:t>2024年度决算表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_Toc256000098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"_Toc256000100"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一、收入支出决算总表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"_Toc256000101"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二、收入决算表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"_Toc256000102"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三、支出决算表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"_Toc256000103"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四、财政拨款收入支出决算总表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"_Toc256000104"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五、一般公共预算财政拨款支出决算表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"_Toc256000105"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六、一般公共预算财政拨款基本支出决算表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"_Toc256000106"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七、一般公共预算财政拨款“三公”经费支出决算表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"_Toc256000107"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八、政府性基金预算财政拨款收入支出决算表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"_Toc256000108"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九、国有资本经营预算财政拨款支出决算表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20"/>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"_Toc256000109"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第三部分</w:t>
          </w:r>
          <w:r>
            <w:rPr>
              <w:rStyle w:val="24"/>
              <w:rFonts w:hint="eastAsia" w:ascii="仿宋_GB2312" w:hAnsi="仿宋_GB2312" w:eastAsia="仿宋_GB2312" w:cs="仿宋_GB2312"/>
              <w:sz w:val="32"/>
              <w:szCs w:val="32"/>
              <w:lang w:val="en-US"/>
            </w:rPr>
            <w:t xml:space="preserve">  </w:t>
          </w:r>
          <w:r>
            <w:rPr>
              <w:rStyle w:val="24"/>
              <w:rFonts w:hint="eastAsia" w:ascii="仿宋_GB2312" w:hAnsi="仿宋_GB2312" w:eastAsia="仿宋_GB2312" w:cs="仿宋_GB2312"/>
              <w:sz w:val="32"/>
              <w:szCs w:val="32"/>
            </w:rPr>
            <w:t>2024年度决算情况说明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"_Toc256000111"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一、收入支出决算总体情况说明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"_Toc256000112"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二、财政拨款收入支出决算总体情况说明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"_Toc256000113"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三、一般公共预算拨款支出决算情况说明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"_Toc256000114"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四、政府性基金预算财政拨款支出决算情况说明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"_Toc256000115"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五、国有资本经营预算财政拨款支出决算情况说明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"_Toc256000116"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"_Toc256000117"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七、一般公共预算拨款“三公”经费支出决算情况说明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"_Toc256000118"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八、预算绩效情况说明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"_Toc256000119"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九、其他重要事项说明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20"/>
            <w:tabs>
              <w:tab w:val="right" w:leader="dot" w:pos="973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"_Toc256000120"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第四部分</w:t>
          </w:r>
          <w:r>
            <w:rPr>
              <w:rStyle w:val="24"/>
              <w:rFonts w:hint="eastAsia" w:ascii="仿宋_GB2312" w:hAnsi="仿宋_GB2312" w:eastAsia="仿宋_GB2312" w:cs="仿宋_GB2312"/>
              <w:sz w:val="32"/>
              <w:szCs w:val="32"/>
              <w:lang w:val="en-US"/>
            </w:rPr>
            <w:t xml:space="preserve">  </w:t>
          </w:r>
          <w:r>
            <w:rPr>
              <w:rStyle w:val="24"/>
              <w:rFonts w:hint="eastAsia" w:ascii="仿宋_GB2312" w:hAnsi="仿宋_GB2312" w:eastAsia="仿宋_GB2312" w:cs="仿宋_GB2312"/>
              <w:sz w:val="32"/>
              <w:szCs w:val="32"/>
            </w:rPr>
            <w:t>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20"/>
            <w:tabs>
              <w:tab w:val="right" w:leader="dot" w:pos="9730"/>
            </w:tabs>
            <w:rPr>
              <w:rFonts w:hint="eastAsia" w:ascii="仿宋_GB2312" w:hAnsi="仿宋_GB2312" w:eastAsia="仿宋_GB2312" w:cs="仿宋_GB2312"/>
              <w:sz w:val="32"/>
              <w:szCs w:val="32"/>
            </w:rPr>
          </w:pPr>
          <w:r>
            <w:rPr>
              <w:rStyle w:val="24"/>
              <w:rFonts w:hint="eastAsia" w:ascii="仿宋_GB2312" w:hAnsi="仿宋_GB2312" w:eastAsia="仿宋_GB2312" w:cs="仿宋_GB2312"/>
              <w:sz w:val="32"/>
              <w:szCs w:val="32"/>
            </w:rPr>
            <w:t>第五部分</w:t>
          </w:r>
          <w:r>
            <w:rPr>
              <w:rStyle w:val="24"/>
              <w:rFonts w:hint="eastAsia" w:ascii="仿宋_GB2312" w:hAnsi="仿宋_GB2312" w:eastAsia="仿宋_GB2312" w:cs="仿宋_GB2312"/>
              <w:sz w:val="32"/>
              <w:szCs w:val="32"/>
              <w:lang w:val="en-US"/>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"_Toc256000123" </w:instrText>
          </w:r>
          <w:r>
            <w:rPr>
              <w:rFonts w:hint="eastAsia" w:ascii="仿宋_GB2312" w:hAnsi="仿宋_GB2312" w:eastAsia="仿宋_GB2312" w:cs="仿宋_GB2312"/>
              <w:sz w:val="32"/>
              <w:szCs w:val="32"/>
            </w:rPr>
            <w:fldChar w:fldCharType="separate"/>
          </w:r>
          <w:r>
            <w:rPr>
              <w:rStyle w:val="24"/>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_Toc256000123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3" w:type="default"/>
              <w:pgSz w:w="11906" w:h="16838"/>
              <w:pgMar w:top="1440" w:right="1080" w:bottom="1440" w:left="1080" w:header="0" w:footer="720" w:gutter="0"/>
              <w:cols w:space="0" w:num="1"/>
              <w:rtlGutter w:val="0"/>
              <w:docGrid w:type="lines" w:linePitch="317" w:charSpace="0"/>
            </w:sectPr>
          </w:pPr>
          <w:r>
            <w:rPr>
              <w:rFonts w:hint="eastAsia" w:ascii="仿宋_GB2312" w:hAnsi="仿宋_GB2312" w:eastAsia="仿宋_GB2312" w:cs="仿宋_GB2312"/>
              <w:b w:val="0"/>
              <w:bCs/>
              <w:kern w:val="2"/>
              <w:sz w:val="32"/>
              <w:szCs w:val="32"/>
              <w:lang w:val="en-US" w:eastAsia="zh-CN" w:bidi="ar-SA"/>
            </w:rPr>
            <w:fldChar w:fldCharType="end"/>
          </w:r>
        </w:p>
      </w:sdtContent>
    </w:sdt>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bookmarkStart w:id="0" w:name="_Toc256000062"/>
      <w:bookmarkStart w:id="1" w:name="_Toc256000031"/>
      <w:bookmarkStart w:id="2" w:name="_Toc256000000"/>
      <w:bookmarkStart w:id="3" w:name="_Toc256000093"/>
      <w:bookmarkStart w:id="4" w:name="a000"/>
      <w:r>
        <w:rPr>
          <w:rFonts w:ascii="黑体" w:hAnsi="黑体" w:eastAsia="黑体" w:cs="黑体"/>
          <w:b/>
          <w:spacing w:val="0"/>
          <w:sz w:val="32"/>
          <w:szCs w:val="32"/>
        </w:rPr>
        <w:t>第一部分</w:t>
      </w:r>
      <w:bookmarkEnd w:id="0"/>
      <w:bookmarkEnd w:id="1"/>
      <w:bookmarkEnd w:id="2"/>
      <w:bookmarkEnd w:id="3"/>
      <w:bookmarkStart w:id="5" w:name="_Toc256000001"/>
      <w:bookmarkStart w:id="6" w:name="_Toc256000094"/>
      <w:bookmarkStart w:id="7" w:name="_Toc256000032"/>
      <w:bookmarkStart w:id="8" w:name="_Toc256000063"/>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9" w:name="_Toc256000095"/>
      <w:bookmarkStart w:id="10" w:name="_Toc256000002"/>
      <w:bookmarkStart w:id="11" w:name="_Toc256000064"/>
      <w:bookmarkStart w:id="12" w:name="_Toc256000033"/>
      <w:r>
        <w:rPr>
          <w:rFonts w:ascii="黑体" w:hAnsi="黑体" w:eastAsia="黑体" w:cs="黑体"/>
          <w:b/>
          <w:spacing w:val="0"/>
        </w:rPr>
        <w:t>一、单位主要职责</w:t>
      </w:r>
      <w:bookmarkEnd w:id="9"/>
      <w:bookmarkEnd w:id="10"/>
      <w:bookmarkEnd w:id="11"/>
      <w:bookmarkEnd w:id="12"/>
    </w:p>
    <w:p>
      <w:pPr>
        <w:ind w:firstLine="640" w:firstLineChars="200"/>
        <w:jc w:val="both"/>
        <w:rPr>
          <w:rFonts w:hint="eastAsia" w:ascii="仿宋" w:hAnsi="仿宋" w:eastAsia="仿宋" w:cs="仿宋"/>
          <w:sz w:val="32"/>
          <w:szCs w:val="32"/>
        </w:rPr>
      </w:pPr>
      <w:bookmarkStart w:id="13" w:name="_Toc256000003"/>
      <w:bookmarkStart w:id="14" w:name="_Toc256000034"/>
      <w:bookmarkStart w:id="15" w:name="_Toc256000065"/>
      <w:bookmarkStart w:id="16" w:name="_Toc256000096"/>
      <w:r>
        <w:rPr>
          <w:rFonts w:hint="eastAsia" w:ascii="仿宋" w:hAnsi="仿宋" w:eastAsia="仿宋" w:cs="仿宋"/>
          <w:sz w:val="32"/>
          <w:szCs w:val="32"/>
        </w:rPr>
        <w:t>厦门市金山小学部门的主要职责是：</w:t>
      </w:r>
      <w:r>
        <w:rPr>
          <w:rFonts w:hint="eastAsia" w:ascii="仿宋" w:hAnsi="仿宋" w:eastAsia="仿宋" w:cs="仿宋"/>
          <w:sz w:val="32"/>
          <w:szCs w:val="32"/>
          <w:lang w:val="en-US" w:eastAsia="zh-CN"/>
        </w:rPr>
        <w:t>以“立德树人”为根本任务，以“匠心教育”的理念文化为引领，彰显“匠心立基，艺术立人”的办学特色，</w:t>
      </w:r>
      <w:r>
        <w:rPr>
          <w:rFonts w:hint="eastAsia" w:ascii="仿宋" w:hAnsi="仿宋" w:eastAsia="仿宋" w:cs="仿宋"/>
          <w:sz w:val="32"/>
          <w:szCs w:val="32"/>
          <w:lang w:val="en-US" w:eastAsia="zh-Hans"/>
        </w:rPr>
        <w:t>以“艺术”和“书香”为双翼，</w:t>
      </w:r>
      <w:r>
        <w:rPr>
          <w:rFonts w:hint="eastAsia" w:ascii="仿宋" w:hAnsi="仿宋" w:eastAsia="仿宋" w:cs="仿宋"/>
          <w:sz w:val="32"/>
          <w:szCs w:val="32"/>
        </w:rPr>
        <w:t>匠心打造校园文化，提升办学内涵。</w:t>
      </w:r>
      <w:r>
        <w:rPr>
          <w:rFonts w:hint="eastAsia" w:ascii="仿宋" w:hAnsi="仿宋" w:eastAsia="仿宋" w:cs="仿宋"/>
          <w:sz w:val="32"/>
          <w:szCs w:val="32"/>
          <w:lang w:val="en-US" w:eastAsia="zh-CN"/>
        </w:rPr>
        <w:t>培育“拥山之德，怀金之质”的金山少年。</w:t>
      </w:r>
      <w:r>
        <w:rPr>
          <w:rFonts w:hint="eastAsia" w:ascii="仿宋" w:hAnsi="仿宋" w:eastAsia="仿宋" w:cs="仿宋"/>
          <w:sz w:val="32"/>
          <w:szCs w:val="32"/>
        </w:rPr>
        <w:t>围绕上述任务，重点抓好以下工作：</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（一）夯实教学质量，教学工作</w:t>
      </w:r>
      <w:r>
        <w:rPr>
          <w:rFonts w:hint="eastAsia" w:ascii="仿宋" w:hAnsi="仿宋" w:eastAsia="仿宋" w:cs="仿宋"/>
          <w:sz w:val="32"/>
          <w:szCs w:val="32"/>
          <w:lang w:val="en-US" w:eastAsia="zh-CN"/>
        </w:rPr>
        <w:t>再</w:t>
      </w:r>
      <w:r>
        <w:rPr>
          <w:rFonts w:hint="eastAsia" w:ascii="仿宋" w:hAnsi="仿宋" w:eastAsia="仿宋" w:cs="仿宋"/>
          <w:sz w:val="32"/>
          <w:szCs w:val="32"/>
        </w:rPr>
        <w:t>上</w:t>
      </w:r>
      <w:r>
        <w:rPr>
          <w:rFonts w:hint="eastAsia" w:ascii="仿宋" w:hAnsi="仿宋" w:eastAsia="仿宋" w:cs="仿宋"/>
          <w:sz w:val="32"/>
          <w:szCs w:val="32"/>
          <w:lang w:val="en-US" w:eastAsia="zh-CN"/>
        </w:rPr>
        <w:t>新</w:t>
      </w:r>
      <w:r>
        <w:rPr>
          <w:rFonts w:hint="eastAsia" w:ascii="仿宋" w:hAnsi="仿宋" w:eastAsia="仿宋" w:cs="仿宋"/>
          <w:sz w:val="32"/>
          <w:szCs w:val="32"/>
        </w:rPr>
        <w:t>台阶。</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（二）淬炼学生品格，德育工作</w:t>
      </w:r>
      <w:r>
        <w:rPr>
          <w:rFonts w:hint="eastAsia" w:ascii="仿宋" w:hAnsi="仿宋" w:eastAsia="仿宋" w:cs="仿宋"/>
          <w:sz w:val="32"/>
          <w:szCs w:val="32"/>
          <w:lang w:val="en-US" w:eastAsia="zh-CN"/>
        </w:rPr>
        <w:t>润心智</w:t>
      </w:r>
      <w:r>
        <w:rPr>
          <w:rFonts w:hint="eastAsia" w:ascii="仿宋" w:hAnsi="仿宋" w:eastAsia="仿宋" w:cs="仿宋"/>
          <w:sz w:val="32"/>
          <w:szCs w:val="32"/>
        </w:rPr>
        <w:t>。</w:t>
      </w:r>
    </w:p>
    <w:p>
      <w:pPr>
        <w:ind w:firstLine="640" w:firstLineChars="200"/>
        <w:jc w:val="both"/>
        <w:rPr>
          <w:rFonts w:hint="eastAsia" w:eastAsia="仿宋"/>
          <w:lang w:val="en-US" w:eastAsia="zh-CN"/>
        </w:rPr>
      </w:pPr>
      <w:r>
        <w:rPr>
          <w:rFonts w:hint="eastAsia" w:ascii="仿宋" w:hAnsi="仿宋" w:eastAsia="仿宋" w:cs="仿宋"/>
          <w:sz w:val="32"/>
          <w:szCs w:val="32"/>
        </w:rPr>
        <w:t>（三）</w:t>
      </w:r>
      <w:r>
        <w:rPr>
          <w:rFonts w:hint="eastAsia" w:ascii="仿宋" w:hAnsi="仿宋" w:eastAsia="仿宋" w:cs="仿宋"/>
          <w:sz w:val="32"/>
          <w:szCs w:val="32"/>
          <w:lang w:val="en-US" w:eastAsia="zh-CN"/>
        </w:rPr>
        <w:t>彰显</w:t>
      </w:r>
      <w:r>
        <w:rPr>
          <w:rFonts w:hint="eastAsia" w:ascii="仿宋" w:hAnsi="仿宋" w:eastAsia="仿宋" w:cs="仿宋"/>
          <w:sz w:val="32"/>
          <w:szCs w:val="32"/>
        </w:rPr>
        <w:t>艺术特色，提升</w:t>
      </w:r>
      <w:r>
        <w:rPr>
          <w:rFonts w:hint="eastAsia" w:ascii="仿宋" w:hAnsi="仿宋" w:eastAsia="仿宋" w:cs="仿宋"/>
          <w:sz w:val="32"/>
          <w:szCs w:val="32"/>
          <w:lang w:val="en-US" w:eastAsia="zh-CN"/>
        </w:rPr>
        <w:t>学校办学</w:t>
      </w:r>
      <w:r>
        <w:rPr>
          <w:rFonts w:hint="eastAsia" w:ascii="仿宋" w:hAnsi="仿宋" w:eastAsia="仿宋" w:cs="仿宋"/>
          <w:sz w:val="32"/>
          <w:szCs w:val="32"/>
        </w:rPr>
        <w:t>品位</w:t>
      </w:r>
      <w:r>
        <w:rPr>
          <w:rFonts w:hint="eastAsia" w:ascii="仿宋" w:hAnsi="仿宋" w:eastAsia="仿宋" w:cs="仿宋"/>
          <w:sz w:val="32"/>
          <w:szCs w:val="32"/>
          <w:lang w:eastAsia="zh-CN"/>
        </w:rPr>
        <w:t>。</w:t>
      </w:r>
    </w:p>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二、单位基本情况</w:t>
      </w:r>
      <w:bookmarkEnd w:id="13"/>
      <w:bookmarkEnd w:id="14"/>
      <w:bookmarkEnd w:id="15"/>
      <w:bookmarkEnd w:id="16"/>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个内设机构，其中：列入2024年决算编制范围的单位详细情况见下表:</w:t>
      </w:r>
    </w:p>
    <w:tbl>
      <w:tblPr>
        <w:tblStyle w:val="25"/>
        <w:tblW w:w="9799"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880"/>
        <w:gridCol w:w="691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880"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bookmarkStart w:id="17" w:name="_Toc256000097"/>
            <w:bookmarkStart w:id="18" w:name="_Toc256000066"/>
            <w:bookmarkStart w:id="19" w:name="_Toc256000035"/>
            <w:bookmarkStart w:id="20" w:name="_Toc256000004"/>
            <w:r>
              <w:rPr>
                <w:rFonts w:ascii="仿宋" w:hAnsi="仿宋" w:eastAsia="仿宋" w:cs="仿宋"/>
                <w:b w:val="0"/>
                <w:bCs w:val="0"/>
                <w:i w:val="0"/>
                <w:iCs w:val="0"/>
                <w:smallCaps w:val="0"/>
                <w:color w:val="000000"/>
                <w:spacing w:val="0"/>
                <w:kern w:val="0"/>
                <w:sz w:val="32"/>
                <w:szCs w:val="32"/>
              </w:rPr>
              <w:t>序号</w:t>
            </w:r>
          </w:p>
        </w:tc>
        <w:tc>
          <w:tcPr>
            <w:tcW w:w="6919"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880"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eastAsia"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1</w:t>
            </w:r>
          </w:p>
        </w:tc>
        <w:tc>
          <w:tcPr>
            <w:tcW w:w="6919"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eastAsia" w:ascii="仿宋" w:hAnsi="仿宋" w:eastAsia="仿宋" w:cs="仿宋"/>
                <w:b w:val="0"/>
                <w:bCs w:val="0"/>
                <w:i w:val="0"/>
                <w:iCs w:val="0"/>
                <w:smallCaps w:val="0"/>
                <w:color w:val="000000"/>
                <w:spacing w:val="0"/>
                <w:kern w:val="0"/>
                <w:sz w:val="32"/>
                <w:szCs w:val="32"/>
                <w:lang w:eastAsia="zh-CN"/>
              </w:rPr>
            </w:pPr>
            <w:r>
              <w:rPr>
                <w:rFonts w:hint="eastAsia" w:ascii="仿宋" w:hAnsi="仿宋" w:eastAsia="仿宋" w:cs="仿宋"/>
                <w:b w:val="0"/>
                <w:bCs w:val="0"/>
                <w:i w:val="0"/>
                <w:iCs w:val="0"/>
                <w:smallCaps w:val="0"/>
                <w:color w:val="000000"/>
                <w:spacing w:val="0"/>
                <w:kern w:val="0"/>
                <w:sz w:val="32"/>
                <w:szCs w:val="32"/>
                <w:lang w:eastAsia="zh-CN"/>
              </w:rPr>
              <w:t>厦门市金山小学</w:t>
            </w:r>
          </w:p>
        </w:tc>
      </w:tr>
    </w:tbl>
    <w:p>
      <w:pPr>
        <w:pStyle w:val="6"/>
        <w:keepNext w:val="0"/>
        <w:keepLines w:val="0"/>
        <w:spacing w:before="100" w:after="100" w:line="600" w:lineRule="atLeast"/>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2024年，厦门市金山小学单位主要任务是：围绕上述任务，重点完成了以下工作：</w:t>
      </w:r>
    </w:p>
    <w:p>
      <w:p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rPr>
        <w:t>（一）</w:t>
      </w:r>
      <w:r>
        <w:rPr>
          <w:rFonts w:hint="eastAsia" w:ascii="仿宋" w:hAnsi="仿宋" w:eastAsia="仿宋" w:cs="仿宋"/>
          <w:sz w:val="32"/>
          <w:szCs w:val="32"/>
          <w:lang w:val="en-US" w:eastAsia="zh-CN"/>
        </w:rPr>
        <w:t>党建引领促发展。</w:t>
      </w:r>
      <w:r>
        <w:rPr>
          <w:rFonts w:hint="eastAsia" w:ascii="仿宋" w:hAnsi="仿宋" w:eastAsia="仿宋" w:cs="仿宋"/>
          <w:sz w:val="32"/>
          <w:szCs w:val="32"/>
        </w:rPr>
        <w:t>加强师德师风建设，提高队伍素质。营造风清气正氛围，提高教师的政治素养。</w:t>
      </w:r>
      <w:r>
        <w:rPr>
          <w:rFonts w:hint="eastAsia" w:ascii="仿宋" w:hAnsi="仿宋" w:eastAsia="仿宋" w:cs="仿宋"/>
          <w:sz w:val="32"/>
          <w:szCs w:val="32"/>
          <w:lang w:val="en-US" w:eastAsia="zh-CN"/>
        </w:rPr>
        <w:t>以高质量党建促学校发展。</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（二）淬炼学生品格，德育工作出成效。落实立德树人根本任务，</w:t>
      </w:r>
      <w:r>
        <w:rPr>
          <w:rFonts w:hint="eastAsia" w:ascii="仿宋" w:hAnsi="仿宋" w:eastAsia="仿宋" w:cs="仿宋"/>
          <w:sz w:val="32"/>
          <w:szCs w:val="32"/>
          <w:lang w:val="en-US" w:eastAsia="zh-CN"/>
        </w:rPr>
        <w:t>融合</w:t>
      </w:r>
      <w:r>
        <w:rPr>
          <w:rFonts w:hint="eastAsia" w:ascii="仿宋" w:hAnsi="仿宋" w:eastAsia="仿宋" w:cs="仿宋"/>
          <w:sz w:val="32"/>
          <w:szCs w:val="32"/>
        </w:rPr>
        <w:t>社会主义核心价值观，抓常规，促成长。</w:t>
      </w:r>
      <w:r>
        <w:rPr>
          <w:rFonts w:hint="eastAsia" w:ascii="仿宋" w:hAnsi="仿宋" w:eastAsia="仿宋" w:cs="仿宋"/>
          <w:sz w:val="32"/>
          <w:szCs w:val="32"/>
          <w:lang w:val="en-US" w:eastAsia="zh-CN"/>
        </w:rPr>
        <w:t>继续</w:t>
      </w:r>
      <w:r>
        <w:rPr>
          <w:rFonts w:hint="eastAsia" w:ascii="仿宋" w:hAnsi="仿宋" w:eastAsia="仿宋" w:cs="仿宋"/>
          <w:sz w:val="32"/>
          <w:szCs w:val="32"/>
        </w:rPr>
        <w:t>以“五节”为抓手，开展</w:t>
      </w:r>
      <w:r>
        <w:rPr>
          <w:rFonts w:hint="eastAsia" w:ascii="仿宋" w:hAnsi="仿宋" w:eastAsia="仿宋" w:cs="仿宋"/>
          <w:sz w:val="32"/>
          <w:szCs w:val="32"/>
          <w:lang w:val="en-US" w:eastAsia="zh-CN"/>
        </w:rPr>
        <w:t>系列</w:t>
      </w:r>
      <w:r>
        <w:rPr>
          <w:rFonts w:hint="eastAsia" w:ascii="仿宋" w:hAnsi="仿宋" w:eastAsia="仿宋" w:cs="仿宋"/>
          <w:sz w:val="32"/>
          <w:szCs w:val="32"/>
        </w:rPr>
        <w:t>主题活动。五育</w:t>
      </w:r>
      <w:r>
        <w:rPr>
          <w:rFonts w:hint="eastAsia" w:ascii="仿宋" w:hAnsi="仿宋" w:eastAsia="仿宋" w:cs="仿宋"/>
          <w:sz w:val="32"/>
          <w:szCs w:val="32"/>
          <w:lang w:val="en-US" w:eastAsia="zh-CN"/>
        </w:rPr>
        <w:t>融合</w:t>
      </w:r>
      <w:r>
        <w:rPr>
          <w:rFonts w:hint="eastAsia" w:ascii="仿宋" w:hAnsi="仿宋" w:eastAsia="仿宋" w:cs="仿宋"/>
          <w:sz w:val="32"/>
          <w:szCs w:val="32"/>
        </w:rPr>
        <w:t>，</w:t>
      </w:r>
      <w:r>
        <w:rPr>
          <w:rFonts w:hint="eastAsia" w:ascii="仿宋" w:hAnsi="仿宋" w:eastAsia="仿宋" w:cs="仿宋"/>
          <w:sz w:val="32"/>
          <w:szCs w:val="32"/>
          <w:lang w:val="en-US" w:eastAsia="zh-CN"/>
        </w:rPr>
        <w:t>全面发展。</w:t>
      </w:r>
      <w:r>
        <w:rPr>
          <w:rFonts w:hint="eastAsia" w:ascii="仿宋" w:hAnsi="仿宋" w:eastAsia="仿宋" w:cs="仿宋"/>
          <w:sz w:val="32"/>
          <w:szCs w:val="32"/>
        </w:rPr>
        <w:t>结合“垃圾分类”创造性</w:t>
      </w:r>
      <w:r>
        <w:rPr>
          <w:rFonts w:hint="eastAsia" w:ascii="仿宋" w:hAnsi="仿宋" w:eastAsia="仿宋" w:cs="仿宋"/>
          <w:sz w:val="32"/>
          <w:szCs w:val="32"/>
          <w:lang w:val="en-US" w:eastAsia="zh-CN"/>
        </w:rPr>
        <w:t>地</w:t>
      </w:r>
      <w:r>
        <w:rPr>
          <w:rFonts w:hint="eastAsia" w:ascii="仿宋" w:hAnsi="仿宋" w:eastAsia="仿宋" w:cs="仿宋"/>
          <w:sz w:val="32"/>
          <w:szCs w:val="32"/>
        </w:rPr>
        <w:t>开展劳动教育与实践</w:t>
      </w:r>
      <w:r>
        <w:rPr>
          <w:rFonts w:hint="eastAsia" w:ascii="仿宋" w:hAnsi="仿宋" w:eastAsia="仿宋" w:cs="仿宋"/>
          <w:sz w:val="32"/>
          <w:szCs w:val="32"/>
          <w:lang w:val="en-US" w:eastAsia="zh-CN"/>
        </w:rPr>
        <w:t>活动</w:t>
      </w:r>
      <w:r>
        <w:rPr>
          <w:rFonts w:hint="eastAsia" w:ascii="仿宋" w:hAnsi="仿宋" w:eastAsia="仿宋" w:cs="仿宋"/>
          <w:sz w:val="32"/>
          <w:szCs w:val="32"/>
        </w:rPr>
        <w:t>。</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（三）艺术特色鲜明，</w:t>
      </w:r>
      <w:r>
        <w:rPr>
          <w:rFonts w:hint="eastAsia" w:ascii="仿宋" w:hAnsi="仿宋" w:eastAsia="仿宋" w:cs="仿宋"/>
          <w:sz w:val="32"/>
          <w:szCs w:val="32"/>
          <w:lang w:val="en-US" w:eastAsia="zh-CN"/>
        </w:rPr>
        <w:t>进一步</w:t>
      </w:r>
      <w:r>
        <w:rPr>
          <w:rFonts w:hint="eastAsia" w:ascii="仿宋" w:hAnsi="仿宋" w:eastAsia="仿宋" w:cs="仿宋"/>
          <w:sz w:val="32"/>
          <w:szCs w:val="32"/>
        </w:rPr>
        <w:t>提升办学品位。谋划办学</w:t>
      </w:r>
      <w:r>
        <w:rPr>
          <w:rFonts w:hint="eastAsia" w:ascii="仿宋" w:hAnsi="仿宋" w:eastAsia="仿宋" w:cs="仿宋"/>
          <w:sz w:val="32"/>
          <w:szCs w:val="32"/>
          <w:lang w:val="en-US" w:eastAsia="zh-CN"/>
        </w:rPr>
        <w:t>思路与</w:t>
      </w:r>
      <w:r>
        <w:rPr>
          <w:rFonts w:hint="eastAsia" w:ascii="仿宋" w:hAnsi="仿宋" w:eastAsia="仿宋" w:cs="仿宋"/>
          <w:sz w:val="32"/>
          <w:szCs w:val="32"/>
        </w:rPr>
        <w:t>特色。继续做好闽南文化的传承，闽南童谣</w:t>
      </w:r>
      <w:r>
        <w:rPr>
          <w:rFonts w:hint="eastAsia" w:ascii="仿宋" w:hAnsi="仿宋" w:eastAsia="仿宋" w:cs="仿宋"/>
          <w:sz w:val="32"/>
          <w:szCs w:val="32"/>
          <w:lang w:eastAsia="zh-CN"/>
        </w:rPr>
        <w:t>、</w:t>
      </w:r>
      <w:r>
        <w:rPr>
          <w:rFonts w:hint="eastAsia" w:ascii="仿宋" w:hAnsi="仿宋" w:eastAsia="仿宋" w:cs="仿宋"/>
          <w:sz w:val="32"/>
          <w:szCs w:val="32"/>
        </w:rPr>
        <w:t>合唱、</w:t>
      </w:r>
      <w:r>
        <w:rPr>
          <w:rFonts w:hint="eastAsia" w:ascii="仿宋" w:hAnsi="仿宋" w:eastAsia="仿宋" w:cs="仿宋"/>
          <w:sz w:val="32"/>
          <w:szCs w:val="32"/>
          <w:lang w:val="en-US" w:eastAsia="zh-CN"/>
        </w:rPr>
        <w:t>瓦楞纸雕、</w:t>
      </w:r>
      <w:r>
        <w:rPr>
          <w:rFonts w:hint="eastAsia" w:ascii="仿宋" w:hAnsi="仿宋" w:eastAsia="仿宋" w:cs="仿宋"/>
          <w:sz w:val="32"/>
          <w:szCs w:val="32"/>
        </w:rPr>
        <w:t>舞蹈</w:t>
      </w:r>
      <w:r>
        <w:rPr>
          <w:rFonts w:hint="eastAsia" w:ascii="仿宋" w:hAnsi="仿宋" w:eastAsia="仿宋" w:cs="仿宋"/>
          <w:sz w:val="32"/>
          <w:szCs w:val="32"/>
          <w:lang w:eastAsia="zh-CN"/>
        </w:rPr>
        <w:t>、</w:t>
      </w:r>
      <w:r>
        <w:rPr>
          <w:rFonts w:hint="eastAsia" w:ascii="仿宋" w:hAnsi="仿宋" w:eastAsia="仿宋" w:cs="仿宋"/>
          <w:sz w:val="32"/>
          <w:szCs w:val="32"/>
        </w:rPr>
        <w:t>啦啦操等项目频频在省、市、区各级各类赛事中获金奖。</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米粒”</w:t>
      </w:r>
      <w:r>
        <w:rPr>
          <w:rFonts w:hint="eastAsia" w:ascii="仿宋" w:hAnsi="仿宋" w:eastAsia="仿宋" w:cs="仿宋"/>
          <w:sz w:val="32"/>
          <w:szCs w:val="32"/>
        </w:rPr>
        <w:t>合唱被授予市级“鹭岛少年”合唱</w:t>
      </w:r>
      <w:r>
        <w:rPr>
          <w:rFonts w:hint="eastAsia" w:ascii="仿宋" w:hAnsi="仿宋" w:eastAsia="仿宋" w:cs="仿宋"/>
          <w:sz w:val="32"/>
          <w:szCs w:val="32"/>
          <w:lang w:val="en-US" w:eastAsia="zh-CN"/>
        </w:rPr>
        <w:t>团美称。校舞蹈队在“红领巾爱祖国”2025年湖里区第二十四届“青苗奖”文艺汇演暨第二十六届鹭岛花朵少儿文艺汇演(舞蹈专场)比赛中荣获金奖。校闽南童谣赛获奖节目</w:t>
      </w:r>
      <w:r>
        <w:rPr>
          <w:rFonts w:hint="eastAsia" w:ascii="仿宋" w:hAnsi="仿宋" w:eastAsia="仿宋" w:cs="仿宋"/>
          <w:sz w:val="32"/>
          <w:szCs w:val="32"/>
        </w:rPr>
        <w:t>《展非遗 话三雕》亮相2025年</w:t>
      </w:r>
      <w:r>
        <w:rPr>
          <w:rFonts w:hint="eastAsia" w:ascii="仿宋" w:hAnsi="仿宋" w:eastAsia="仿宋" w:cs="仿宋"/>
          <w:sz w:val="32"/>
          <w:szCs w:val="32"/>
          <w:lang w:eastAsia="zh-CN"/>
        </w:rPr>
        <w:t>“</w:t>
      </w:r>
      <w:r>
        <w:rPr>
          <w:rFonts w:hint="eastAsia" w:ascii="仿宋" w:hAnsi="仿宋" w:eastAsia="仿宋" w:cs="仿宋"/>
          <w:sz w:val="32"/>
          <w:szCs w:val="32"/>
        </w:rPr>
        <w:t>文化和自然遗产日</w:t>
      </w:r>
      <w:r>
        <w:rPr>
          <w:rFonts w:hint="eastAsia" w:ascii="仿宋" w:hAnsi="仿宋" w:eastAsia="仿宋" w:cs="仿宋"/>
          <w:sz w:val="32"/>
          <w:szCs w:val="32"/>
          <w:lang w:eastAsia="zh-CN"/>
        </w:rPr>
        <w:t>”</w:t>
      </w:r>
      <w:r>
        <w:rPr>
          <w:rFonts w:hint="eastAsia" w:ascii="仿宋" w:hAnsi="仿宋" w:eastAsia="仿宋" w:cs="仿宋"/>
          <w:sz w:val="32"/>
          <w:szCs w:val="32"/>
        </w:rPr>
        <w:t>湖里区</w:t>
      </w:r>
      <w:r>
        <w:rPr>
          <w:rFonts w:hint="eastAsia" w:ascii="仿宋" w:hAnsi="仿宋" w:eastAsia="仿宋" w:cs="仿宋"/>
          <w:sz w:val="32"/>
          <w:szCs w:val="32"/>
          <w:lang w:val="en-US" w:eastAsia="zh-CN"/>
        </w:rPr>
        <w:t>主会场</w:t>
      </w:r>
      <w:r>
        <w:rPr>
          <w:rFonts w:hint="eastAsia" w:ascii="仿宋" w:hAnsi="仿宋" w:eastAsia="仿宋" w:cs="仿宋"/>
          <w:sz w:val="32"/>
          <w:szCs w:val="32"/>
        </w:rPr>
        <w:t>展演</w:t>
      </w:r>
      <w:r>
        <w:rPr>
          <w:rFonts w:hint="eastAsia" w:ascii="仿宋" w:hAnsi="仿宋" w:eastAsia="仿宋" w:cs="仿宋"/>
          <w:sz w:val="32"/>
          <w:szCs w:val="32"/>
          <w:lang w:val="en-US" w:eastAsia="zh-CN"/>
        </w:rPr>
        <w:t xml:space="preserve">活动。美育成果凸显！ </w:t>
      </w:r>
    </w:p>
    <w:p>
      <w:p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rPr>
        <w:t>（四）夯实教学质量，教学工作上台阶。落实教育部“五项管理”</w:t>
      </w:r>
      <w:r>
        <w:rPr>
          <w:rFonts w:hint="eastAsia" w:ascii="仿宋" w:hAnsi="仿宋" w:eastAsia="仿宋" w:cs="仿宋"/>
          <w:sz w:val="32"/>
          <w:szCs w:val="32"/>
          <w:lang w:val="en-US" w:eastAsia="zh-CN"/>
        </w:rPr>
        <w:t>，结合校情，以“教改”为抓手，以“提升品质”为核心，立足新课标，打造匠心课堂。精研深耕启智慧。逐渐形成金山的办学风格与特色。2024年12月12日举办《匠意浸润 心向未来》湖里区小学课堂教学改革展示研讨会，“学•思•探”课堂教学改革效果显著，得到与会专家的一致赞赏。“匠心课堂”教学改革研究，促进我校教研教学水平的提升，促进学校内涵发展。本学年在市、区级抽检中成绩稳中有升，多个科次名列前茅。广搭平台，依托各项赛事，深入研讨教改，深化教育科研，促进学校内涵发展。提升师德师能，涌现一批优秀的骨干。骨干队伍越来越强大。</w:t>
      </w:r>
    </w:p>
    <w:p>
      <w:pPr>
        <w:spacing w:line="360" w:lineRule="auto"/>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加强校园综合治理，创建文明平安校园。完善各项安全制度。各科室继续加强教育宣传，正确引导学生，确保无学生参与非法活动；联合社区街道开展疏散演练；认真学习上级文件精神，积极开展多种形式的健康宣教，定期对教室等活动场所进行消杀，保持空气流通，防止各种疾病的传播。建章立制，完善措施。实行24小时值班制度。加强食品卫生、饮用水卫生及传染病防治管理工作落实，在文明城市的创建中，整治好校园周边环境。学校综治管理受到市区公安局领导的表扬。</w:t>
      </w:r>
    </w:p>
    <w:p>
      <w:pPr>
        <w:spacing w:line="360" w:lineRule="auto"/>
        <w:ind w:firstLine="640" w:firstLineChars="200"/>
        <w:jc w:val="both"/>
        <w:rPr>
          <w:rFonts w:hint="default" w:ascii="仿宋" w:hAnsi="仿宋" w:eastAsia="仿宋" w:cs="仿宋"/>
          <w:sz w:val="32"/>
          <w:szCs w:val="32"/>
          <w:lang w:val="en-US" w:eastAsia="zh-CN"/>
        </w:rPr>
        <w:sectPr>
          <w:footerReference r:id="rId4" w:type="default"/>
          <w:pgSz w:w="11915" w:h="16851"/>
          <w:pgMar w:top="1440" w:right="1080" w:bottom="1440" w:left="1080" w:header="851" w:footer="992" w:gutter="0"/>
          <w:pgNumType w:fmt="decimal" w:start="1"/>
          <w:cols w:space="720" w:num="1"/>
          <w:docGrid w:type="lines" w:linePitch="312" w:charSpace="0"/>
        </w:sectPr>
      </w:pPr>
      <w:r>
        <w:rPr>
          <w:rFonts w:hint="eastAsia" w:ascii="仿宋" w:hAnsi="仿宋" w:eastAsia="仿宋" w:cs="仿宋"/>
          <w:sz w:val="32"/>
          <w:szCs w:val="32"/>
          <w:lang w:val="en-US" w:eastAsia="zh-CN"/>
        </w:rPr>
        <w:t>（六）匠心谋划，改善办学条件。为教育教学保驾护航。在上级部门支持下，改善办学条件。打造智慧星级校园。落实“双减”政策，开展丰富多彩的课后特色延时服务，满足师生家长需求。</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bookmarkStart w:id="21" w:name="_Toc256000098"/>
      <w:bookmarkStart w:id="22" w:name="_Toc256000036"/>
      <w:bookmarkStart w:id="23" w:name="_Toc256000067"/>
      <w:bookmarkStart w:id="24" w:name="_Toc256000005"/>
      <w:r>
        <w:rPr>
          <w:rFonts w:ascii="黑体" w:hAnsi="黑体" w:eastAsia="黑体" w:cs="黑体"/>
          <w:b/>
          <w:spacing w:val="0"/>
          <w:sz w:val="32"/>
          <w:szCs w:val="32"/>
        </w:rPr>
        <w:t>第二部分</w:t>
      </w:r>
      <w:bookmarkEnd w:id="21"/>
      <w:bookmarkEnd w:id="22"/>
      <w:bookmarkEnd w:id="23"/>
      <w:bookmarkEnd w:id="24"/>
      <w:bookmarkStart w:id="25" w:name="_Toc256000068"/>
      <w:bookmarkStart w:id="26" w:name="_Toc256000099"/>
      <w:bookmarkStart w:id="27" w:name="_Toc256000037"/>
      <w:bookmarkStart w:id="28" w:name="_Toc256000006"/>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5"/>
      <w:bookmarkEnd w:id="26"/>
      <w:bookmarkEnd w:id="27"/>
      <w:bookmarkEnd w:id="2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vanish/>
          <w:kern w:val="0"/>
          <w:sz w:val="24"/>
        </w:rPr>
      </w:pPr>
      <w:bookmarkStart w:id="29" w:name="_Toc256000069"/>
      <w:bookmarkStart w:id="30" w:name="_Toc256000007"/>
      <w:bookmarkStart w:id="31" w:name="_Toc256000038"/>
      <w:bookmarkStart w:id="32" w:name="_Toc256000100"/>
      <w:r>
        <w:rPr>
          <w:rFonts w:ascii="黑体" w:hAnsi="黑体" w:eastAsia="黑体" w:cs="黑体"/>
          <w:b/>
          <w:spacing w:val="0"/>
        </w:rPr>
        <w:t>一、收入支出决算总表</w:t>
      </w:r>
      <w:bookmarkEnd w:id="29"/>
      <w:bookmarkEnd w:id="30"/>
      <w:bookmarkEnd w:id="31"/>
      <w:bookmarkEnd w:id="32"/>
      <w:r>
        <w:rPr>
          <w:rFonts w:ascii="Times New Roman" w:hAnsi="Times New Roman" w:eastAsia="Times New Roman" w:cs="Times New Roman"/>
          <w:vanish/>
          <w:kern w:val="0"/>
          <w:sz w:val="24"/>
        </w:rPr>
        <w:t>word horizontal layout</w:t>
      </w:r>
    </w:p>
    <w:tbl>
      <w:tblPr>
        <w:tblStyle w:val="25"/>
        <w:tblW w:w="9783" w:type="dxa"/>
        <w:tblInd w:w="20" w:type="dxa"/>
        <w:tblLayout w:type="fixed"/>
        <w:tblCellMar>
          <w:top w:w="15" w:type="dxa"/>
          <w:left w:w="15" w:type="dxa"/>
          <w:bottom w:w="15" w:type="dxa"/>
          <w:right w:w="15" w:type="dxa"/>
        </w:tblCellMar>
      </w:tblPr>
      <w:tblGrid>
        <w:gridCol w:w="3011"/>
        <w:gridCol w:w="489"/>
        <w:gridCol w:w="956"/>
        <w:gridCol w:w="3136"/>
        <w:gridCol w:w="489"/>
        <w:gridCol w:w="1702"/>
      </w:tblGrid>
      <w:tr>
        <w:tblPrEx>
          <w:tblLayout w:type="fixed"/>
          <w:tblCellMar>
            <w:top w:w="15" w:type="dxa"/>
            <w:left w:w="15" w:type="dxa"/>
            <w:bottom w:w="15" w:type="dxa"/>
            <w:right w:w="15" w:type="dxa"/>
          </w:tblCellMar>
        </w:tblPrEx>
        <w:trPr>
          <w:tblHeader/>
        </w:trPr>
        <w:tc>
          <w:tcPr>
            <w:tcW w:w="9783"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blHeader/>
        </w:trPr>
        <w:tc>
          <w:tcPr>
            <w:tcW w:w="350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1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7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rPr>
          <w:tblHeader/>
        </w:trPr>
        <w:tc>
          <w:tcPr>
            <w:tcW w:w="30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单位：厦门市金山小学</w:t>
            </w:r>
          </w:p>
        </w:tc>
        <w:tc>
          <w:tcPr>
            <w:tcW w:w="4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1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4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7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c>
          <w:tcPr>
            <w:tcW w:w="445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532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2,781.19</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31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7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r>
      <w:tr>
        <w:tblPrEx>
          <w:tblLayout w:type="fixed"/>
          <w:tblCellMar>
            <w:top w:w="15" w:type="dxa"/>
            <w:left w:w="15" w:type="dxa"/>
            <w:bottom w:w="15" w:type="dxa"/>
            <w:right w:w="15" w:type="dxa"/>
          </w:tblCellMar>
        </w:tblPrEx>
        <w:tc>
          <w:tcPr>
            <w:tcW w:w="9783"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c>
          <w:tcPr>
            <w:tcW w:w="9783"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bookmarkStart w:id="33" w:name="_Toc256000070"/>
      <w:bookmarkStart w:id="34" w:name="_Toc256000101"/>
      <w:bookmarkStart w:id="35" w:name="_Toc256000039"/>
      <w:bookmarkStart w:id="36" w:name="_Toc256000008"/>
    </w:p>
    <w:p>
      <w:pPr>
        <w:widowControl/>
        <w:ind w:firstLine="602" w:firstLineChars="200"/>
        <w:jc w:val="left"/>
        <w:rPr>
          <w:rFonts w:ascii="Times New Roman" w:hAnsi="Times New Roman" w:eastAsia="Times New Roman" w:cs="Times New Roman"/>
          <w:vanish/>
          <w:kern w:val="0"/>
          <w:sz w:val="24"/>
        </w:rPr>
      </w:pPr>
      <w:r>
        <w:rPr>
          <w:rFonts w:ascii="黑体" w:hAnsi="黑体" w:eastAsia="黑体" w:cs="黑体"/>
          <w:b/>
          <w:spacing w:val="0"/>
          <w:sz w:val="30"/>
          <w:szCs w:val="30"/>
        </w:rPr>
        <w:t>二、收入决算表</w:t>
      </w:r>
      <w:bookmarkEnd w:id="33"/>
      <w:bookmarkEnd w:id="34"/>
      <w:bookmarkEnd w:id="35"/>
      <w:bookmarkEnd w:id="36"/>
      <w:r>
        <w:rPr>
          <w:rFonts w:ascii="Times New Roman" w:hAnsi="Times New Roman" w:eastAsia="Times New Roman" w:cs="Times New Roman"/>
          <w:vanish/>
          <w:kern w:val="0"/>
          <w:sz w:val="24"/>
        </w:rPr>
        <w:t>word horizontal layout</w:t>
      </w:r>
    </w:p>
    <w:tbl>
      <w:tblPr>
        <w:tblStyle w:val="25"/>
        <w:tblW w:w="9783" w:type="dxa"/>
        <w:tblInd w:w="20" w:type="dxa"/>
        <w:tblLayout w:type="fixed"/>
        <w:tblCellMar>
          <w:top w:w="15" w:type="dxa"/>
          <w:left w:w="15" w:type="dxa"/>
          <w:bottom w:w="15" w:type="dxa"/>
          <w:right w:w="15" w:type="dxa"/>
        </w:tblCellMar>
      </w:tblPr>
      <w:tblGrid>
        <w:gridCol w:w="1007"/>
        <w:gridCol w:w="1861"/>
        <w:gridCol w:w="1215"/>
        <w:gridCol w:w="1215"/>
        <w:gridCol w:w="1016"/>
        <w:gridCol w:w="617"/>
        <w:gridCol w:w="617"/>
        <w:gridCol w:w="1031"/>
        <w:gridCol w:w="1204"/>
      </w:tblGrid>
      <w:tr>
        <w:tblPrEx>
          <w:tblLayout w:type="fixed"/>
          <w:tblCellMar>
            <w:top w:w="15" w:type="dxa"/>
            <w:left w:w="15" w:type="dxa"/>
            <w:bottom w:w="15" w:type="dxa"/>
            <w:right w:w="15" w:type="dxa"/>
          </w:tblCellMar>
        </w:tblPrEx>
        <w:trPr>
          <w:tblHeader/>
        </w:trPr>
        <w:tc>
          <w:tcPr>
            <w:tcW w:w="9783" w:type="dxa"/>
            <w:gridSpan w:val="9"/>
            <w:tcMar>
              <w:top w:w="20" w:type="dxa"/>
              <w:left w:w="20" w:type="dxa"/>
              <w:bottom w:w="20" w:type="dxa"/>
              <w:right w:w="20" w:type="dxa"/>
            </w:tcMar>
            <w:vAlign w:val="center"/>
          </w:tcPr>
          <w:p>
            <w:pPr>
              <w:widowControl/>
              <w:jc w:val="center"/>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8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2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2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0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03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5298"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部门/单位：厦门市金山小学</w:t>
            </w:r>
          </w:p>
        </w:tc>
        <w:tc>
          <w:tcPr>
            <w:tcW w:w="163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2024年度</w:t>
            </w:r>
          </w:p>
        </w:tc>
        <w:tc>
          <w:tcPr>
            <w:tcW w:w="6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 </w:t>
            </w:r>
          </w:p>
        </w:tc>
        <w:tc>
          <w:tcPr>
            <w:tcW w:w="223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宋体" w:hAnsi="宋体" w:eastAsia="宋体" w:cs="宋体"/>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blHeader/>
        </w:trPr>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2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2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6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6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2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6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28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2,068.14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2,068.14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154.16</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154.16</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2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3"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2"/>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37" w:name="_Toc256000040"/>
      <w:bookmarkStart w:id="38" w:name="_Toc256000009"/>
      <w:bookmarkStart w:id="39" w:name="_Toc256000071"/>
      <w:bookmarkStart w:id="40" w:name="_Toc256000102"/>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5"/>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79" w:type="dxa"/>
        <w:tblInd w:w="20" w:type="dxa"/>
        <w:tblLayout w:type="fixed"/>
        <w:tblCellMar>
          <w:top w:w="15" w:type="dxa"/>
          <w:left w:w="15" w:type="dxa"/>
          <w:bottom w:w="15" w:type="dxa"/>
          <w:right w:w="15" w:type="dxa"/>
        </w:tblCellMar>
      </w:tblPr>
      <w:tblGrid>
        <w:gridCol w:w="245"/>
        <w:gridCol w:w="245"/>
        <w:gridCol w:w="245"/>
        <w:gridCol w:w="2394"/>
        <w:gridCol w:w="1303"/>
        <w:gridCol w:w="1120"/>
        <w:gridCol w:w="935"/>
        <w:gridCol w:w="1001"/>
        <w:gridCol w:w="723"/>
        <w:gridCol w:w="1568"/>
      </w:tblGrid>
      <w:tr>
        <w:tblPrEx>
          <w:tblLayout w:type="fixed"/>
          <w:tblCellMar>
            <w:top w:w="15" w:type="dxa"/>
            <w:left w:w="15" w:type="dxa"/>
            <w:bottom w:w="15" w:type="dxa"/>
            <w:right w:w="15" w:type="dxa"/>
          </w:tblCellMar>
        </w:tblPrEx>
        <w:trPr>
          <w:tblHeader/>
        </w:trPr>
        <w:tc>
          <w:tcPr>
            <w:tcW w:w="9779"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43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11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9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30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1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0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7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15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735"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3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3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9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12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2,433.62</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355.06</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1,962.96</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347.57</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2,068.14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1,962.96</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105.17</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154.16</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48.99</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105.17</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3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0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9"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2"/>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1" w:name="_Toc256000072"/>
      <w:bookmarkStart w:id="42" w:name="_Toc256000103"/>
      <w:bookmarkStart w:id="43" w:name="_Toc256000010"/>
      <w:bookmarkStart w:id="44" w:name="_Toc256000041"/>
    </w:p>
    <w:p>
      <w:pPr>
        <w:pStyle w:val="6"/>
        <w:keepNext w:val="0"/>
        <w:keepLines w:val="0"/>
        <w:spacing w:before="100" w:after="100" w:line="240" w:lineRule="auto"/>
        <w:ind w:left="720" w:right="0" w:hanging="720" w:firstLineChars="0"/>
        <w:rPr>
          <w:rFonts w:ascii="黑体" w:hAnsi="黑体" w:eastAsia="黑体" w:cs="黑体"/>
          <w:b/>
          <w:spacing w:val="0"/>
        </w:rPr>
      </w:pPr>
    </w:p>
    <w:p>
      <w:pPr>
        <w:pStyle w:val="5"/>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79" w:type="dxa"/>
        <w:tblInd w:w="20" w:type="dxa"/>
        <w:tblLayout w:type="fixed"/>
        <w:tblCellMar>
          <w:top w:w="15" w:type="dxa"/>
          <w:left w:w="15" w:type="dxa"/>
          <w:bottom w:w="15" w:type="dxa"/>
          <w:right w:w="15" w:type="dxa"/>
        </w:tblCellMar>
      </w:tblPr>
      <w:tblGrid>
        <w:gridCol w:w="1439"/>
        <w:gridCol w:w="388"/>
        <w:gridCol w:w="956"/>
        <w:gridCol w:w="1508"/>
        <w:gridCol w:w="775"/>
        <w:gridCol w:w="956"/>
        <w:gridCol w:w="1351"/>
        <w:gridCol w:w="1103"/>
        <w:gridCol w:w="1303"/>
      </w:tblGrid>
      <w:tr>
        <w:tblPrEx>
          <w:tblLayout w:type="fixed"/>
          <w:tblCellMar>
            <w:top w:w="15" w:type="dxa"/>
            <w:left w:w="15" w:type="dxa"/>
            <w:bottom w:w="15" w:type="dxa"/>
            <w:right w:w="15" w:type="dxa"/>
          </w:tblCellMar>
        </w:tblPrEx>
        <w:trPr>
          <w:tblHeader/>
        </w:trPr>
        <w:tc>
          <w:tcPr>
            <w:tcW w:w="9779"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182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429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173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3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0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278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996"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2,781.19</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2,781.19</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4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5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2,788.67</w:t>
            </w:r>
          </w:p>
        </w:tc>
        <w:tc>
          <w:tcPr>
            <w:tcW w:w="1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2,781.19</w:t>
            </w:r>
          </w:p>
        </w:tc>
        <w:tc>
          <w:tcPr>
            <w:tcW w:w="11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9"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2"/>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45" w:name="_Toc256000104"/>
      <w:bookmarkStart w:id="46" w:name="_Toc256000011"/>
      <w:bookmarkStart w:id="47" w:name="_Toc256000073"/>
      <w:bookmarkStart w:id="48" w:name="_Toc256000042"/>
      <w:r>
        <w:rPr>
          <w:rFonts w:ascii="黑体" w:hAnsi="黑体" w:eastAsia="黑体" w:cs="黑体"/>
          <w:b/>
          <w:spacing w:val="0"/>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588" w:type="dxa"/>
        <w:tblInd w:w="20" w:type="dxa"/>
        <w:tblLayout w:type="fixed"/>
        <w:tblCellMar>
          <w:top w:w="15" w:type="dxa"/>
          <w:left w:w="15" w:type="dxa"/>
          <w:bottom w:w="15" w:type="dxa"/>
          <w:right w:w="15" w:type="dxa"/>
        </w:tblCellMar>
      </w:tblPr>
      <w:tblGrid>
        <w:gridCol w:w="362"/>
        <w:gridCol w:w="362"/>
        <w:gridCol w:w="362"/>
        <w:gridCol w:w="4206"/>
        <w:gridCol w:w="956"/>
        <w:gridCol w:w="1264"/>
        <w:gridCol w:w="2076"/>
      </w:tblGrid>
      <w:tr>
        <w:tblPrEx>
          <w:tblLayout w:type="fixed"/>
          <w:tblCellMar>
            <w:top w:w="15" w:type="dxa"/>
            <w:left w:w="15" w:type="dxa"/>
            <w:bottom w:w="15" w:type="dxa"/>
            <w:right w:w="15" w:type="dxa"/>
          </w:tblCellMar>
        </w:tblPrEx>
        <w:trPr>
          <w:tblHeader/>
        </w:trPr>
        <w:tc>
          <w:tcPr>
            <w:tcW w:w="9588"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2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6248"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12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20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529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2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086"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42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2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0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08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0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8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529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2,781.19</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2,433.62</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347.57</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2,310.54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1,962.96</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347.57</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2,068.14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1,962.96</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105.17</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1,913.98</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154.16</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48.99</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105.17</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239.65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2.75</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334.86</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78.67</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102.64</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34.71</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8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42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12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33.15</w:t>
            </w:r>
          </w:p>
        </w:tc>
        <w:tc>
          <w:tcPr>
            <w:tcW w:w="2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588"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2"/>
        <w:widowControl/>
        <w:spacing w:before="100" w:after="100"/>
        <w:ind w:left="0" w:right="0" w:firstLine="0"/>
        <w:jc w:val="left"/>
        <w:rPr>
          <w:rFonts w:ascii="Times New Roman" w:hAnsi="Times New Roman" w:eastAsia="Times New Roman" w:cs="Times New Roman"/>
          <w:kern w:val="0"/>
          <w:sz w:val="24"/>
        </w:rPr>
      </w:pPr>
      <w:r>
        <w:rPr>
          <w:rFonts w:ascii="宋体" w:hAnsi="宋体" w:cs="宋体"/>
          <w:spacing w:val="0"/>
          <w:kern w:val="0"/>
          <w:sz w:val="24"/>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49" w:name="_Toc256000043"/>
      <w:bookmarkStart w:id="50" w:name="_Toc256000074"/>
      <w:bookmarkStart w:id="51" w:name="_Toc256000012"/>
      <w:bookmarkStart w:id="52" w:name="_Toc256000105"/>
      <w:r>
        <w:rPr>
          <w:rFonts w:ascii="黑体" w:hAnsi="黑体" w:eastAsia="黑体" w:cs="黑体"/>
          <w:b/>
          <w:spacing w:val="0"/>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83" w:type="dxa"/>
        <w:jc w:val="center"/>
        <w:tblInd w:w="2" w:type="dxa"/>
        <w:tblLayout w:type="fixed"/>
        <w:tblCellMar>
          <w:top w:w="15" w:type="dxa"/>
          <w:left w:w="15" w:type="dxa"/>
          <w:bottom w:w="15" w:type="dxa"/>
          <w:right w:w="15" w:type="dxa"/>
        </w:tblCellMar>
      </w:tblPr>
      <w:tblGrid>
        <w:gridCol w:w="1029"/>
        <w:gridCol w:w="1492"/>
        <w:gridCol w:w="956"/>
        <w:gridCol w:w="1029"/>
        <w:gridCol w:w="1189"/>
        <w:gridCol w:w="761"/>
        <w:gridCol w:w="1029"/>
        <w:gridCol w:w="1335"/>
        <w:gridCol w:w="963"/>
      </w:tblGrid>
      <w:tr>
        <w:tblPrEx>
          <w:tblLayout w:type="fixed"/>
          <w:tblCellMar>
            <w:top w:w="15" w:type="dxa"/>
            <w:left w:w="15" w:type="dxa"/>
            <w:bottom w:w="15" w:type="dxa"/>
            <w:right w:w="15" w:type="dxa"/>
          </w:tblCellMar>
        </w:tblPrEx>
        <w:trPr>
          <w:tblHeader/>
          <w:jc w:val="center"/>
        </w:trPr>
        <w:tc>
          <w:tcPr>
            <w:tcW w:w="9783"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jc w:val="center"/>
        </w:trPr>
        <w:tc>
          <w:tcPr>
            <w:tcW w:w="10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jc w:val="center"/>
        </w:trPr>
        <w:tc>
          <w:tcPr>
            <w:tcW w:w="4506"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11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7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9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jc w:val="center"/>
        </w:trPr>
        <w:tc>
          <w:tcPr>
            <w:tcW w:w="10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4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18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6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3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jc w:val="center"/>
        </w:trPr>
        <w:tc>
          <w:tcPr>
            <w:tcW w:w="10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2,138.03</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207.51</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293.45</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104.86</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423.31</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661.78</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117.34</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158.65</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14.33</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97.54</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67.93</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48.81</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1.58</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96.02</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87.97</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4.39</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8.53</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42.14</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4.52</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4.04</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79.06</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11.61</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3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252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2,226.01</w:t>
            </w:r>
          </w:p>
        </w:tc>
        <w:tc>
          <w:tcPr>
            <w:tcW w:w="400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29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207.61</w:t>
            </w:r>
          </w:p>
        </w:tc>
      </w:tr>
      <w:tr>
        <w:tblPrEx>
          <w:tblLayout w:type="fixed"/>
          <w:tblCellMar>
            <w:top w:w="15" w:type="dxa"/>
            <w:left w:w="15" w:type="dxa"/>
            <w:bottom w:w="15" w:type="dxa"/>
            <w:right w:w="15" w:type="dxa"/>
          </w:tblCellMar>
        </w:tblPrEx>
        <w:trPr>
          <w:tblHeader/>
          <w:jc w:val="center"/>
        </w:trPr>
        <w:tc>
          <w:tcPr>
            <w:tcW w:w="9783"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9"/>
        <w:rPr>
          <w:rFonts w:ascii="Times New Roman" w:hAnsi="Times New Roman" w:eastAsia="Times New Roman" w:cs="Times New Roman"/>
          <w:kern w:val="0"/>
          <w:sz w:val="24"/>
        </w:rPr>
      </w:pPr>
    </w:p>
    <w:p>
      <w:pPr>
        <w:pStyle w:val="32"/>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53" w:name="_Toc256000106"/>
      <w:bookmarkStart w:id="54" w:name="_Toc256000013"/>
      <w:bookmarkStart w:id="55" w:name="_Toc256000075"/>
      <w:bookmarkStart w:id="56" w:name="_Toc256000044"/>
      <w:r>
        <w:rPr>
          <w:rFonts w:ascii="黑体" w:hAnsi="黑体" w:eastAsia="黑体" w:cs="黑体"/>
          <w:b/>
          <w:spacing w:val="0"/>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77" w:type="dxa"/>
        <w:tblInd w:w="20" w:type="dxa"/>
        <w:tblLayout w:type="fixed"/>
        <w:tblCellMar>
          <w:top w:w="15" w:type="dxa"/>
          <w:left w:w="15" w:type="dxa"/>
          <w:bottom w:w="15" w:type="dxa"/>
          <w:right w:w="15" w:type="dxa"/>
        </w:tblCellMar>
      </w:tblPr>
      <w:tblGrid>
        <w:gridCol w:w="388"/>
        <w:gridCol w:w="1260"/>
        <w:gridCol w:w="388"/>
        <w:gridCol w:w="802"/>
        <w:gridCol w:w="968"/>
        <w:gridCol w:w="637"/>
        <w:gridCol w:w="829"/>
        <w:gridCol w:w="1260"/>
        <w:gridCol w:w="388"/>
        <w:gridCol w:w="802"/>
        <w:gridCol w:w="968"/>
        <w:gridCol w:w="1087"/>
      </w:tblGrid>
      <w:tr>
        <w:tblPrEx>
          <w:tblLayout w:type="fixed"/>
          <w:tblCellMar>
            <w:top w:w="15" w:type="dxa"/>
            <w:left w:w="15" w:type="dxa"/>
            <w:bottom w:w="15" w:type="dxa"/>
            <w:right w:w="15" w:type="dxa"/>
          </w:tblCellMar>
        </w:tblPrEx>
        <w:trPr>
          <w:tblHeader/>
        </w:trPr>
        <w:tc>
          <w:tcPr>
            <w:tcW w:w="9777"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443"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208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3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5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44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5334"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6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8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10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63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3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1"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6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2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1"/>
      <w:tr>
        <w:tblPrEx>
          <w:tblLayout w:type="fixed"/>
          <w:tblCellMar>
            <w:top w:w="15" w:type="dxa"/>
            <w:left w:w="15" w:type="dxa"/>
            <w:bottom w:w="15" w:type="dxa"/>
            <w:right w:w="15" w:type="dxa"/>
          </w:tblCellMar>
        </w:tblPrEx>
        <w:tc>
          <w:tcPr>
            <w:tcW w:w="9777"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pStyle w:val="31"/>
        <w:keepNext w:val="0"/>
        <w:keepLines w:val="0"/>
        <w:pageBreakBefore w:val="0"/>
        <w:widowControl/>
        <w:kinsoku/>
        <w:wordWrap/>
        <w:overflowPunct/>
        <w:topLinePunct w:val="0"/>
        <w:autoSpaceDE/>
        <w:autoSpaceDN/>
        <w:bidi w:val="0"/>
        <w:adjustRightInd/>
        <w:snapToGrid/>
        <w:spacing w:before="240" w:after="240" w:line="360" w:lineRule="auto"/>
        <w:ind w:firstLine="640" w:firstLineChars="200"/>
        <w:jc w:val="left"/>
        <w:textAlignment w:val="auto"/>
        <w:outlineLvl w:val="9"/>
        <w:rPr>
          <w:rFonts w:hint="eastAsia" w:ascii="仿宋_GB2312" w:hAnsi="仿宋_GB2312" w:eastAsia="仿宋_GB2312" w:cs="仿宋_GB2312"/>
          <w:kern w:val="0"/>
          <w:sz w:val="32"/>
          <w:szCs w:val="32"/>
          <w:lang w:val="en-US" w:eastAsia="zh-CN"/>
        </w:rPr>
      </w:pPr>
      <w:bookmarkStart w:id="57" w:name="_Toc256000014"/>
      <w:bookmarkStart w:id="58" w:name="_Toc256000045"/>
      <w:bookmarkStart w:id="59" w:name="_Toc256000076"/>
      <w:bookmarkStart w:id="60" w:name="_Toc256000107"/>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lang w:val="en-US" w:eastAsia="zh-CN"/>
        </w:rPr>
        <w:t>2024年度没有使用一般公共预算财政拨款安排的“三公”经费支出。</w:t>
      </w:r>
    </w:p>
    <w:p>
      <w:pPr>
        <w:widowControl/>
        <w:ind w:firstLine="643" w:firstLineChars="200"/>
        <w:jc w:val="left"/>
        <w:rPr>
          <w:rFonts w:ascii="黑体" w:hAnsi="黑体" w:eastAsia="黑体" w:cs="黑体"/>
          <w:b/>
          <w:bCs/>
          <w:spacing w:val="0"/>
          <w:kern w:val="0"/>
          <w:sz w:val="32"/>
          <w:szCs w:val="32"/>
          <w:lang w:val="en-US" w:eastAsia="zh-CN" w:bidi="ar-SA"/>
        </w:rPr>
      </w:pPr>
    </w:p>
    <w:p>
      <w:pPr>
        <w:widowControl/>
        <w:ind w:firstLine="643" w:firstLineChars="200"/>
        <w:jc w:val="left"/>
        <w:rPr>
          <w:rFonts w:ascii="黑体" w:hAnsi="黑体" w:eastAsia="黑体" w:cs="黑体"/>
          <w:b/>
          <w:bCs/>
          <w:spacing w:val="0"/>
          <w:kern w:val="0"/>
          <w:sz w:val="32"/>
          <w:szCs w:val="32"/>
          <w:lang w:val="en-US" w:eastAsia="zh-CN" w:bidi="ar-SA"/>
        </w:rPr>
      </w:pPr>
    </w:p>
    <w:p>
      <w:pPr>
        <w:widowControl/>
        <w:ind w:firstLine="643" w:firstLineChars="200"/>
        <w:jc w:val="left"/>
        <w:rPr>
          <w:rFonts w:ascii="黑体" w:hAnsi="黑体" w:eastAsia="黑体" w:cs="黑体"/>
          <w:b/>
          <w:bCs/>
          <w:spacing w:val="0"/>
          <w:kern w:val="0"/>
          <w:sz w:val="32"/>
          <w:szCs w:val="32"/>
          <w:lang w:val="en-US" w:eastAsia="zh-CN" w:bidi="ar-SA"/>
        </w:rPr>
      </w:pPr>
    </w:p>
    <w:p>
      <w:pPr>
        <w:widowControl/>
        <w:ind w:firstLine="643" w:firstLineChars="200"/>
        <w:jc w:val="left"/>
        <w:rPr>
          <w:rFonts w:ascii="黑体" w:hAnsi="黑体" w:eastAsia="黑体" w:cs="黑体"/>
          <w:b/>
          <w:bCs/>
          <w:spacing w:val="0"/>
          <w:kern w:val="0"/>
          <w:sz w:val="32"/>
          <w:szCs w:val="32"/>
          <w:lang w:val="en-US" w:eastAsia="zh-CN" w:bidi="ar-SA"/>
        </w:rPr>
      </w:pPr>
      <w:r>
        <w:rPr>
          <w:rFonts w:ascii="黑体" w:hAnsi="黑体" w:eastAsia="黑体" w:cs="黑体"/>
          <w:b/>
          <w:bCs/>
          <w:spacing w:val="0"/>
          <w:kern w:val="0"/>
          <w:sz w:val="32"/>
          <w:szCs w:val="32"/>
          <w:lang w:val="en-US" w:eastAsia="zh-CN" w:bidi="ar-SA"/>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83" w:type="dxa"/>
        <w:tblInd w:w="20" w:type="dxa"/>
        <w:tblLayout w:type="fixed"/>
        <w:tblCellMar>
          <w:top w:w="15" w:type="dxa"/>
          <w:left w:w="15" w:type="dxa"/>
          <w:bottom w:w="15" w:type="dxa"/>
          <w:right w:w="15" w:type="dxa"/>
        </w:tblCellMar>
      </w:tblPr>
      <w:tblGrid>
        <w:gridCol w:w="1852"/>
        <w:gridCol w:w="2098"/>
        <w:gridCol w:w="1133"/>
        <w:gridCol w:w="811"/>
        <w:gridCol w:w="964"/>
        <w:gridCol w:w="719"/>
        <w:gridCol w:w="811"/>
        <w:gridCol w:w="1395"/>
      </w:tblGrid>
      <w:tr>
        <w:tblPrEx>
          <w:tblLayout w:type="fixed"/>
          <w:tblCellMar>
            <w:top w:w="15" w:type="dxa"/>
            <w:left w:w="15" w:type="dxa"/>
            <w:bottom w:w="15" w:type="dxa"/>
            <w:right w:w="15" w:type="dxa"/>
          </w:tblCellMar>
        </w:tblPrEx>
        <w:trPr>
          <w:tblHeader/>
        </w:trPr>
        <w:tc>
          <w:tcPr>
            <w:tcW w:w="9783"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8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9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894"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9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7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0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95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249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3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85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209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7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8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3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8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09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95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3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95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9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0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9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0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9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0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9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w:t>
            </w:r>
          </w:p>
        </w:tc>
        <w:tc>
          <w:tcPr>
            <w:tcW w:w="13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3"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1"/>
        <w:widowControl/>
        <w:spacing w:before="100" w:after="100"/>
        <w:ind w:left="0" w:right="0" w:firstLine="480"/>
        <w:jc w:val="left"/>
        <w:rPr>
          <w:rFonts w:ascii="Times New Roman" w:hAnsi="Times New Roman" w:eastAsia="Times New Roman" w:cs="Times New Roman"/>
          <w:spacing w:val="0"/>
          <w:kern w:val="0"/>
          <w:sz w:val="27"/>
          <w:szCs w:val="27"/>
        </w:rPr>
      </w:pPr>
    </w:p>
    <w:p>
      <w:pPr>
        <w:pStyle w:val="31"/>
        <w:widowControl/>
        <w:spacing w:before="100" w:after="100"/>
        <w:ind w:left="0" w:right="0" w:firstLine="480"/>
        <w:jc w:val="left"/>
        <w:rPr>
          <w:rFonts w:ascii="Times New Roman" w:hAnsi="Times New Roman" w:eastAsia="Times New Roman" w:cs="Times New Roman"/>
          <w:spacing w:val="0"/>
          <w:kern w:val="0"/>
          <w:sz w:val="27"/>
          <w:szCs w:val="27"/>
        </w:rPr>
      </w:pPr>
    </w:p>
    <w:p>
      <w:pPr>
        <w:pStyle w:val="31"/>
        <w:widowControl/>
        <w:spacing w:before="100" w:after="100"/>
        <w:ind w:left="0" w:right="0" w:firstLine="480"/>
        <w:jc w:val="left"/>
        <w:rPr>
          <w:rFonts w:ascii="Times New Roman" w:hAnsi="Times New Roman" w:eastAsia="Times New Roman" w:cs="Times New Roman"/>
          <w:b/>
          <w:bCs/>
          <w:kern w:val="0"/>
          <w:sz w:val="32"/>
          <w:szCs w:val="32"/>
        </w:rPr>
      </w:pPr>
      <w:r>
        <w:rPr>
          <w:rFonts w:ascii="Times New Roman" w:hAnsi="Times New Roman" w:eastAsia="Times New Roman" w:cs="Times New Roman"/>
          <w:spacing w:val="0"/>
          <w:kern w:val="0"/>
          <w:sz w:val="32"/>
          <w:szCs w:val="32"/>
        </w:rPr>
        <w:t> </w:t>
      </w:r>
      <w:bookmarkStart w:id="61" w:name="_Toc256000108"/>
      <w:bookmarkStart w:id="62" w:name="_Toc256000077"/>
      <w:bookmarkStart w:id="63" w:name="_Toc256000015"/>
      <w:bookmarkStart w:id="64" w:name="_Toc256000046"/>
      <w:r>
        <w:rPr>
          <w:rFonts w:ascii="黑体" w:hAnsi="黑体" w:eastAsia="黑体" w:cs="黑体"/>
          <w:b/>
          <w:spacing w:val="0"/>
          <w:sz w:val="32"/>
          <w:szCs w:val="32"/>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786" w:type="dxa"/>
        <w:tblInd w:w="0" w:type="dxa"/>
        <w:tblLayout w:type="fixed"/>
        <w:tblCellMar>
          <w:top w:w="15" w:type="dxa"/>
          <w:left w:w="15" w:type="dxa"/>
          <w:bottom w:w="15" w:type="dxa"/>
          <w:right w:w="15" w:type="dxa"/>
        </w:tblCellMar>
      </w:tblPr>
      <w:tblGrid>
        <w:gridCol w:w="2164"/>
        <w:gridCol w:w="2165"/>
        <w:gridCol w:w="1518"/>
        <w:gridCol w:w="1448"/>
        <w:gridCol w:w="2491"/>
      </w:tblGrid>
      <w:tr>
        <w:tblPrEx>
          <w:tblLayout w:type="fixed"/>
          <w:tblCellMar>
            <w:top w:w="15" w:type="dxa"/>
            <w:left w:w="15" w:type="dxa"/>
            <w:bottom w:w="15" w:type="dxa"/>
            <w:right w:w="15" w:type="dxa"/>
          </w:tblCellMar>
        </w:tblPrEx>
        <w:trPr>
          <w:tblHeader/>
        </w:trPr>
        <w:tc>
          <w:tcPr>
            <w:tcW w:w="978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21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6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32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单位：厦门市金山小学</w:t>
            </w:r>
          </w:p>
        </w:tc>
        <w:tc>
          <w:tcPr>
            <w:tcW w:w="15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4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3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5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21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16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5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44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49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21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6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1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4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1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6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1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4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3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4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3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5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1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9"/>
        <w:rPr>
          <w:rFonts w:ascii="Times New Roman" w:hAnsi="Times New Roman" w:eastAsia="Times New Roman" w:cs="Times New Roman"/>
          <w:kern w:val="0"/>
          <w:sz w:val="24"/>
        </w:rPr>
      </w:pPr>
      <w:r>
        <w:rPr>
          <w:rFonts w:ascii="Times New Roman" w:hAnsi="Times New Roman" w:eastAsia="Times New Roman" w:cs="Times New Roman"/>
          <w:kern w:val="0"/>
          <w:sz w:val="32"/>
          <w:szCs w:val="32"/>
        </w:rPr>
        <w:t> </w:t>
      </w: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年度没有使用国有资本经营预算财政拨款安排的收支</w:t>
      </w:r>
      <w:r>
        <w:rPr>
          <w:rFonts w:hint="eastAsia" w:ascii="仿宋" w:hAnsi="仿宋" w:eastAsia="仿宋" w:cs="仿宋"/>
          <w:kern w:val="0"/>
          <w:sz w:val="32"/>
          <w:szCs w:val="32"/>
          <w:lang w:eastAsia="zh-CN"/>
        </w:rPr>
        <w:t>。</w:t>
      </w:r>
    </w:p>
    <w:p>
      <w:pPr>
        <w:widowControl/>
        <w:jc w:val="left"/>
        <w:rPr>
          <w:rFonts w:ascii="Times New Roman" w:hAnsi="Times New Roman" w:eastAsia="Times New Roman" w:cs="Times New Roman"/>
          <w:kern w:val="0"/>
          <w:sz w:val="24"/>
        </w:rPr>
      </w:pPr>
    </w:p>
    <w:p>
      <w:pPr>
        <w:pStyle w:val="31"/>
        <w:widowControl/>
        <w:spacing w:before="240" w:after="240"/>
        <w:jc w:val="left"/>
        <w:rPr>
          <w:rFonts w:ascii="Calibri" w:hAnsi="Calibri" w:eastAsia="Calibri" w:cs="Calibri"/>
          <w:spacing w:val="0"/>
          <w:kern w:val="0"/>
          <w:sz w:val="56"/>
          <w:szCs w:val="56"/>
        </w:rPr>
      </w:pPr>
      <w:r>
        <w:rPr>
          <w:rFonts w:ascii="Calibri" w:hAnsi="Calibri" w:eastAsia="Calibri" w:cs="Calibri"/>
          <w:spacing w:val="0"/>
          <w:kern w:val="0"/>
          <w:sz w:val="56"/>
          <w:szCs w:val="56"/>
        </w:rPr>
        <w:t> </w:t>
      </w:r>
    </w:p>
    <w:p>
      <w:pPr>
        <w:pStyle w:val="31"/>
        <w:widowControl/>
        <w:spacing w:before="240" w:after="240"/>
        <w:jc w:val="left"/>
        <w:rPr>
          <w:rFonts w:ascii="Calibri" w:hAnsi="Calibri" w:eastAsia="Calibri" w:cs="Calibri"/>
          <w:spacing w:val="0"/>
          <w:kern w:val="0"/>
          <w:sz w:val="56"/>
          <w:szCs w:val="56"/>
        </w:rPr>
      </w:pPr>
    </w:p>
    <w:p>
      <w:pPr>
        <w:pStyle w:val="4"/>
        <w:keepNext w:val="0"/>
        <w:keepLines w:val="0"/>
        <w:spacing w:before="100" w:after="100" w:line="240" w:lineRule="auto"/>
        <w:ind w:left="0" w:right="0" w:firstLine="0" w:firstLineChars="0"/>
        <w:jc w:val="center"/>
        <w:rPr>
          <w:rFonts w:ascii="黑体" w:hAnsi="黑体" w:eastAsia="黑体" w:cs="黑体"/>
          <w:b/>
          <w:spacing w:val="0"/>
          <w:sz w:val="32"/>
          <w:szCs w:val="32"/>
        </w:rPr>
      </w:pPr>
      <w:bookmarkStart w:id="65" w:name="_Toc256000078"/>
      <w:bookmarkStart w:id="66" w:name="_Toc256000047"/>
      <w:bookmarkStart w:id="67" w:name="_Toc256000109"/>
      <w:bookmarkStart w:id="68" w:name="_Toc256000016"/>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napToGrid/>
        <w:spacing w:before="100" w:after="100" w:line="360" w:lineRule="auto"/>
        <w:ind w:left="0" w:right="0" w:firstLine="0" w:firstLineChars="0"/>
        <w:jc w:val="center"/>
        <w:textAlignment w:val="auto"/>
        <w:rPr>
          <w:rFonts w:ascii="Times New Roman" w:hAnsi="Times New Roman" w:eastAsia="Times New Roman" w:cs="Times New Roman"/>
          <w:vanish/>
          <w:kern w:val="0"/>
          <w:sz w:val="24"/>
        </w:rPr>
      </w:pPr>
      <w:r>
        <w:rPr>
          <w:rFonts w:hint="eastAsia" w:ascii="黑体" w:hAnsi="黑体" w:eastAsia="黑体" w:cs="黑体"/>
          <w:b/>
          <w:spacing w:val="0"/>
          <w:sz w:val="32"/>
          <w:szCs w:val="32"/>
          <w:lang w:eastAsia="zh-CN"/>
        </w:rPr>
        <w:t>第</w:t>
      </w:r>
      <w:r>
        <w:rPr>
          <w:rFonts w:ascii="黑体" w:hAnsi="黑体" w:eastAsia="黑体" w:cs="黑体"/>
          <w:b/>
          <w:spacing w:val="0"/>
          <w:sz w:val="32"/>
          <w:szCs w:val="32"/>
        </w:rPr>
        <w:t>三部分</w:t>
      </w:r>
      <w:bookmarkEnd w:id="65"/>
      <w:bookmarkEnd w:id="66"/>
      <w:bookmarkEnd w:id="67"/>
      <w:bookmarkEnd w:id="68"/>
      <w:r>
        <w:rPr>
          <w:rFonts w:ascii="宋体" w:hAnsi="宋体" w:eastAsia="宋体" w:cs="宋体"/>
          <w:b/>
          <w:spacing w:val="0"/>
          <w:sz w:val="32"/>
          <w:szCs w:val="32"/>
        </w:rPr>
        <w:t> </w:t>
      </w:r>
      <w:bookmarkStart w:id="69" w:name="_Toc256000048"/>
      <w:bookmarkStart w:id="70" w:name="_Toc256000079"/>
      <w:bookmarkStart w:id="71" w:name="_Toc256000017"/>
      <w:bookmarkStart w:id="72" w:name="_Toc256000110"/>
      <w:r>
        <w:rPr>
          <w:rFonts w:ascii="黑体" w:hAnsi="黑体" w:eastAsia="黑体" w:cs="黑体"/>
          <w:b/>
          <w:spacing w:val="0"/>
          <w:sz w:val="32"/>
          <w:szCs w:val="32"/>
        </w:rPr>
        <w:t>2024年度决算情况说明</w:t>
      </w:r>
      <w:bookmarkEnd w:id="69"/>
      <w:bookmarkEnd w:id="70"/>
      <w:bookmarkEnd w:id="71"/>
      <w:bookmarkEnd w:id="72"/>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73" w:name="_Toc256000018"/>
      <w:bookmarkStart w:id="74" w:name="_Toc256000080"/>
      <w:bookmarkStart w:id="75" w:name="_Toc256000111"/>
      <w:bookmarkStart w:id="76" w:name="_Toc256000049"/>
      <w:r>
        <w:rPr>
          <w:rFonts w:ascii="黑体" w:hAnsi="黑体" w:eastAsia="黑体" w:cs="黑体"/>
          <w:b/>
          <w:spacing w:val="0"/>
        </w:rPr>
        <w:t>一、收入支出决算总体情况说明</w:t>
      </w:r>
      <w:bookmarkEnd w:id="73"/>
      <w:bookmarkEnd w:id="74"/>
      <w:bookmarkEnd w:id="75"/>
      <w:bookmarkEnd w:id="76"/>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（一）收入支出决算总体情况说明</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0"/>
          <w:kern w:val="0"/>
          <w:sz w:val="32"/>
          <w:szCs w:val="32"/>
        </w:rPr>
        <w:t>2024年度本单位收入总计2788.67万元，支出总计2788.67万元，与上年决算数相比，各减少347.89万元，各下降11.09%。主要是</w:t>
      </w:r>
      <w:r>
        <w:rPr>
          <w:rFonts w:hint="eastAsia" w:ascii="仿宋_GB2312" w:hAnsi="仿宋_GB2312" w:eastAsia="仿宋_GB2312" w:cs="仿宋_GB2312"/>
          <w:spacing w:val="0"/>
          <w:kern w:val="0"/>
          <w:sz w:val="32"/>
          <w:szCs w:val="32"/>
          <w:lang w:eastAsia="zh-CN"/>
        </w:rPr>
        <w:t>学生数及项目经费减少等。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（二）收入决算情况说明</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2024年度收入2788.67万元，比上年决算数</w:t>
      </w:r>
      <w:r>
        <w:rPr>
          <w:rFonts w:hint="eastAsia" w:ascii="仿宋_GB2312" w:hAnsi="仿宋_GB2312" w:eastAsia="仿宋_GB2312" w:cs="仿宋_GB2312"/>
          <w:kern w:val="0"/>
          <w:sz w:val="32"/>
          <w:szCs w:val="32"/>
        </w:rPr>
        <w:t>减少</w:t>
      </w:r>
      <w:r>
        <w:rPr>
          <w:rFonts w:hint="eastAsia" w:ascii="仿宋_GB2312" w:hAnsi="仿宋_GB2312" w:eastAsia="仿宋_GB2312" w:cs="仿宋_GB2312"/>
          <w:spacing w:val="0"/>
          <w:kern w:val="0"/>
          <w:sz w:val="32"/>
          <w:szCs w:val="32"/>
        </w:rPr>
        <w:t>347.89万元，</w:t>
      </w:r>
      <w:r>
        <w:rPr>
          <w:rFonts w:hint="eastAsia" w:ascii="仿宋_GB2312" w:hAnsi="仿宋_GB2312" w:eastAsia="仿宋_GB2312" w:cs="仿宋_GB2312"/>
          <w:kern w:val="0"/>
          <w:sz w:val="32"/>
          <w:szCs w:val="32"/>
        </w:rPr>
        <w:t>下降</w:t>
      </w:r>
      <w:r>
        <w:rPr>
          <w:rFonts w:hint="eastAsia" w:ascii="仿宋_GB2312" w:hAnsi="仿宋_GB2312" w:eastAsia="仿宋_GB2312" w:cs="仿宋_GB2312"/>
          <w:spacing w:val="0"/>
          <w:kern w:val="0"/>
          <w:sz w:val="32"/>
          <w:szCs w:val="32"/>
        </w:rPr>
        <w:t>11.09%，具体情况如下：</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1.一般公共预算财政拨款收入2781.19万元。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2.政府性基金预算财政拨款收入7.48万元。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160" w:right="0" w:firstLine="48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3.国有资本经营预算财政拨款收入0万元。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4.上级补助收入0万元。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5.事业收入0万元。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6.经营收入0万元。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7.附属单位上缴收入0万元。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8.其他收入0万元。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（三）支出决算情况说明</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spacing w:val="0"/>
          <w:kern w:val="0"/>
          <w:sz w:val="32"/>
          <w:szCs w:val="32"/>
        </w:rPr>
      </w:pPr>
      <w:r>
        <w:rPr>
          <w:rFonts w:hint="eastAsia" w:ascii="仿宋_GB2312" w:hAnsi="仿宋_GB2312" w:eastAsia="仿宋_GB2312" w:cs="仿宋_GB2312"/>
          <w:spacing w:val="0"/>
          <w:kern w:val="0"/>
          <w:sz w:val="32"/>
          <w:szCs w:val="32"/>
        </w:rPr>
        <w:t>2024年度支出2788.67万元，比上年决算数减少347.89万元，下降11.09%，具体情况如下：</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1.基本支出2433.62万元。其中，人员支出2226.01万元，公用支出207.61万元。</w:t>
      </w:r>
    </w:p>
    <w:p>
      <w:pPr>
        <w:pStyle w:val="31"/>
        <w:keepNext w:val="0"/>
        <w:keepLines w:val="0"/>
        <w:pageBreakBefore w:val="0"/>
        <w:widowControl/>
        <w:kinsoku/>
        <w:wordWrap/>
        <w:overflowPunct/>
        <w:topLinePunct w:val="0"/>
        <w:autoSpaceDE/>
        <w:autoSpaceDN/>
        <w:bidi w:val="0"/>
        <w:adjustRightInd/>
        <w:snapToGrid/>
        <w:spacing w:before="240" w:after="240" w:line="360" w:lineRule="auto"/>
        <w:ind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2.项目支出355.06万元。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3.上缴上级支出0万元。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4.经营支出0万元。</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righ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0"/>
          <w:kern w:val="0"/>
          <w:sz w:val="32"/>
          <w:szCs w:val="32"/>
        </w:rPr>
        <w:t>5.对附属单位补助支出0万元。</w:t>
      </w:r>
    </w:p>
    <w:p>
      <w:pPr>
        <w:pStyle w:val="6"/>
        <w:keepNext w:val="0"/>
        <w:keepLines w:val="0"/>
        <w:pageBreakBefore w:val="0"/>
        <w:kinsoku/>
        <w:wordWrap/>
        <w:overflowPunct/>
        <w:topLinePunct w:val="0"/>
        <w:autoSpaceDE/>
        <w:autoSpaceDN/>
        <w:bidi w:val="0"/>
        <w:adjustRightInd/>
        <w:snapToGrid/>
        <w:spacing w:before="100" w:after="100" w:line="360" w:lineRule="auto"/>
        <w:ind w:left="0" w:leftChars="0" w:right="0" w:firstLine="643" w:firstLineChars="200"/>
        <w:textAlignment w:val="auto"/>
        <w:rPr>
          <w:rFonts w:ascii="黑体" w:hAnsi="黑体" w:eastAsia="黑体" w:cs="黑体"/>
          <w:b/>
          <w:spacing w:val="0"/>
        </w:rPr>
      </w:pPr>
      <w:bookmarkStart w:id="77" w:name="_Toc256000112"/>
      <w:bookmarkStart w:id="78" w:name="_Toc256000050"/>
      <w:bookmarkStart w:id="79" w:name="_Toc256000019"/>
      <w:bookmarkStart w:id="80" w:name="_Toc256000081"/>
      <w:r>
        <w:rPr>
          <w:rFonts w:ascii="黑体" w:hAnsi="黑体" w:eastAsia="黑体" w:cs="黑体"/>
          <w:b/>
          <w:spacing w:val="0"/>
        </w:rPr>
        <w:t>二、财政拨款收入支出决算总体情况说明</w:t>
      </w:r>
      <w:bookmarkEnd w:id="77"/>
      <w:bookmarkEnd w:id="78"/>
      <w:bookmarkEnd w:id="79"/>
      <w:bookmarkEnd w:id="80"/>
    </w:p>
    <w:p>
      <w:pPr>
        <w:pStyle w:val="6"/>
        <w:keepNext w:val="0"/>
        <w:keepLines w:val="0"/>
        <w:pageBreakBefore w:val="0"/>
        <w:kinsoku/>
        <w:wordWrap/>
        <w:overflowPunct/>
        <w:topLinePunct w:val="0"/>
        <w:autoSpaceDE/>
        <w:autoSpaceDN/>
        <w:bidi w:val="0"/>
        <w:adjustRightInd/>
        <w:snapToGrid/>
        <w:spacing w:before="100" w:after="100" w:line="360" w:lineRule="auto"/>
        <w:ind w:left="0" w:leftChars="0" w:right="0" w:firstLine="640" w:firstLineChars="200"/>
        <w:jc w:val="both"/>
        <w:textAlignment w:val="auto"/>
        <w:rPr>
          <w:rFonts w:hint="eastAsia" w:ascii="仿宋_GB2312" w:hAnsi="仿宋_GB2312" w:eastAsia="仿宋_GB2312" w:cs="仿宋_GB2312"/>
          <w:kern w:val="0"/>
          <w:sz w:val="32"/>
          <w:szCs w:val="32"/>
          <w:lang w:eastAsia="zh-CN"/>
        </w:rPr>
      </w:pPr>
      <w:r>
        <w:rPr>
          <w:rFonts w:ascii="仿宋" w:hAnsi="仿宋" w:eastAsia="仿宋" w:cs="仿宋"/>
          <w:spacing w:val="0"/>
          <w:kern w:val="0"/>
          <w:sz w:val="32"/>
          <w:szCs w:val="32"/>
        </w:rPr>
        <w:t>2024年度财政拨款收入总计2788.67万元，支出总计2788.67万元，与上年决算数相比，各减少347.89万元，下降11.09%，</w:t>
      </w:r>
      <w:r>
        <w:rPr>
          <w:rFonts w:hint="eastAsia" w:ascii="仿宋_GB2312" w:hAnsi="仿宋_GB2312" w:eastAsia="仿宋_GB2312" w:cs="仿宋_GB2312"/>
          <w:spacing w:val="0"/>
          <w:kern w:val="0"/>
          <w:sz w:val="32"/>
          <w:szCs w:val="32"/>
        </w:rPr>
        <w:t>主要是</w:t>
      </w:r>
      <w:r>
        <w:rPr>
          <w:rFonts w:hint="eastAsia" w:ascii="仿宋_GB2312" w:hAnsi="仿宋_GB2312" w:eastAsia="仿宋_GB2312" w:cs="仿宋_GB2312"/>
          <w:spacing w:val="0"/>
          <w:kern w:val="0"/>
          <w:sz w:val="32"/>
          <w:szCs w:val="32"/>
          <w:lang w:eastAsia="zh-CN"/>
        </w:rPr>
        <w:t>：学生数及项目经费减少等。</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1" w:name="_Toc256000051"/>
      <w:bookmarkStart w:id="82" w:name="_Toc256000113"/>
      <w:bookmarkStart w:id="83" w:name="_Toc256000020"/>
      <w:bookmarkStart w:id="84" w:name="_Toc256000082"/>
      <w:r>
        <w:rPr>
          <w:rFonts w:ascii="黑体" w:hAnsi="黑体" w:eastAsia="黑体" w:cs="黑体"/>
          <w:b/>
          <w:spacing w:val="0"/>
        </w:rPr>
        <w:t>三、一般公共预算拨款支出决算情况说明</w:t>
      </w:r>
      <w:bookmarkEnd w:id="81"/>
      <w:bookmarkEnd w:id="82"/>
      <w:bookmarkEnd w:id="83"/>
      <w:bookmarkEnd w:id="84"/>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2024年一般公共预算支出2781.19万元，比上年决算数减少324.34万元，下降10.44%，具体情况如下(按</w:t>
      </w:r>
      <w:r>
        <w:rPr>
          <w:rStyle w:val="33"/>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_GB2312" w:hAnsi="仿宋_GB2312" w:eastAsia="仿宋_GB2312" w:cs="仿宋_GB2312"/>
          <w:spacing w:val="0"/>
          <w:kern w:val="0"/>
          <w:sz w:val="32"/>
          <w:szCs w:val="32"/>
          <w:lang w:eastAsia="zh-CN"/>
        </w:rPr>
      </w:pPr>
      <w:r>
        <w:rPr>
          <w:rFonts w:ascii="仿宋" w:hAnsi="仿宋" w:eastAsia="仿宋" w:cs="仿宋"/>
          <w:spacing w:val="0"/>
          <w:kern w:val="0"/>
          <w:sz w:val="32"/>
          <w:szCs w:val="32"/>
        </w:rPr>
        <w:t>（一）2050202 小学教育1,913.98万元，较上年决算数减少60.52万元，下降3.07%。主要原因是</w:t>
      </w:r>
      <w:r>
        <w:rPr>
          <w:rFonts w:hint="eastAsia" w:ascii="仿宋_GB2312" w:hAnsi="仿宋_GB2312" w:eastAsia="仿宋_GB2312" w:cs="仿宋_GB2312"/>
          <w:spacing w:val="0"/>
          <w:kern w:val="0"/>
          <w:sz w:val="32"/>
          <w:szCs w:val="32"/>
          <w:lang w:eastAsia="zh-CN"/>
        </w:rPr>
        <w:t>学生数及项目经费减少等。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_GB2312" w:hAnsi="仿宋_GB2312" w:eastAsia="仿宋_GB2312" w:cs="仿宋_GB2312"/>
          <w:spacing w:val="0"/>
          <w:kern w:val="0"/>
          <w:sz w:val="32"/>
          <w:szCs w:val="32"/>
          <w:lang w:eastAsia="zh-CN"/>
        </w:rPr>
      </w:pPr>
      <w:r>
        <w:rPr>
          <w:rFonts w:ascii="仿宋" w:hAnsi="仿宋" w:eastAsia="仿宋" w:cs="仿宋"/>
          <w:spacing w:val="0"/>
          <w:kern w:val="0"/>
          <w:sz w:val="32"/>
          <w:szCs w:val="32"/>
        </w:rPr>
        <w:t>（二）2050299 其他普通教育支出154.16万元，较上年决算数减少0.70万元，下降0.45%。主要原因是</w:t>
      </w:r>
      <w:r>
        <w:rPr>
          <w:rFonts w:hint="eastAsia" w:ascii="仿宋_GB2312" w:hAnsi="仿宋_GB2312" w:eastAsia="仿宋_GB2312" w:cs="仿宋_GB2312"/>
          <w:spacing w:val="0"/>
          <w:kern w:val="0"/>
          <w:sz w:val="32"/>
          <w:szCs w:val="32"/>
          <w:lang w:eastAsia="zh-CN"/>
        </w:rPr>
        <w:t>项目经费减少等。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_GB2312" w:hAnsi="仿宋_GB2312" w:eastAsia="仿宋_GB2312" w:cs="仿宋_GB2312"/>
          <w:spacing w:val="0"/>
          <w:kern w:val="0"/>
          <w:sz w:val="32"/>
          <w:szCs w:val="32"/>
          <w:lang w:val="en-US" w:eastAsia="zh-CN"/>
        </w:rPr>
      </w:pPr>
      <w:r>
        <w:rPr>
          <w:rFonts w:ascii="仿宋" w:hAnsi="仿宋" w:eastAsia="仿宋" w:cs="仿宋"/>
          <w:spacing w:val="0"/>
          <w:kern w:val="0"/>
          <w:sz w:val="32"/>
          <w:szCs w:val="32"/>
        </w:rPr>
        <w:t>（三）2050999 其他教育费附加安排的支出239.65万元，较上年决算数减少324.39万元，下降57.51%。主要原因是</w:t>
      </w:r>
      <w:r>
        <w:rPr>
          <w:rFonts w:hint="eastAsia" w:ascii="仿宋_GB2312" w:hAnsi="仿宋_GB2312" w:eastAsia="仿宋_GB2312" w:cs="仿宋_GB2312"/>
          <w:spacing w:val="0"/>
          <w:kern w:val="0"/>
          <w:sz w:val="32"/>
          <w:szCs w:val="32"/>
          <w:lang w:eastAsia="zh-CN"/>
        </w:rPr>
        <w:t>项目经费减少等。</w:t>
      </w:r>
      <w:r>
        <w:rPr>
          <w:rFonts w:hint="eastAsia" w:ascii="仿宋_GB2312" w:hAnsi="仿宋_GB2312" w:eastAsia="仿宋_GB2312" w:cs="仿宋_GB2312"/>
          <w:spacing w:val="0"/>
          <w:kern w:val="0"/>
          <w:sz w:val="32"/>
          <w:szCs w:val="32"/>
          <w:lang w:val="en-US" w:eastAsia="zh-CN"/>
        </w:rPr>
        <w:t xml:space="preserve"> </w:t>
      </w:r>
    </w:p>
    <w:p>
      <w:pPr>
        <w:keepNext w:val="0"/>
        <w:keepLines w:val="0"/>
        <w:pageBreakBefore w:val="0"/>
        <w:tabs>
          <w:tab w:val="left" w:pos="6460"/>
        </w:tabs>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（四）2059999 其他教育支出2.75万元，较上年决算数增加2.66万元，增长2955.56%。主要原因是</w:t>
      </w:r>
      <w:r>
        <w:rPr>
          <w:rFonts w:hint="eastAsia" w:ascii="仿宋" w:hAnsi="仿宋" w:eastAsia="仿宋" w:cs="仿宋"/>
          <w:spacing w:val="0"/>
          <w:kern w:val="0"/>
          <w:sz w:val="32"/>
          <w:szCs w:val="32"/>
          <w:lang w:eastAsia="zh-CN"/>
        </w:rPr>
        <w:t>其他教育项目经费增加等。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（五）2080502 事业单位离退休78.67万元，较上年决算数增加11.02万元，增长16.29%。主要原因是</w:t>
      </w:r>
      <w:r>
        <w:rPr>
          <w:rFonts w:hint="eastAsia" w:ascii="仿宋" w:hAnsi="仿宋" w:eastAsia="仿宋" w:cs="仿宋"/>
          <w:spacing w:val="0"/>
          <w:kern w:val="0"/>
          <w:sz w:val="32"/>
          <w:szCs w:val="32"/>
          <w:lang w:eastAsia="zh-CN"/>
        </w:rPr>
        <w:t>退休人员变动等。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（六）2080505 机关事业单位基本养老保险缴费支出158.65万元，较上年决算数减少1.81万元，下降1.13%。主要原因是</w:t>
      </w:r>
      <w:r>
        <w:rPr>
          <w:rFonts w:hint="eastAsia" w:ascii="仿宋" w:hAnsi="仿宋" w:eastAsia="仿宋" w:cs="仿宋"/>
          <w:spacing w:val="0"/>
          <w:kern w:val="0"/>
          <w:sz w:val="32"/>
          <w:szCs w:val="32"/>
          <w:lang w:eastAsia="zh-CN"/>
        </w:rPr>
        <w:t>人员变动等。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（七）2080506 机关事业单位职业年金缴费支出97.54万元，较上年决算数增加17.32万元，增长21.59%。主要原因是</w:t>
      </w:r>
      <w:r>
        <w:rPr>
          <w:rFonts w:hint="eastAsia" w:ascii="仿宋" w:hAnsi="仿宋" w:eastAsia="仿宋" w:cs="仿宋"/>
          <w:spacing w:val="0"/>
          <w:kern w:val="0"/>
          <w:sz w:val="32"/>
          <w:szCs w:val="32"/>
          <w:lang w:eastAsia="zh-CN"/>
        </w:rPr>
        <w:t>人员变动等。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（八）2101102 事业单位医疗67.93万元，较上年决算数减少0.72万元，下降1.04%。主要原因是</w:t>
      </w:r>
      <w:r>
        <w:rPr>
          <w:rFonts w:hint="eastAsia" w:ascii="仿宋" w:hAnsi="仿宋" w:eastAsia="仿宋" w:cs="仿宋"/>
          <w:spacing w:val="0"/>
          <w:kern w:val="0"/>
          <w:sz w:val="32"/>
          <w:szCs w:val="32"/>
          <w:lang w:eastAsia="zh-CN"/>
        </w:rPr>
        <w:t>人员变动等。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（九）2101199 其他行政事业单位医疗支出34.71万元，较上年决算数减少0.37万元，下降1.04%。主要原因是</w:t>
      </w:r>
      <w:r>
        <w:rPr>
          <w:rFonts w:hint="eastAsia" w:ascii="仿宋" w:hAnsi="仿宋" w:eastAsia="仿宋" w:cs="仿宋"/>
          <w:spacing w:val="0"/>
          <w:kern w:val="0"/>
          <w:sz w:val="32"/>
          <w:szCs w:val="32"/>
          <w:lang w:eastAsia="zh-CN"/>
        </w:rPr>
        <w:t>人员变动等。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（十）2210203 购房补贴33.15万元，较上年决算数增加33.15万元，增长100%。主要原因是</w:t>
      </w:r>
      <w:r>
        <w:rPr>
          <w:rFonts w:hint="eastAsia" w:ascii="仿宋" w:hAnsi="仿宋" w:eastAsia="仿宋" w:cs="仿宋"/>
          <w:spacing w:val="0"/>
          <w:kern w:val="0"/>
          <w:sz w:val="32"/>
          <w:szCs w:val="32"/>
          <w:lang w:eastAsia="zh-CN"/>
        </w:rPr>
        <w:t>购房补贴项目增加。</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5" w:name="_Toc256000052"/>
      <w:bookmarkStart w:id="86" w:name="_Toc256000114"/>
      <w:bookmarkStart w:id="87" w:name="_Toc256000021"/>
      <w:bookmarkStart w:id="88" w:name="_Toc256000083"/>
      <w:r>
        <w:rPr>
          <w:rFonts w:ascii="黑体" w:hAnsi="黑体" w:eastAsia="黑体" w:cs="黑体"/>
          <w:b/>
          <w:spacing w:val="0"/>
        </w:rPr>
        <w:t>四、政府性基金预算财政拨款支出决算情况说明</w:t>
      </w:r>
      <w:bookmarkEnd w:id="85"/>
      <w:bookmarkEnd w:id="86"/>
      <w:bookmarkEnd w:id="87"/>
      <w:bookmarkEnd w:id="88"/>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04"/>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2024年度政府性基金支出7.48万元，比上年决算数减少23.55万元，下降75.89%，具体情况如下(按项级科目统计)：</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2296003用于体育事业的彩票公益金支出7.48万元，较上年决算数减少23.55万元，下降75.89%。主要原因是</w:t>
      </w:r>
      <w:r>
        <w:rPr>
          <w:rFonts w:hint="eastAsia" w:ascii="仿宋_GB2312" w:hAnsi="仿宋_GB2312" w:eastAsia="仿宋_GB2312" w:cs="仿宋_GB2312"/>
          <w:spacing w:val="0"/>
          <w:kern w:val="0"/>
          <w:sz w:val="32"/>
          <w:szCs w:val="32"/>
          <w:lang w:eastAsia="zh-CN"/>
        </w:rPr>
        <w:t>项目经费减少等。</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黑体" w:hAnsi="黑体" w:eastAsia="黑体" w:cs="黑体"/>
          <w:b/>
          <w:spacing w:val="0"/>
        </w:rPr>
      </w:pPr>
      <w:bookmarkStart w:id="89" w:name="_Toc256000022"/>
      <w:bookmarkStart w:id="90" w:name="_Toc256000053"/>
      <w:bookmarkStart w:id="91" w:name="_Toc256000084"/>
      <w:bookmarkStart w:id="92" w:name="_Toc256000115"/>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五、国有资本经营预算财政拨款支出决算情况说明</w:t>
      </w:r>
      <w:bookmarkEnd w:id="89"/>
      <w:bookmarkEnd w:id="90"/>
      <w:bookmarkEnd w:id="91"/>
      <w:bookmarkEnd w:id="92"/>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bookmarkStart w:id="93" w:name="_Toc256000054"/>
      <w:bookmarkStart w:id="94" w:name="_Toc256000023"/>
      <w:bookmarkStart w:id="95" w:name="_Toc256000085"/>
      <w:bookmarkStart w:id="96" w:name="_Toc256000116"/>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31"/>
        <w:widowControl/>
        <w:spacing w:before="100" w:after="100" w:line="360" w:lineRule="auto"/>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3"/>
      <w:bookmarkEnd w:id="94"/>
      <w:bookmarkEnd w:id="95"/>
      <w:bookmarkEnd w:id="96"/>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2024年度一般公共预算财政拨款基本支出2433.62万元，其中：</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2226.01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207.61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黑体" w:hAnsi="黑体" w:eastAsia="黑体" w:cs="黑体"/>
          <w:b/>
          <w:spacing w:val="0"/>
        </w:rPr>
      </w:pPr>
      <w:bookmarkStart w:id="97" w:name="_Toc256000086"/>
      <w:bookmarkStart w:id="98" w:name="_Toc256000055"/>
      <w:bookmarkStart w:id="99" w:name="_Toc256000117"/>
      <w:bookmarkStart w:id="100" w:name="_Toc256000024"/>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rPr>
        <w:t>七、一般公共预算拨款“三公”经费支出决算情况说明</w:t>
      </w:r>
      <w:bookmarkEnd w:id="97"/>
      <w:bookmarkEnd w:id="98"/>
      <w:bookmarkEnd w:id="99"/>
      <w:bookmarkEnd w:id="100"/>
    </w:p>
    <w:p>
      <w:pPr>
        <w:pStyle w:val="31"/>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bookmarkStart w:id="101" w:name="_Toc256000056"/>
      <w:bookmarkStart w:id="102" w:name="_Toc256000118"/>
      <w:bookmarkStart w:id="103" w:name="_Toc256000025"/>
      <w:bookmarkStart w:id="104" w:name="_Toc256000087"/>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年度一般公共预算拨款“三公”经费支出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主要原因是本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没有使用“三公”经费支出</w:t>
      </w:r>
      <w:r>
        <w:rPr>
          <w:rFonts w:ascii="仿宋" w:hAnsi="仿宋" w:eastAsia="仿宋" w:cs="仿宋"/>
          <w:kern w:val="0"/>
          <w:sz w:val="32"/>
          <w:szCs w:val="32"/>
        </w:rPr>
        <w:t>。具体情况如下：</w:t>
      </w:r>
    </w:p>
    <w:p>
      <w:pPr>
        <w:pStyle w:val="31"/>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（一）因公出国（境）费支出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与全年预算（或上年决算）持平。全年安排本</w:t>
      </w:r>
      <w:r>
        <w:rPr>
          <w:rFonts w:hint="eastAsia" w:ascii="仿宋" w:hAnsi="仿宋" w:eastAsia="仿宋" w:cs="仿宋"/>
          <w:kern w:val="0"/>
          <w:sz w:val="32"/>
          <w:szCs w:val="32"/>
          <w:lang w:eastAsia="zh-CN"/>
        </w:rPr>
        <w:t>单位</w:t>
      </w:r>
      <w:r>
        <w:rPr>
          <w:rFonts w:ascii="仿宋" w:hAnsi="仿宋" w:eastAsia="仿宋" w:cs="仿宋"/>
          <w:kern w:val="0"/>
          <w:sz w:val="32"/>
          <w:szCs w:val="32"/>
        </w:rPr>
        <w:t>组织的出国团组0个，参加其他</w:t>
      </w:r>
      <w:r>
        <w:rPr>
          <w:rFonts w:hint="eastAsia" w:ascii="仿宋" w:hAnsi="仿宋" w:eastAsia="仿宋" w:cs="仿宋"/>
          <w:kern w:val="0"/>
          <w:sz w:val="32"/>
          <w:szCs w:val="32"/>
          <w:lang w:eastAsia="zh-CN"/>
        </w:rPr>
        <w:t>单位</w:t>
      </w:r>
      <w:r>
        <w:rPr>
          <w:rFonts w:ascii="仿宋" w:hAnsi="仿宋" w:eastAsia="仿宋" w:cs="仿宋"/>
          <w:kern w:val="0"/>
          <w:sz w:val="32"/>
          <w:szCs w:val="32"/>
        </w:rPr>
        <w:t>出国团组</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个；全年因公出国（境）累计0人次。</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没有组织出国团组及参加其他</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出国团组。</w:t>
      </w:r>
    </w:p>
    <w:p>
      <w:pPr>
        <w:pStyle w:val="31"/>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（二）公务用车购置及运行费支出0万元，完成全年预算的0%；较上年增加0万元，增长 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ascii="仿宋" w:hAnsi="仿宋" w:eastAsia="仿宋" w:cs="仿宋"/>
          <w:kern w:val="0"/>
          <w:sz w:val="32"/>
          <w:szCs w:val="32"/>
        </w:rPr>
        <w:t>其中：</w:t>
      </w:r>
    </w:p>
    <w:p>
      <w:pPr>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240" w:beforeAutospacing="0" w:after="240" w:afterAutospacing="0" w:line="360" w:lineRule="auto"/>
        <w:ind w:left="0" w:right="0" w:firstLine="640"/>
        <w:jc w:val="both"/>
        <w:textAlignment w:val="auto"/>
        <w:rPr>
          <w:rFonts w:hint="eastAsia" w:ascii="仿宋" w:hAnsi="仿宋" w:eastAsia="仿宋" w:cs="仿宋"/>
          <w:sz w:val="32"/>
          <w:szCs w:val="32"/>
          <w:shd w:val="clear" w:color="auto" w:fill="FFFFFF"/>
          <w:lang w:eastAsia="zh-CN"/>
        </w:rPr>
      </w:pPr>
      <w:r>
        <w:rPr>
          <w:rFonts w:ascii="仿宋" w:hAnsi="仿宋" w:eastAsia="仿宋" w:cs="仿宋"/>
          <w:kern w:val="0"/>
          <w:sz w:val="32"/>
          <w:szCs w:val="32"/>
        </w:rPr>
        <w:t>公务用车购置费支出0万元，完成全年预算的0%；较上年增加0万元，增长0%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年公务用车购置0辆，</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没有购置公务用车。</w:t>
      </w:r>
    </w:p>
    <w:p>
      <w:pPr>
        <w:pStyle w:val="31"/>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公务用车运行费支出0万元，完成全年预算的0%；较上年增加0万元，增长0%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没有公务用车运行维护费的支出。</w:t>
      </w:r>
      <w:r>
        <w:rPr>
          <w:rFonts w:ascii="仿宋" w:hAnsi="仿宋" w:eastAsia="仿宋" w:cs="仿宋"/>
          <w:kern w:val="0"/>
          <w:sz w:val="32"/>
          <w:szCs w:val="32"/>
        </w:rPr>
        <w:t>截至202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年12月31日，本</w:t>
      </w:r>
      <w:r>
        <w:rPr>
          <w:rFonts w:hint="eastAsia" w:ascii="仿宋" w:hAnsi="仿宋" w:eastAsia="仿宋" w:cs="仿宋"/>
          <w:kern w:val="0"/>
          <w:sz w:val="32"/>
          <w:szCs w:val="32"/>
          <w:lang w:eastAsia="zh-CN"/>
        </w:rPr>
        <w:t>单位</w:t>
      </w:r>
      <w:r>
        <w:rPr>
          <w:rFonts w:ascii="仿宋" w:hAnsi="仿宋" w:eastAsia="仿宋" w:cs="仿宋"/>
          <w:kern w:val="0"/>
          <w:sz w:val="32"/>
          <w:szCs w:val="32"/>
        </w:rPr>
        <w:t>公务用车保有量为0辆。</w:t>
      </w:r>
    </w:p>
    <w:p>
      <w:pPr>
        <w:pStyle w:val="31"/>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（三）公务接待费支出0万元，完成全年预算的0%；较上年增加0万元，增长0%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没有公务接待活动</w:t>
      </w:r>
      <w:r>
        <w:rPr>
          <w:rFonts w:ascii="仿宋" w:hAnsi="仿宋" w:eastAsia="仿宋" w:cs="仿宋"/>
          <w:kern w:val="0"/>
          <w:sz w:val="32"/>
          <w:szCs w:val="32"/>
        </w:rPr>
        <w:t>。累计接待0批次、0人次。</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101"/>
      <w:bookmarkEnd w:id="102"/>
      <w:bookmarkEnd w:id="103"/>
      <w:bookmarkEnd w:id="104"/>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lang w:val="en-US" w:eastAsia="zh-CN"/>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highlight w:val="none"/>
          <w:lang w:val="en-US" w:eastAsia="zh-CN"/>
        </w:rPr>
        <w:t>0.87</w:t>
      </w:r>
      <w:r>
        <w:rPr>
          <w:rFonts w:ascii="仿宋" w:hAnsi="仿宋" w:eastAsia="仿宋" w:cs="仿宋"/>
          <w:spacing w:val="0"/>
          <w:kern w:val="0"/>
          <w:sz w:val="32"/>
          <w:szCs w:val="32"/>
          <w:highlight w:val="none"/>
        </w:rPr>
        <w:t>万元</w:t>
      </w:r>
      <w:r>
        <w:rPr>
          <w:rFonts w:ascii="仿宋" w:hAnsi="仿宋" w:eastAsia="仿宋" w:cs="仿宋"/>
          <w:spacing w:val="0"/>
          <w:kern w:val="0"/>
          <w:sz w:val="32"/>
          <w:szCs w:val="32"/>
        </w:rPr>
        <w:t>。（《项目支出绩效自评表》详见附件）</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105" w:name="_Toc256000026"/>
      <w:bookmarkStart w:id="106" w:name="_Toc256000119"/>
      <w:bookmarkStart w:id="107" w:name="_Toc256000088"/>
      <w:bookmarkStart w:id="108" w:name="_Toc256000057"/>
      <w:r>
        <w:rPr>
          <w:rFonts w:ascii="黑体" w:hAnsi="黑体" w:eastAsia="黑体" w:cs="黑体"/>
          <w:b/>
          <w:spacing w:val="0"/>
        </w:rPr>
        <w:t>九、其他重要事项说明</w:t>
      </w:r>
      <w:bookmarkEnd w:id="105"/>
      <w:bookmarkEnd w:id="106"/>
      <w:bookmarkEnd w:id="107"/>
      <w:bookmarkEnd w:id="108"/>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3"/>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spacing w:val="0"/>
          <w:kern w:val="0"/>
          <w:sz w:val="32"/>
          <w:szCs w:val="32"/>
        </w:rPr>
        <w:t>（一）机关运行经费 </w:t>
      </w:r>
    </w:p>
    <w:p>
      <w:pPr>
        <w:pStyle w:val="31"/>
        <w:widowControl/>
        <w:spacing w:before="100" w:after="100" w:line="360" w:lineRule="auto"/>
        <w:ind w:left="0" w:right="0" w:firstLine="643"/>
        <w:jc w:val="left"/>
        <w:rPr>
          <w:rFonts w:ascii="仿宋" w:hAnsi="仿宋" w:eastAsia="仿宋" w:cs="仿宋"/>
          <w:spacing w:val="0"/>
          <w:kern w:val="0"/>
          <w:sz w:val="32"/>
          <w:szCs w:val="32"/>
        </w:rPr>
      </w:pPr>
      <w:r>
        <w:rPr>
          <w:rFonts w:ascii="仿宋" w:hAnsi="仿宋" w:eastAsia="仿宋" w:cs="仿宋"/>
          <w:spacing w:val="0"/>
          <w:kern w:val="0"/>
          <w:sz w:val="32"/>
          <w:szCs w:val="32"/>
        </w:rPr>
        <w:t>2024年度机关运行经费支出0万元，比上年决算数增加0万元，增长0%，主要原因是:本单位为事业单位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3"/>
        <w:jc w:val="left"/>
        <w:textAlignment w:val="auto"/>
        <w:rPr>
          <w:rFonts w:hint="eastAsia" w:ascii="仿宋_GB2312" w:hAnsi="仿宋_GB2312" w:eastAsia="仿宋_GB2312" w:cs="仿宋_GB2312"/>
          <w:b w:val="0"/>
          <w:bCs w:val="0"/>
          <w:kern w:val="0"/>
          <w:sz w:val="32"/>
          <w:szCs w:val="32"/>
        </w:rPr>
      </w:pPr>
      <w:r>
        <w:rPr>
          <w:rStyle w:val="33"/>
          <w:rFonts w:hint="eastAsia" w:ascii="仿宋_GB2312" w:hAnsi="仿宋_GB2312" w:eastAsia="仿宋_GB2312" w:cs="仿宋_GB2312"/>
          <w:b w:val="0"/>
          <w:bCs w:val="0"/>
          <w:spacing w:val="0"/>
          <w:kern w:val="0"/>
          <w:sz w:val="32"/>
          <w:szCs w:val="32"/>
        </w:rPr>
        <w:t>（二）政府采购情况</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hint="eastAsia" w:ascii="仿宋_GB2312" w:hAnsi="仿宋_GB2312" w:eastAsia="仿宋_GB2312" w:cs="仿宋_GB2312"/>
          <w:b w:val="0"/>
          <w:bCs w:val="0"/>
          <w:spacing w:val="0"/>
          <w:kern w:val="0"/>
          <w:sz w:val="32"/>
          <w:szCs w:val="32"/>
        </w:rPr>
      </w:pPr>
      <w:r>
        <w:rPr>
          <w:rFonts w:hint="eastAsia" w:ascii="仿宋_GB2312" w:hAnsi="仿宋_GB2312" w:eastAsia="仿宋_GB2312" w:cs="仿宋_GB2312"/>
          <w:b w:val="0"/>
          <w:bCs w:val="0"/>
          <w:spacing w:val="0"/>
          <w:kern w:val="0"/>
          <w:sz w:val="32"/>
          <w:szCs w:val="32"/>
        </w:rPr>
        <w:t>本单位2024年度没有政府采购支出。</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07"/>
        <w:jc w:val="left"/>
        <w:textAlignment w:val="auto"/>
        <w:rPr>
          <w:rFonts w:hint="eastAsia" w:ascii="仿宋_GB2312" w:hAnsi="仿宋_GB2312" w:eastAsia="仿宋_GB2312" w:cs="仿宋_GB2312"/>
          <w:b w:val="0"/>
          <w:bCs w:val="0"/>
          <w:kern w:val="0"/>
          <w:sz w:val="32"/>
          <w:szCs w:val="32"/>
        </w:rPr>
      </w:pPr>
      <w:r>
        <w:rPr>
          <w:rStyle w:val="33"/>
          <w:rFonts w:hint="eastAsia" w:ascii="仿宋_GB2312" w:hAnsi="仿宋_GB2312" w:eastAsia="仿宋_GB2312" w:cs="仿宋_GB2312"/>
          <w:b w:val="0"/>
          <w:bCs w:val="0"/>
          <w:spacing w:val="0"/>
          <w:kern w:val="0"/>
          <w:sz w:val="32"/>
          <w:szCs w:val="32"/>
        </w:rPr>
        <w:t>（三）国有资产占用使用情况</w:t>
      </w:r>
      <w:r>
        <w:rPr>
          <w:rFonts w:hint="eastAsia" w:ascii="仿宋_GB2312" w:hAnsi="仿宋_GB2312" w:eastAsia="仿宋_GB2312" w:cs="仿宋_GB2312"/>
          <w:b w:val="0"/>
          <w:bCs w:val="0"/>
          <w:spacing w:val="0"/>
          <w:kern w:val="0"/>
          <w:sz w:val="32"/>
          <w:szCs w:val="32"/>
        </w:rPr>
        <w:t> </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spacing w:val="0"/>
          <w:kern w:val="0"/>
          <w:sz w:val="32"/>
          <w:szCs w:val="32"/>
        </w:rPr>
        <w:t xml:space="preserve">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b w:val="0"/>
          <w:bCs w:val="0"/>
          <w:sz w:val="32"/>
          <w:szCs w:val="32"/>
        </w:rPr>
        <w:sectPr>
          <w:footerReference r:id="rId5" w:type="default"/>
          <w:pgSz w:w="11906" w:h="16838"/>
          <w:pgMar w:top="1440" w:right="1080" w:bottom="1440" w:left="1080" w:header="720" w:footer="720" w:gutter="0"/>
          <w:cols w:space="720" w:num="1"/>
        </w:sect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pageBreakBefore w:val="0"/>
        <w:kinsoku/>
        <w:wordWrap/>
        <w:overflowPunct/>
        <w:topLinePunct w:val="0"/>
        <w:autoSpaceDE/>
        <w:autoSpaceDN/>
        <w:bidi w:val="0"/>
        <w:adjustRightInd/>
        <w:snapToGrid/>
        <w:spacing w:before="100" w:after="100" w:line="360" w:lineRule="auto"/>
        <w:ind w:left="0" w:right="0" w:firstLine="0" w:firstLineChars="0"/>
        <w:jc w:val="center"/>
        <w:textAlignment w:val="auto"/>
        <w:rPr>
          <w:rFonts w:ascii="Times New Roman" w:hAnsi="Times New Roman" w:eastAsia="Times New Roman" w:cs="Times New Roman"/>
          <w:vanish/>
          <w:kern w:val="0"/>
          <w:sz w:val="24"/>
        </w:rPr>
      </w:pPr>
      <w:bookmarkStart w:id="109" w:name="_Toc256000120"/>
      <w:bookmarkStart w:id="110" w:name="_Toc256000027"/>
      <w:bookmarkStart w:id="111" w:name="_Toc256000058"/>
      <w:bookmarkStart w:id="112" w:name="_Toc256000089"/>
      <w:r>
        <w:rPr>
          <w:rFonts w:ascii="黑体" w:hAnsi="黑体" w:eastAsia="黑体" w:cs="黑体"/>
          <w:b/>
          <w:spacing w:val="0"/>
          <w:sz w:val="32"/>
          <w:szCs w:val="32"/>
        </w:rPr>
        <w:t>第四部分</w:t>
      </w:r>
      <w:bookmarkEnd w:id="109"/>
      <w:bookmarkEnd w:id="110"/>
      <w:bookmarkEnd w:id="111"/>
      <w:bookmarkEnd w:id="112"/>
      <w:bookmarkStart w:id="113" w:name="_Toc256000090"/>
      <w:bookmarkStart w:id="114" w:name="_Toc256000059"/>
      <w:bookmarkStart w:id="115" w:name="_Toc256000028"/>
      <w:bookmarkStart w:id="116" w:name="_Toc256000121"/>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13"/>
      <w:bookmarkEnd w:id="114"/>
      <w:bookmarkEnd w:id="115"/>
      <w:bookmarkEnd w:id="116"/>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指除上述“财政拨款收入”“事业收入”“上级补助收入”“附属单位上缴收入”“经营收入”等以外取得的各项收入。主要是事业单位固定资产出租收入等。</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1"/>
        <w:keepNext w:val="0"/>
        <w:keepLines w:val="0"/>
        <w:pageBreakBefore w:val="0"/>
        <w:widowControl/>
        <w:kinsoku/>
        <w:wordWrap/>
        <w:overflowPunct/>
        <w:topLinePunct w:val="0"/>
        <w:autoSpaceDE/>
        <w:autoSpaceDN/>
        <w:bidi w:val="0"/>
        <w:adjustRightInd/>
        <w:snapToGrid/>
        <w:spacing w:before="100" w:after="100" w:line="360" w:lineRule="auto"/>
        <w:ind w:left="0" w:right="0" w:firstLine="71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2"/>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1"/>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keepNext w:val="0"/>
        <w:keepLines w:val="0"/>
        <w:pageBreakBefore w:val="0"/>
        <w:kinsoku/>
        <w:wordWrap/>
        <w:overflowPunct/>
        <w:topLinePunct w:val="0"/>
        <w:autoSpaceDE/>
        <w:autoSpaceDN/>
        <w:bidi w:val="0"/>
        <w:adjustRightInd/>
        <w:snapToGrid/>
        <w:spacing w:line="360" w:lineRule="auto"/>
        <w:textAlignment w:val="auto"/>
        <w:sectPr>
          <w:footerReference r:id="rId6" w:type="default"/>
          <w:pgSz w:w="11906" w:h="16838"/>
          <w:pgMar w:top="1440" w:right="1080" w:bottom="1440" w:left="1080" w:header="720" w:footer="720" w:gutter="0"/>
          <w:cols w:space="720" w:num="1"/>
        </w:sect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numPr>
          <w:ilvl w:val="0"/>
          <w:numId w:val="1"/>
        </w:numPr>
        <w:spacing w:before="100" w:after="100" w:line="240" w:lineRule="auto"/>
        <w:ind w:left="0" w:right="0" w:firstLine="0" w:firstLineChars="0"/>
        <w:jc w:val="center"/>
        <w:rPr>
          <w:rFonts w:ascii="黑体" w:hAnsi="黑体" w:eastAsia="黑体" w:cs="黑体"/>
          <w:b/>
          <w:spacing w:val="0"/>
          <w:sz w:val="32"/>
          <w:szCs w:val="32"/>
        </w:rPr>
      </w:pPr>
      <w:bookmarkStart w:id="117" w:name="_Toc256000030"/>
      <w:bookmarkStart w:id="118" w:name="_Toc256000092"/>
      <w:bookmarkStart w:id="119" w:name="_Toc256000123"/>
      <w:bookmarkStart w:id="120" w:name="_Toc256000061"/>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附件</w:t>
      </w:r>
      <w:bookmarkEnd w:id="4"/>
      <w:bookmarkEnd w:id="117"/>
      <w:bookmarkEnd w:id="118"/>
      <w:bookmarkEnd w:id="119"/>
      <w:bookmarkEnd w:id="120"/>
    </w:p>
    <w:tbl>
      <w:tblPr>
        <w:tblStyle w:val="25"/>
        <w:tblW w:w="97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1"/>
        <w:gridCol w:w="713"/>
        <w:gridCol w:w="1387"/>
        <w:gridCol w:w="2265"/>
        <w:gridCol w:w="510"/>
        <w:gridCol w:w="675"/>
        <w:gridCol w:w="750"/>
        <w:gridCol w:w="810"/>
        <w:gridCol w:w="450"/>
        <w:gridCol w:w="420"/>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769"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769"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5" w:hRule="atLeast"/>
        </w:trPr>
        <w:tc>
          <w:tcPr>
            <w:tcW w:w="5176" w:type="dxa"/>
            <w:gridSpan w:val="4"/>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预算单位：</w:t>
            </w:r>
            <w:r>
              <w:rPr>
                <w:rFonts w:ascii="宋体" w:hAnsi="宋体" w:eastAsia="宋体" w:cs="宋体"/>
                <w:b w:val="0"/>
                <w:bCs w:val="0"/>
                <w:i w:val="0"/>
                <w:iCs w:val="0"/>
                <w:smallCaps w:val="0"/>
                <w:color w:val="000000"/>
                <w:kern w:val="0"/>
                <w:sz w:val="21"/>
                <w:szCs w:val="21"/>
              </w:rPr>
              <w:t>厦门市金山小学</w:t>
            </w:r>
            <w:r>
              <w:rPr>
                <w:rFonts w:hint="eastAsia" w:ascii="宋体" w:hAnsi="宋体" w:eastAsia="宋体" w:cs="宋体"/>
                <w:i w:val="0"/>
                <w:color w:val="000000"/>
                <w:kern w:val="0"/>
                <w:sz w:val="21"/>
                <w:szCs w:val="21"/>
                <w:u w:val="none"/>
                <w:lang w:val="en-US" w:eastAsia="zh-CN" w:bidi="ar"/>
              </w:rPr>
              <w:t xml:space="preserve">                                                                                                  </w:t>
            </w:r>
          </w:p>
        </w:tc>
        <w:tc>
          <w:tcPr>
            <w:tcW w:w="510"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675"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750"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2658" w:type="dxa"/>
            <w:gridSpan w:val="4"/>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524"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162" w:type="dxa"/>
            <w:gridSpan w:val="3"/>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675" w:type="dxa"/>
            <w:tcBorders>
              <w:top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8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6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厦门市金山小学</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5" w:hRule="atLeast"/>
        </w:trPr>
        <w:tc>
          <w:tcPr>
            <w:tcW w:w="1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w:t>
            </w:r>
            <w:r>
              <w:rPr>
                <w:rFonts w:hint="eastAsia" w:ascii="宋体" w:hAnsi="宋体" w:cs="宋体"/>
                <w:i w:val="0"/>
                <w:color w:val="000000"/>
                <w:kern w:val="0"/>
                <w:sz w:val="18"/>
                <w:szCs w:val="18"/>
                <w:u w:val="none"/>
                <w:lang w:val="en-US" w:eastAsia="zh-CN" w:bidi="ar"/>
              </w:rPr>
              <w:t>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r>
              <w:rPr>
                <w:rFonts w:hint="eastAsia" w:ascii="宋体" w:hAnsi="宋体" w:cs="宋体"/>
                <w:i w:val="0"/>
                <w:color w:val="000000"/>
                <w:kern w:val="0"/>
                <w:sz w:val="18"/>
                <w:szCs w:val="18"/>
                <w:u w:val="none"/>
                <w:lang w:val="en-US" w:eastAsia="zh-CN" w:bidi="ar"/>
              </w:rPr>
              <w:t>79</w:t>
            </w:r>
            <w:r>
              <w:rPr>
                <w:rFonts w:hint="eastAsia" w:ascii="宋体" w:hAnsi="宋体" w:eastAsia="宋体" w:cs="宋体"/>
                <w:i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申请困难学生未全部在校用餐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w:t>
            </w:r>
            <w:r>
              <w:rPr>
                <w:rFonts w:hint="eastAsia" w:ascii="宋体" w:hAnsi="宋体" w:cs="宋体"/>
                <w:i w:val="0"/>
                <w:color w:val="000000"/>
                <w:kern w:val="0"/>
                <w:sz w:val="18"/>
                <w:szCs w:val="18"/>
                <w:u w:val="none"/>
                <w:lang w:val="en-US" w:eastAsia="zh-CN" w:bidi="ar"/>
              </w:rPr>
              <w:t>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r>
              <w:rPr>
                <w:rFonts w:hint="eastAsia" w:ascii="宋体" w:hAnsi="宋体" w:cs="宋体"/>
                <w:i w:val="0"/>
                <w:color w:val="000000"/>
                <w:kern w:val="0"/>
                <w:sz w:val="18"/>
                <w:szCs w:val="18"/>
                <w:u w:val="none"/>
                <w:lang w:val="en-US" w:eastAsia="zh-CN" w:bidi="ar"/>
              </w:rPr>
              <w:t>79</w:t>
            </w:r>
            <w:r>
              <w:rPr>
                <w:rFonts w:hint="eastAsia" w:ascii="宋体" w:hAnsi="宋体" w:eastAsia="宋体" w:cs="宋体"/>
                <w:i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申请困难学生未全部在校用餐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上年结转资金</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90"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55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40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0"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55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40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5"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4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大于等于21人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21人</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大于等于15人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15人</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0"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15"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25"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792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6" w:hRule="atLeast"/>
        </w:trPr>
        <w:tc>
          <w:tcPr>
            <w:tcW w:w="976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5"/>
        <w:numPr>
          <w:ilvl w:val="0"/>
          <w:numId w:val="0"/>
        </w:numPr>
      </w:pPr>
    </w:p>
    <w:sectPr>
      <w:footerReference r:id="rId7" w:type="default"/>
      <w:pgSz w:w="11906" w:h="16838"/>
      <w:pgMar w:top="1440" w:right="1080" w:bottom="1440" w:left="1080"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4133"/>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dY4w1xgEAAGsDAAAOAAAAAAAAAAEAIAAAAB4BAABkcnMvZTJvRG9jLnht&#10;bFBLBQYAAAAABgAGAFkBAABWBQ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p>
    <w:pPr>
      <w:spacing w:line="172" w:lineRule="auto"/>
      <w:ind w:left="4133"/>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F75C73"/>
    <w:multiLevelType w:val="singleLevel"/>
    <w:tmpl w:val="A1F75C73"/>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47237"/>
    <w:rsid w:val="050E66E5"/>
    <w:rsid w:val="085A095A"/>
    <w:rsid w:val="0B6B40B0"/>
    <w:rsid w:val="0C2A2D3D"/>
    <w:rsid w:val="0CCC51CF"/>
    <w:rsid w:val="15693278"/>
    <w:rsid w:val="16704E81"/>
    <w:rsid w:val="1A3029BA"/>
    <w:rsid w:val="1F477332"/>
    <w:rsid w:val="27160634"/>
    <w:rsid w:val="288E455E"/>
    <w:rsid w:val="2B5C76F6"/>
    <w:rsid w:val="2F430E9C"/>
    <w:rsid w:val="311B7998"/>
    <w:rsid w:val="347C3F2B"/>
    <w:rsid w:val="36AF3147"/>
    <w:rsid w:val="3961231D"/>
    <w:rsid w:val="3B654185"/>
    <w:rsid w:val="3E7B0405"/>
    <w:rsid w:val="3EED31A9"/>
    <w:rsid w:val="40156CBA"/>
    <w:rsid w:val="41604778"/>
    <w:rsid w:val="435C751E"/>
    <w:rsid w:val="46534EEF"/>
    <w:rsid w:val="483F7980"/>
    <w:rsid w:val="4A495EE1"/>
    <w:rsid w:val="4AF45E04"/>
    <w:rsid w:val="5294461A"/>
    <w:rsid w:val="575B53B3"/>
    <w:rsid w:val="594F3B94"/>
    <w:rsid w:val="59DC3307"/>
    <w:rsid w:val="6061547B"/>
    <w:rsid w:val="622F1DB9"/>
    <w:rsid w:val="660E1A5F"/>
    <w:rsid w:val="68E74123"/>
    <w:rsid w:val="6CCA6402"/>
    <w:rsid w:val="6EB02FA5"/>
    <w:rsid w:val="6FD813FE"/>
    <w:rsid w:val="705C5595"/>
    <w:rsid w:val="751D52E5"/>
    <w:rsid w:val="76C80323"/>
    <w:rsid w:val="778E659F"/>
    <w:rsid w:val="78241529"/>
    <w:rsid w:val="7FFD43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0"/>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6"/>
    <w:qFormat/>
    <w:uiPriority w:val="0"/>
    <w:pPr>
      <w:keepNext/>
      <w:keepLines/>
      <w:spacing w:before="280" w:after="290" w:line="376" w:lineRule="auto"/>
      <w:outlineLvl w:val="3"/>
    </w:pPr>
    <w:rPr>
      <w:rFonts w:ascii="Cambria" w:hAnsi="Cambria" w:eastAsia="仿宋"/>
      <w:bCs/>
      <w:sz w:val="32"/>
      <w:szCs w:val="28"/>
    </w:rPr>
  </w:style>
  <w:style w:type="character" w:default="1" w:styleId="22">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Body Text First Indent"/>
    <w:basedOn w:val="10"/>
    <w:qFormat/>
    <w:uiPriority w:val="0"/>
    <w:pPr>
      <w:ind w:firstLine="420" w:firstLineChars="100"/>
    </w:pPr>
  </w:style>
  <w:style w:type="paragraph" w:styleId="10">
    <w:name w:val="Body Text"/>
    <w:basedOn w:val="1"/>
    <w:qFormat/>
    <w:uiPriority w:val="0"/>
    <w:pPr>
      <w:spacing w:after="120"/>
    </w:pPr>
  </w:style>
  <w:style w:type="paragraph" w:styleId="11">
    <w:name w:val="Document Map"/>
    <w:basedOn w:val="1"/>
    <w:qFormat/>
    <w:uiPriority w:val="0"/>
    <w:pPr>
      <w:shd w:val="clear" w:color="auto" w:fill="000080"/>
    </w:pPr>
  </w:style>
  <w:style w:type="paragraph" w:styleId="12">
    <w:name w:val="toc 5"/>
    <w:basedOn w:val="1"/>
    <w:next w:val="1"/>
    <w:qFormat/>
    <w:uiPriority w:val="0"/>
    <w:pPr>
      <w:ind w:left="840"/>
      <w:jc w:val="left"/>
    </w:pPr>
    <w:rPr>
      <w:sz w:val="20"/>
      <w:szCs w:val="20"/>
    </w:rPr>
  </w:style>
  <w:style w:type="paragraph" w:styleId="13">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4">
    <w:name w:val="toc 8"/>
    <w:basedOn w:val="1"/>
    <w:next w:val="1"/>
    <w:qFormat/>
    <w:uiPriority w:val="0"/>
    <w:pPr>
      <w:ind w:left="1470"/>
      <w:jc w:val="left"/>
    </w:pPr>
    <w:rPr>
      <w:sz w:val="20"/>
      <w:szCs w:val="20"/>
    </w:rPr>
  </w:style>
  <w:style w:type="paragraph" w:styleId="15">
    <w:name w:val="footer"/>
    <w:basedOn w:val="1"/>
    <w:link w:val="28"/>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8">
    <w:name w:val="toc 4"/>
    <w:basedOn w:val="1"/>
    <w:next w:val="1"/>
    <w:qFormat/>
    <w:uiPriority w:val="0"/>
    <w:pPr>
      <w:ind w:left="630"/>
      <w:jc w:val="left"/>
    </w:pPr>
    <w:rPr>
      <w:sz w:val="20"/>
      <w:szCs w:val="20"/>
    </w:rPr>
  </w:style>
  <w:style w:type="paragraph" w:styleId="19">
    <w:name w:val="toc 6"/>
    <w:basedOn w:val="1"/>
    <w:next w:val="1"/>
    <w:qFormat/>
    <w:uiPriority w:val="0"/>
    <w:pPr>
      <w:ind w:left="1050"/>
      <w:jc w:val="left"/>
    </w:pPr>
    <w:rPr>
      <w:sz w:val="20"/>
      <w:szCs w:val="20"/>
    </w:rPr>
  </w:style>
  <w:style w:type="paragraph" w:styleId="20">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1">
    <w:name w:val="toc 9"/>
    <w:basedOn w:val="1"/>
    <w:next w:val="1"/>
    <w:qFormat/>
    <w:uiPriority w:val="0"/>
    <w:pPr>
      <w:ind w:left="1680"/>
      <w:jc w:val="left"/>
    </w:pPr>
    <w:rPr>
      <w:sz w:val="20"/>
      <w:szCs w:val="20"/>
    </w:rPr>
  </w:style>
  <w:style w:type="character" w:styleId="23">
    <w:name w:val="page number"/>
    <w:basedOn w:val="22"/>
    <w:qFormat/>
    <w:uiPriority w:val="0"/>
  </w:style>
  <w:style w:type="character" w:styleId="24">
    <w:name w:val="Hyperlink"/>
    <w:qFormat/>
    <w:uiPriority w:val="0"/>
    <w:rPr>
      <w:rFonts w:ascii="宋体" w:hAnsi="宋体" w:eastAsia="仿宋" w:cs="Times New Roman"/>
      <w:kern w:val="2"/>
      <w:sz w:val="32"/>
      <w:szCs w:val="32"/>
      <w:lang w:val="en-US" w:eastAsia="zh-CN" w:bidi="ar-SA"/>
    </w:rPr>
  </w:style>
  <w:style w:type="character" w:customStyle="1" w:styleId="26">
    <w:name w:val="标题 4 字符"/>
    <w:basedOn w:val="22"/>
    <w:link w:val="7"/>
    <w:qFormat/>
    <w:uiPriority w:val="0"/>
    <w:rPr>
      <w:rFonts w:ascii="Cambria" w:hAnsi="Cambria" w:eastAsia="仿宋"/>
      <w:bCs/>
      <w:kern w:val="2"/>
      <w:sz w:val="32"/>
      <w:szCs w:val="28"/>
    </w:rPr>
  </w:style>
  <w:style w:type="character" w:customStyle="1" w:styleId="27">
    <w:name w:val="无间隔 字符"/>
    <w:link w:val="5"/>
    <w:qFormat/>
    <w:locked/>
    <w:uiPriority w:val="0"/>
    <w:rPr>
      <w:rFonts w:eastAsia="仿宋_GB2312"/>
      <w:sz w:val="30"/>
      <w:szCs w:val="22"/>
      <w:lang w:bidi="ar-SA"/>
    </w:rPr>
  </w:style>
  <w:style w:type="character" w:customStyle="1" w:styleId="28">
    <w:name w:val="页脚 字符"/>
    <w:basedOn w:val="22"/>
    <w:link w:val="15"/>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6"/>
    <w:qFormat/>
    <w:uiPriority w:val="0"/>
    <w:rPr>
      <w:rFonts w:eastAsia="仿宋"/>
      <w:bCs/>
      <w:kern w:val="2"/>
      <w:sz w:val="32"/>
      <w:szCs w:val="32"/>
    </w:rPr>
  </w:style>
  <w:style w:type="paragraph" w:customStyle="1" w:styleId="31">
    <w:name w:val="MsoNormal"/>
    <w:basedOn w:val="1"/>
    <w:qFormat/>
    <w:uiPriority w:val="0"/>
  </w:style>
  <w:style w:type="paragraph" w:customStyle="1" w:styleId="32">
    <w:name w:val="p"/>
    <w:basedOn w:val="1"/>
    <w:qFormat/>
    <w:uiPriority w:val="0"/>
  </w:style>
  <w:style w:type="character" w:customStyle="1" w:styleId="33">
    <w:name w:val="15"/>
    <w:basedOn w:val="22"/>
    <w:qFormat/>
    <w:uiPriority w:val="0"/>
  </w:style>
  <w:style w:type="table" w:customStyle="1" w:styleId="34">
    <w:name w:val="Table Normal"/>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47</Pages>
  <Words>2109</Words>
  <Characters>2228</Characters>
  <Lines>1</Lines>
  <Paragraphs>1</Paragraphs>
  <TotalTime>0</TotalTime>
  <ScaleCrop>false</ScaleCrop>
  <LinksUpToDate>false</LinksUpToDate>
  <CharactersWithSpaces>2398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2025-09-16T05:07:24Z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992A268A977244F69478E5A510AD6BE7_13</vt:lpwstr>
  </property>
  <property fmtid="{D5CDD505-2E9C-101B-9397-08002B2CF9AE}" pid="3" name="KSOProductBuildVer">
    <vt:lpwstr>2052-11.8.2.8053</vt:lpwstr>
  </property>
  <property fmtid="{D5CDD505-2E9C-101B-9397-08002B2CF9AE}" pid="4" name="KSOTemplateDocerSaveRecord">
    <vt:lpwstr>eyJoZGlkIjoiZmI1NThjYWYyNjdhMWE0YjJiYjZiNWEyNzRmMGUwYmEiLCJ1c2VySWQiOiIyMDkzOTQwMjMifQ==</vt:lpwstr>
  </property>
</Properties>
</file>